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header145.xml" ContentType="application/vnd.openxmlformats-officedocument.wordprocessingml.header+xml"/>
  <Override PartName="/word/footer144.xml" ContentType="application/vnd.openxmlformats-officedocument.wordprocessingml.foot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header148.xml" ContentType="application/vnd.openxmlformats-officedocument.wordprocessingml.header+xml"/>
  <Override PartName="/word/footer147.xml" ContentType="application/vnd.openxmlformats-officedocument.wordprocessingml.foot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header151.xml" ContentType="application/vnd.openxmlformats-officedocument.wordprocessingml.header+xml"/>
  <Override PartName="/word/footer150.xml" ContentType="application/vnd.openxmlformats-officedocument.wordprocessingml.foot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header154.xml" ContentType="application/vnd.openxmlformats-officedocument.wordprocessingml.header+xml"/>
  <Override PartName="/word/footer153.xml" ContentType="application/vnd.openxmlformats-officedocument.wordprocessingml.footer+xml"/>
  <Override PartName="/word/footer154.xml" ContentType="application/vnd.openxmlformats-officedocument.wordprocessingml.footer+xml"/>
  <Override PartName="/word/header155.xml" ContentType="application/vnd.openxmlformats-officedocument.wordprocessingml.header+xml"/>
  <Override PartName="/word/footer155.xml" ContentType="application/vnd.openxmlformats-officedocument.wordprocessingml.footer+xml"/>
  <Override PartName="/word/header156.xml" ContentType="application/vnd.openxmlformats-officedocument.wordprocessingml.header+xml"/>
  <Override PartName="/word/header157.xml" ContentType="application/vnd.openxmlformats-officedocument.wordprocessingml.header+xml"/>
  <Override PartName="/word/footer156.xml" ContentType="application/vnd.openxmlformats-officedocument.wordprocessingml.footer+xml"/>
  <Override PartName="/word/footer157.xml" ContentType="application/vnd.openxmlformats-officedocument.wordprocessingml.footer+xml"/>
  <Override PartName="/word/header158.xml" ContentType="application/vnd.openxmlformats-officedocument.wordprocessingml.header+xml"/>
  <Override PartName="/word/footer158.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footer159.xml" ContentType="application/vnd.openxmlformats-officedocument.wordprocessingml.footer+xml"/>
  <Override PartName="/word/footer160.xml" ContentType="application/vnd.openxmlformats-officedocument.wordprocessingml.footer+xml"/>
  <Override PartName="/word/header161.xml" ContentType="application/vnd.openxmlformats-officedocument.wordprocessingml.header+xml"/>
  <Override PartName="/word/footer161.xml" ContentType="application/vnd.openxmlformats-officedocument.wordprocessingml.footer+xml"/>
  <Override PartName="/word/header162.xml" ContentType="application/vnd.openxmlformats-officedocument.wordprocessingml.header+xml"/>
  <Override PartName="/word/header163.xml" ContentType="application/vnd.openxmlformats-officedocument.wordprocessingml.header+xml"/>
  <Override PartName="/word/footer162.xml" ContentType="application/vnd.openxmlformats-officedocument.wordprocessingml.footer+xml"/>
  <Override PartName="/word/footer163.xml" ContentType="application/vnd.openxmlformats-officedocument.wordprocessingml.footer+xml"/>
  <Override PartName="/word/header164.xml" ContentType="application/vnd.openxmlformats-officedocument.wordprocessingml.header+xml"/>
  <Override PartName="/word/footer164.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footer165.xml" ContentType="application/vnd.openxmlformats-officedocument.wordprocessingml.footer+xml"/>
  <Override PartName="/word/footer166.xml" ContentType="application/vnd.openxmlformats-officedocument.wordprocessingml.footer+xml"/>
  <Override PartName="/word/header167.xml" ContentType="application/vnd.openxmlformats-officedocument.wordprocessingml.header+xml"/>
  <Override PartName="/word/footer167.xml" ContentType="application/vnd.openxmlformats-officedocument.wordprocessingml.footer+xml"/>
  <Override PartName="/word/header168.xml" ContentType="application/vnd.openxmlformats-officedocument.wordprocessingml.header+xml"/>
  <Override PartName="/word/header169.xml" ContentType="application/vnd.openxmlformats-officedocument.wordprocessingml.header+xml"/>
  <Override PartName="/word/footer168.xml" ContentType="application/vnd.openxmlformats-officedocument.wordprocessingml.footer+xml"/>
  <Override PartName="/word/footer169.xml" ContentType="application/vnd.openxmlformats-officedocument.wordprocessingml.footer+xml"/>
  <Override PartName="/word/header170.xml" ContentType="application/vnd.openxmlformats-officedocument.wordprocessingml.header+xml"/>
  <Override PartName="/word/footer170.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171.xml" ContentType="application/vnd.openxmlformats-officedocument.wordprocessingml.footer+xml"/>
  <Override PartName="/word/footer172.xml" ContentType="application/vnd.openxmlformats-officedocument.wordprocessingml.footer+xml"/>
  <Override PartName="/word/header173.xml" ContentType="application/vnd.openxmlformats-officedocument.wordprocessingml.header+xml"/>
  <Override PartName="/word/footer173.xml" ContentType="application/vnd.openxmlformats-officedocument.wordprocessingml.footer+xml"/>
  <Override PartName="/word/header174.xml" ContentType="application/vnd.openxmlformats-officedocument.wordprocessingml.header+xml"/>
  <Override PartName="/word/header175.xml" ContentType="application/vnd.openxmlformats-officedocument.wordprocessingml.header+xml"/>
  <Override PartName="/word/footer174.xml" ContentType="application/vnd.openxmlformats-officedocument.wordprocessingml.footer+xml"/>
  <Override PartName="/word/footer175.xml" ContentType="application/vnd.openxmlformats-officedocument.wordprocessingml.footer+xml"/>
  <Override PartName="/word/header176.xml" ContentType="application/vnd.openxmlformats-officedocument.wordprocessingml.header+xml"/>
  <Override PartName="/word/footer176.xml" ContentType="application/vnd.openxmlformats-officedocument.wordprocessingml.footer+xml"/>
  <Override PartName="/word/header177.xml" ContentType="application/vnd.openxmlformats-officedocument.wordprocessingml.header+xml"/>
  <Override PartName="/word/header178.xml" ContentType="application/vnd.openxmlformats-officedocument.wordprocessingml.header+xml"/>
  <Override PartName="/word/footer177.xml" ContentType="application/vnd.openxmlformats-officedocument.wordprocessingml.footer+xml"/>
  <Override PartName="/word/footer178.xml" ContentType="application/vnd.openxmlformats-officedocument.wordprocessingml.footer+xml"/>
  <Override PartName="/word/header179.xml" ContentType="application/vnd.openxmlformats-officedocument.wordprocessingml.header+xml"/>
  <Override PartName="/word/footer179.xml" ContentType="application/vnd.openxmlformats-officedocument.wordprocessingml.footer+xml"/>
  <Override PartName="/word/header180.xml" ContentType="application/vnd.openxmlformats-officedocument.wordprocessingml.header+xml"/>
  <Override PartName="/word/header181.xml" ContentType="application/vnd.openxmlformats-officedocument.wordprocessingml.header+xml"/>
  <Override PartName="/word/footer180.xml" ContentType="application/vnd.openxmlformats-officedocument.wordprocessingml.footer+xml"/>
  <Override PartName="/word/footer181.xml" ContentType="application/vnd.openxmlformats-officedocument.wordprocessingml.footer+xml"/>
  <Override PartName="/word/header182.xml" ContentType="application/vnd.openxmlformats-officedocument.wordprocessingml.header+xml"/>
  <Override PartName="/word/footer182.xml" ContentType="application/vnd.openxmlformats-officedocument.wordprocessingml.footer+xml"/>
  <Override PartName="/word/header183.xml" ContentType="application/vnd.openxmlformats-officedocument.wordprocessingml.header+xml"/>
  <Override PartName="/word/header184.xml" ContentType="application/vnd.openxmlformats-officedocument.wordprocessingml.header+xml"/>
  <Override PartName="/word/footer183.xml" ContentType="application/vnd.openxmlformats-officedocument.wordprocessingml.footer+xml"/>
  <Override PartName="/word/footer184.xml" ContentType="application/vnd.openxmlformats-officedocument.wordprocessingml.footer+xml"/>
  <Override PartName="/word/header185.xml" ContentType="application/vnd.openxmlformats-officedocument.wordprocessingml.header+xml"/>
  <Override PartName="/word/footer185.xml" ContentType="application/vnd.openxmlformats-officedocument.wordprocessingml.footer+xml"/>
  <Override PartName="/word/header186.xml" ContentType="application/vnd.openxmlformats-officedocument.wordprocessingml.header+xml"/>
  <Override PartName="/word/header187.xml" ContentType="application/vnd.openxmlformats-officedocument.wordprocessingml.header+xml"/>
  <Override PartName="/word/footer186.xml" ContentType="application/vnd.openxmlformats-officedocument.wordprocessingml.footer+xml"/>
  <Override PartName="/word/footer187.xml" ContentType="application/vnd.openxmlformats-officedocument.wordprocessingml.footer+xml"/>
  <Override PartName="/word/header188.xml" ContentType="application/vnd.openxmlformats-officedocument.wordprocessingml.header+xml"/>
  <Override PartName="/word/footer188.xml" ContentType="application/vnd.openxmlformats-officedocument.wordprocessingml.footer+xml"/>
  <Override PartName="/word/header189.xml" ContentType="application/vnd.openxmlformats-officedocument.wordprocessingml.header+xml"/>
  <Override PartName="/word/header190.xml" ContentType="application/vnd.openxmlformats-officedocument.wordprocessingml.header+xml"/>
  <Override PartName="/word/footer189.xml" ContentType="application/vnd.openxmlformats-officedocument.wordprocessingml.footer+xml"/>
  <Override PartName="/word/footer190.xml" ContentType="application/vnd.openxmlformats-officedocument.wordprocessingml.footer+xml"/>
  <Override PartName="/word/header191.xml" ContentType="application/vnd.openxmlformats-officedocument.wordprocessingml.header+xml"/>
  <Override PartName="/word/footer191.xml" ContentType="application/vnd.openxmlformats-officedocument.wordprocessingml.footer+xml"/>
  <Override PartName="/word/header192.xml" ContentType="application/vnd.openxmlformats-officedocument.wordprocessingml.header+xml"/>
  <Override PartName="/word/header193.xml" ContentType="application/vnd.openxmlformats-officedocument.wordprocessingml.header+xml"/>
  <Override PartName="/word/footer192.xml" ContentType="application/vnd.openxmlformats-officedocument.wordprocessingml.footer+xml"/>
  <Override PartName="/word/footer193.xml" ContentType="application/vnd.openxmlformats-officedocument.wordprocessingml.footer+xml"/>
  <Override PartName="/word/header194.xml" ContentType="application/vnd.openxmlformats-officedocument.wordprocessingml.header+xml"/>
  <Override PartName="/word/footer19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795220" w14:textId="2542F10F" w:rsidR="00644683" w:rsidRDefault="00CE5A80" w:rsidP="00CE5A80">
      <w:pPr>
        <w:pStyle w:val="Pagedecouverture"/>
        <w:rPr>
          <w:noProof/>
        </w:rPr>
      </w:pPr>
      <w:bookmarkStart w:id="0" w:name="LW_BM_COVERPAGE"/>
      <w:r>
        <w:rPr>
          <w:noProof/>
        </w:rPr>
        <w:pict w14:anchorId="57628B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5632FB3-E708-4AF3-9855-5C6E05C09CBB" style="width:455.25pt;height:372.75pt">
            <v:imagedata r:id="rId11" o:title=""/>
          </v:shape>
        </w:pict>
      </w:r>
    </w:p>
    <w:bookmarkEnd w:id="0"/>
    <w:p w14:paraId="29477EAB" w14:textId="77777777" w:rsidR="00644683" w:rsidRDefault="00644683" w:rsidP="00644683">
      <w:pPr>
        <w:rPr>
          <w:noProof/>
          <w:lang w:val="en-GB"/>
        </w:rPr>
        <w:sectPr w:rsidR="00644683" w:rsidSect="00CE5A8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055656F" w14:textId="23B88955" w:rsidR="00756A50" w:rsidRPr="00291374" w:rsidRDefault="00756A50" w:rsidP="00756A50">
      <w:pPr>
        <w:keepNext/>
        <w:numPr>
          <w:ilvl w:val="0"/>
          <w:numId w:val="1"/>
        </w:numPr>
        <w:tabs>
          <w:tab w:val="left" w:pos="850"/>
        </w:tabs>
        <w:spacing w:before="360" w:after="120" w:line="240" w:lineRule="auto"/>
        <w:jc w:val="both"/>
        <w:outlineLvl w:val="0"/>
        <w:rPr>
          <w:rFonts w:ascii="Times New Roman" w:hAnsi="Times New Roman" w:cs="Times New Roman"/>
          <w:b/>
          <w:bCs/>
          <w:smallCaps/>
          <w:noProof/>
          <w:lang w:val="en-GB"/>
        </w:rPr>
      </w:pPr>
      <w:bookmarkStart w:id="1" w:name="_GoBack"/>
      <w:bookmarkEnd w:id="1"/>
      <w:r w:rsidRPr="00291374">
        <w:rPr>
          <w:rFonts w:ascii="Times New Roman" w:hAnsi="Times New Roman" w:cs="Times New Roman"/>
          <w:b/>
          <w:bCs/>
          <w:smallCaps/>
          <w:noProof/>
          <w:lang w:val="en-GB"/>
        </w:rPr>
        <w:lastRenderedPageBreak/>
        <w:t>COMPONENT 1: Water management</w:t>
      </w:r>
    </w:p>
    <w:p w14:paraId="7721304F" w14:textId="46A90713" w:rsidR="00756A50" w:rsidRPr="00291374" w:rsidRDefault="00756A50" w:rsidP="00756A50">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the component is to ensure sustainable water provision for a safe future of people, the environment and the economy. In particular, the component aims to: (1) increase public access, especially in rural areas, to public water and sanitation services in line with the requirements of European Union legislation and make it accessible to all social groups; (2) increase the safety of existing accumulations; (3) strengthen administrative and response capacity of National Water Administration (ANAR) in emergency situations in particular linked to water management infrastructure.</w:t>
      </w:r>
      <w:r w:rsidR="00D23D91">
        <w:rPr>
          <w:rFonts w:ascii="Times New Roman" w:hAnsi="Times New Roman" w:cs="Times New Roman"/>
          <w:noProof/>
          <w:lang w:val="en-GB"/>
        </w:rPr>
        <w:t xml:space="preserve"> </w:t>
      </w:r>
    </w:p>
    <w:p w14:paraId="4F47307F" w14:textId="275273EB" w:rsidR="00756A50" w:rsidRPr="00291374" w:rsidRDefault="00756A50" w:rsidP="00756A50">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component is comprised of two reforms and five investments, out of which one is financed </w:t>
      </w:r>
      <w:r w:rsidR="00A93804" w:rsidRPr="00A93804">
        <w:rPr>
          <w:rFonts w:ascii="Times New Roman" w:hAnsi="Times New Roman" w:cs="Times New Roman"/>
          <w:noProof/>
          <w:lang w:val="en-GB"/>
        </w:rPr>
        <w:t>through non-repayable</w:t>
      </w:r>
      <w:r w:rsidR="00BF3B69">
        <w:rPr>
          <w:rFonts w:ascii="Times New Roman" w:hAnsi="Times New Roman" w:cs="Times New Roman"/>
          <w:noProof/>
          <w:lang w:val="en-GB"/>
        </w:rPr>
        <w:t xml:space="preserve"> </w:t>
      </w:r>
      <w:r w:rsidRPr="00291374">
        <w:rPr>
          <w:rFonts w:ascii="Times New Roman" w:hAnsi="Times New Roman" w:cs="Times New Roman"/>
          <w:noProof/>
          <w:lang w:val="en-GB"/>
        </w:rPr>
        <w:t>financial support.</w:t>
      </w:r>
      <w:r w:rsidR="008F3E9C">
        <w:rPr>
          <w:rFonts w:ascii="Times New Roman" w:hAnsi="Times New Roman" w:cs="Times New Roman"/>
          <w:noProof/>
          <w:lang w:val="en-GB"/>
        </w:rPr>
        <w:t xml:space="preserve"> </w:t>
      </w:r>
      <w:r w:rsidRPr="00291374">
        <w:rPr>
          <w:rFonts w:ascii="Times New Roman" w:hAnsi="Times New Roman" w:cs="Times New Roman"/>
          <w:noProof/>
          <w:lang w:val="en-GB"/>
        </w:rPr>
        <w:t xml:space="preserve"> </w:t>
      </w:r>
    </w:p>
    <w:p w14:paraId="791C6441" w14:textId="77777777" w:rsidR="00756A50" w:rsidRPr="00291374" w:rsidRDefault="00756A50" w:rsidP="00756A50">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measures included in the component are expected to address some challenges highlighted by the country-specific recommendation to focus investment on the green and digital transition, in particular on environmental infrastructure among others (country-specific recommendation 4, 2019 and country-specific recommendation 3, 2020). </w:t>
      </w:r>
    </w:p>
    <w:p w14:paraId="513F15F0" w14:textId="77777777" w:rsidR="00756A50" w:rsidRPr="00291374" w:rsidRDefault="00756A50" w:rsidP="00756A50">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It is expected that no measure in this component does significant harm to environmental objectives.</w:t>
      </w:r>
    </w:p>
    <w:p w14:paraId="7C3969A2" w14:textId="77777777" w:rsidR="00756A50" w:rsidRPr="00291374" w:rsidRDefault="00756A50" w:rsidP="00756A50">
      <w:pPr>
        <w:spacing w:before="120" w:after="120" w:line="240" w:lineRule="auto"/>
        <w:jc w:val="both"/>
        <w:rPr>
          <w:rFonts w:ascii="Times New Roman" w:hAnsi="Times New Roman" w:cs="Times New Roman"/>
          <w:noProof/>
          <w:lang w:val="en-GB"/>
        </w:rPr>
      </w:pPr>
    </w:p>
    <w:p w14:paraId="419656B3" w14:textId="77777777" w:rsidR="00756A50" w:rsidRPr="00291374" w:rsidRDefault="00756A50" w:rsidP="00756A50">
      <w:pPr>
        <w:keepNext/>
        <w:spacing w:before="120" w:after="120" w:line="240" w:lineRule="auto"/>
        <w:jc w:val="both"/>
        <w:outlineLvl w:val="1"/>
        <w:rPr>
          <w:rFonts w:ascii="Times New Roman" w:hAnsi="Times New Roman" w:cs="Times New Roman"/>
          <w:b/>
          <w:bCs/>
          <w:smallCaps/>
          <w:noProof/>
          <w:lang w:val="en-GB"/>
        </w:rPr>
      </w:pPr>
      <w:r w:rsidRPr="00291374">
        <w:rPr>
          <w:rFonts w:ascii="Times New Roman" w:hAnsi="Times New Roman" w:cs="Times New Roman"/>
          <w:b/>
          <w:bCs/>
          <w:noProof/>
          <w:lang w:val="en-GB"/>
        </w:rPr>
        <w:t xml:space="preserve">A.1. </w:t>
      </w:r>
      <w:r w:rsidRPr="00291374">
        <w:rPr>
          <w:rFonts w:ascii="Times New Roman" w:hAnsi="Times New Roman" w:cs="Times New Roman"/>
          <w:b/>
          <w:bCs/>
          <w:smallCaps/>
          <w:noProof/>
          <w:lang w:val="en-GB"/>
        </w:rPr>
        <w:t>Description of the reforms and investments for non-repayable financial support</w:t>
      </w:r>
    </w:p>
    <w:p w14:paraId="3F88EBC4" w14:textId="77777777" w:rsidR="00756A50" w:rsidRPr="00291374" w:rsidRDefault="00756A50" w:rsidP="00756A50">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Investment 6. Delivery of the water cadastre</w:t>
      </w:r>
    </w:p>
    <w:p w14:paraId="02C996C6" w14:textId="77777777" w:rsidR="00756A50" w:rsidRPr="00291374" w:rsidRDefault="00756A50" w:rsidP="00756A50">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the investment is to contribute to the rapid delimitation of watercourses, and in particular minor watercourses. </w:t>
      </w:r>
    </w:p>
    <w:p w14:paraId="0AA9D1DF" w14:textId="77777777" w:rsidR="00756A50" w:rsidRPr="00291374" w:rsidRDefault="00756A50" w:rsidP="00756A50">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the delivery of the water cadastre. </w:t>
      </w:r>
    </w:p>
    <w:p w14:paraId="2FE5045F" w14:textId="77777777" w:rsidR="00756A50" w:rsidRPr="00291374" w:rsidRDefault="00756A50" w:rsidP="00756A50">
      <w:pPr>
        <w:rPr>
          <w:rFonts w:ascii="Times New Roman" w:hAnsi="Times New Roman" w:cs="Times New Roman"/>
          <w:b/>
          <w:noProof/>
          <w:lang w:val="en-GB"/>
        </w:rPr>
      </w:pPr>
    </w:p>
    <w:p w14:paraId="7FE58F5C" w14:textId="77777777" w:rsidR="00756A50" w:rsidRPr="00291374" w:rsidRDefault="00756A50" w:rsidP="00756A50">
      <w:pPr>
        <w:keepNext/>
        <w:spacing w:before="120" w:after="120" w:line="240" w:lineRule="auto"/>
        <w:jc w:val="both"/>
        <w:outlineLvl w:val="1"/>
        <w:rPr>
          <w:rFonts w:ascii="Times New Roman" w:hAnsi="Times New Roman" w:cs="Times New Roman"/>
          <w:b/>
          <w:noProof/>
          <w:lang w:val="en-GB"/>
        </w:rPr>
        <w:sectPr w:rsidR="00756A50" w:rsidRPr="00291374" w:rsidSect="00644683">
          <w:headerReference w:type="even" r:id="rId18"/>
          <w:headerReference w:type="default" r:id="rId19"/>
          <w:footerReference w:type="even" r:id="rId20"/>
          <w:footerReference w:type="default" r:id="rId21"/>
          <w:headerReference w:type="first" r:id="rId22"/>
          <w:footerReference w:type="first" r:id="rId23"/>
          <w:pgSz w:w="11906" w:h="16838"/>
          <w:pgMar w:top="1134" w:right="1134" w:bottom="1134" w:left="1134" w:header="567" w:footer="567" w:gutter="0"/>
          <w:cols w:space="720"/>
          <w:docGrid w:linePitch="360"/>
        </w:sectPr>
      </w:pPr>
    </w:p>
    <w:p w14:paraId="24B9ABBB" w14:textId="77777777" w:rsidR="00756A50" w:rsidRPr="00291374" w:rsidRDefault="00756A50" w:rsidP="00756A50">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A.2. </w:t>
      </w:r>
      <w:r w:rsidRPr="00291374">
        <w:rPr>
          <w:rFonts w:ascii="Times New Roman" w:hAnsi="Times New Roman" w:cs="Times New Roman"/>
          <w:noProof/>
          <w:lang w:val="en-GB"/>
        </w:rPr>
        <w:tab/>
      </w:r>
      <w:r w:rsidRPr="00291374">
        <w:rPr>
          <w:rFonts w:ascii="Times New Roman" w:hAnsi="Times New Roman" w:cs="Times New Roman"/>
          <w:b/>
          <w:noProof/>
          <w:lang w:val="en-GB"/>
        </w:rPr>
        <w:t>Milestones, targets, indicators, and timetable for monitoring and implementation for non-repayable financial support</w:t>
      </w:r>
    </w:p>
    <w:tbl>
      <w:tblPr>
        <w:tblW w:w="15578" w:type="dxa"/>
        <w:jc w:val="center"/>
        <w:tblLayout w:type="fixed"/>
        <w:tblLook w:val="04A0" w:firstRow="1" w:lastRow="0" w:firstColumn="1" w:lastColumn="0" w:noHBand="0" w:noVBand="1"/>
      </w:tblPr>
      <w:tblGrid>
        <w:gridCol w:w="788"/>
        <w:gridCol w:w="1984"/>
        <w:gridCol w:w="1466"/>
        <w:gridCol w:w="1369"/>
        <w:gridCol w:w="1843"/>
        <w:gridCol w:w="1318"/>
        <w:gridCol w:w="1134"/>
        <w:gridCol w:w="851"/>
        <w:gridCol w:w="1139"/>
        <w:gridCol w:w="851"/>
        <w:gridCol w:w="2835"/>
      </w:tblGrid>
      <w:tr w:rsidR="00756A50" w:rsidRPr="00CB11E3" w14:paraId="16FE3C34" w14:textId="77777777">
        <w:trPr>
          <w:trHeight w:val="927"/>
          <w:tblHeader/>
          <w:jc w:val="center"/>
        </w:trPr>
        <w:tc>
          <w:tcPr>
            <w:tcW w:w="7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1FDE500" w14:textId="77777777" w:rsidR="00756A50" w:rsidRPr="00CB11E3" w:rsidRDefault="00756A50">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Seq. Num.</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446F018" w14:textId="77777777" w:rsidR="00756A50" w:rsidRPr="00CB11E3" w:rsidRDefault="00756A50">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Related Measure (Reform or Investment)</w:t>
            </w:r>
          </w:p>
        </w:tc>
        <w:tc>
          <w:tcPr>
            <w:tcW w:w="14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7579F3" w14:textId="77777777" w:rsidR="00756A50" w:rsidRPr="00CB11E3" w:rsidRDefault="00756A50">
            <w:pPr>
              <w:spacing w:after="0" w:line="240" w:lineRule="auto"/>
              <w:jc w:val="center"/>
              <w:rPr>
                <w:rFonts w:ascii="Times New Roman" w:hAnsi="Times New Roman" w:cs="Times New Roman"/>
                <w:b/>
                <w:noProof/>
                <w:sz w:val="20"/>
                <w:szCs w:val="20"/>
                <w:lang w:val="en-GB"/>
              </w:rPr>
            </w:pPr>
            <w:r w:rsidRPr="00CB11E3">
              <w:rPr>
                <w:rFonts w:ascii="Times New Roman" w:hAnsi="Times New Roman" w:cs="Times New Roman"/>
                <w:b/>
                <w:noProof/>
                <w:sz w:val="20"/>
                <w:szCs w:val="20"/>
                <w:lang w:val="en-GB"/>
              </w:rPr>
              <w:t>Milestone/</w:t>
            </w:r>
          </w:p>
          <w:p w14:paraId="25D436B6" w14:textId="77777777" w:rsidR="00756A50" w:rsidRPr="00CB11E3" w:rsidRDefault="00756A50">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Target</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943ADBC" w14:textId="77777777" w:rsidR="00756A50" w:rsidRPr="00CB11E3" w:rsidRDefault="00756A50">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Name</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F8105DF" w14:textId="1A84E683" w:rsidR="00756A50" w:rsidRPr="00CB11E3" w:rsidRDefault="00756A50" w:rsidP="00CB11E3">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Qualitative</w:t>
            </w:r>
            <w:r w:rsidR="00CB11E3" w:rsidRPr="00CB11E3">
              <w:rPr>
                <w:rFonts w:ascii="Times New Roman" w:hAnsi="Times New Roman" w:cs="Times New Roman"/>
                <w:b/>
                <w:noProof/>
                <w:sz w:val="20"/>
                <w:szCs w:val="20"/>
                <w:lang w:val="en-GB"/>
              </w:rPr>
              <w:t xml:space="preserve"> </w:t>
            </w:r>
            <w:r w:rsidRPr="00CB11E3">
              <w:rPr>
                <w:rFonts w:ascii="Times New Roman" w:hAnsi="Times New Roman" w:cs="Times New Roman"/>
                <w:b/>
                <w:noProof/>
                <w:sz w:val="20"/>
                <w:szCs w:val="20"/>
                <w:lang w:val="en-GB"/>
              </w:rPr>
              <w:t>indicators</w:t>
            </w:r>
            <w:r w:rsidRPr="00CB11E3">
              <w:rPr>
                <w:rFonts w:ascii="Times New Roman" w:hAnsi="Times New Roman" w:cs="Times New Roman"/>
                <w:noProof/>
                <w:sz w:val="20"/>
                <w:szCs w:val="20"/>
                <w:lang w:val="en-GB"/>
              </w:rPr>
              <w:t xml:space="preserve"> </w:t>
            </w:r>
            <w:r w:rsidRPr="00CB11E3">
              <w:rPr>
                <w:rFonts w:ascii="Times New Roman" w:hAnsi="Times New Roman" w:cs="Times New Roman"/>
                <w:noProof/>
                <w:sz w:val="20"/>
                <w:szCs w:val="20"/>
                <w:lang w:val="en-GB"/>
              </w:rPr>
              <w:br/>
            </w:r>
            <w:r w:rsidRPr="00CB11E3">
              <w:rPr>
                <w:rFonts w:ascii="Times New Roman" w:hAnsi="Times New Roman" w:cs="Times New Roman"/>
                <w:b/>
                <w:noProof/>
                <w:sz w:val="20"/>
                <w:szCs w:val="20"/>
                <w:lang w:val="en-GB"/>
              </w:rPr>
              <w:t>(for milestones)</w:t>
            </w:r>
          </w:p>
        </w:tc>
        <w:tc>
          <w:tcPr>
            <w:tcW w:w="330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1069E63" w14:textId="4C5F172D" w:rsidR="00756A50" w:rsidRPr="00CB11E3" w:rsidRDefault="00756A50" w:rsidP="00CB11E3">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Quantitative</w:t>
            </w:r>
            <w:r w:rsidR="00CB11E3" w:rsidRPr="00CB11E3">
              <w:rPr>
                <w:rFonts w:ascii="Times New Roman" w:hAnsi="Times New Roman" w:cs="Times New Roman"/>
                <w:b/>
                <w:noProof/>
                <w:sz w:val="20"/>
                <w:szCs w:val="20"/>
                <w:lang w:val="en-GB"/>
              </w:rPr>
              <w:t xml:space="preserve"> </w:t>
            </w:r>
            <w:r w:rsidRPr="00CB11E3">
              <w:rPr>
                <w:rFonts w:ascii="Times New Roman" w:hAnsi="Times New Roman" w:cs="Times New Roman"/>
                <w:b/>
                <w:noProof/>
                <w:sz w:val="20"/>
                <w:szCs w:val="20"/>
                <w:lang w:val="en-GB"/>
              </w:rPr>
              <w:t xml:space="preserve">indicators </w:t>
            </w:r>
            <w:r w:rsidRPr="00CB11E3">
              <w:rPr>
                <w:rFonts w:ascii="Times New Roman" w:hAnsi="Times New Roman" w:cs="Times New Roman"/>
                <w:noProof/>
                <w:sz w:val="20"/>
                <w:szCs w:val="20"/>
                <w:lang w:val="en-GB"/>
              </w:rPr>
              <w:br/>
            </w:r>
            <w:r w:rsidRPr="00CB11E3">
              <w:rPr>
                <w:rFonts w:ascii="Times New Roman" w:hAnsi="Times New Roman" w:cs="Times New Roman"/>
                <w:b/>
                <w:noProof/>
                <w:sz w:val="20"/>
                <w:szCs w:val="20"/>
                <w:lang w:val="en-GB"/>
              </w:rPr>
              <w:t>(for targets)</w:t>
            </w:r>
          </w:p>
        </w:tc>
        <w:tc>
          <w:tcPr>
            <w:tcW w:w="199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FB3B80C" w14:textId="2CF34F49" w:rsidR="00756A50" w:rsidRPr="00CB11E3" w:rsidRDefault="00756A50" w:rsidP="00CB11E3">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Indicative timeline</w:t>
            </w:r>
            <w:r w:rsidR="00CB11E3" w:rsidRPr="00CB11E3">
              <w:rPr>
                <w:rFonts w:ascii="Times New Roman" w:hAnsi="Times New Roman" w:cs="Times New Roman"/>
                <w:b/>
                <w:noProof/>
                <w:sz w:val="20"/>
                <w:szCs w:val="20"/>
                <w:lang w:val="en-GB"/>
              </w:rPr>
              <w:t xml:space="preserve"> </w:t>
            </w:r>
            <w:r w:rsidRPr="00CB11E3">
              <w:rPr>
                <w:rFonts w:ascii="Times New Roman" w:hAnsi="Times New Roman" w:cs="Times New Roman"/>
                <w:b/>
                <w:noProof/>
                <w:sz w:val="20"/>
                <w:szCs w:val="20"/>
                <w:lang w:val="en-GB"/>
              </w:rPr>
              <w:t>for completion</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6CA87E32" w14:textId="77777777" w:rsidR="00756A50" w:rsidRPr="00CB11E3" w:rsidRDefault="00756A50">
            <w:pPr>
              <w:spacing w:after="0" w:line="240" w:lineRule="auto"/>
              <w:jc w:val="center"/>
              <w:rPr>
                <w:rFonts w:ascii="Times New Roman" w:eastAsia="Times New Roman" w:hAnsi="Times New Roman" w:cs="Times New Roman"/>
                <w:b/>
                <w:noProof/>
                <w:sz w:val="20"/>
                <w:szCs w:val="20"/>
                <w:lang w:val="en-GB"/>
              </w:rPr>
            </w:pPr>
            <w:r w:rsidRPr="00CB11E3">
              <w:rPr>
                <w:rFonts w:ascii="Times New Roman" w:eastAsia="Times New Roman" w:hAnsi="Times New Roman" w:cs="Times New Roman"/>
                <w:b/>
                <w:noProof/>
                <w:sz w:val="20"/>
                <w:szCs w:val="20"/>
                <w:lang w:val="en-GB"/>
              </w:rPr>
              <w:t>Description of each milestone and target</w:t>
            </w:r>
          </w:p>
        </w:tc>
      </w:tr>
      <w:tr w:rsidR="00756A50" w:rsidRPr="00CB11E3" w14:paraId="03B47849" w14:textId="77777777">
        <w:trPr>
          <w:trHeight w:val="1013"/>
          <w:tblHeader/>
          <w:jc w:val="center"/>
        </w:trPr>
        <w:tc>
          <w:tcPr>
            <w:tcW w:w="788" w:type="dxa"/>
            <w:vMerge/>
            <w:tcBorders>
              <w:top w:val="single" w:sz="4" w:space="0" w:color="auto"/>
              <w:left w:val="single" w:sz="4" w:space="0" w:color="auto"/>
              <w:bottom w:val="single" w:sz="4" w:space="0" w:color="auto"/>
              <w:right w:val="single" w:sz="4" w:space="0" w:color="auto"/>
            </w:tcBorders>
            <w:hideMark/>
          </w:tcPr>
          <w:p w14:paraId="32584A11" w14:textId="77777777" w:rsidR="00756A50" w:rsidRPr="00CB11E3" w:rsidRDefault="00756A50">
            <w:pPr>
              <w:spacing w:after="0" w:line="240" w:lineRule="auto"/>
              <w:jc w:val="center"/>
              <w:rPr>
                <w:rFonts w:ascii="Times New Roman" w:eastAsia="Times New Roman" w:hAnsi="Times New Roman" w:cs="Times New Roman"/>
                <w:b/>
                <w:bCs/>
                <w:noProof/>
                <w:sz w:val="20"/>
                <w:szCs w:val="20"/>
                <w:lang w:val="en-GB" w:eastAsia="en-GB"/>
              </w:rPr>
            </w:pPr>
          </w:p>
        </w:tc>
        <w:tc>
          <w:tcPr>
            <w:tcW w:w="1984" w:type="dxa"/>
            <w:vMerge/>
            <w:tcBorders>
              <w:top w:val="single" w:sz="4" w:space="0" w:color="auto"/>
              <w:left w:val="single" w:sz="4" w:space="0" w:color="auto"/>
              <w:bottom w:val="single" w:sz="4" w:space="0" w:color="auto"/>
              <w:right w:val="single" w:sz="4" w:space="0" w:color="auto"/>
            </w:tcBorders>
            <w:hideMark/>
          </w:tcPr>
          <w:p w14:paraId="001E4A58" w14:textId="77777777" w:rsidR="00756A50" w:rsidRPr="00CB11E3" w:rsidRDefault="00756A50">
            <w:pPr>
              <w:spacing w:after="0" w:line="240" w:lineRule="auto"/>
              <w:jc w:val="both"/>
              <w:rPr>
                <w:rFonts w:ascii="Times New Roman" w:eastAsia="Times New Roman" w:hAnsi="Times New Roman" w:cs="Times New Roman"/>
                <w:b/>
                <w:bCs/>
                <w:noProof/>
                <w:sz w:val="20"/>
                <w:szCs w:val="20"/>
                <w:lang w:val="en-GB" w:eastAsia="en-GB"/>
              </w:rPr>
            </w:pPr>
          </w:p>
        </w:tc>
        <w:tc>
          <w:tcPr>
            <w:tcW w:w="1466" w:type="dxa"/>
            <w:vMerge/>
            <w:tcBorders>
              <w:top w:val="single" w:sz="4" w:space="0" w:color="auto"/>
              <w:left w:val="single" w:sz="4" w:space="0" w:color="auto"/>
              <w:bottom w:val="single" w:sz="4" w:space="0" w:color="auto"/>
              <w:right w:val="single" w:sz="4" w:space="0" w:color="auto"/>
            </w:tcBorders>
            <w:hideMark/>
          </w:tcPr>
          <w:p w14:paraId="2516AF1E" w14:textId="77777777" w:rsidR="00756A50" w:rsidRPr="00CB11E3" w:rsidRDefault="00756A50">
            <w:pPr>
              <w:spacing w:after="0" w:line="240" w:lineRule="auto"/>
              <w:jc w:val="center"/>
              <w:rPr>
                <w:rFonts w:ascii="Times New Roman" w:eastAsia="Times New Roman" w:hAnsi="Times New Roman" w:cs="Times New Roman"/>
                <w:b/>
                <w:bCs/>
                <w:noProof/>
                <w:sz w:val="20"/>
                <w:szCs w:val="20"/>
                <w:lang w:val="en-GB" w:eastAsia="en-GB"/>
              </w:rPr>
            </w:pPr>
          </w:p>
        </w:tc>
        <w:tc>
          <w:tcPr>
            <w:tcW w:w="1369" w:type="dxa"/>
            <w:vMerge/>
            <w:tcBorders>
              <w:top w:val="single" w:sz="4" w:space="0" w:color="auto"/>
              <w:left w:val="single" w:sz="4" w:space="0" w:color="auto"/>
              <w:bottom w:val="single" w:sz="4" w:space="0" w:color="auto"/>
              <w:right w:val="single" w:sz="4" w:space="0" w:color="auto"/>
            </w:tcBorders>
            <w:hideMark/>
          </w:tcPr>
          <w:p w14:paraId="7248DEA0" w14:textId="77777777" w:rsidR="00756A50" w:rsidRPr="00CB11E3" w:rsidRDefault="00756A50">
            <w:pPr>
              <w:spacing w:after="0" w:line="240" w:lineRule="auto"/>
              <w:jc w:val="both"/>
              <w:rPr>
                <w:rFonts w:ascii="Times New Roman" w:eastAsia="Times New Roman" w:hAnsi="Times New Roman" w:cs="Times New Roman"/>
                <w:b/>
                <w:bCs/>
                <w:noProof/>
                <w:sz w:val="20"/>
                <w:szCs w:val="20"/>
                <w:lang w:val="en-GB" w:eastAsia="en-GB"/>
              </w:rPr>
            </w:pPr>
          </w:p>
        </w:tc>
        <w:tc>
          <w:tcPr>
            <w:tcW w:w="1843" w:type="dxa"/>
            <w:vMerge/>
            <w:tcBorders>
              <w:top w:val="single" w:sz="4" w:space="0" w:color="auto"/>
              <w:left w:val="single" w:sz="4" w:space="0" w:color="auto"/>
              <w:bottom w:val="single" w:sz="4" w:space="0" w:color="auto"/>
              <w:right w:val="single" w:sz="4" w:space="0" w:color="auto"/>
            </w:tcBorders>
            <w:hideMark/>
          </w:tcPr>
          <w:p w14:paraId="70918859" w14:textId="77777777" w:rsidR="00756A50" w:rsidRPr="00CB11E3" w:rsidRDefault="00756A50">
            <w:pPr>
              <w:spacing w:after="0" w:line="240" w:lineRule="auto"/>
              <w:jc w:val="both"/>
              <w:rPr>
                <w:rFonts w:ascii="Times New Roman" w:eastAsia="Times New Roman" w:hAnsi="Times New Roman" w:cs="Times New Roman"/>
                <w:b/>
                <w:bCs/>
                <w:noProof/>
                <w:sz w:val="20"/>
                <w:szCs w:val="20"/>
                <w:lang w:val="en-GB" w:eastAsia="en-GB"/>
              </w:rPr>
            </w:pPr>
          </w:p>
        </w:tc>
        <w:tc>
          <w:tcPr>
            <w:tcW w:w="131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268061E" w14:textId="547A8497" w:rsidR="00756A50" w:rsidRPr="00CB11E3" w:rsidRDefault="00756A50" w:rsidP="00CB11E3">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Unit</w:t>
            </w:r>
            <w:r w:rsidR="00CB11E3" w:rsidRPr="00CB11E3">
              <w:rPr>
                <w:rFonts w:ascii="Times New Roman" w:hAnsi="Times New Roman" w:cs="Times New Roman"/>
                <w:b/>
                <w:noProof/>
                <w:sz w:val="20"/>
                <w:szCs w:val="20"/>
                <w:lang w:val="en-GB"/>
              </w:rPr>
              <w:t xml:space="preserve"> </w:t>
            </w:r>
            <w:r w:rsidRPr="00CB11E3">
              <w:rPr>
                <w:rFonts w:ascii="Times New Roman" w:hAnsi="Times New Roman" w:cs="Times New Roman"/>
                <w:b/>
                <w:noProof/>
                <w:sz w:val="20"/>
                <w:szCs w:val="20"/>
                <w:lang w:val="en-GB"/>
              </w:rPr>
              <w:t>of</w:t>
            </w:r>
            <w:r w:rsidR="00CB11E3" w:rsidRPr="00CB11E3">
              <w:rPr>
                <w:rFonts w:ascii="Times New Roman" w:hAnsi="Times New Roman" w:cs="Times New Roman"/>
                <w:b/>
                <w:noProof/>
                <w:sz w:val="20"/>
                <w:szCs w:val="20"/>
                <w:lang w:val="en-GB"/>
              </w:rPr>
              <w:t xml:space="preserve"> </w:t>
            </w:r>
            <w:r w:rsidRPr="00CB11E3">
              <w:rPr>
                <w:rFonts w:ascii="Times New Roman" w:hAnsi="Times New Roman" w:cs="Times New Roman"/>
                <w:b/>
                <w:noProof/>
                <w:sz w:val="20"/>
                <w:szCs w:val="20"/>
                <w:lang w:val="en-GB"/>
              </w:rPr>
              <w:t>measure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BBF834A" w14:textId="77777777" w:rsidR="00756A50" w:rsidRPr="00CB11E3" w:rsidRDefault="00756A50">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Baseline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D1C9848" w14:textId="77777777" w:rsidR="00756A50" w:rsidRPr="00CB11E3" w:rsidRDefault="00756A50">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Goal</w:t>
            </w:r>
          </w:p>
        </w:tc>
        <w:tc>
          <w:tcPr>
            <w:tcW w:w="113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D0AD94D" w14:textId="77777777" w:rsidR="00756A50" w:rsidRPr="00CB11E3" w:rsidRDefault="00756A50">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Quarter</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43F1BF8" w14:textId="77777777" w:rsidR="00756A50" w:rsidRPr="00CB11E3" w:rsidRDefault="00756A50">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Year</w:t>
            </w:r>
          </w:p>
        </w:tc>
        <w:tc>
          <w:tcPr>
            <w:tcW w:w="2835" w:type="dxa"/>
            <w:vMerge/>
            <w:tcBorders>
              <w:top w:val="single" w:sz="4" w:space="0" w:color="auto"/>
              <w:bottom w:val="single" w:sz="4" w:space="0" w:color="auto"/>
              <w:right w:val="single" w:sz="4" w:space="0" w:color="auto"/>
            </w:tcBorders>
          </w:tcPr>
          <w:p w14:paraId="5420A706" w14:textId="77777777" w:rsidR="00756A50" w:rsidRPr="00CB11E3" w:rsidRDefault="00756A50">
            <w:pPr>
              <w:spacing w:after="0" w:line="240" w:lineRule="auto"/>
              <w:jc w:val="both"/>
              <w:rPr>
                <w:rFonts w:ascii="Times New Roman" w:eastAsia="Times New Roman" w:hAnsi="Times New Roman" w:cs="Times New Roman"/>
                <w:b/>
                <w:bCs/>
                <w:noProof/>
                <w:sz w:val="20"/>
                <w:szCs w:val="20"/>
                <w:lang w:val="en-GB" w:eastAsia="en-GB"/>
              </w:rPr>
            </w:pPr>
          </w:p>
        </w:tc>
      </w:tr>
      <w:tr w:rsidR="00756A50" w:rsidRPr="00CB11E3" w14:paraId="343A8416" w14:textId="77777777">
        <w:trPr>
          <w:trHeight w:val="309"/>
          <w:jc w:val="center"/>
        </w:trPr>
        <w:tc>
          <w:tcPr>
            <w:tcW w:w="788" w:type="dxa"/>
            <w:tcBorders>
              <w:top w:val="single" w:sz="4" w:space="0" w:color="auto"/>
              <w:left w:val="single" w:sz="4" w:space="0" w:color="auto"/>
              <w:bottom w:val="single" w:sz="4" w:space="0" w:color="auto"/>
              <w:right w:val="single" w:sz="4" w:space="0" w:color="auto"/>
            </w:tcBorders>
            <w:shd w:val="clear" w:color="auto" w:fill="C6EFCE"/>
            <w:noWrap/>
            <w:hideMark/>
          </w:tcPr>
          <w:p w14:paraId="3D773999" w14:textId="77777777" w:rsidR="00756A50" w:rsidRPr="00CB11E3" w:rsidRDefault="00756A50">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19</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21E97B73" w14:textId="77777777" w:rsidR="00756A50" w:rsidRPr="00CB11E3" w:rsidRDefault="00756A50">
            <w:pPr>
              <w:spacing w:after="0" w:line="240" w:lineRule="auto"/>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Investment 6. Delivery of the water cadastre </w:t>
            </w:r>
          </w:p>
        </w:tc>
        <w:tc>
          <w:tcPr>
            <w:tcW w:w="1466" w:type="dxa"/>
            <w:tcBorders>
              <w:top w:val="single" w:sz="4" w:space="0" w:color="auto"/>
              <w:left w:val="single" w:sz="4" w:space="0" w:color="auto"/>
              <w:bottom w:val="single" w:sz="4" w:space="0" w:color="auto"/>
              <w:right w:val="single" w:sz="4" w:space="0" w:color="auto"/>
            </w:tcBorders>
            <w:shd w:val="clear" w:color="auto" w:fill="C6EFCE"/>
            <w:noWrap/>
          </w:tcPr>
          <w:p w14:paraId="1531AE97" w14:textId="77777777" w:rsidR="00756A50" w:rsidRPr="00CB11E3" w:rsidRDefault="00756A50">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Milestone</w:t>
            </w:r>
          </w:p>
        </w:tc>
        <w:tc>
          <w:tcPr>
            <w:tcW w:w="1369" w:type="dxa"/>
            <w:tcBorders>
              <w:top w:val="single" w:sz="4" w:space="0" w:color="auto"/>
              <w:left w:val="single" w:sz="4" w:space="0" w:color="auto"/>
              <w:bottom w:val="single" w:sz="4" w:space="0" w:color="auto"/>
              <w:right w:val="single" w:sz="4" w:space="0" w:color="auto"/>
            </w:tcBorders>
            <w:shd w:val="clear" w:color="auto" w:fill="C6EFCE"/>
            <w:noWrap/>
          </w:tcPr>
          <w:p w14:paraId="2E039918" w14:textId="77777777" w:rsidR="00756A50" w:rsidRPr="00CB11E3" w:rsidRDefault="00756A50">
            <w:pPr>
              <w:spacing w:after="0" w:line="240" w:lineRule="auto"/>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Water cadastre delivered</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5B14F712" w14:textId="77777777" w:rsidR="00756A50" w:rsidRPr="00CB11E3" w:rsidRDefault="00756A50">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Water cadastre delivered</w:t>
            </w:r>
          </w:p>
        </w:tc>
        <w:tc>
          <w:tcPr>
            <w:tcW w:w="1318" w:type="dxa"/>
            <w:tcBorders>
              <w:top w:val="single" w:sz="4" w:space="0" w:color="auto"/>
              <w:left w:val="single" w:sz="4" w:space="0" w:color="auto"/>
              <w:bottom w:val="single" w:sz="4" w:space="0" w:color="auto"/>
              <w:right w:val="single" w:sz="4" w:space="0" w:color="auto"/>
            </w:tcBorders>
            <w:shd w:val="clear" w:color="auto" w:fill="C6EFCE"/>
            <w:noWrap/>
            <w:hideMark/>
          </w:tcPr>
          <w:p w14:paraId="4E576712" w14:textId="77777777" w:rsidR="00756A50" w:rsidRPr="00CB11E3" w:rsidRDefault="00756A50">
            <w:pPr>
              <w:spacing w:after="0" w:line="240" w:lineRule="auto"/>
              <w:jc w:val="both"/>
              <w:rPr>
                <w:rFonts w:ascii="Times New Roman" w:eastAsia="Times New Roman" w:hAnsi="Times New Roman" w:cs="Times New Roman"/>
                <w:noProof/>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0A1A0F35" w14:textId="77777777" w:rsidR="00756A50" w:rsidRPr="00CB11E3" w:rsidRDefault="00756A50">
            <w:pPr>
              <w:spacing w:after="0" w:line="240" w:lineRule="auto"/>
              <w:jc w:val="both"/>
              <w:rPr>
                <w:rFonts w:ascii="Times New Roman" w:eastAsia="Times New Roman" w:hAnsi="Times New Roman" w:cs="Times New Roman"/>
                <w:noProof/>
                <w:sz w:val="20"/>
                <w:szCs w:val="20"/>
                <w:lang w:val="en-GB" w:eastAsia="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24C62CC9" w14:textId="77777777" w:rsidR="00756A50" w:rsidRPr="00CB11E3" w:rsidRDefault="00756A50">
            <w:pPr>
              <w:spacing w:after="0" w:line="240" w:lineRule="auto"/>
              <w:jc w:val="both"/>
              <w:rPr>
                <w:rFonts w:ascii="Times New Roman" w:eastAsia="Times New Roman" w:hAnsi="Times New Roman" w:cs="Times New Roman"/>
                <w:noProof/>
                <w:sz w:val="20"/>
                <w:szCs w:val="20"/>
                <w:lang w:val="en-GB" w:eastAsia="en-GB"/>
              </w:rPr>
            </w:pPr>
          </w:p>
        </w:tc>
        <w:tc>
          <w:tcPr>
            <w:tcW w:w="1139" w:type="dxa"/>
            <w:tcBorders>
              <w:top w:val="single" w:sz="4" w:space="0" w:color="auto"/>
              <w:left w:val="single" w:sz="4" w:space="0" w:color="auto"/>
              <w:bottom w:val="single" w:sz="4" w:space="0" w:color="auto"/>
              <w:right w:val="single" w:sz="4" w:space="0" w:color="auto"/>
            </w:tcBorders>
            <w:shd w:val="clear" w:color="auto" w:fill="C6EFCE"/>
            <w:noWrap/>
            <w:hideMark/>
          </w:tcPr>
          <w:p w14:paraId="61B0EE43" w14:textId="77777777" w:rsidR="00756A50" w:rsidRPr="00CB11E3" w:rsidRDefault="00756A50">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5BB178F9" w14:textId="77777777" w:rsidR="00756A50" w:rsidRPr="00CB11E3" w:rsidRDefault="00756A50">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2025</w:t>
            </w:r>
          </w:p>
        </w:tc>
        <w:tc>
          <w:tcPr>
            <w:tcW w:w="2835" w:type="dxa"/>
            <w:tcBorders>
              <w:top w:val="single" w:sz="4" w:space="0" w:color="auto"/>
              <w:left w:val="single" w:sz="4" w:space="0" w:color="auto"/>
              <w:bottom w:val="single" w:sz="4" w:space="0" w:color="auto"/>
              <w:right w:val="single" w:sz="4" w:space="0" w:color="auto"/>
            </w:tcBorders>
            <w:shd w:val="clear" w:color="auto" w:fill="C6EFCE"/>
            <w:noWrap/>
          </w:tcPr>
          <w:p w14:paraId="427AD33B" w14:textId="60B66E60" w:rsidR="00756A50" w:rsidRPr="00CB11E3" w:rsidRDefault="00756A50">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Work completion reception certificate</w:t>
            </w:r>
            <w:r w:rsidR="00073762">
              <w:rPr>
                <w:rFonts w:ascii="Times New Roman" w:hAnsi="Times New Roman" w:cs="Times New Roman"/>
                <w:noProof/>
                <w:sz w:val="20"/>
                <w:szCs w:val="20"/>
                <w:lang w:val="en-GB"/>
              </w:rPr>
              <w:t>s</w:t>
            </w:r>
            <w:r w:rsidRPr="00CB11E3">
              <w:rPr>
                <w:rFonts w:ascii="Times New Roman" w:hAnsi="Times New Roman" w:cs="Times New Roman"/>
                <w:noProof/>
                <w:sz w:val="20"/>
                <w:szCs w:val="20"/>
                <w:lang w:val="en-GB"/>
              </w:rPr>
              <w:t xml:space="preserve"> for the water cadastre delivered, which includes:</w:t>
            </w:r>
          </w:p>
          <w:p w14:paraId="7D06520D" w14:textId="77777777" w:rsidR="00756A50" w:rsidRPr="00CB11E3" w:rsidRDefault="00756A50">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 Digital Terrain Model (DTM)/Digital Surface Model (DSM) at national level, based on satellite information; </w:t>
            </w:r>
          </w:p>
          <w:p w14:paraId="7686B1D5" w14:textId="77777777" w:rsidR="00756A50" w:rsidRPr="00CB11E3" w:rsidRDefault="00756A50">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software development for determination of river bed modification (erosion sedimentation process), gravel extraction monitoring and land slide potential in the areas of dam-lake ensemble;</w:t>
            </w:r>
          </w:p>
          <w:p w14:paraId="286134FD" w14:textId="77777777" w:rsidR="00756A50" w:rsidRPr="00CB11E3" w:rsidRDefault="00756A50">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-semi-automatic digitisation and delineation of minor river beds based on DTM/DSM ortho-photo and satellite imagery.</w:t>
            </w:r>
          </w:p>
        </w:tc>
      </w:tr>
    </w:tbl>
    <w:p w14:paraId="43E9FFFB" w14:textId="77777777" w:rsidR="00756A50" w:rsidRPr="00291374" w:rsidRDefault="00756A50" w:rsidP="00756A50">
      <w:pPr>
        <w:keepNext/>
        <w:spacing w:before="120" w:after="120" w:line="240" w:lineRule="auto"/>
        <w:jc w:val="both"/>
        <w:outlineLvl w:val="1"/>
        <w:rPr>
          <w:rFonts w:ascii="Times New Roman" w:hAnsi="Times New Roman" w:cs="Times New Roman"/>
          <w:b/>
          <w:noProof/>
          <w:lang w:val="en-GB"/>
        </w:rPr>
        <w:sectPr w:rsidR="00756A50" w:rsidRPr="00291374" w:rsidSect="00756A50">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030E1EAC" w14:textId="77777777" w:rsidR="00756A50" w:rsidRPr="00291374" w:rsidRDefault="00756A50" w:rsidP="00756A50">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A</w:t>
      </w:r>
      <w:r w:rsidRPr="00291374">
        <w:rPr>
          <w:rFonts w:ascii="Times New Roman" w:hAnsi="Times New Roman" w:cs="Times New Roman"/>
          <w:b/>
          <w:smallCaps/>
          <w:noProof/>
          <w:lang w:val="en-GB"/>
        </w:rPr>
        <w:t xml:space="preserve">.3. </w:t>
      </w:r>
      <w:r w:rsidRPr="00291374">
        <w:rPr>
          <w:rFonts w:ascii="Times New Roman" w:hAnsi="Times New Roman" w:cs="Times New Roman"/>
          <w:noProof/>
          <w:lang w:val="en-GB"/>
        </w:rPr>
        <w:tab/>
      </w:r>
      <w:r w:rsidRPr="00291374">
        <w:rPr>
          <w:rFonts w:ascii="Times New Roman" w:hAnsi="Times New Roman" w:cs="Times New Roman"/>
          <w:b/>
          <w:smallCaps/>
          <w:noProof/>
          <w:lang w:val="en-GB"/>
        </w:rPr>
        <w:t>Description of the reforms and investments for the loan</w:t>
      </w:r>
    </w:p>
    <w:p w14:paraId="4FBB61D5" w14:textId="77777777" w:rsidR="00756A50" w:rsidRPr="00291374" w:rsidRDefault="00756A50" w:rsidP="00756A50">
      <w:pPr>
        <w:suppressAutoHyphens/>
        <w:autoSpaceDN w:val="0"/>
        <w:spacing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Reform 1. Strengthening the regulatory framework for the sustainable management of the water and wastewater sector and accelerating public access to quality services under European directives</w:t>
      </w:r>
    </w:p>
    <w:p w14:paraId="62A50ECE" w14:textId="77777777" w:rsidR="00756A50" w:rsidRPr="00291374" w:rsidRDefault="00756A50" w:rsidP="00756A50">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reform is to </w:t>
      </w:r>
      <w:r w:rsidRPr="00291374" w:rsidDel="007B1C1A">
        <w:rPr>
          <w:rFonts w:ascii="Times New Roman" w:hAnsi="Times New Roman" w:cs="Times New Roman"/>
          <w:noProof/>
          <w:lang w:val="en-GB"/>
        </w:rPr>
        <w:t>improve</w:t>
      </w:r>
      <w:r w:rsidRPr="00291374">
        <w:rPr>
          <w:rFonts w:ascii="Times New Roman" w:hAnsi="Times New Roman" w:cs="Times New Roman"/>
          <w:noProof/>
          <w:lang w:val="en-GB"/>
        </w:rPr>
        <w:t xml:space="preserve"> the capacity of regional water and waste water infrastructure operators, and to </w:t>
      </w:r>
      <w:r w:rsidRPr="00291374" w:rsidDel="007B1C1A">
        <w:rPr>
          <w:rFonts w:ascii="Times New Roman" w:hAnsi="Times New Roman" w:cs="Times New Roman"/>
          <w:noProof/>
          <w:lang w:val="en-GB"/>
        </w:rPr>
        <w:t xml:space="preserve">improve </w:t>
      </w:r>
      <w:r w:rsidRPr="00291374">
        <w:rPr>
          <w:rFonts w:ascii="Times New Roman" w:hAnsi="Times New Roman" w:cs="Times New Roman"/>
          <w:noProof/>
          <w:lang w:val="en-GB"/>
        </w:rPr>
        <w:t xml:space="preserve">the quality and efficiency of cooperation between them and local authorities/inter-community development associations (IDAs), water and waste water infrastructure owners. To attain this, a number of legislative and regulatory changes shall be made: </w:t>
      </w:r>
    </w:p>
    <w:p w14:paraId="7135F14A" w14:textId="77777777" w:rsidR="00756A50" w:rsidRPr="00291374" w:rsidRDefault="00756A50" w:rsidP="00756A50">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1) Amendments to the Law No 241/2006 on water supply and sewerage shall be made to enable the following: </w:t>
      </w:r>
    </w:p>
    <w:p w14:paraId="3D7698C5" w14:textId="77777777" w:rsidR="00756A50" w:rsidRPr="00291374" w:rsidRDefault="00756A50" w:rsidP="00756A50">
      <w:pPr>
        <w:numPr>
          <w:ilvl w:val="0"/>
          <w:numId w:val="2"/>
        </w:numPr>
        <w:spacing w:before="120" w:after="120" w:line="240" w:lineRule="auto"/>
        <w:ind w:left="360"/>
        <w:jc w:val="both"/>
        <w:rPr>
          <w:rFonts w:ascii="Times New Roman" w:hAnsi="Times New Roman" w:cs="Times New Roman"/>
          <w:noProof/>
          <w:bdr w:val="none" w:sz="0" w:space="0" w:color="auto" w:frame="1"/>
          <w:lang w:val="en-GB"/>
        </w:rPr>
      </w:pPr>
      <w:r w:rsidRPr="00291374">
        <w:rPr>
          <w:rFonts w:ascii="Times New Roman" w:hAnsi="Times New Roman" w:cs="Times New Roman"/>
          <w:noProof/>
          <w:bdr w:val="none" w:sz="0" w:space="0" w:color="auto" w:frame="1"/>
          <w:lang w:val="en-GB"/>
        </w:rPr>
        <w:t>Approval of the tariff strategy of the regional water and sewerage operator by the general meeting of the Intercommunal Development Associations (IDAs), based on the special mandate received from the local administrative units. Through this change, the time needed for the approval of the tariff strategy shall be reduced significantly which shall enable the extension of the water and wastewater service infrastructure.</w:t>
      </w:r>
    </w:p>
    <w:p w14:paraId="09CFA532" w14:textId="77777777" w:rsidR="00756A50" w:rsidRPr="00291374" w:rsidRDefault="00756A50" w:rsidP="00756A50">
      <w:pPr>
        <w:numPr>
          <w:ilvl w:val="0"/>
          <w:numId w:val="2"/>
        </w:numPr>
        <w:spacing w:before="120" w:after="120" w:line="240" w:lineRule="auto"/>
        <w:ind w:left="360"/>
        <w:jc w:val="both"/>
        <w:rPr>
          <w:rFonts w:ascii="Times New Roman" w:hAnsi="Times New Roman" w:cs="Times New Roman"/>
          <w:noProof/>
          <w:bdr w:val="none" w:sz="0" w:space="0" w:color="auto" w:frame="1"/>
          <w:lang w:val="en-GB"/>
        </w:rPr>
      </w:pPr>
      <w:r w:rsidRPr="00291374">
        <w:rPr>
          <w:rFonts w:ascii="Times New Roman" w:hAnsi="Times New Roman" w:cs="Times New Roman"/>
          <w:noProof/>
          <w:bdr w:val="none" w:sz="0" w:space="0" w:color="auto" w:frame="1"/>
          <w:lang w:val="en-GB"/>
        </w:rPr>
        <w:t xml:space="preserve">Oblige local public administration authorities to keep records of natural and legal persons that do not discharge waste water into the public sewerage network and send the list of such persons to the National Environmental Guard annually. </w:t>
      </w:r>
    </w:p>
    <w:p w14:paraId="7E012AA7" w14:textId="77777777" w:rsidR="00756A50" w:rsidRPr="00291374" w:rsidRDefault="00756A50" w:rsidP="00756A50">
      <w:pPr>
        <w:numPr>
          <w:ilvl w:val="0"/>
          <w:numId w:val="2"/>
        </w:numPr>
        <w:spacing w:before="120" w:after="120" w:line="240" w:lineRule="auto"/>
        <w:ind w:left="360"/>
        <w:jc w:val="both"/>
        <w:rPr>
          <w:rFonts w:ascii="Times New Roman" w:hAnsi="Times New Roman" w:cs="Times New Roman"/>
          <w:noProof/>
          <w:bdr w:val="none" w:sz="0" w:space="0" w:color="auto" w:frame="1"/>
          <w:lang w:val="en-GB"/>
        </w:rPr>
      </w:pPr>
      <w:r w:rsidRPr="00291374">
        <w:rPr>
          <w:rFonts w:ascii="Times New Roman" w:hAnsi="Times New Roman" w:cs="Times New Roman"/>
          <w:noProof/>
          <w:bdr w:val="none" w:sz="0" w:space="0" w:color="auto" w:frame="1"/>
          <w:lang w:val="en-GB"/>
        </w:rPr>
        <w:t>Oblige users to connect to existing public sewerage systems if they do not have a</w:t>
      </w:r>
      <w:r w:rsidRPr="00291374" w:rsidDel="007B1C1A">
        <w:rPr>
          <w:rFonts w:ascii="Times New Roman" w:hAnsi="Times New Roman" w:cs="Times New Roman"/>
          <w:noProof/>
          <w:lang w:val="en-GB"/>
        </w:rPr>
        <w:t xml:space="preserve">n appropriate </w:t>
      </w:r>
      <w:r w:rsidRPr="00291374">
        <w:rPr>
          <w:rFonts w:ascii="Times New Roman" w:hAnsi="Times New Roman" w:cs="Times New Roman"/>
          <w:noProof/>
          <w:bdr w:val="none" w:sz="0" w:space="0" w:color="auto" w:frame="1"/>
          <w:lang w:val="en-GB"/>
        </w:rPr>
        <w:t>individual collection and treatment system.</w:t>
      </w:r>
    </w:p>
    <w:p w14:paraId="0DCE516A" w14:textId="77777777" w:rsidR="00756A50" w:rsidRPr="00291374" w:rsidRDefault="00756A50" w:rsidP="00756A50">
      <w:pPr>
        <w:numPr>
          <w:ilvl w:val="0"/>
          <w:numId w:val="2"/>
        </w:numPr>
        <w:spacing w:before="120" w:after="120" w:line="240" w:lineRule="auto"/>
        <w:ind w:left="360"/>
        <w:jc w:val="both"/>
        <w:rPr>
          <w:rFonts w:ascii="Times New Roman" w:hAnsi="Times New Roman" w:cs="Times New Roman"/>
          <w:noProof/>
          <w:lang w:val="en-GB"/>
        </w:rPr>
      </w:pPr>
      <w:r w:rsidRPr="00291374">
        <w:rPr>
          <w:rFonts w:ascii="Times New Roman" w:hAnsi="Times New Roman" w:cs="Times New Roman"/>
          <w:noProof/>
          <w:bdr w:val="none" w:sz="0" w:space="0" w:color="auto" w:frame="1"/>
          <w:lang w:val="en-GB"/>
        </w:rPr>
        <w:t xml:space="preserve">Allow to organise, where </w:t>
      </w:r>
      <w:r w:rsidRPr="00291374" w:rsidDel="007B1C1A">
        <w:rPr>
          <w:rFonts w:ascii="Times New Roman" w:hAnsi="Times New Roman" w:cs="Times New Roman"/>
          <w:noProof/>
          <w:lang w:val="en-GB"/>
        </w:rPr>
        <w:t>appropriate</w:t>
      </w:r>
      <w:r w:rsidRPr="00291374">
        <w:rPr>
          <w:rFonts w:ascii="Times New Roman" w:hAnsi="Times New Roman" w:cs="Times New Roman"/>
          <w:noProof/>
          <w:bdr w:val="none" w:sz="0" w:space="0" w:color="auto" w:frame="1"/>
          <w:lang w:val="en-GB"/>
        </w:rPr>
        <w:t>, the provision of the water service only, on the condition that the collection of wastewater is done through individual collection and treatment systems that shall ensure the same level of environmental protection as centralised collection and treatment systems.</w:t>
      </w:r>
    </w:p>
    <w:p w14:paraId="3F161604" w14:textId="77777777" w:rsidR="00756A50" w:rsidRPr="00291374" w:rsidRDefault="00756A50" w:rsidP="00756A50">
      <w:pPr>
        <w:numPr>
          <w:ilvl w:val="0"/>
          <w:numId w:val="2"/>
        </w:numPr>
        <w:spacing w:before="120" w:after="120" w:line="240" w:lineRule="auto"/>
        <w:ind w:left="360"/>
        <w:jc w:val="both"/>
        <w:rPr>
          <w:rFonts w:ascii="Times New Roman" w:hAnsi="Times New Roman" w:cs="Times New Roman"/>
          <w:noProof/>
          <w:lang w:val="en-GB"/>
        </w:rPr>
      </w:pPr>
      <w:r w:rsidRPr="00291374">
        <w:rPr>
          <w:rFonts w:ascii="Times New Roman" w:hAnsi="Times New Roman" w:cs="Times New Roman"/>
          <w:noProof/>
          <w:lang w:val="en-GB"/>
        </w:rPr>
        <w:t>Ensure the exceptional nature of adequate individual systems in the sense that these systems address situations where centralised systems are not technically and economically feasible.</w:t>
      </w:r>
    </w:p>
    <w:p w14:paraId="4D576E5F" w14:textId="77777777" w:rsidR="00756A50" w:rsidRPr="00291374" w:rsidRDefault="00756A50" w:rsidP="00756A50">
      <w:pPr>
        <w:numPr>
          <w:ilvl w:val="0"/>
          <w:numId w:val="2"/>
        </w:numPr>
        <w:spacing w:before="120" w:after="120" w:line="240" w:lineRule="auto"/>
        <w:ind w:left="360"/>
        <w:jc w:val="both"/>
        <w:rPr>
          <w:rFonts w:ascii="Times New Roman" w:hAnsi="Times New Roman" w:cs="Times New Roman"/>
          <w:noProof/>
          <w:lang w:val="en-GB"/>
        </w:rPr>
      </w:pPr>
      <w:r w:rsidRPr="00291374">
        <w:rPr>
          <w:rFonts w:ascii="Times New Roman" w:hAnsi="Times New Roman" w:cs="Times New Roman"/>
          <w:noProof/>
          <w:lang w:val="en-GB"/>
        </w:rPr>
        <w:t>Prohibit the direct discharge of untreated wastewater from appropriate individual systems into the environment.</w:t>
      </w:r>
    </w:p>
    <w:p w14:paraId="2E3200F7" w14:textId="77777777" w:rsidR="00756A50" w:rsidRPr="00291374" w:rsidRDefault="00756A50" w:rsidP="00756A50">
      <w:pPr>
        <w:numPr>
          <w:ilvl w:val="0"/>
          <w:numId w:val="2"/>
        </w:numPr>
        <w:spacing w:before="120" w:after="120" w:line="240" w:lineRule="auto"/>
        <w:ind w:left="360"/>
        <w:jc w:val="both"/>
        <w:rPr>
          <w:rFonts w:ascii="Times New Roman" w:hAnsi="Times New Roman" w:cs="Times New Roman"/>
          <w:noProof/>
          <w:lang w:val="en-GB"/>
        </w:rPr>
      </w:pPr>
      <w:r w:rsidRPr="00291374">
        <w:rPr>
          <w:rFonts w:ascii="Times New Roman" w:hAnsi="Times New Roman" w:cs="Times New Roman"/>
          <w:noProof/>
          <w:lang w:val="en-GB"/>
        </w:rPr>
        <w:t xml:space="preserve">Develop criteria for authorization, construction, registration/record, operation and maintenance of </w:t>
      </w:r>
      <w:r w:rsidRPr="00291374" w:rsidDel="007B1C1A">
        <w:rPr>
          <w:rFonts w:ascii="Times New Roman" w:hAnsi="Times New Roman" w:cs="Times New Roman"/>
          <w:noProof/>
          <w:lang w:val="en-GB"/>
        </w:rPr>
        <w:t xml:space="preserve">appropriate </w:t>
      </w:r>
      <w:r w:rsidRPr="00291374">
        <w:rPr>
          <w:rFonts w:ascii="Times New Roman" w:hAnsi="Times New Roman" w:cs="Times New Roman"/>
          <w:noProof/>
          <w:lang w:val="en-GB"/>
        </w:rPr>
        <w:t>individual systems.</w:t>
      </w:r>
    </w:p>
    <w:p w14:paraId="4F5BBE06" w14:textId="77777777" w:rsidR="00756A50" w:rsidRPr="00291374" w:rsidRDefault="00756A50" w:rsidP="00756A50">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implementation of the above mentioned reform shall be completed by 31 December 2021. </w:t>
      </w:r>
    </w:p>
    <w:p w14:paraId="0D95D229" w14:textId="77777777" w:rsidR="00756A50" w:rsidRPr="00291374" w:rsidRDefault="00756A50" w:rsidP="00756A50">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2) Entry into force of the law approving the national programme First Connection to Water and Sanitation, which shall support families and single people on low incomes (who have average monthly net cash incomes below the gross national minimum wage guaranteed per family member) to pay the costs incurred for connection to the water supply and sewerage system. The implementation of the reform shall be completed by 31 March 2022. </w:t>
      </w:r>
    </w:p>
    <w:p w14:paraId="47AC2A8A" w14:textId="77777777" w:rsidR="00756A50" w:rsidRPr="00291374" w:rsidRDefault="00756A50" w:rsidP="00756A50">
      <w:pPr>
        <w:spacing w:before="120" w:after="120" w:line="240" w:lineRule="auto"/>
        <w:jc w:val="both"/>
        <w:rPr>
          <w:rFonts w:ascii="Times New Roman" w:eastAsiaTheme="majorEastAsia" w:hAnsi="Times New Roman" w:cs="Times New Roman"/>
          <w:noProof/>
          <w:u w:val="single"/>
          <w:lang w:val="en-GB"/>
        </w:rPr>
      </w:pPr>
      <w:r w:rsidRPr="00291374">
        <w:rPr>
          <w:rFonts w:ascii="Times New Roman" w:hAnsi="Times New Roman" w:cs="Times New Roman"/>
          <w:noProof/>
          <w:lang w:val="en-GB"/>
        </w:rPr>
        <w:t xml:space="preserve">3) Signature of implementation agreements between the Environmental Fund Administration and the local authorities participating in the First Connection to Water and Sanitation Programme. The agreements shall be completed by 31 December 2022. </w:t>
      </w:r>
    </w:p>
    <w:p w14:paraId="32E8BA17" w14:textId="77777777" w:rsidR="00756A50" w:rsidRPr="00291374" w:rsidRDefault="00756A50" w:rsidP="00756A50">
      <w:pPr>
        <w:jc w:val="both"/>
        <w:rPr>
          <w:rFonts w:ascii="Times New Roman" w:hAnsi="Times New Roman" w:cs="Times New Roman"/>
          <w:noProof/>
          <w:lang w:val="en-GB"/>
        </w:rPr>
      </w:pPr>
      <w:r w:rsidRPr="00291374">
        <w:rPr>
          <w:rFonts w:ascii="Times New Roman" w:hAnsi="Times New Roman" w:cs="Times New Roman"/>
          <w:noProof/>
          <w:u w:val="single"/>
          <w:lang w:val="en-GB"/>
        </w:rPr>
        <w:t>Reform. 2 Reconfiguration of the current economic mechanism of the National Water Administration (ANAR) in order to ensure the modernisation and maintenance of the national water management system</w:t>
      </w:r>
      <w:r w:rsidRPr="00291374">
        <w:rPr>
          <w:rFonts w:ascii="Times New Roman" w:hAnsi="Times New Roman" w:cs="Times New Roman"/>
          <w:noProof/>
          <w:lang w:val="en-GB"/>
        </w:rPr>
        <w:t xml:space="preserve"> </w:t>
      </w:r>
    </w:p>
    <w:p w14:paraId="2537C28C" w14:textId="77777777" w:rsidR="00756A50" w:rsidRPr="00291374" w:rsidRDefault="00756A50" w:rsidP="00756A50">
      <w:pPr>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the reform is the modernisation and maintenance of the national water management system and a better cost management at ANAR level. </w:t>
      </w:r>
    </w:p>
    <w:p w14:paraId="672F458E" w14:textId="77777777" w:rsidR="00756A50" w:rsidRPr="00291374" w:rsidRDefault="00756A50" w:rsidP="00756A50">
      <w:pPr>
        <w:jc w:val="both"/>
        <w:rPr>
          <w:rFonts w:ascii="Times New Roman" w:hAnsi="Times New Roman" w:cs="Times New Roman"/>
          <w:noProof/>
          <w:lang w:val="en-GB"/>
        </w:rPr>
      </w:pPr>
      <w:r w:rsidRPr="00291374">
        <w:rPr>
          <w:rFonts w:ascii="Times New Roman" w:hAnsi="Times New Roman" w:cs="Times New Roman"/>
          <w:noProof/>
          <w:lang w:val="en-GB"/>
        </w:rPr>
        <w:t>This measure consists in the entry into force of legislative amendments to regulate the new economic mechanism for water resources in Romania.</w:t>
      </w:r>
    </w:p>
    <w:p w14:paraId="1B8C4A7B" w14:textId="77777777" w:rsidR="00756A50" w:rsidRPr="00291374" w:rsidRDefault="00756A50" w:rsidP="00756A50">
      <w:pPr>
        <w:suppressAutoHyphens/>
        <w:autoSpaceDN w:val="0"/>
        <w:spacing w:before="240" w:after="0" w:line="240" w:lineRule="auto"/>
        <w:jc w:val="both"/>
        <w:textAlignment w:val="baseline"/>
        <w:rPr>
          <w:rFonts w:ascii="Times New Roman" w:eastAsia="NSimSun" w:hAnsi="Times New Roman" w:cs="Times New Roman"/>
          <w:noProof/>
          <w:kern w:val="3"/>
          <w:u w:val="single"/>
          <w:lang w:val="en-GB"/>
        </w:rPr>
      </w:pPr>
      <w:r w:rsidRPr="00291374">
        <w:rPr>
          <w:rFonts w:ascii="Times New Roman" w:eastAsia="NSimSun" w:hAnsi="Times New Roman" w:cs="Times New Roman"/>
          <w:noProof/>
          <w:kern w:val="3"/>
          <w:u w:val="single"/>
          <w:lang w:val="en-GB"/>
        </w:rPr>
        <w:t xml:space="preserve">Investment 1. Construction of water </w:t>
      </w:r>
      <w:r w:rsidRPr="00291374">
        <w:rPr>
          <w:rFonts w:ascii="Times New Roman" w:eastAsia="NSimSun" w:hAnsi="Times New Roman" w:cs="Times New Roman"/>
          <w:noProof/>
          <w:u w:val="single"/>
          <w:lang w:val="en-GB"/>
        </w:rPr>
        <w:t>distribution and sewerage networks</w:t>
      </w:r>
    </w:p>
    <w:p w14:paraId="701207C1" w14:textId="534D8647" w:rsidR="00756A50" w:rsidRPr="00291374" w:rsidRDefault="00756A50" w:rsidP="00756A50">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this investment is to increase public access to water and sanitation services in agglomerations of more than 2</w:t>
      </w:r>
      <w:r w:rsidR="001D18BC" w:rsidRPr="002C52B9">
        <w:rPr>
          <w:rFonts w:ascii="Times New Roman" w:eastAsia="Calibri" w:hAnsi="Times New Roman" w:cs="Times New Roman"/>
          <w:noProof/>
          <w:sz w:val="18"/>
          <w:szCs w:val="18"/>
          <w:lang w:val="en-GB"/>
        </w:rPr>
        <w:t> </w:t>
      </w:r>
      <w:r w:rsidRPr="00291374">
        <w:rPr>
          <w:rFonts w:ascii="Times New Roman" w:hAnsi="Times New Roman" w:cs="Times New Roman"/>
          <w:noProof/>
          <w:lang w:val="en-GB"/>
        </w:rPr>
        <w:t xml:space="preserve">000 population equivalent. </w:t>
      </w:r>
    </w:p>
    <w:p w14:paraId="7EC0645B" w14:textId="77777777" w:rsidR="00756A50" w:rsidRPr="00291374" w:rsidRDefault="00756A50" w:rsidP="00756A50">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consists in constructing water distribution and sewerage networks.</w:t>
      </w:r>
    </w:p>
    <w:p w14:paraId="35D6F0F8" w14:textId="28F989B2" w:rsidR="00756A50" w:rsidRPr="00291374" w:rsidRDefault="00756A50" w:rsidP="00756A50">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 xml:space="preserve">Investment 2. Collection of wastewater </w:t>
      </w:r>
    </w:p>
    <w:p w14:paraId="11E721F4" w14:textId="56DB4354" w:rsidR="00756A50" w:rsidRPr="00291374" w:rsidRDefault="00756A50" w:rsidP="00756A50">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the investment is to increase public access to water and sanitation services in agglomerations of less than 2</w:t>
      </w:r>
      <w:r w:rsidR="001D18BC" w:rsidRPr="002C52B9">
        <w:rPr>
          <w:rFonts w:ascii="Times New Roman" w:eastAsia="Calibri" w:hAnsi="Times New Roman" w:cs="Times New Roman"/>
          <w:noProof/>
          <w:sz w:val="18"/>
          <w:szCs w:val="18"/>
          <w:lang w:val="en-GB"/>
        </w:rPr>
        <w:t> </w:t>
      </w:r>
      <w:r w:rsidRPr="00291374">
        <w:rPr>
          <w:rFonts w:ascii="Times New Roman" w:hAnsi="Times New Roman" w:cs="Times New Roman"/>
          <w:noProof/>
          <w:lang w:val="en-GB"/>
        </w:rPr>
        <w:t xml:space="preserve">000 population equivalent. </w:t>
      </w:r>
    </w:p>
    <w:p w14:paraId="6B0E4888" w14:textId="77777777" w:rsidR="00756A50" w:rsidRPr="00291374" w:rsidRDefault="00756A50" w:rsidP="00756A50">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consists in constructing sewerage networks and individual or other</w:t>
      </w:r>
      <w:r w:rsidRPr="00291374">
        <w:rPr>
          <w:rStyle w:val="CommentReference"/>
          <w:rFonts w:ascii="Times New Roman" w:hAnsi="Times New Roman" w:cs="Times New Roman"/>
          <w:noProof/>
        </w:rPr>
        <w:t xml:space="preserve"> </w:t>
      </w:r>
      <w:r w:rsidRPr="00291374">
        <w:rPr>
          <w:rFonts w:ascii="Times New Roman" w:hAnsi="Times New Roman" w:cs="Times New Roman"/>
          <w:noProof/>
          <w:lang w:val="en-GB"/>
        </w:rPr>
        <w:t>systems for wastewater collection.</w:t>
      </w:r>
    </w:p>
    <w:p w14:paraId="1E0180C5" w14:textId="77777777" w:rsidR="00756A50" w:rsidRPr="00291374" w:rsidRDefault="00756A50" w:rsidP="00756A50">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 xml:space="preserve">Investment 4. Rehabilitation of existing accumulations that require emergency interventions for safe operation </w:t>
      </w:r>
    </w:p>
    <w:p w14:paraId="3AB5C6AE" w14:textId="77777777" w:rsidR="00756A50" w:rsidRPr="00291374" w:rsidRDefault="00756A50" w:rsidP="00756A50">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the rehabilitation of existing accumulations in order to restore and maintain their capacity to prevent flooding. </w:t>
      </w:r>
    </w:p>
    <w:p w14:paraId="6A93D521" w14:textId="77777777" w:rsidR="00756A50" w:rsidRPr="00291374" w:rsidRDefault="00756A50" w:rsidP="00756A50">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This measure consists in repairing and refurbishing one damaged dam, Lesu, and one flood prevention polder, Salard, on existing flood defence lines. </w:t>
      </w:r>
    </w:p>
    <w:p w14:paraId="44643D9C" w14:textId="77777777" w:rsidR="00756A50" w:rsidRPr="00291374" w:rsidRDefault="00756A50" w:rsidP="00756A50">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Investment 5. Appropriate endowment of river basin administrations for flood monitoring, prevention and emergency response</w:t>
      </w:r>
    </w:p>
    <w:p w14:paraId="549C75B8" w14:textId="77777777" w:rsidR="00756A50" w:rsidRPr="00291374" w:rsidRDefault="00756A50" w:rsidP="00756A50">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the investment is to equip ANAR/basin administrations with machinery and equipment for intervention to mitigate impacts of extreme weather events. </w:t>
      </w:r>
    </w:p>
    <w:p w14:paraId="115CEAD7" w14:textId="73464779" w:rsidR="00756A50" w:rsidRPr="00291374" w:rsidRDefault="00756A50" w:rsidP="00756A50">
      <w:pPr>
        <w:spacing w:before="120" w:after="120" w:line="240" w:lineRule="auto"/>
        <w:jc w:val="both"/>
        <w:rPr>
          <w:rFonts w:ascii="Times New Roman" w:hAnsi="Times New Roman" w:cs="Times New Roman"/>
          <w:noProof/>
          <w:lang w:val="en-GB"/>
        </w:rPr>
      </w:pPr>
      <w:r w:rsidRPr="45DE955F">
        <w:rPr>
          <w:rFonts w:ascii="Times New Roman" w:hAnsi="Times New Roman" w:cs="Times New Roman"/>
          <w:noProof/>
          <w:lang w:val="en-GB"/>
        </w:rPr>
        <w:t xml:space="preserve">This measure consists in purchansing and equipping River Basin Administrations with machinery and equipment which may include, but is not limited to: </w:t>
      </w:r>
      <w:r w:rsidRPr="45DE955F">
        <w:rPr>
          <w:rFonts w:ascii="Times New Roman" w:eastAsia="Times New Roman" w:hAnsi="Times New Roman" w:cs="Times New Roman"/>
          <w:noProof/>
          <w:lang w:val="en-GB"/>
        </w:rPr>
        <w:t>machinery for rough terrain access and intervention, amphibious access and transport of mobile sandbags in hard-to-reach areas, drones, geo-electro resistive/geo radar technologies of dyke bodies.</w:t>
      </w:r>
    </w:p>
    <w:p w14:paraId="34A9E929" w14:textId="77777777" w:rsidR="00756A50" w:rsidRPr="00291374" w:rsidRDefault="00756A50" w:rsidP="00756A50">
      <w:pPr>
        <w:rPr>
          <w:rFonts w:ascii="Times New Roman" w:hAnsi="Times New Roman" w:cs="Times New Roman"/>
          <w:noProof/>
          <w:lang w:val="en-GB"/>
        </w:rPr>
      </w:pPr>
    </w:p>
    <w:p w14:paraId="7562A66E" w14:textId="77777777" w:rsidR="00756A50" w:rsidRPr="00291374" w:rsidRDefault="00756A50" w:rsidP="00756A50">
      <w:pPr>
        <w:spacing w:before="120" w:after="120" w:line="240" w:lineRule="auto"/>
        <w:jc w:val="both"/>
        <w:rPr>
          <w:rFonts w:ascii="Times New Roman" w:hAnsi="Times New Roman" w:cs="Times New Roman"/>
          <w:noProof/>
          <w:lang w:val="en-GB"/>
        </w:rPr>
        <w:sectPr w:rsidR="00756A50" w:rsidRPr="00291374" w:rsidSect="00756A50">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6497B050" w14:textId="77777777" w:rsidR="00756A50" w:rsidRPr="00291374" w:rsidRDefault="00756A50" w:rsidP="00756A50">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A.4. </w:t>
      </w:r>
      <w:r w:rsidRPr="00291374">
        <w:rPr>
          <w:rFonts w:ascii="Times New Roman" w:hAnsi="Times New Roman" w:cs="Times New Roman"/>
          <w:noProof/>
          <w:lang w:val="en-GB"/>
        </w:rPr>
        <w:tab/>
      </w:r>
      <w:r w:rsidRPr="00291374">
        <w:rPr>
          <w:rFonts w:ascii="Times New Roman" w:hAnsi="Times New Roman" w:cs="Times New Roman"/>
          <w:b/>
          <w:noProof/>
          <w:lang w:val="en-GB"/>
        </w:rPr>
        <w:t>Milestones, targets, indicators, and timetable for monitoring and implementation for the loan</w:t>
      </w:r>
    </w:p>
    <w:tbl>
      <w:tblPr>
        <w:tblW w:w="15911" w:type="dxa"/>
        <w:jc w:val="center"/>
        <w:tblLayout w:type="fixed"/>
        <w:tblLook w:val="04A0" w:firstRow="1" w:lastRow="0" w:firstColumn="1" w:lastColumn="0" w:noHBand="0" w:noVBand="1"/>
      </w:tblPr>
      <w:tblGrid>
        <w:gridCol w:w="817"/>
        <w:gridCol w:w="2126"/>
        <w:gridCol w:w="1418"/>
        <w:gridCol w:w="1559"/>
        <w:gridCol w:w="1843"/>
        <w:gridCol w:w="1338"/>
        <w:gridCol w:w="1134"/>
        <w:gridCol w:w="851"/>
        <w:gridCol w:w="1139"/>
        <w:gridCol w:w="851"/>
        <w:gridCol w:w="2835"/>
      </w:tblGrid>
      <w:tr w:rsidR="00756A50" w:rsidRPr="00CB11E3" w14:paraId="4C8C3094" w14:textId="77777777" w:rsidTr="00270B0B">
        <w:trPr>
          <w:trHeight w:val="927"/>
          <w:tblHeader/>
          <w:jc w:val="center"/>
        </w:trPr>
        <w:tc>
          <w:tcPr>
            <w:tcW w:w="8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53CBB3" w14:textId="77777777" w:rsidR="00756A50" w:rsidRPr="00CB11E3" w:rsidRDefault="00756A50" w:rsidP="00270B0B">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Seq. Num.</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BA5550" w14:textId="77777777" w:rsidR="00756A50" w:rsidRPr="00CB11E3" w:rsidRDefault="00756A50" w:rsidP="00270B0B">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Related Measure (Reform or Investment)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667BC3F" w14:textId="2016DA54" w:rsidR="00756A50" w:rsidRPr="00CB11E3" w:rsidRDefault="00756A50" w:rsidP="00270B0B">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Milestone/</w:t>
            </w:r>
            <w:r w:rsidR="00CB11E3">
              <w:rPr>
                <w:rFonts w:ascii="Times New Roman" w:hAnsi="Times New Roman" w:cs="Times New Roman"/>
                <w:b/>
                <w:noProof/>
                <w:sz w:val="20"/>
                <w:szCs w:val="20"/>
                <w:lang w:val="en-GB"/>
              </w:rPr>
              <w:t xml:space="preserve"> </w:t>
            </w:r>
            <w:r w:rsidRPr="00CB11E3">
              <w:rPr>
                <w:rFonts w:ascii="Times New Roman" w:hAnsi="Times New Roman" w:cs="Times New Roman"/>
                <w:b/>
                <w:noProof/>
                <w:sz w:val="20"/>
                <w:szCs w:val="20"/>
                <w:lang w:val="en-GB"/>
              </w:rPr>
              <w:t>Target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4ADA32A" w14:textId="77777777" w:rsidR="00756A50" w:rsidRPr="00CB11E3" w:rsidRDefault="00756A50" w:rsidP="00270B0B">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Name</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D5E0C3" w14:textId="6B4C6EBF" w:rsidR="00756A50" w:rsidRPr="00CB11E3" w:rsidRDefault="00756A50" w:rsidP="00270B0B">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Qualitative</w:t>
            </w:r>
            <w:r w:rsidR="00CB11E3">
              <w:rPr>
                <w:rFonts w:ascii="Times New Roman" w:hAnsi="Times New Roman" w:cs="Times New Roman"/>
                <w:b/>
                <w:noProof/>
                <w:sz w:val="20"/>
                <w:szCs w:val="20"/>
                <w:lang w:val="en-GB"/>
              </w:rPr>
              <w:t xml:space="preserve"> </w:t>
            </w:r>
            <w:r w:rsidRPr="00CB11E3">
              <w:rPr>
                <w:rFonts w:ascii="Times New Roman" w:hAnsi="Times New Roman" w:cs="Times New Roman"/>
                <w:b/>
                <w:noProof/>
                <w:sz w:val="20"/>
                <w:szCs w:val="20"/>
                <w:lang w:val="en-GB"/>
              </w:rPr>
              <w:t>indicators</w:t>
            </w:r>
            <w:r w:rsidRPr="00CB11E3">
              <w:rPr>
                <w:rFonts w:ascii="Times New Roman" w:hAnsi="Times New Roman" w:cs="Times New Roman"/>
                <w:noProof/>
                <w:sz w:val="20"/>
                <w:szCs w:val="20"/>
                <w:lang w:val="en-GB"/>
              </w:rPr>
              <w:t xml:space="preserve"> </w:t>
            </w:r>
            <w:r w:rsidRPr="00CB11E3">
              <w:rPr>
                <w:rFonts w:ascii="Times New Roman" w:hAnsi="Times New Roman" w:cs="Times New Roman"/>
                <w:noProof/>
                <w:sz w:val="20"/>
                <w:szCs w:val="20"/>
                <w:lang w:val="en-GB"/>
              </w:rPr>
              <w:br/>
            </w:r>
            <w:r w:rsidRPr="00CB11E3">
              <w:rPr>
                <w:rFonts w:ascii="Times New Roman" w:hAnsi="Times New Roman" w:cs="Times New Roman"/>
                <w:b/>
                <w:noProof/>
                <w:sz w:val="20"/>
                <w:szCs w:val="20"/>
                <w:lang w:val="en-GB"/>
              </w:rPr>
              <w:t>(for milestones)</w:t>
            </w:r>
          </w:p>
        </w:tc>
        <w:tc>
          <w:tcPr>
            <w:tcW w:w="332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A3CD9F3" w14:textId="5AC035F3" w:rsidR="00756A50" w:rsidRPr="00CB11E3" w:rsidRDefault="00756A50" w:rsidP="00270B0B">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Quantitative</w:t>
            </w:r>
            <w:r w:rsidR="00CB11E3">
              <w:rPr>
                <w:rFonts w:ascii="Times New Roman" w:hAnsi="Times New Roman" w:cs="Times New Roman"/>
                <w:b/>
                <w:noProof/>
                <w:sz w:val="20"/>
                <w:szCs w:val="20"/>
                <w:lang w:val="en-GB"/>
              </w:rPr>
              <w:t xml:space="preserve"> </w:t>
            </w:r>
            <w:r w:rsidRPr="00CB11E3">
              <w:rPr>
                <w:rFonts w:ascii="Times New Roman" w:hAnsi="Times New Roman" w:cs="Times New Roman"/>
                <w:b/>
                <w:noProof/>
                <w:sz w:val="20"/>
                <w:szCs w:val="20"/>
                <w:lang w:val="en-GB"/>
              </w:rPr>
              <w:t xml:space="preserve">indicators </w:t>
            </w:r>
            <w:r w:rsidRPr="00CB11E3">
              <w:rPr>
                <w:rFonts w:ascii="Times New Roman" w:hAnsi="Times New Roman" w:cs="Times New Roman"/>
                <w:noProof/>
                <w:sz w:val="20"/>
                <w:szCs w:val="20"/>
                <w:lang w:val="en-GB"/>
              </w:rPr>
              <w:br/>
            </w:r>
            <w:r w:rsidRPr="00CB11E3">
              <w:rPr>
                <w:rFonts w:ascii="Times New Roman" w:hAnsi="Times New Roman" w:cs="Times New Roman"/>
                <w:b/>
                <w:noProof/>
                <w:sz w:val="20"/>
                <w:szCs w:val="20"/>
                <w:lang w:val="en-GB"/>
              </w:rPr>
              <w:t>(for targets)</w:t>
            </w:r>
          </w:p>
        </w:tc>
        <w:tc>
          <w:tcPr>
            <w:tcW w:w="199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0DE14DD6" w14:textId="008C70E4" w:rsidR="00756A50" w:rsidRPr="00CB11E3" w:rsidRDefault="00756A50" w:rsidP="00270B0B">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Indicative timeline</w:t>
            </w:r>
            <w:r w:rsidR="00CB11E3">
              <w:rPr>
                <w:rFonts w:ascii="Times New Roman" w:hAnsi="Times New Roman" w:cs="Times New Roman"/>
                <w:b/>
                <w:noProof/>
                <w:sz w:val="20"/>
                <w:szCs w:val="20"/>
                <w:lang w:val="en-GB"/>
              </w:rPr>
              <w:t xml:space="preserve"> </w:t>
            </w:r>
            <w:r w:rsidRPr="00CB11E3">
              <w:rPr>
                <w:rFonts w:ascii="Times New Roman" w:hAnsi="Times New Roman" w:cs="Times New Roman"/>
                <w:b/>
                <w:noProof/>
                <w:sz w:val="20"/>
                <w:szCs w:val="20"/>
                <w:lang w:val="en-GB"/>
              </w:rPr>
              <w:t>for completion</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773B24F" w14:textId="77777777" w:rsidR="00756A50" w:rsidRPr="00CB11E3" w:rsidRDefault="00756A50" w:rsidP="00270B0B">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Description of each milestone and target</w:t>
            </w:r>
          </w:p>
        </w:tc>
      </w:tr>
      <w:tr w:rsidR="00382D78" w:rsidRPr="00CB11E3" w14:paraId="107F1B9A" w14:textId="77777777" w:rsidTr="00270B0B">
        <w:trPr>
          <w:trHeight w:val="1013"/>
          <w:tblHeader/>
          <w:jc w:val="center"/>
        </w:trPr>
        <w:tc>
          <w:tcPr>
            <w:tcW w:w="817" w:type="dxa"/>
            <w:vMerge/>
            <w:tcBorders>
              <w:top w:val="single" w:sz="4" w:space="0" w:color="auto"/>
              <w:left w:val="single" w:sz="4" w:space="0" w:color="auto"/>
              <w:bottom w:val="single" w:sz="4" w:space="0" w:color="auto"/>
              <w:right w:val="single" w:sz="4" w:space="0" w:color="auto"/>
            </w:tcBorders>
            <w:hideMark/>
          </w:tcPr>
          <w:p w14:paraId="39307A3A" w14:textId="77777777" w:rsidR="00756A50" w:rsidRPr="00CB11E3" w:rsidRDefault="00756A50" w:rsidP="00270B0B">
            <w:pPr>
              <w:spacing w:after="0" w:line="240" w:lineRule="auto"/>
              <w:jc w:val="center"/>
              <w:rPr>
                <w:rFonts w:ascii="Times New Roman" w:eastAsia="Times New Roman" w:hAnsi="Times New Roman" w:cs="Times New Roman"/>
                <w:b/>
                <w:bCs/>
                <w:noProof/>
                <w:sz w:val="20"/>
                <w:szCs w:val="20"/>
                <w:lang w:val="en-GB" w:eastAsia="en-GB"/>
              </w:rPr>
            </w:pPr>
          </w:p>
        </w:tc>
        <w:tc>
          <w:tcPr>
            <w:tcW w:w="2126" w:type="dxa"/>
            <w:vMerge/>
            <w:tcBorders>
              <w:top w:val="single" w:sz="4" w:space="0" w:color="auto"/>
              <w:left w:val="single" w:sz="4" w:space="0" w:color="auto"/>
              <w:bottom w:val="single" w:sz="4" w:space="0" w:color="auto"/>
              <w:right w:val="single" w:sz="4" w:space="0" w:color="auto"/>
            </w:tcBorders>
            <w:hideMark/>
          </w:tcPr>
          <w:p w14:paraId="13CDE275" w14:textId="77777777" w:rsidR="00756A50" w:rsidRPr="00CB11E3" w:rsidRDefault="00756A50" w:rsidP="00270B0B">
            <w:pPr>
              <w:spacing w:after="0" w:line="240" w:lineRule="auto"/>
              <w:jc w:val="both"/>
              <w:rPr>
                <w:rFonts w:ascii="Times New Roman" w:eastAsia="Times New Roman" w:hAnsi="Times New Roman" w:cs="Times New Roman"/>
                <w:b/>
                <w:bCs/>
                <w:noProof/>
                <w:sz w:val="20"/>
                <w:szCs w:val="20"/>
                <w:lang w:val="en-GB" w:eastAsia="en-GB"/>
              </w:rPr>
            </w:pPr>
          </w:p>
        </w:tc>
        <w:tc>
          <w:tcPr>
            <w:tcW w:w="1418" w:type="dxa"/>
            <w:vMerge/>
            <w:tcBorders>
              <w:top w:val="single" w:sz="4" w:space="0" w:color="auto"/>
              <w:left w:val="single" w:sz="4" w:space="0" w:color="auto"/>
              <w:bottom w:val="single" w:sz="4" w:space="0" w:color="auto"/>
              <w:right w:val="single" w:sz="4" w:space="0" w:color="auto"/>
            </w:tcBorders>
            <w:hideMark/>
          </w:tcPr>
          <w:p w14:paraId="5C755EBF" w14:textId="77777777" w:rsidR="00756A50" w:rsidRPr="00CB11E3" w:rsidRDefault="00756A50" w:rsidP="00270B0B">
            <w:pPr>
              <w:spacing w:after="0" w:line="240" w:lineRule="auto"/>
              <w:jc w:val="center"/>
              <w:rPr>
                <w:rFonts w:ascii="Times New Roman" w:eastAsia="Times New Roman" w:hAnsi="Times New Roman" w:cs="Times New Roman"/>
                <w:b/>
                <w:bCs/>
                <w:noProof/>
                <w:sz w:val="20"/>
                <w:szCs w:val="20"/>
                <w:lang w:val="en-GB" w:eastAsia="en-GB"/>
              </w:rPr>
            </w:pPr>
          </w:p>
        </w:tc>
        <w:tc>
          <w:tcPr>
            <w:tcW w:w="1559" w:type="dxa"/>
            <w:vMerge/>
            <w:tcBorders>
              <w:top w:val="single" w:sz="4" w:space="0" w:color="auto"/>
              <w:left w:val="single" w:sz="4" w:space="0" w:color="auto"/>
              <w:bottom w:val="single" w:sz="4" w:space="0" w:color="auto"/>
              <w:right w:val="single" w:sz="4" w:space="0" w:color="auto"/>
            </w:tcBorders>
            <w:hideMark/>
          </w:tcPr>
          <w:p w14:paraId="1DC0A0BA" w14:textId="77777777" w:rsidR="00756A50" w:rsidRPr="00CB11E3" w:rsidRDefault="00756A50" w:rsidP="00270B0B">
            <w:pPr>
              <w:spacing w:after="0" w:line="240" w:lineRule="auto"/>
              <w:jc w:val="both"/>
              <w:rPr>
                <w:rFonts w:ascii="Times New Roman" w:eastAsia="Times New Roman" w:hAnsi="Times New Roman" w:cs="Times New Roman"/>
                <w:b/>
                <w:bCs/>
                <w:noProof/>
                <w:sz w:val="20"/>
                <w:szCs w:val="20"/>
                <w:lang w:val="en-GB" w:eastAsia="en-GB"/>
              </w:rPr>
            </w:pPr>
          </w:p>
        </w:tc>
        <w:tc>
          <w:tcPr>
            <w:tcW w:w="1843" w:type="dxa"/>
            <w:vMerge/>
            <w:tcBorders>
              <w:top w:val="single" w:sz="4" w:space="0" w:color="auto"/>
              <w:left w:val="single" w:sz="4" w:space="0" w:color="auto"/>
              <w:bottom w:val="single" w:sz="4" w:space="0" w:color="auto"/>
              <w:right w:val="single" w:sz="4" w:space="0" w:color="auto"/>
            </w:tcBorders>
            <w:hideMark/>
          </w:tcPr>
          <w:p w14:paraId="01E2C329" w14:textId="77777777" w:rsidR="00756A50" w:rsidRPr="00CB11E3" w:rsidRDefault="00756A50" w:rsidP="00270B0B">
            <w:pPr>
              <w:spacing w:after="0" w:line="240" w:lineRule="auto"/>
              <w:jc w:val="both"/>
              <w:rPr>
                <w:rFonts w:ascii="Times New Roman" w:eastAsia="Times New Roman" w:hAnsi="Times New Roman" w:cs="Times New Roman"/>
                <w:b/>
                <w:bCs/>
                <w:noProof/>
                <w:sz w:val="20"/>
                <w:szCs w:val="20"/>
                <w:lang w:val="en-GB" w:eastAsia="en-GB"/>
              </w:rPr>
            </w:pPr>
          </w:p>
        </w:tc>
        <w:tc>
          <w:tcPr>
            <w:tcW w:w="133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3778D81" w14:textId="6F756C36" w:rsidR="00756A50" w:rsidRPr="00CB11E3" w:rsidRDefault="00756A50" w:rsidP="00270B0B">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Unit</w:t>
            </w:r>
            <w:r w:rsidR="00CB11E3">
              <w:rPr>
                <w:rFonts w:ascii="Times New Roman" w:hAnsi="Times New Roman" w:cs="Times New Roman"/>
                <w:b/>
                <w:noProof/>
                <w:sz w:val="20"/>
                <w:szCs w:val="20"/>
                <w:lang w:val="en-GB"/>
              </w:rPr>
              <w:t xml:space="preserve"> </w:t>
            </w:r>
            <w:r w:rsidRPr="00CB11E3">
              <w:rPr>
                <w:rFonts w:ascii="Times New Roman" w:hAnsi="Times New Roman" w:cs="Times New Roman"/>
                <w:b/>
                <w:noProof/>
                <w:sz w:val="20"/>
                <w:szCs w:val="20"/>
                <w:lang w:val="en-GB"/>
              </w:rPr>
              <w:t>of</w:t>
            </w:r>
            <w:r w:rsidR="00CB11E3">
              <w:rPr>
                <w:rFonts w:ascii="Times New Roman" w:hAnsi="Times New Roman" w:cs="Times New Roman"/>
                <w:b/>
                <w:noProof/>
                <w:sz w:val="20"/>
                <w:szCs w:val="20"/>
                <w:lang w:val="en-GB"/>
              </w:rPr>
              <w:t xml:space="preserve"> </w:t>
            </w:r>
            <w:r w:rsidRPr="00CB11E3">
              <w:rPr>
                <w:rFonts w:ascii="Times New Roman" w:hAnsi="Times New Roman" w:cs="Times New Roman"/>
                <w:b/>
                <w:noProof/>
                <w:sz w:val="20"/>
                <w:szCs w:val="20"/>
                <w:lang w:val="en-GB"/>
              </w:rPr>
              <w:t>measure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C7C87FE" w14:textId="77777777" w:rsidR="00756A50" w:rsidRPr="00CB11E3" w:rsidRDefault="00756A50" w:rsidP="00270B0B">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Baseline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7A1E53" w14:textId="77777777" w:rsidR="00756A50" w:rsidRPr="00CB11E3" w:rsidRDefault="00756A50" w:rsidP="00270B0B">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Goal</w:t>
            </w:r>
          </w:p>
        </w:tc>
        <w:tc>
          <w:tcPr>
            <w:tcW w:w="113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7EA2426" w14:textId="77777777" w:rsidR="00756A50" w:rsidRPr="00CB11E3" w:rsidRDefault="00756A50" w:rsidP="00270B0B">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Quarter</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C79C960" w14:textId="77777777" w:rsidR="00756A50" w:rsidRPr="00CB11E3" w:rsidRDefault="00756A50" w:rsidP="00270B0B">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Year</w:t>
            </w:r>
          </w:p>
        </w:tc>
        <w:tc>
          <w:tcPr>
            <w:tcW w:w="2835" w:type="dxa"/>
            <w:vMerge/>
            <w:tcBorders>
              <w:top w:val="single" w:sz="4" w:space="0" w:color="auto"/>
              <w:bottom w:val="single" w:sz="4" w:space="0" w:color="auto"/>
              <w:right w:val="single" w:sz="4" w:space="0" w:color="auto"/>
            </w:tcBorders>
            <w:hideMark/>
          </w:tcPr>
          <w:p w14:paraId="172F6695" w14:textId="77777777" w:rsidR="00756A50" w:rsidRPr="00CB11E3" w:rsidRDefault="00756A50" w:rsidP="00270B0B">
            <w:pPr>
              <w:spacing w:after="0" w:line="240" w:lineRule="auto"/>
              <w:jc w:val="both"/>
              <w:rPr>
                <w:rFonts w:ascii="Times New Roman" w:eastAsia="Times New Roman" w:hAnsi="Times New Roman" w:cs="Times New Roman"/>
                <w:b/>
                <w:bCs/>
                <w:noProof/>
                <w:sz w:val="20"/>
                <w:szCs w:val="20"/>
                <w:lang w:val="en-GB" w:eastAsia="en-GB"/>
              </w:rPr>
            </w:pPr>
          </w:p>
        </w:tc>
      </w:tr>
      <w:tr w:rsidR="00756A50" w:rsidRPr="00CB11E3" w14:paraId="4E63D41E" w14:textId="77777777" w:rsidTr="00270B0B">
        <w:trPr>
          <w:trHeight w:val="309"/>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7752A2A2"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1</w:t>
            </w:r>
          </w:p>
        </w:tc>
        <w:tc>
          <w:tcPr>
            <w:tcW w:w="2126" w:type="dxa"/>
            <w:tcBorders>
              <w:top w:val="single" w:sz="4" w:space="0" w:color="auto"/>
              <w:left w:val="nil"/>
              <w:bottom w:val="single" w:sz="4" w:space="0" w:color="auto"/>
              <w:right w:val="single" w:sz="4" w:space="0" w:color="auto"/>
            </w:tcBorders>
            <w:shd w:val="clear" w:color="auto" w:fill="C6EFCE"/>
            <w:noWrap/>
            <w:hideMark/>
          </w:tcPr>
          <w:p w14:paraId="383609D4" w14:textId="77777777" w:rsidR="00756A50" w:rsidRPr="00CB11E3" w:rsidRDefault="00756A50" w:rsidP="00270B0B">
            <w:pPr>
              <w:spacing w:after="0" w:line="240" w:lineRule="auto"/>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Reform 1. Strengthening the regulatory framework for the sustainable management of the water and wastewater sector and accelerating public access to quality services under European directives</w:t>
            </w:r>
          </w:p>
        </w:tc>
        <w:tc>
          <w:tcPr>
            <w:tcW w:w="1418" w:type="dxa"/>
            <w:tcBorders>
              <w:top w:val="single" w:sz="4" w:space="0" w:color="auto"/>
              <w:left w:val="nil"/>
              <w:bottom w:val="single" w:sz="4" w:space="0" w:color="auto"/>
              <w:right w:val="single" w:sz="4" w:space="0" w:color="auto"/>
            </w:tcBorders>
            <w:shd w:val="clear" w:color="auto" w:fill="C6EFCE"/>
            <w:noWrap/>
            <w:hideMark/>
          </w:tcPr>
          <w:p w14:paraId="0C23CFED"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Milestone</w:t>
            </w:r>
          </w:p>
        </w:tc>
        <w:tc>
          <w:tcPr>
            <w:tcW w:w="1559" w:type="dxa"/>
            <w:tcBorders>
              <w:top w:val="single" w:sz="4" w:space="0" w:color="auto"/>
              <w:left w:val="nil"/>
              <w:bottom w:val="single" w:sz="4" w:space="0" w:color="auto"/>
              <w:right w:val="single" w:sz="4" w:space="0" w:color="auto"/>
            </w:tcBorders>
            <w:shd w:val="clear" w:color="auto" w:fill="C6EFCE"/>
            <w:noWrap/>
            <w:hideMark/>
          </w:tcPr>
          <w:p w14:paraId="54EC7CA1" w14:textId="77777777" w:rsidR="00756A50" w:rsidRPr="00CB11E3" w:rsidRDefault="00756A50" w:rsidP="00270B0B">
            <w:pPr>
              <w:spacing w:after="0" w:line="240" w:lineRule="auto"/>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Entry into force of the amendments to the Law No 241/2006 on water supply and sewerage </w:t>
            </w:r>
          </w:p>
        </w:tc>
        <w:tc>
          <w:tcPr>
            <w:tcW w:w="1843" w:type="dxa"/>
            <w:tcBorders>
              <w:top w:val="single" w:sz="4" w:space="0" w:color="auto"/>
              <w:left w:val="nil"/>
              <w:bottom w:val="single" w:sz="4" w:space="0" w:color="auto"/>
              <w:right w:val="single" w:sz="4" w:space="0" w:color="auto"/>
            </w:tcBorders>
            <w:shd w:val="clear" w:color="auto" w:fill="C6EFCE"/>
            <w:noWrap/>
            <w:hideMark/>
          </w:tcPr>
          <w:p w14:paraId="0F761BE9"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Provision in the law indicating the entry into force of the law </w:t>
            </w:r>
          </w:p>
        </w:tc>
        <w:tc>
          <w:tcPr>
            <w:tcW w:w="1338" w:type="dxa"/>
            <w:tcBorders>
              <w:top w:val="single" w:sz="4" w:space="0" w:color="auto"/>
              <w:left w:val="nil"/>
              <w:bottom w:val="single" w:sz="4" w:space="0" w:color="auto"/>
              <w:right w:val="single" w:sz="4" w:space="0" w:color="auto"/>
            </w:tcBorders>
            <w:shd w:val="clear" w:color="auto" w:fill="C6EFCE"/>
            <w:noWrap/>
            <w:hideMark/>
          </w:tcPr>
          <w:p w14:paraId="411970F1"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eastAsia="en-GB"/>
              </w:rPr>
            </w:pPr>
          </w:p>
        </w:tc>
        <w:tc>
          <w:tcPr>
            <w:tcW w:w="1134" w:type="dxa"/>
            <w:tcBorders>
              <w:top w:val="single" w:sz="4" w:space="0" w:color="auto"/>
              <w:left w:val="nil"/>
              <w:bottom w:val="single" w:sz="4" w:space="0" w:color="auto"/>
              <w:right w:val="single" w:sz="4" w:space="0" w:color="auto"/>
            </w:tcBorders>
            <w:shd w:val="clear" w:color="auto" w:fill="C6EFCE"/>
            <w:noWrap/>
            <w:hideMark/>
          </w:tcPr>
          <w:p w14:paraId="080EA957"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eastAsia="en-GB"/>
              </w:rPr>
            </w:pPr>
          </w:p>
        </w:tc>
        <w:tc>
          <w:tcPr>
            <w:tcW w:w="851" w:type="dxa"/>
            <w:tcBorders>
              <w:top w:val="single" w:sz="4" w:space="0" w:color="auto"/>
              <w:left w:val="nil"/>
              <w:bottom w:val="single" w:sz="4" w:space="0" w:color="auto"/>
              <w:right w:val="single" w:sz="4" w:space="0" w:color="auto"/>
            </w:tcBorders>
            <w:shd w:val="clear" w:color="auto" w:fill="C6EFCE"/>
            <w:noWrap/>
            <w:hideMark/>
          </w:tcPr>
          <w:p w14:paraId="358335A3"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eastAsia="en-GB"/>
              </w:rPr>
            </w:pPr>
          </w:p>
        </w:tc>
        <w:tc>
          <w:tcPr>
            <w:tcW w:w="1139" w:type="dxa"/>
            <w:tcBorders>
              <w:top w:val="single" w:sz="4" w:space="0" w:color="auto"/>
              <w:left w:val="nil"/>
              <w:bottom w:val="single" w:sz="4" w:space="0" w:color="auto"/>
              <w:right w:val="single" w:sz="4" w:space="0" w:color="auto"/>
            </w:tcBorders>
            <w:shd w:val="clear" w:color="auto" w:fill="C6EFCE"/>
            <w:noWrap/>
            <w:hideMark/>
          </w:tcPr>
          <w:p w14:paraId="05AD8F8D"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Q4</w:t>
            </w:r>
          </w:p>
        </w:tc>
        <w:tc>
          <w:tcPr>
            <w:tcW w:w="851" w:type="dxa"/>
            <w:tcBorders>
              <w:top w:val="single" w:sz="4" w:space="0" w:color="auto"/>
              <w:left w:val="nil"/>
              <w:bottom w:val="single" w:sz="4" w:space="0" w:color="auto"/>
              <w:right w:val="single" w:sz="4" w:space="0" w:color="auto"/>
            </w:tcBorders>
            <w:shd w:val="clear" w:color="auto" w:fill="C6EFCE"/>
            <w:noWrap/>
            <w:hideMark/>
          </w:tcPr>
          <w:p w14:paraId="6E68C5D3"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2021</w:t>
            </w:r>
          </w:p>
        </w:tc>
        <w:tc>
          <w:tcPr>
            <w:tcW w:w="2835" w:type="dxa"/>
            <w:tcBorders>
              <w:top w:val="single" w:sz="4" w:space="0" w:color="auto"/>
              <w:left w:val="nil"/>
              <w:bottom w:val="single" w:sz="4" w:space="0" w:color="auto"/>
              <w:right w:val="single" w:sz="4" w:space="0" w:color="auto"/>
            </w:tcBorders>
            <w:shd w:val="clear" w:color="auto" w:fill="C6EFCE"/>
            <w:noWrap/>
          </w:tcPr>
          <w:p w14:paraId="447A12EF"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Entry into force of the amendments to the Law No 241/2006 on water supply and sewerage which shall:</w:t>
            </w:r>
          </w:p>
          <w:p w14:paraId="1A35283A" w14:textId="77777777" w:rsidR="00756A50" w:rsidRPr="00CB11E3" w:rsidRDefault="00756A50" w:rsidP="00270B0B">
            <w:pPr>
              <w:numPr>
                <w:ilvl w:val="0"/>
                <w:numId w:val="3"/>
              </w:numPr>
              <w:spacing w:after="0" w:line="240" w:lineRule="auto"/>
              <w:ind w:left="175" w:hanging="223"/>
              <w:contextualSpacing/>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Enable approval of the tariff strategy of the regional water and sewerage operator by the general meeting of the Intercommunal Development Associations (IDAs), on the basis of the special mandate received from the local administrative units. Through this change, the time needed for the approval of the tariff strategy shall be reduced significantly which shall enable the extension of the water and wastewater service infrastructure.</w:t>
            </w:r>
          </w:p>
          <w:p w14:paraId="045504E7" w14:textId="77777777" w:rsidR="00756A50" w:rsidRPr="00CB11E3" w:rsidRDefault="00756A50" w:rsidP="00270B0B">
            <w:pPr>
              <w:numPr>
                <w:ilvl w:val="0"/>
                <w:numId w:val="3"/>
              </w:numPr>
              <w:spacing w:after="0" w:line="240" w:lineRule="auto"/>
              <w:ind w:left="175" w:hanging="223"/>
              <w:contextualSpacing/>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Oblige local public administration authorities to keep records of natural and legal persons that do not discharge waste water into the public sewerage network and send the list of such persons to the National Environmental Guard annually. </w:t>
            </w:r>
          </w:p>
          <w:p w14:paraId="4CA9BE80" w14:textId="77777777" w:rsidR="00756A50" w:rsidRPr="00CB11E3" w:rsidRDefault="00756A50" w:rsidP="00270B0B">
            <w:pPr>
              <w:numPr>
                <w:ilvl w:val="0"/>
                <w:numId w:val="3"/>
              </w:numPr>
              <w:spacing w:after="0" w:line="240" w:lineRule="auto"/>
              <w:ind w:left="175" w:hanging="223"/>
              <w:contextualSpacing/>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Oblige users to connect to existing public sewerage systems if they do not have an </w:t>
            </w:r>
            <w:r w:rsidRPr="00CB11E3" w:rsidDel="007B1C1A">
              <w:rPr>
                <w:rFonts w:ascii="Times New Roman" w:hAnsi="Times New Roman" w:cs="Times New Roman"/>
                <w:noProof/>
                <w:sz w:val="20"/>
                <w:szCs w:val="20"/>
                <w:lang w:val="en-GB"/>
              </w:rPr>
              <w:t>appropriate</w:t>
            </w:r>
            <w:r w:rsidRPr="00CB11E3">
              <w:rPr>
                <w:rFonts w:ascii="Times New Roman" w:hAnsi="Times New Roman" w:cs="Times New Roman"/>
                <w:noProof/>
                <w:sz w:val="20"/>
                <w:szCs w:val="20"/>
                <w:lang w:val="en-GB"/>
              </w:rPr>
              <w:t xml:space="preserve"> individual collection and treatment system.</w:t>
            </w:r>
          </w:p>
          <w:p w14:paraId="26FE1143" w14:textId="77777777" w:rsidR="00756A50" w:rsidRPr="00CB11E3" w:rsidRDefault="00756A50" w:rsidP="00270B0B">
            <w:pPr>
              <w:numPr>
                <w:ilvl w:val="0"/>
                <w:numId w:val="2"/>
              </w:numPr>
              <w:spacing w:before="120" w:after="120" w:line="240" w:lineRule="auto"/>
              <w:ind w:left="360"/>
              <w:jc w:val="both"/>
              <w:rPr>
                <w:rFonts w:ascii="Times New Roman" w:hAnsi="Times New Roman" w:cs="Times New Roman"/>
                <w:noProof/>
                <w:sz w:val="20"/>
                <w:szCs w:val="20"/>
                <w:lang w:val="en-GB"/>
              </w:rPr>
            </w:pPr>
            <w:r w:rsidRPr="00CB11E3">
              <w:rPr>
                <w:rFonts w:ascii="Times New Roman" w:hAnsi="Times New Roman" w:cs="Times New Roman"/>
                <w:noProof/>
                <w:sz w:val="20"/>
                <w:szCs w:val="20"/>
                <w:bdr w:val="none" w:sz="0" w:space="0" w:color="auto" w:frame="1"/>
                <w:lang w:val="en-GB"/>
              </w:rPr>
              <w:t xml:space="preserve">Allow to organise, where </w:t>
            </w:r>
            <w:r w:rsidRPr="00CB11E3" w:rsidDel="007B1C1A">
              <w:rPr>
                <w:rFonts w:ascii="Times New Roman" w:hAnsi="Times New Roman" w:cs="Times New Roman"/>
                <w:noProof/>
                <w:sz w:val="20"/>
                <w:szCs w:val="20"/>
                <w:lang w:val="en-GB"/>
              </w:rPr>
              <w:t>appropriate</w:t>
            </w:r>
            <w:r w:rsidRPr="00CB11E3">
              <w:rPr>
                <w:rFonts w:ascii="Times New Roman" w:hAnsi="Times New Roman" w:cs="Times New Roman"/>
                <w:noProof/>
                <w:sz w:val="20"/>
                <w:szCs w:val="20"/>
                <w:bdr w:val="none" w:sz="0" w:space="0" w:color="auto" w:frame="1"/>
                <w:lang w:val="en-GB"/>
              </w:rPr>
              <w:t>, the provision of the water service only, on the condition that the collection of wastewater is done through individual collection and treatment systems that shall ensure the same level of environmental protection as centralised collection and treatment systems.</w:t>
            </w:r>
          </w:p>
          <w:p w14:paraId="7BE90C3B" w14:textId="77777777" w:rsidR="00756A50" w:rsidRPr="00CB11E3" w:rsidRDefault="00756A50" w:rsidP="00270B0B">
            <w:pPr>
              <w:numPr>
                <w:ilvl w:val="0"/>
                <w:numId w:val="3"/>
              </w:numPr>
              <w:spacing w:after="0" w:line="240" w:lineRule="auto"/>
              <w:ind w:left="175" w:hanging="223"/>
              <w:contextualSpacing/>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Ensure the exceptional nature of adequate individual systems, which shall only address situations where centralised systems are not technically and economically feasible.</w:t>
            </w:r>
          </w:p>
          <w:p w14:paraId="36872BEB" w14:textId="77777777" w:rsidR="00756A50" w:rsidRPr="00CB11E3" w:rsidRDefault="00756A50" w:rsidP="00270B0B">
            <w:pPr>
              <w:numPr>
                <w:ilvl w:val="0"/>
                <w:numId w:val="3"/>
              </w:numPr>
              <w:spacing w:after="0" w:line="240" w:lineRule="auto"/>
              <w:ind w:left="175" w:hanging="223"/>
              <w:contextualSpacing/>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Prohibit the direct discharge of untreated wastewater from </w:t>
            </w:r>
            <w:r w:rsidRPr="00CB11E3" w:rsidDel="007B1C1A">
              <w:rPr>
                <w:rFonts w:ascii="Times New Roman" w:hAnsi="Times New Roman" w:cs="Times New Roman"/>
                <w:noProof/>
                <w:sz w:val="20"/>
                <w:szCs w:val="20"/>
                <w:lang w:val="en-GB"/>
              </w:rPr>
              <w:t xml:space="preserve">appropriate </w:t>
            </w:r>
            <w:r w:rsidRPr="00CB11E3">
              <w:rPr>
                <w:rFonts w:ascii="Times New Roman" w:hAnsi="Times New Roman" w:cs="Times New Roman"/>
                <w:noProof/>
                <w:sz w:val="20"/>
                <w:szCs w:val="20"/>
                <w:lang w:val="en-GB"/>
              </w:rPr>
              <w:t>individual systems into the environment.</w:t>
            </w:r>
          </w:p>
          <w:p w14:paraId="7AACB334" w14:textId="77777777" w:rsidR="00756A50" w:rsidRPr="00CB11E3" w:rsidRDefault="00756A50" w:rsidP="00270B0B">
            <w:pPr>
              <w:numPr>
                <w:ilvl w:val="0"/>
                <w:numId w:val="3"/>
              </w:numPr>
              <w:spacing w:after="0" w:line="240" w:lineRule="auto"/>
              <w:ind w:left="175" w:hanging="223"/>
              <w:contextualSpacing/>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Develop criteria for authorization, construction, registration/record, operation and maintenance of appropriate </w:t>
            </w:r>
            <w:r w:rsidRPr="00CB11E3" w:rsidDel="007B1C1A">
              <w:rPr>
                <w:rFonts w:ascii="Times New Roman" w:hAnsi="Times New Roman" w:cs="Times New Roman"/>
                <w:noProof/>
                <w:sz w:val="20"/>
                <w:szCs w:val="20"/>
                <w:lang w:val="en-GB"/>
              </w:rPr>
              <w:t xml:space="preserve">individual </w:t>
            </w:r>
            <w:r w:rsidRPr="00CB11E3">
              <w:rPr>
                <w:rFonts w:ascii="Times New Roman" w:hAnsi="Times New Roman" w:cs="Times New Roman"/>
                <w:noProof/>
                <w:sz w:val="20"/>
                <w:szCs w:val="20"/>
                <w:lang w:val="en-GB"/>
              </w:rPr>
              <w:t>systems.</w:t>
            </w:r>
          </w:p>
        </w:tc>
      </w:tr>
      <w:tr w:rsidR="00756A50" w:rsidRPr="00CB11E3" w14:paraId="63F48960" w14:textId="77777777" w:rsidTr="00270B0B">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hideMark/>
          </w:tcPr>
          <w:p w14:paraId="66CD510C"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w:t>
            </w:r>
          </w:p>
        </w:tc>
        <w:tc>
          <w:tcPr>
            <w:tcW w:w="2126" w:type="dxa"/>
            <w:tcBorders>
              <w:top w:val="nil"/>
              <w:left w:val="nil"/>
              <w:bottom w:val="single" w:sz="4" w:space="0" w:color="auto"/>
              <w:right w:val="single" w:sz="4" w:space="0" w:color="auto"/>
            </w:tcBorders>
            <w:shd w:val="clear" w:color="auto" w:fill="C6EFCE"/>
            <w:noWrap/>
            <w:hideMark/>
          </w:tcPr>
          <w:p w14:paraId="6DAB2481"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Reform 1. </w:t>
            </w:r>
            <w:r w:rsidRPr="00CB11E3" w:rsidDel="007B1C1A">
              <w:rPr>
                <w:rFonts w:ascii="Times New Roman" w:hAnsi="Times New Roman" w:cs="Times New Roman"/>
                <w:noProof/>
                <w:sz w:val="20"/>
                <w:szCs w:val="20"/>
                <w:lang w:val="en-GB"/>
              </w:rPr>
              <w:t>Strengthening</w:t>
            </w:r>
            <w:r w:rsidRPr="00CB11E3">
              <w:rPr>
                <w:rFonts w:ascii="Times New Roman" w:hAnsi="Times New Roman" w:cs="Times New Roman"/>
                <w:noProof/>
                <w:sz w:val="20"/>
                <w:szCs w:val="20"/>
                <w:lang w:val="en-GB"/>
              </w:rPr>
              <w:t xml:space="preserve"> the regulatory framework for sustainable management of water and waste water sector and accelerating people’s access to quality services under European directives</w:t>
            </w:r>
          </w:p>
        </w:tc>
        <w:tc>
          <w:tcPr>
            <w:tcW w:w="1418" w:type="dxa"/>
            <w:tcBorders>
              <w:top w:val="nil"/>
              <w:left w:val="nil"/>
              <w:bottom w:val="single" w:sz="4" w:space="0" w:color="auto"/>
              <w:right w:val="single" w:sz="4" w:space="0" w:color="auto"/>
            </w:tcBorders>
            <w:shd w:val="clear" w:color="auto" w:fill="C6EFCE"/>
            <w:noWrap/>
            <w:hideMark/>
          </w:tcPr>
          <w:p w14:paraId="59A45F53"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Milestone</w:t>
            </w:r>
          </w:p>
        </w:tc>
        <w:tc>
          <w:tcPr>
            <w:tcW w:w="1559" w:type="dxa"/>
            <w:tcBorders>
              <w:top w:val="nil"/>
              <w:left w:val="nil"/>
              <w:bottom w:val="single" w:sz="4" w:space="0" w:color="auto"/>
              <w:right w:val="single" w:sz="4" w:space="0" w:color="auto"/>
            </w:tcBorders>
            <w:shd w:val="clear" w:color="auto" w:fill="C6EFCE"/>
            <w:noWrap/>
            <w:hideMark/>
          </w:tcPr>
          <w:p w14:paraId="11E9D3BD"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Entry into force of the law approving the national programme First Connection to Water and Sanitation </w:t>
            </w:r>
          </w:p>
        </w:tc>
        <w:tc>
          <w:tcPr>
            <w:tcW w:w="1843" w:type="dxa"/>
            <w:tcBorders>
              <w:top w:val="nil"/>
              <w:left w:val="nil"/>
              <w:bottom w:val="single" w:sz="4" w:space="0" w:color="auto"/>
              <w:right w:val="single" w:sz="4" w:space="0" w:color="auto"/>
            </w:tcBorders>
            <w:shd w:val="clear" w:color="auto" w:fill="C6EFCE"/>
            <w:noWrap/>
            <w:hideMark/>
          </w:tcPr>
          <w:p w14:paraId="526CB24E"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Provision in the law indicating the entry into force of the law for the First Connection to Water and Sanitation programme</w:t>
            </w:r>
          </w:p>
        </w:tc>
        <w:tc>
          <w:tcPr>
            <w:tcW w:w="1338" w:type="dxa"/>
            <w:tcBorders>
              <w:top w:val="nil"/>
              <w:left w:val="nil"/>
              <w:bottom w:val="single" w:sz="4" w:space="0" w:color="auto"/>
              <w:right w:val="single" w:sz="4" w:space="0" w:color="auto"/>
            </w:tcBorders>
            <w:shd w:val="clear" w:color="auto" w:fill="C6EFCE"/>
            <w:noWrap/>
            <w:hideMark/>
          </w:tcPr>
          <w:p w14:paraId="2F014077"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eastAsia="en-GB"/>
              </w:rPr>
            </w:pPr>
          </w:p>
        </w:tc>
        <w:tc>
          <w:tcPr>
            <w:tcW w:w="1134" w:type="dxa"/>
            <w:tcBorders>
              <w:top w:val="nil"/>
              <w:left w:val="nil"/>
              <w:bottom w:val="single" w:sz="4" w:space="0" w:color="auto"/>
              <w:right w:val="single" w:sz="4" w:space="0" w:color="auto"/>
            </w:tcBorders>
            <w:shd w:val="clear" w:color="auto" w:fill="C6EFCE"/>
            <w:noWrap/>
            <w:hideMark/>
          </w:tcPr>
          <w:p w14:paraId="5E12DECF"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eastAsia="en-GB"/>
              </w:rPr>
            </w:pPr>
          </w:p>
        </w:tc>
        <w:tc>
          <w:tcPr>
            <w:tcW w:w="851" w:type="dxa"/>
            <w:tcBorders>
              <w:top w:val="nil"/>
              <w:left w:val="nil"/>
              <w:bottom w:val="single" w:sz="4" w:space="0" w:color="auto"/>
              <w:right w:val="single" w:sz="4" w:space="0" w:color="auto"/>
            </w:tcBorders>
            <w:shd w:val="clear" w:color="auto" w:fill="C6EFCE"/>
            <w:noWrap/>
            <w:hideMark/>
          </w:tcPr>
          <w:p w14:paraId="14FA9347"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eastAsia="en-GB"/>
              </w:rPr>
            </w:pPr>
          </w:p>
        </w:tc>
        <w:tc>
          <w:tcPr>
            <w:tcW w:w="1139" w:type="dxa"/>
            <w:tcBorders>
              <w:top w:val="nil"/>
              <w:left w:val="nil"/>
              <w:bottom w:val="single" w:sz="4" w:space="0" w:color="auto"/>
              <w:right w:val="single" w:sz="4" w:space="0" w:color="auto"/>
            </w:tcBorders>
            <w:shd w:val="clear" w:color="auto" w:fill="C6EFCE"/>
            <w:noWrap/>
            <w:hideMark/>
          </w:tcPr>
          <w:p w14:paraId="6BF0C9BB"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Q1</w:t>
            </w:r>
          </w:p>
        </w:tc>
        <w:tc>
          <w:tcPr>
            <w:tcW w:w="851" w:type="dxa"/>
            <w:tcBorders>
              <w:top w:val="nil"/>
              <w:left w:val="nil"/>
              <w:bottom w:val="single" w:sz="4" w:space="0" w:color="auto"/>
              <w:right w:val="single" w:sz="4" w:space="0" w:color="auto"/>
            </w:tcBorders>
            <w:shd w:val="clear" w:color="auto" w:fill="C6EFCE"/>
            <w:noWrap/>
            <w:hideMark/>
          </w:tcPr>
          <w:p w14:paraId="0F77FAF4"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2022</w:t>
            </w:r>
          </w:p>
        </w:tc>
        <w:tc>
          <w:tcPr>
            <w:tcW w:w="2835" w:type="dxa"/>
            <w:tcBorders>
              <w:top w:val="nil"/>
              <w:left w:val="nil"/>
              <w:bottom w:val="single" w:sz="4" w:space="0" w:color="auto"/>
              <w:right w:val="single" w:sz="4" w:space="0" w:color="auto"/>
            </w:tcBorders>
            <w:shd w:val="clear" w:color="auto" w:fill="C6EFCE"/>
            <w:noWrap/>
            <w:hideMark/>
          </w:tcPr>
          <w:p w14:paraId="08E32B66"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Entry into force of the law approving the national programme First Connection to Water and Sanitation, which shall support families and single people on low incomes (who have average monthly net cash income below the gross national minimum wage guaranteed per family member) to pay the costs incurred for connection to the water supply and sewerage system.</w:t>
            </w:r>
          </w:p>
          <w:p w14:paraId="0E04A9D8"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Low income households shall be identified by the local authorities. The First Connection Programme shall then finance, through the Environmental Fund Administration, the connection works for the identified families contracted by the local authorities.</w:t>
            </w:r>
          </w:p>
        </w:tc>
      </w:tr>
      <w:tr w:rsidR="00756A50" w:rsidRPr="00CB11E3" w14:paraId="66D8B3FF" w14:textId="77777777" w:rsidTr="00270B0B">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hideMark/>
          </w:tcPr>
          <w:p w14:paraId="374713C6"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3</w:t>
            </w:r>
          </w:p>
        </w:tc>
        <w:tc>
          <w:tcPr>
            <w:tcW w:w="2126" w:type="dxa"/>
            <w:tcBorders>
              <w:top w:val="nil"/>
              <w:left w:val="nil"/>
              <w:bottom w:val="single" w:sz="4" w:space="0" w:color="auto"/>
              <w:right w:val="single" w:sz="4" w:space="0" w:color="auto"/>
            </w:tcBorders>
            <w:shd w:val="clear" w:color="auto" w:fill="C6EFCE"/>
            <w:noWrap/>
            <w:hideMark/>
          </w:tcPr>
          <w:p w14:paraId="3CCE5BFC"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Reform 1. </w:t>
            </w:r>
            <w:r w:rsidRPr="00CB11E3" w:rsidDel="007B1C1A">
              <w:rPr>
                <w:rFonts w:ascii="Times New Roman" w:hAnsi="Times New Roman" w:cs="Times New Roman"/>
                <w:noProof/>
                <w:sz w:val="20"/>
                <w:szCs w:val="20"/>
                <w:lang w:val="en-GB"/>
              </w:rPr>
              <w:t>Strengthening</w:t>
            </w:r>
            <w:r w:rsidRPr="00CB11E3">
              <w:rPr>
                <w:rFonts w:ascii="Times New Roman" w:hAnsi="Times New Roman" w:cs="Times New Roman"/>
                <w:noProof/>
                <w:sz w:val="20"/>
                <w:szCs w:val="20"/>
                <w:lang w:val="en-GB"/>
              </w:rPr>
              <w:t xml:space="preserve"> the regulatory framework for the sustainable management of the water and waste water sector and accelerating people’s access to quality services under European directives </w:t>
            </w:r>
          </w:p>
        </w:tc>
        <w:tc>
          <w:tcPr>
            <w:tcW w:w="1418" w:type="dxa"/>
            <w:tcBorders>
              <w:top w:val="nil"/>
              <w:left w:val="nil"/>
              <w:bottom w:val="single" w:sz="4" w:space="0" w:color="auto"/>
              <w:right w:val="single" w:sz="4" w:space="0" w:color="auto"/>
            </w:tcBorders>
            <w:shd w:val="clear" w:color="auto" w:fill="C6EFCE"/>
            <w:noWrap/>
            <w:hideMark/>
          </w:tcPr>
          <w:p w14:paraId="53ABB035"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Milestone</w:t>
            </w:r>
          </w:p>
        </w:tc>
        <w:tc>
          <w:tcPr>
            <w:tcW w:w="1559" w:type="dxa"/>
            <w:tcBorders>
              <w:top w:val="nil"/>
              <w:left w:val="nil"/>
              <w:bottom w:val="single" w:sz="4" w:space="0" w:color="auto"/>
              <w:right w:val="single" w:sz="4" w:space="0" w:color="auto"/>
            </w:tcBorders>
            <w:shd w:val="clear" w:color="auto" w:fill="C6EFCE"/>
            <w:noWrap/>
            <w:hideMark/>
          </w:tcPr>
          <w:p w14:paraId="7C93BD0A" w14:textId="6A30DDCC"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45DE955F">
              <w:rPr>
                <w:rFonts w:ascii="Times New Roman" w:hAnsi="Times New Roman" w:cs="Times New Roman"/>
                <w:noProof/>
                <w:sz w:val="20"/>
                <w:szCs w:val="20"/>
                <w:lang w:val="en-GB"/>
              </w:rPr>
              <w:t>Implementation agreements signed with the local authorities participating in the First Connection to Water and Sanitation Programme</w:t>
            </w:r>
          </w:p>
        </w:tc>
        <w:tc>
          <w:tcPr>
            <w:tcW w:w="1843" w:type="dxa"/>
            <w:tcBorders>
              <w:top w:val="nil"/>
              <w:left w:val="nil"/>
              <w:bottom w:val="single" w:sz="4" w:space="0" w:color="auto"/>
              <w:right w:val="single" w:sz="4" w:space="0" w:color="auto"/>
            </w:tcBorders>
            <w:shd w:val="clear" w:color="auto" w:fill="C6EFCE"/>
            <w:noWrap/>
            <w:hideMark/>
          </w:tcPr>
          <w:p w14:paraId="4AC81607"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Implementation agreements signed with the local authorities participating in the First Connection to Water and Sanitation Programme</w:t>
            </w:r>
          </w:p>
        </w:tc>
        <w:tc>
          <w:tcPr>
            <w:tcW w:w="1338" w:type="dxa"/>
            <w:tcBorders>
              <w:top w:val="nil"/>
              <w:left w:val="nil"/>
              <w:bottom w:val="single" w:sz="4" w:space="0" w:color="auto"/>
              <w:right w:val="single" w:sz="4" w:space="0" w:color="auto"/>
            </w:tcBorders>
            <w:shd w:val="clear" w:color="auto" w:fill="C6EFCE"/>
            <w:noWrap/>
            <w:hideMark/>
          </w:tcPr>
          <w:p w14:paraId="7901EBDF"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eastAsia="en-GB"/>
              </w:rPr>
            </w:pPr>
          </w:p>
        </w:tc>
        <w:tc>
          <w:tcPr>
            <w:tcW w:w="1134" w:type="dxa"/>
            <w:tcBorders>
              <w:top w:val="nil"/>
              <w:left w:val="nil"/>
              <w:bottom w:val="single" w:sz="4" w:space="0" w:color="auto"/>
              <w:right w:val="single" w:sz="4" w:space="0" w:color="auto"/>
            </w:tcBorders>
            <w:shd w:val="clear" w:color="auto" w:fill="C6EFCE"/>
            <w:noWrap/>
            <w:hideMark/>
          </w:tcPr>
          <w:p w14:paraId="59C2C857"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eastAsia="en-GB"/>
              </w:rPr>
            </w:pPr>
          </w:p>
        </w:tc>
        <w:tc>
          <w:tcPr>
            <w:tcW w:w="851" w:type="dxa"/>
            <w:tcBorders>
              <w:top w:val="nil"/>
              <w:left w:val="nil"/>
              <w:bottom w:val="single" w:sz="4" w:space="0" w:color="auto"/>
              <w:right w:val="single" w:sz="4" w:space="0" w:color="auto"/>
            </w:tcBorders>
            <w:shd w:val="clear" w:color="auto" w:fill="C6EFCE"/>
            <w:noWrap/>
            <w:hideMark/>
          </w:tcPr>
          <w:p w14:paraId="208C950A"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eastAsia="en-GB"/>
              </w:rPr>
            </w:pPr>
          </w:p>
        </w:tc>
        <w:tc>
          <w:tcPr>
            <w:tcW w:w="1139" w:type="dxa"/>
            <w:tcBorders>
              <w:top w:val="nil"/>
              <w:left w:val="nil"/>
              <w:bottom w:val="single" w:sz="4" w:space="0" w:color="auto"/>
              <w:right w:val="single" w:sz="4" w:space="0" w:color="auto"/>
            </w:tcBorders>
            <w:shd w:val="clear" w:color="auto" w:fill="C6EFCE"/>
            <w:noWrap/>
            <w:hideMark/>
          </w:tcPr>
          <w:p w14:paraId="4C3E5588"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Q4</w:t>
            </w:r>
          </w:p>
        </w:tc>
        <w:tc>
          <w:tcPr>
            <w:tcW w:w="851" w:type="dxa"/>
            <w:tcBorders>
              <w:top w:val="nil"/>
              <w:left w:val="nil"/>
              <w:bottom w:val="single" w:sz="4" w:space="0" w:color="auto"/>
              <w:right w:val="single" w:sz="4" w:space="0" w:color="auto"/>
            </w:tcBorders>
            <w:shd w:val="clear" w:color="auto" w:fill="C6EFCE"/>
            <w:noWrap/>
            <w:hideMark/>
          </w:tcPr>
          <w:p w14:paraId="0E642564"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2022</w:t>
            </w:r>
          </w:p>
        </w:tc>
        <w:tc>
          <w:tcPr>
            <w:tcW w:w="2835" w:type="dxa"/>
            <w:tcBorders>
              <w:top w:val="nil"/>
              <w:left w:val="nil"/>
              <w:bottom w:val="single" w:sz="4" w:space="0" w:color="auto"/>
              <w:right w:val="single" w:sz="4" w:space="0" w:color="auto"/>
            </w:tcBorders>
            <w:shd w:val="clear" w:color="auto" w:fill="C6EFCE"/>
            <w:noWrap/>
            <w:hideMark/>
          </w:tcPr>
          <w:p w14:paraId="32FB1EC8"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The Environmental Fund Administration shall sign the implementation agreements with the local authorities participating in the First Connection to Water and Sanitation Programme.</w:t>
            </w:r>
          </w:p>
        </w:tc>
      </w:tr>
      <w:tr w:rsidR="00756A50" w:rsidRPr="00CB11E3" w14:paraId="2B5C780C" w14:textId="77777777" w:rsidTr="00270B0B">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tcPr>
          <w:p w14:paraId="227E3992"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4</w:t>
            </w:r>
          </w:p>
        </w:tc>
        <w:tc>
          <w:tcPr>
            <w:tcW w:w="2126" w:type="dxa"/>
            <w:tcBorders>
              <w:top w:val="nil"/>
              <w:left w:val="nil"/>
              <w:bottom w:val="single" w:sz="4" w:space="0" w:color="auto"/>
              <w:right w:val="single" w:sz="4" w:space="0" w:color="auto"/>
            </w:tcBorders>
            <w:shd w:val="clear" w:color="auto" w:fill="C6EFCE"/>
            <w:noWrap/>
          </w:tcPr>
          <w:p w14:paraId="5F735A26"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Reform 2. Reconfiguration of ANAR’s current economic mechanism to ensure the modernisation and maintenance of the national water management system</w:t>
            </w:r>
          </w:p>
        </w:tc>
        <w:tc>
          <w:tcPr>
            <w:tcW w:w="1418" w:type="dxa"/>
            <w:tcBorders>
              <w:top w:val="nil"/>
              <w:left w:val="nil"/>
              <w:bottom w:val="single" w:sz="4" w:space="0" w:color="auto"/>
              <w:right w:val="single" w:sz="4" w:space="0" w:color="auto"/>
            </w:tcBorders>
            <w:shd w:val="clear" w:color="auto" w:fill="C6EFCE"/>
            <w:noWrap/>
          </w:tcPr>
          <w:p w14:paraId="675641EA"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Milestone</w:t>
            </w:r>
          </w:p>
        </w:tc>
        <w:tc>
          <w:tcPr>
            <w:tcW w:w="1559" w:type="dxa"/>
            <w:tcBorders>
              <w:top w:val="nil"/>
              <w:left w:val="nil"/>
              <w:bottom w:val="single" w:sz="4" w:space="0" w:color="auto"/>
              <w:right w:val="single" w:sz="4" w:space="0" w:color="auto"/>
            </w:tcBorders>
            <w:shd w:val="clear" w:color="auto" w:fill="C6EFCE"/>
            <w:noWrap/>
          </w:tcPr>
          <w:p w14:paraId="732B8D3D"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Entry into force of the law introducing amendments to regulate the new economic mechanism for water resources in Romania</w:t>
            </w:r>
          </w:p>
        </w:tc>
        <w:tc>
          <w:tcPr>
            <w:tcW w:w="1843" w:type="dxa"/>
            <w:tcBorders>
              <w:top w:val="nil"/>
              <w:left w:val="nil"/>
              <w:bottom w:val="single" w:sz="4" w:space="0" w:color="auto"/>
              <w:right w:val="single" w:sz="4" w:space="0" w:color="auto"/>
            </w:tcBorders>
            <w:shd w:val="clear" w:color="auto" w:fill="C6EFCE"/>
            <w:noWrap/>
          </w:tcPr>
          <w:p w14:paraId="68D65831"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Provision in the law indicating the entry into force of a legislative act for amendments to regulate the new economic mechanism for water resources in Romania</w:t>
            </w:r>
          </w:p>
        </w:tc>
        <w:tc>
          <w:tcPr>
            <w:tcW w:w="1338" w:type="dxa"/>
            <w:tcBorders>
              <w:top w:val="nil"/>
              <w:left w:val="nil"/>
              <w:bottom w:val="single" w:sz="4" w:space="0" w:color="auto"/>
              <w:right w:val="single" w:sz="4" w:space="0" w:color="auto"/>
            </w:tcBorders>
            <w:shd w:val="clear" w:color="auto" w:fill="C6EFCE"/>
            <w:noWrap/>
          </w:tcPr>
          <w:p w14:paraId="02023389"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 </w:t>
            </w:r>
          </w:p>
        </w:tc>
        <w:tc>
          <w:tcPr>
            <w:tcW w:w="1134" w:type="dxa"/>
            <w:tcBorders>
              <w:top w:val="nil"/>
              <w:left w:val="nil"/>
              <w:bottom w:val="single" w:sz="4" w:space="0" w:color="auto"/>
              <w:right w:val="single" w:sz="4" w:space="0" w:color="auto"/>
            </w:tcBorders>
            <w:shd w:val="clear" w:color="auto" w:fill="C6EFCE"/>
            <w:noWrap/>
          </w:tcPr>
          <w:p w14:paraId="297FB92E"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 </w:t>
            </w:r>
          </w:p>
        </w:tc>
        <w:tc>
          <w:tcPr>
            <w:tcW w:w="851" w:type="dxa"/>
            <w:tcBorders>
              <w:top w:val="nil"/>
              <w:left w:val="nil"/>
              <w:bottom w:val="single" w:sz="4" w:space="0" w:color="auto"/>
              <w:right w:val="single" w:sz="4" w:space="0" w:color="auto"/>
            </w:tcBorders>
            <w:shd w:val="clear" w:color="auto" w:fill="C6EFCE"/>
            <w:noWrap/>
          </w:tcPr>
          <w:p w14:paraId="23EFEC36"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 </w:t>
            </w:r>
          </w:p>
        </w:tc>
        <w:tc>
          <w:tcPr>
            <w:tcW w:w="1139" w:type="dxa"/>
            <w:tcBorders>
              <w:top w:val="nil"/>
              <w:left w:val="nil"/>
              <w:bottom w:val="single" w:sz="4" w:space="0" w:color="auto"/>
              <w:right w:val="single" w:sz="4" w:space="0" w:color="auto"/>
            </w:tcBorders>
            <w:shd w:val="clear" w:color="auto" w:fill="C6EFCE"/>
            <w:noWrap/>
          </w:tcPr>
          <w:p w14:paraId="46459D92"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Q1</w:t>
            </w:r>
          </w:p>
        </w:tc>
        <w:tc>
          <w:tcPr>
            <w:tcW w:w="851" w:type="dxa"/>
            <w:tcBorders>
              <w:top w:val="nil"/>
              <w:left w:val="nil"/>
              <w:bottom w:val="single" w:sz="4" w:space="0" w:color="auto"/>
              <w:right w:val="single" w:sz="4" w:space="0" w:color="auto"/>
            </w:tcBorders>
            <w:shd w:val="clear" w:color="auto" w:fill="C6EFCE"/>
            <w:noWrap/>
          </w:tcPr>
          <w:p w14:paraId="77BACE97"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2026</w:t>
            </w:r>
          </w:p>
        </w:tc>
        <w:tc>
          <w:tcPr>
            <w:tcW w:w="2835" w:type="dxa"/>
            <w:tcBorders>
              <w:top w:val="nil"/>
              <w:left w:val="nil"/>
              <w:bottom w:val="single" w:sz="4" w:space="0" w:color="auto"/>
              <w:right w:val="single" w:sz="4" w:space="0" w:color="auto"/>
            </w:tcBorders>
            <w:shd w:val="clear" w:color="auto" w:fill="C6EFCE"/>
            <w:noWrap/>
          </w:tcPr>
          <w:p w14:paraId="54946DEA" w14:textId="332CAA15" w:rsidR="00756A50" w:rsidRPr="00CB11E3" w:rsidRDefault="00756A50" w:rsidP="00270B0B">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Studies for the 11 river basins in Romania shall be</w:t>
            </w:r>
            <w:r w:rsidR="00D23D91" w:rsidRPr="00CB11E3">
              <w:rPr>
                <w:rFonts w:ascii="Times New Roman" w:hAnsi="Times New Roman" w:cs="Times New Roman"/>
                <w:noProof/>
                <w:sz w:val="20"/>
                <w:szCs w:val="20"/>
                <w:lang w:val="en-GB"/>
              </w:rPr>
              <w:t xml:space="preserve"> </w:t>
            </w:r>
            <w:r w:rsidRPr="00CB11E3">
              <w:rPr>
                <w:rFonts w:ascii="Times New Roman" w:hAnsi="Times New Roman" w:cs="Times New Roman"/>
                <w:noProof/>
                <w:sz w:val="20"/>
                <w:szCs w:val="20"/>
                <w:lang w:val="en-GB"/>
              </w:rPr>
              <w:t>made available on a website and cover: (i) the economic importance of the sustainable water management and use; (ii) trends in the evolution of the water needs and the volumes of water collected at river basin / area level; and (iii) medium and long-term macroeconomic indicators and the optimal cost recovery mechanism for the water volumes .</w:t>
            </w:r>
          </w:p>
          <w:p w14:paraId="5D499BF9" w14:textId="77777777" w:rsidR="00756A50" w:rsidRPr="00CB11E3" w:rsidRDefault="00756A50" w:rsidP="00270B0B">
            <w:pPr>
              <w:spacing w:after="0" w:line="240" w:lineRule="auto"/>
              <w:jc w:val="both"/>
              <w:rPr>
                <w:rFonts w:ascii="Times New Roman" w:hAnsi="Times New Roman" w:cs="Times New Roman"/>
                <w:noProof/>
                <w:sz w:val="20"/>
                <w:szCs w:val="20"/>
                <w:lang w:val="en-GB"/>
              </w:rPr>
            </w:pPr>
            <w:r w:rsidRPr="00CB11E3" w:rsidDel="30402B4C">
              <w:rPr>
                <w:rFonts w:ascii="Times New Roman" w:hAnsi="Times New Roman" w:cs="Times New Roman"/>
                <w:noProof/>
                <w:sz w:val="20"/>
                <w:szCs w:val="20"/>
                <w:lang w:val="en-GB"/>
              </w:rPr>
              <w:t xml:space="preserve">On the basis of the studies, </w:t>
            </w:r>
            <w:r w:rsidRPr="00CB11E3">
              <w:rPr>
                <w:rFonts w:ascii="Times New Roman" w:hAnsi="Times New Roman" w:cs="Times New Roman"/>
                <w:noProof/>
                <w:sz w:val="20"/>
                <w:szCs w:val="20"/>
                <w:lang w:val="en-GB"/>
              </w:rPr>
              <w:t xml:space="preserve">legislative amendments shall enter into force to regulate the new economic mechanism for water resources in Romania. </w:t>
            </w:r>
          </w:p>
          <w:p w14:paraId="6BF183DC" w14:textId="495118D3"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These legislative amendments shall provide for the increase of cost recovery for the water revenue system and of ANAR's own revenues.</w:t>
            </w:r>
            <w:r w:rsidR="00D23D91" w:rsidRPr="00CB11E3">
              <w:rPr>
                <w:rFonts w:ascii="Times New Roman" w:hAnsi="Times New Roman" w:cs="Times New Roman"/>
                <w:noProof/>
                <w:sz w:val="20"/>
                <w:szCs w:val="20"/>
                <w:lang w:val="en-GB"/>
              </w:rPr>
              <w:t xml:space="preserve"> </w:t>
            </w:r>
          </w:p>
        </w:tc>
      </w:tr>
      <w:tr w:rsidR="00756A50" w:rsidRPr="00CB11E3" w14:paraId="7F00D32C" w14:textId="77777777" w:rsidTr="00270B0B">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tcPr>
          <w:p w14:paraId="15763835"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eastAsia="Times New Roman" w:hAnsi="Times New Roman" w:cs="Times New Roman"/>
                <w:noProof/>
                <w:sz w:val="20"/>
                <w:szCs w:val="20"/>
                <w:lang w:val="en-GB"/>
              </w:rPr>
              <w:t>6</w:t>
            </w:r>
          </w:p>
        </w:tc>
        <w:tc>
          <w:tcPr>
            <w:tcW w:w="2126" w:type="dxa"/>
            <w:tcBorders>
              <w:top w:val="nil"/>
              <w:left w:val="single" w:sz="4" w:space="0" w:color="auto"/>
              <w:bottom w:val="single" w:sz="4" w:space="0" w:color="auto"/>
              <w:right w:val="single" w:sz="4" w:space="0" w:color="auto"/>
            </w:tcBorders>
            <w:shd w:val="clear" w:color="auto" w:fill="C6EFCE"/>
            <w:noWrap/>
          </w:tcPr>
          <w:p w14:paraId="7357068B"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Investment 1. Construction of water distribution and sewerage networks </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6CA2F2A9"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97F5F78" w14:textId="1DC7AF59" w:rsidR="00756A50" w:rsidRPr="00CB11E3" w:rsidRDefault="00756A50" w:rsidP="00270B0B">
            <w:pPr>
              <w:spacing w:after="0" w:line="240" w:lineRule="auto"/>
              <w:jc w:val="both"/>
              <w:rPr>
                <w:rFonts w:ascii="Times New Roman" w:eastAsia="Times New Roman" w:hAnsi="Times New Roman" w:cs="Times New Roman"/>
                <w:noProof/>
                <w:sz w:val="20"/>
                <w:szCs w:val="20"/>
                <w:lang w:val="en-GB" w:eastAsia="en-GB"/>
              </w:rPr>
            </w:pPr>
            <w:r w:rsidRPr="00CB11E3">
              <w:rPr>
                <w:rFonts w:ascii="Times New Roman" w:hAnsi="Times New Roman" w:cs="Times New Roman"/>
                <w:noProof/>
                <w:sz w:val="20"/>
                <w:szCs w:val="20"/>
                <w:lang w:val="en-GB"/>
              </w:rPr>
              <w:t xml:space="preserve">Constructed water distribution networks </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467E38F6"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 </w:t>
            </w:r>
          </w:p>
        </w:tc>
        <w:tc>
          <w:tcPr>
            <w:tcW w:w="1338" w:type="dxa"/>
            <w:tcBorders>
              <w:top w:val="single" w:sz="4" w:space="0" w:color="auto"/>
              <w:left w:val="single" w:sz="4" w:space="0" w:color="auto"/>
              <w:bottom w:val="single" w:sz="4" w:space="0" w:color="auto"/>
              <w:right w:val="single" w:sz="4" w:space="0" w:color="auto"/>
            </w:tcBorders>
            <w:shd w:val="clear" w:color="auto" w:fill="C6EFCE"/>
            <w:noWrap/>
          </w:tcPr>
          <w:p w14:paraId="735C224F"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Kilometres (km)</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09D34F3"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 0</w:t>
            </w:r>
          </w:p>
        </w:tc>
        <w:tc>
          <w:tcPr>
            <w:tcW w:w="851" w:type="dxa"/>
            <w:tcBorders>
              <w:top w:val="nil"/>
              <w:left w:val="single" w:sz="4" w:space="0" w:color="auto"/>
              <w:bottom w:val="single" w:sz="4" w:space="0" w:color="auto"/>
              <w:right w:val="single" w:sz="4" w:space="0" w:color="auto"/>
            </w:tcBorders>
            <w:shd w:val="clear" w:color="auto" w:fill="C6EFCE"/>
            <w:noWrap/>
          </w:tcPr>
          <w:p w14:paraId="1A0518AF"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288.3</w:t>
            </w:r>
          </w:p>
        </w:tc>
        <w:tc>
          <w:tcPr>
            <w:tcW w:w="1139" w:type="dxa"/>
            <w:tcBorders>
              <w:top w:val="nil"/>
              <w:left w:val="single" w:sz="4" w:space="0" w:color="auto"/>
              <w:bottom w:val="single" w:sz="4" w:space="0" w:color="auto"/>
              <w:right w:val="single" w:sz="4" w:space="0" w:color="auto"/>
            </w:tcBorders>
            <w:shd w:val="clear" w:color="auto" w:fill="C6EFCE"/>
            <w:noWrap/>
          </w:tcPr>
          <w:p w14:paraId="5090B336"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Q2</w:t>
            </w:r>
          </w:p>
        </w:tc>
        <w:tc>
          <w:tcPr>
            <w:tcW w:w="851" w:type="dxa"/>
            <w:tcBorders>
              <w:top w:val="nil"/>
              <w:left w:val="single" w:sz="4" w:space="0" w:color="auto"/>
              <w:bottom w:val="single" w:sz="4" w:space="0" w:color="auto"/>
              <w:right w:val="single" w:sz="4" w:space="0" w:color="auto"/>
            </w:tcBorders>
            <w:shd w:val="clear" w:color="auto" w:fill="C6EFCE"/>
            <w:noWrap/>
          </w:tcPr>
          <w:p w14:paraId="5A37FCF3"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2026 </w:t>
            </w:r>
          </w:p>
        </w:tc>
        <w:tc>
          <w:tcPr>
            <w:tcW w:w="2835" w:type="dxa"/>
            <w:tcBorders>
              <w:top w:val="single" w:sz="4" w:space="0" w:color="auto"/>
              <w:left w:val="single" w:sz="4" w:space="0" w:color="auto"/>
              <w:bottom w:val="single" w:sz="4" w:space="0" w:color="auto"/>
              <w:right w:val="single" w:sz="4" w:space="0" w:color="auto"/>
            </w:tcBorders>
            <w:shd w:val="clear" w:color="auto" w:fill="C6EFCE"/>
            <w:noWrap/>
          </w:tcPr>
          <w:p w14:paraId="30EFEA6B" w14:textId="6986F9F2" w:rsidR="00756A50" w:rsidRPr="00CB11E3" w:rsidRDefault="00756A50" w:rsidP="00270B0B">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A total of 288.3 km of water distribution networks shall be constructed.</w:t>
            </w:r>
            <w:r w:rsidR="00D23D91" w:rsidRPr="00CB11E3">
              <w:rPr>
                <w:rFonts w:ascii="Times New Roman" w:hAnsi="Times New Roman" w:cs="Times New Roman"/>
                <w:noProof/>
                <w:sz w:val="20"/>
                <w:szCs w:val="20"/>
                <w:lang w:val="en-GB"/>
              </w:rPr>
              <w:t xml:space="preserve"> </w:t>
            </w:r>
          </w:p>
        </w:tc>
      </w:tr>
      <w:tr w:rsidR="00756A50" w:rsidRPr="00CB11E3" w14:paraId="71AFE9FC" w14:textId="77777777" w:rsidTr="00270B0B">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tcPr>
          <w:p w14:paraId="5DB24A0D"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8</w:t>
            </w:r>
          </w:p>
        </w:tc>
        <w:tc>
          <w:tcPr>
            <w:tcW w:w="2126" w:type="dxa"/>
            <w:tcBorders>
              <w:top w:val="nil"/>
              <w:left w:val="single" w:sz="4" w:space="0" w:color="auto"/>
              <w:bottom w:val="single" w:sz="4" w:space="0" w:color="auto"/>
              <w:right w:val="single" w:sz="4" w:space="0" w:color="auto"/>
            </w:tcBorders>
            <w:shd w:val="clear" w:color="auto" w:fill="C6EFCE"/>
            <w:noWrap/>
          </w:tcPr>
          <w:p w14:paraId="1BCFB35C" w14:textId="12061AC8"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Investment 1. Construction of water</w:t>
            </w:r>
            <w:r w:rsidR="00D23D91" w:rsidRPr="00CB11E3">
              <w:rPr>
                <w:rFonts w:ascii="Times New Roman" w:hAnsi="Times New Roman" w:cs="Times New Roman"/>
                <w:noProof/>
                <w:sz w:val="20"/>
                <w:szCs w:val="20"/>
                <w:lang w:val="en-GB"/>
              </w:rPr>
              <w:t xml:space="preserve"> </w:t>
            </w:r>
            <w:r w:rsidRPr="00CB11E3">
              <w:rPr>
                <w:rFonts w:ascii="Times New Roman" w:hAnsi="Times New Roman" w:cs="Times New Roman"/>
                <w:noProof/>
                <w:sz w:val="20"/>
                <w:szCs w:val="20"/>
                <w:lang w:val="en-GB"/>
              </w:rPr>
              <w:t xml:space="preserve">distribution and sewerage networks </w:t>
            </w:r>
          </w:p>
        </w:tc>
        <w:tc>
          <w:tcPr>
            <w:tcW w:w="1418" w:type="dxa"/>
            <w:tcBorders>
              <w:top w:val="nil"/>
              <w:left w:val="single" w:sz="4" w:space="0" w:color="auto"/>
              <w:bottom w:val="single" w:sz="4" w:space="0" w:color="auto"/>
              <w:right w:val="single" w:sz="4" w:space="0" w:color="auto"/>
            </w:tcBorders>
            <w:shd w:val="clear" w:color="auto" w:fill="C6EFCE"/>
            <w:noWrap/>
          </w:tcPr>
          <w:p w14:paraId="0A2093B6"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Target</w:t>
            </w:r>
          </w:p>
        </w:tc>
        <w:tc>
          <w:tcPr>
            <w:tcW w:w="1559" w:type="dxa"/>
            <w:tcBorders>
              <w:top w:val="nil"/>
              <w:left w:val="single" w:sz="4" w:space="0" w:color="auto"/>
              <w:bottom w:val="single" w:sz="4" w:space="0" w:color="auto"/>
              <w:right w:val="single" w:sz="4" w:space="0" w:color="auto"/>
            </w:tcBorders>
            <w:shd w:val="clear" w:color="auto" w:fill="C6EFCE"/>
            <w:noWrap/>
          </w:tcPr>
          <w:p w14:paraId="15603165" w14:textId="109EA04C" w:rsidR="00756A50" w:rsidRPr="00CB11E3" w:rsidRDefault="00756A50" w:rsidP="00270B0B">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Constructed sewerage networks </w:t>
            </w:r>
          </w:p>
        </w:tc>
        <w:tc>
          <w:tcPr>
            <w:tcW w:w="1843" w:type="dxa"/>
            <w:tcBorders>
              <w:top w:val="nil"/>
              <w:left w:val="single" w:sz="4" w:space="0" w:color="auto"/>
              <w:bottom w:val="single" w:sz="4" w:space="0" w:color="auto"/>
              <w:right w:val="single" w:sz="4" w:space="0" w:color="auto"/>
            </w:tcBorders>
            <w:shd w:val="clear" w:color="auto" w:fill="C6EFCE"/>
            <w:noWrap/>
          </w:tcPr>
          <w:p w14:paraId="265399E1"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 </w:t>
            </w:r>
          </w:p>
        </w:tc>
        <w:tc>
          <w:tcPr>
            <w:tcW w:w="1338" w:type="dxa"/>
            <w:tcBorders>
              <w:top w:val="nil"/>
              <w:left w:val="single" w:sz="4" w:space="0" w:color="auto"/>
              <w:bottom w:val="single" w:sz="4" w:space="0" w:color="auto"/>
              <w:right w:val="single" w:sz="4" w:space="0" w:color="auto"/>
            </w:tcBorders>
            <w:shd w:val="clear" w:color="auto" w:fill="C6EFCE"/>
            <w:noWrap/>
          </w:tcPr>
          <w:p w14:paraId="70430A54"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Kilometres (km)</w:t>
            </w:r>
          </w:p>
        </w:tc>
        <w:tc>
          <w:tcPr>
            <w:tcW w:w="1134" w:type="dxa"/>
            <w:tcBorders>
              <w:top w:val="nil"/>
              <w:left w:val="single" w:sz="4" w:space="0" w:color="auto"/>
              <w:bottom w:val="single" w:sz="4" w:space="0" w:color="auto"/>
              <w:right w:val="single" w:sz="4" w:space="0" w:color="auto"/>
            </w:tcBorders>
            <w:shd w:val="clear" w:color="auto" w:fill="C6EFCE"/>
            <w:noWrap/>
          </w:tcPr>
          <w:p w14:paraId="56F01E31"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0</w:t>
            </w:r>
          </w:p>
        </w:tc>
        <w:tc>
          <w:tcPr>
            <w:tcW w:w="851" w:type="dxa"/>
            <w:tcBorders>
              <w:top w:val="nil"/>
              <w:left w:val="single" w:sz="4" w:space="0" w:color="auto"/>
              <w:bottom w:val="single" w:sz="4" w:space="0" w:color="auto"/>
              <w:right w:val="single" w:sz="4" w:space="0" w:color="auto"/>
            </w:tcBorders>
            <w:shd w:val="clear" w:color="auto" w:fill="C6EFCE"/>
            <w:noWrap/>
          </w:tcPr>
          <w:p w14:paraId="54C32A5F"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975</w:t>
            </w:r>
          </w:p>
        </w:tc>
        <w:tc>
          <w:tcPr>
            <w:tcW w:w="1139" w:type="dxa"/>
            <w:tcBorders>
              <w:top w:val="nil"/>
              <w:left w:val="single" w:sz="4" w:space="0" w:color="auto"/>
              <w:bottom w:val="single" w:sz="4" w:space="0" w:color="auto"/>
              <w:right w:val="single" w:sz="4" w:space="0" w:color="auto"/>
            </w:tcBorders>
            <w:shd w:val="clear" w:color="auto" w:fill="C6EFCE"/>
            <w:noWrap/>
          </w:tcPr>
          <w:p w14:paraId="5E3D5FEB"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Q2</w:t>
            </w:r>
          </w:p>
        </w:tc>
        <w:tc>
          <w:tcPr>
            <w:tcW w:w="851" w:type="dxa"/>
            <w:tcBorders>
              <w:top w:val="nil"/>
              <w:left w:val="single" w:sz="4" w:space="0" w:color="auto"/>
              <w:bottom w:val="single" w:sz="4" w:space="0" w:color="auto"/>
              <w:right w:val="single" w:sz="4" w:space="0" w:color="auto"/>
            </w:tcBorders>
            <w:shd w:val="clear" w:color="auto" w:fill="C6EFCE"/>
            <w:noWrap/>
          </w:tcPr>
          <w:p w14:paraId="7395994D"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2026</w:t>
            </w:r>
          </w:p>
        </w:tc>
        <w:tc>
          <w:tcPr>
            <w:tcW w:w="2835" w:type="dxa"/>
            <w:tcBorders>
              <w:top w:val="nil"/>
              <w:left w:val="single" w:sz="4" w:space="0" w:color="auto"/>
              <w:bottom w:val="single" w:sz="4" w:space="0" w:color="auto"/>
              <w:right w:val="single" w:sz="4" w:space="0" w:color="auto"/>
            </w:tcBorders>
            <w:shd w:val="clear" w:color="auto" w:fill="C6EFCE"/>
            <w:noWrap/>
          </w:tcPr>
          <w:p w14:paraId="4D27247F"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A total of 975 km of sewerage networks shall be constructed.</w:t>
            </w:r>
          </w:p>
        </w:tc>
      </w:tr>
      <w:tr w:rsidR="00756A50" w:rsidRPr="00CB11E3" w14:paraId="2621C1CA" w14:textId="77777777" w:rsidTr="00270B0B">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tcPr>
          <w:p w14:paraId="04B05E30"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10</w:t>
            </w:r>
          </w:p>
        </w:tc>
        <w:tc>
          <w:tcPr>
            <w:tcW w:w="2126" w:type="dxa"/>
            <w:tcBorders>
              <w:top w:val="nil"/>
              <w:left w:val="single" w:sz="4" w:space="0" w:color="auto"/>
              <w:bottom w:val="single" w:sz="4" w:space="0" w:color="auto"/>
              <w:right w:val="single" w:sz="4" w:space="0" w:color="auto"/>
            </w:tcBorders>
            <w:shd w:val="clear" w:color="auto" w:fill="C6EFCE"/>
            <w:noWrap/>
          </w:tcPr>
          <w:p w14:paraId="7D1A11CE" w14:textId="6FB9CA3A"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Investment 2. Collection of wastewater </w:t>
            </w:r>
          </w:p>
        </w:tc>
        <w:tc>
          <w:tcPr>
            <w:tcW w:w="1418" w:type="dxa"/>
            <w:tcBorders>
              <w:top w:val="nil"/>
              <w:left w:val="single" w:sz="4" w:space="0" w:color="auto"/>
              <w:bottom w:val="single" w:sz="4" w:space="0" w:color="auto"/>
              <w:right w:val="single" w:sz="4" w:space="0" w:color="auto"/>
            </w:tcBorders>
            <w:shd w:val="clear" w:color="auto" w:fill="C6EFCE"/>
            <w:noWrap/>
          </w:tcPr>
          <w:p w14:paraId="6C29F8C8"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Target</w:t>
            </w:r>
          </w:p>
        </w:tc>
        <w:tc>
          <w:tcPr>
            <w:tcW w:w="1559" w:type="dxa"/>
            <w:tcBorders>
              <w:top w:val="nil"/>
              <w:left w:val="single" w:sz="4" w:space="0" w:color="auto"/>
              <w:bottom w:val="single" w:sz="4" w:space="0" w:color="auto"/>
              <w:right w:val="single" w:sz="4" w:space="0" w:color="auto"/>
            </w:tcBorders>
            <w:shd w:val="clear" w:color="auto" w:fill="C6EFCE"/>
            <w:noWrap/>
          </w:tcPr>
          <w:p w14:paraId="2139EEB2"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Constructed individual or other systems </w:t>
            </w:r>
          </w:p>
        </w:tc>
        <w:tc>
          <w:tcPr>
            <w:tcW w:w="1843" w:type="dxa"/>
            <w:tcBorders>
              <w:top w:val="nil"/>
              <w:left w:val="single" w:sz="4" w:space="0" w:color="auto"/>
              <w:bottom w:val="single" w:sz="4" w:space="0" w:color="auto"/>
              <w:right w:val="single" w:sz="4" w:space="0" w:color="auto"/>
            </w:tcBorders>
            <w:shd w:val="clear" w:color="auto" w:fill="C6EFCE"/>
            <w:noWrap/>
          </w:tcPr>
          <w:p w14:paraId="4686D4A4"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 </w:t>
            </w:r>
          </w:p>
        </w:tc>
        <w:tc>
          <w:tcPr>
            <w:tcW w:w="1338" w:type="dxa"/>
            <w:tcBorders>
              <w:top w:val="nil"/>
              <w:left w:val="single" w:sz="4" w:space="0" w:color="auto"/>
              <w:bottom w:val="single" w:sz="4" w:space="0" w:color="auto"/>
              <w:right w:val="single" w:sz="4" w:space="0" w:color="auto"/>
            </w:tcBorders>
            <w:shd w:val="clear" w:color="auto" w:fill="C6EFCE"/>
            <w:noWrap/>
          </w:tcPr>
          <w:p w14:paraId="3D987756"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Number</w:t>
            </w:r>
          </w:p>
        </w:tc>
        <w:tc>
          <w:tcPr>
            <w:tcW w:w="1134" w:type="dxa"/>
            <w:tcBorders>
              <w:top w:val="nil"/>
              <w:left w:val="single" w:sz="4" w:space="0" w:color="auto"/>
              <w:bottom w:val="single" w:sz="4" w:space="0" w:color="auto"/>
              <w:right w:val="single" w:sz="4" w:space="0" w:color="auto"/>
            </w:tcBorders>
            <w:shd w:val="clear" w:color="auto" w:fill="C6EFCE"/>
            <w:noWrap/>
          </w:tcPr>
          <w:p w14:paraId="1D26FD54"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0</w:t>
            </w:r>
          </w:p>
        </w:tc>
        <w:tc>
          <w:tcPr>
            <w:tcW w:w="851" w:type="dxa"/>
            <w:tcBorders>
              <w:top w:val="nil"/>
              <w:left w:val="single" w:sz="4" w:space="0" w:color="auto"/>
              <w:bottom w:val="single" w:sz="4" w:space="0" w:color="auto"/>
              <w:right w:val="single" w:sz="4" w:space="0" w:color="auto"/>
            </w:tcBorders>
            <w:shd w:val="clear" w:color="auto" w:fill="C6EFCE"/>
            <w:noWrap/>
          </w:tcPr>
          <w:p w14:paraId="7BD1463F"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9 545 </w:t>
            </w:r>
          </w:p>
        </w:tc>
        <w:tc>
          <w:tcPr>
            <w:tcW w:w="1139" w:type="dxa"/>
            <w:tcBorders>
              <w:top w:val="nil"/>
              <w:left w:val="single" w:sz="4" w:space="0" w:color="auto"/>
              <w:bottom w:val="single" w:sz="4" w:space="0" w:color="auto"/>
              <w:right w:val="single" w:sz="4" w:space="0" w:color="auto"/>
            </w:tcBorders>
            <w:shd w:val="clear" w:color="auto" w:fill="C6EFCE"/>
            <w:noWrap/>
          </w:tcPr>
          <w:p w14:paraId="2680CAB6"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Q2</w:t>
            </w:r>
          </w:p>
        </w:tc>
        <w:tc>
          <w:tcPr>
            <w:tcW w:w="851" w:type="dxa"/>
            <w:tcBorders>
              <w:top w:val="nil"/>
              <w:left w:val="single" w:sz="4" w:space="0" w:color="auto"/>
              <w:bottom w:val="single" w:sz="4" w:space="0" w:color="auto"/>
              <w:right w:val="single" w:sz="4" w:space="0" w:color="auto"/>
            </w:tcBorders>
            <w:shd w:val="clear" w:color="auto" w:fill="C6EFCE"/>
            <w:noWrap/>
          </w:tcPr>
          <w:p w14:paraId="35ED6A48"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2026</w:t>
            </w:r>
          </w:p>
        </w:tc>
        <w:tc>
          <w:tcPr>
            <w:tcW w:w="2835" w:type="dxa"/>
            <w:tcBorders>
              <w:top w:val="nil"/>
              <w:left w:val="single" w:sz="4" w:space="0" w:color="auto"/>
              <w:bottom w:val="single" w:sz="4" w:space="0" w:color="auto"/>
              <w:right w:val="single" w:sz="4" w:space="0" w:color="auto"/>
            </w:tcBorders>
            <w:shd w:val="clear" w:color="auto" w:fill="C6EFCE"/>
            <w:noWrap/>
          </w:tcPr>
          <w:p w14:paraId="70130E8A" w14:textId="6097A7AC"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A total of 9 545</w:t>
            </w:r>
            <w:r w:rsidR="00D23D91" w:rsidRPr="00CB11E3">
              <w:rPr>
                <w:rFonts w:ascii="Times New Roman" w:hAnsi="Times New Roman" w:cs="Times New Roman"/>
                <w:noProof/>
                <w:sz w:val="20"/>
                <w:szCs w:val="20"/>
                <w:lang w:val="en-GB"/>
              </w:rPr>
              <w:t xml:space="preserve"> </w:t>
            </w:r>
            <w:r w:rsidRPr="00CB11E3">
              <w:rPr>
                <w:rFonts w:ascii="Times New Roman" w:hAnsi="Times New Roman" w:cs="Times New Roman"/>
                <w:noProof/>
                <w:sz w:val="20"/>
                <w:szCs w:val="20"/>
                <w:lang w:val="en-GB"/>
              </w:rPr>
              <w:t xml:space="preserve">individual or other systems shall be constructed. </w:t>
            </w:r>
          </w:p>
        </w:tc>
      </w:tr>
      <w:tr w:rsidR="00756A50" w:rsidRPr="00CB11E3" w14:paraId="595FCDC5" w14:textId="77777777" w:rsidTr="00270B0B">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tcPr>
          <w:p w14:paraId="78142D62"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12</w:t>
            </w:r>
          </w:p>
        </w:tc>
        <w:tc>
          <w:tcPr>
            <w:tcW w:w="2126" w:type="dxa"/>
            <w:tcBorders>
              <w:top w:val="nil"/>
              <w:left w:val="single" w:sz="4" w:space="0" w:color="auto"/>
              <w:bottom w:val="single" w:sz="4" w:space="0" w:color="auto"/>
              <w:right w:val="single" w:sz="4" w:space="0" w:color="auto"/>
            </w:tcBorders>
            <w:shd w:val="clear" w:color="auto" w:fill="C6EFCE"/>
            <w:noWrap/>
          </w:tcPr>
          <w:p w14:paraId="391E01FC" w14:textId="458FFB38"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Investment 2. Collection of wastewater </w:t>
            </w:r>
          </w:p>
        </w:tc>
        <w:tc>
          <w:tcPr>
            <w:tcW w:w="1418" w:type="dxa"/>
            <w:tcBorders>
              <w:top w:val="nil"/>
              <w:left w:val="single" w:sz="4" w:space="0" w:color="auto"/>
              <w:bottom w:val="single" w:sz="4" w:space="0" w:color="auto"/>
              <w:right w:val="single" w:sz="4" w:space="0" w:color="auto"/>
            </w:tcBorders>
            <w:shd w:val="clear" w:color="auto" w:fill="C6EFCE"/>
            <w:noWrap/>
          </w:tcPr>
          <w:p w14:paraId="4F3F0447"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Target</w:t>
            </w:r>
          </w:p>
        </w:tc>
        <w:tc>
          <w:tcPr>
            <w:tcW w:w="1559" w:type="dxa"/>
            <w:tcBorders>
              <w:top w:val="nil"/>
              <w:left w:val="single" w:sz="4" w:space="0" w:color="auto"/>
              <w:bottom w:val="single" w:sz="4" w:space="0" w:color="auto"/>
              <w:right w:val="single" w:sz="4" w:space="0" w:color="auto"/>
            </w:tcBorders>
            <w:shd w:val="clear" w:color="auto" w:fill="C6EFCE"/>
            <w:noWrap/>
          </w:tcPr>
          <w:p w14:paraId="3F93E891"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Constructed sewerage networks </w:t>
            </w:r>
          </w:p>
        </w:tc>
        <w:tc>
          <w:tcPr>
            <w:tcW w:w="1843" w:type="dxa"/>
            <w:tcBorders>
              <w:top w:val="nil"/>
              <w:left w:val="single" w:sz="4" w:space="0" w:color="auto"/>
              <w:bottom w:val="single" w:sz="4" w:space="0" w:color="auto"/>
              <w:right w:val="single" w:sz="4" w:space="0" w:color="auto"/>
            </w:tcBorders>
            <w:shd w:val="clear" w:color="auto" w:fill="C6EFCE"/>
            <w:noWrap/>
          </w:tcPr>
          <w:p w14:paraId="284DD52C"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 </w:t>
            </w:r>
          </w:p>
        </w:tc>
        <w:tc>
          <w:tcPr>
            <w:tcW w:w="1338" w:type="dxa"/>
            <w:tcBorders>
              <w:top w:val="nil"/>
              <w:left w:val="single" w:sz="4" w:space="0" w:color="auto"/>
              <w:bottom w:val="single" w:sz="4" w:space="0" w:color="auto"/>
              <w:right w:val="single" w:sz="4" w:space="0" w:color="auto"/>
            </w:tcBorders>
            <w:shd w:val="clear" w:color="auto" w:fill="C6EFCE"/>
            <w:noWrap/>
          </w:tcPr>
          <w:p w14:paraId="4CF7D24C"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Kilometres (km)</w:t>
            </w:r>
          </w:p>
        </w:tc>
        <w:tc>
          <w:tcPr>
            <w:tcW w:w="1134" w:type="dxa"/>
            <w:tcBorders>
              <w:top w:val="nil"/>
              <w:left w:val="single" w:sz="4" w:space="0" w:color="auto"/>
              <w:bottom w:val="single" w:sz="4" w:space="0" w:color="auto"/>
              <w:right w:val="single" w:sz="4" w:space="0" w:color="auto"/>
            </w:tcBorders>
            <w:shd w:val="clear" w:color="auto" w:fill="C6EFCE"/>
            <w:noWrap/>
          </w:tcPr>
          <w:p w14:paraId="5A4B9B3A"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0</w:t>
            </w:r>
          </w:p>
        </w:tc>
        <w:tc>
          <w:tcPr>
            <w:tcW w:w="851" w:type="dxa"/>
            <w:tcBorders>
              <w:top w:val="nil"/>
              <w:left w:val="single" w:sz="4" w:space="0" w:color="auto"/>
              <w:bottom w:val="single" w:sz="4" w:space="0" w:color="auto"/>
              <w:right w:val="single" w:sz="4" w:space="0" w:color="auto"/>
            </w:tcBorders>
            <w:shd w:val="clear" w:color="auto" w:fill="C6EFCE"/>
            <w:noWrap/>
          </w:tcPr>
          <w:p w14:paraId="218EF64F"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88.7</w:t>
            </w:r>
          </w:p>
        </w:tc>
        <w:tc>
          <w:tcPr>
            <w:tcW w:w="1139" w:type="dxa"/>
            <w:tcBorders>
              <w:top w:val="nil"/>
              <w:left w:val="single" w:sz="4" w:space="0" w:color="auto"/>
              <w:bottom w:val="single" w:sz="4" w:space="0" w:color="auto"/>
              <w:right w:val="single" w:sz="4" w:space="0" w:color="auto"/>
            </w:tcBorders>
            <w:shd w:val="clear" w:color="auto" w:fill="C6EFCE"/>
            <w:noWrap/>
          </w:tcPr>
          <w:p w14:paraId="048C004E"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Q2</w:t>
            </w:r>
          </w:p>
        </w:tc>
        <w:tc>
          <w:tcPr>
            <w:tcW w:w="851" w:type="dxa"/>
            <w:tcBorders>
              <w:top w:val="nil"/>
              <w:left w:val="single" w:sz="4" w:space="0" w:color="auto"/>
              <w:bottom w:val="single" w:sz="4" w:space="0" w:color="auto"/>
              <w:right w:val="single" w:sz="4" w:space="0" w:color="auto"/>
            </w:tcBorders>
            <w:shd w:val="clear" w:color="auto" w:fill="C6EFCE"/>
            <w:noWrap/>
          </w:tcPr>
          <w:p w14:paraId="09F46E61"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2026</w:t>
            </w:r>
          </w:p>
        </w:tc>
        <w:tc>
          <w:tcPr>
            <w:tcW w:w="2835" w:type="dxa"/>
            <w:tcBorders>
              <w:top w:val="nil"/>
              <w:left w:val="single" w:sz="4" w:space="0" w:color="auto"/>
              <w:bottom w:val="single" w:sz="4" w:space="0" w:color="auto"/>
              <w:right w:val="single" w:sz="4" w:space="0" w:color="auto"/>
            </w:tcBorders>
            <w:shd w:val="clear" w:color="auto" w:fill="C6EFCE"/>
            <w:noWrap/>
          </w:tcPr>
          <w:p w14:paraId="013B4201" w14:textId="1CF62188"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A total of 88.7 km</w:t>
            </w:r>
            <w:r w:rsidR="00D23D91" w:rsidRPr="00CB11E3">
              <w:rPr>
                <w:rFonts w:ascii="Times New Roman" w:hAnsi="Times New Roman" w:cs="Times New Roman"/>
                <w:noProof/>
                <w:sz w:val="20"/>
                <w:szCs w:val="20"/>
                <w:lang w:val="en-GB"/>
              </w:rPr>
              <w:t xml:space="preserve"> </w:t>
            </w:r>
            <w:r w:rsidRPr="00CB11E3">
              <w:rPr>
                <w:rFonts w:ascii="Times New Roman" w:hAnsi="Times New Roman" w:cs="Times New Roman"/>
                <w:noProof/>
                <w:sz w:val="20"/>
                <w:szCs w:val="20"/>
                <w:lang w:val="en-GB"/>
              </w:rPr>
              <w:t xml:space="preserve">of sewerage networks shall be constructed. </w:t>
            </w:r>
          </w:p>
        </w:tc>
      </w:tr>
      <w:tr w:rsidR="00756A50" w:rsidRPr="00CB11E3" w14:paraId="6FD58F6E" w14:textId="77777777" w:rsidTr="00270B0B">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tcPr>
          <w:p w14:paraId="4B65DB41"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17</w:t>
            </w:r>
          </w:p>
        </w:tc>
        <w:tc>
          <w:tcPr>
            <w:tcW w:w="2126" w:type="dxa"/>
            <w:tcBorders>
              <w:top w:val="nil"/>
              <w:left w:val="single" w:sz="4" w:space="0" w:color="auto"/>
              <w:bottom w:val="single" w:sz="4" w:space="0" w:color="auto"/>
              <w:right w:val="single" w:sz="4" w:space="0" w:color="auto"/>
            </w:tcBorders>
            <w:shd w:val="clear" w:color="auto" w:fill="C6EFCE"/>
            <w:noWrap/>
          </w:tcPr>
          <w:p w14:paraId="1D992601"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Investment 4. Rehabilitation of existing accumulations that require emergency interventions for safe operation </w:t>
            </w:r>
          </w:p>
        </w:tc>
        <w:tc>
          <w:tcPr>
            <w:tcW w:w="1418" w:type="dxa"/>
            <w:tcBorders>
              <w:top w:val="nil"/>
              <w:left w:val="single" w:sz="4" w:space="0" w:color="auto"/>
              <w:bottom w:val="single" w:sz="4" w:space="0" w:color="auto"/>
              <w:right w:val="single" w:sz="4" w:space="0" w:color="auto"/>
            </w:tcBorders>
            <w:shd w:val="clear" w:color="auto" w:fill="C6EFCE"/>
            <w:noWrap/>
          </w:tcPr>
          <w:p w14:paraId="1753C297"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Target</w:t>
            </w:r>
          </w:p>
        </w:tc>
        <w:tc>
          <w:tcPr>
            <w:tcW w:w="1559" w:type="dxa"/>
            <w:tcBorders>
              <w:top w:val="nil"/>
              <w:left w:val="single" w:sz="4" w:space="0" w:color="auto"/>
              <w:bottom w:val="single" w:sz="4" w:space="0" w:color="auto"/>
              <w:right w:val="single" w:sz="4" w:space="0" w:color="auto"/>
            </w:tcBorders>
            <w:shd w:val="clear" w:color="auto" w:fill="C6EFCE"/>
            <w:noWrap/>
          </w:tcPr>
          <w:p w14:paraId="035CE69D" w14:textId="77777777" w:rsidR="00756A50" w:rsidRPr="00CB11E3" w:rsidRDefault="00756A50" w:rsidP="00270B0B">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Existing dam and polder rehabilitated </w:t>
            </w:r>
          </w:p>
          <w:p w14:paraId="1E07BAA7" w14:textId="77777777" w:rsidR="00756A50" w:rsidRPr="00CB11E3" w:rsidRDefault="00756A50" w:rsidP="00270B0B">
            <w:pPr>
              <w:spacing w:after="0" w:line="240" w:lineRule="auto"/>
              <w:jc w:val="both"/>
              <w:rPr>
                <w:rFonts w:ascii="Times New Roman" w:hAnsi="Times New Roman" w:cs="Times New Roman"/>
                <w:noProof/>
                <w:sz w:val="20"/>
                <w:szCs w:val="20"/>
                <w:lang w:val="en-GB"/>
              </w:rPr>
            </w:pPr>
          </w:p>
          <w:p w14:paraId="29905330"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eastAsia="en-GB"/>
              </w:rPr>
            </w:pPr>
          </w:p>
        </w:tc>
        <w:tc>
          <w:tcPr>
            <w:tcW w:w="1843" w:type="dxa"/>
            <w:tcBorders>
              <w:top w:val="nil"/>
              <w:left w:val="single" w:sz="4" w:space="0" w:color="auto"/>
              <w:bottom w:val="single" w:sz="4" w:space="0" w:color="auto"/>
              <w:right w:val="single" w:sz="4" w:space="0" w:color="auto"/>
            </w:tcBorders>
            <w:shd w:val="clear" w:color="auto" w:fill="C6EFCE"/>
            <w:noWrap/>
          </w:tcPr>
          <w:p w14:paraId="20D42CF5"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 </w:t>
            </w:r>
          </w:p>
        </w:tc>
        <w:tc>
          <w:tcPr>
            <w:tcW w:w="1338" w:type="dxa"/>
            <w:tcBorders>
              <w:top w:val="nil"/>
              <w:left w:val="single" w:sz="4" w:space="0" w:color="auto"/>
              <w:bottom w:val="single" w:sz="4" w:space="0" w:color="auto"/>
              <w:right w:val="single" w:sz="4" w:space="0" w:color="auto"/>
            </w:tcBorders>
            <w:shd w:val="clear" w:color="auto" w:fill="C6EFCE"/>
            <w:noWrap/>
          </w:tcPr>
          <w:p w14:paraId="06CD88A7"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Number</w:t>
            </w:r>
          </w:p>
        </w:tc>
        <w:tc>
          <w:tcPr>
            <w:tcW w:w="1134" w:type="dxa"/>
            <w:tcBorders>
              <w:top w:val="nil"/>
              <w:left w:val="single" w:sz="4" w:space="0" w:color="auto"/>
              <w:bottom w:val="single" w:sz="4" w:space="0" w:color="auto"/>
              <w:right w:val="single" w:sz="4" w:space="0" w:color="auto"/>
            </w:tcBorders>
            <w:shd w:val="clear" w:color="auto" w:fill="C6EFCE"/>
            <w:noWrap/>
          </w:tcPr>
          <w:p w14:paraId="16001363"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0</w:t>
            </w:r>
          </w:p>
        </w:tc>
        <w:tc>
          <w:tcPr>
            <w:tcW w:w="851" w:type="dxa"/>
            <w:tcBorders>
              <w:top w:val="nil"/>
              <w:left w:val="single" w:sz="4" w:space="0" w:color="auto"/>
              <w:bottom w:val="single" w:sz="4" w:space="0" w:color="auto"/>
              <w:right w:val="single" w:sz="4" w:space="0" w:color="auto"/>
            </w:tcBorders>
            <w:shd w:val="clear" w:color="auto" w:fill="C6EFCE"/>
            <w:noWrap/>
          </w:tcPr>
          <w:p w14:paraId="1BF47098"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w:t>
            </w:r>
          </w:p>
        </w:tc>
        <w:tc>
          <w:tcPr>
            <w:tcW w:w="1139" w:type="dxa"/>
            <w:tcBorders>
              <w:top w:val="nil"/>
              <w:left w:val="single" w:sz="4" w:space="0" w:color="auto"/>
              <w:bottom w:val="single" w:sz="4" w:space="0" w:color="auto"/>
              <w:right w:val="single" w:sz="4" w:space="0" w:color="auto"/>
            </w:tcBorders>
            <w:shd w:val="clear" w:color="auto" w:fill="C6EFCE"/>
            <w:noWrap/>
          </w:tcPr>
          <w:p w14:paraId="0B903078"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Q2</w:t>
            </w:r>
          </w:p>
        </w:tc>
        <w:tc>
          <w:tcPr>
            <w:tcW w:w="851" w:type="dxa"/>
            <w:tcBorders>
              <w:top w:val="nil"/>
              <w:left w:val="single" w:sz="4" w:space="0" w:color="auto"/>
              <w:bottom w:val="single" w:sz="4" w:space="0" w:color="auto"/>
              <w:right w:val="single" w:sz="4" w:space="0" w:color="auto"/>
            </w:tcBorders>
            <w:shd w:val="clear" w:color="auto" w:fill="C6EFCE"/>
            <w:noWrap/>
          </w:tcPr>
          <w:p w14:paraId="35A01661"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2026</w:t>
            </w:r>
          </w:p>
        </w:tc>
        <w:tc>
          <w:tcPr>
            <w:tcW w:w="2835" w:type="dxa"/>
            <w:tcBorders>
              <w:top w:val="nil"/>
              <w:left w:val="single" w:sz="4" w:space="0" w:color="auto"/>
              <w:bottom w:val="single" w:sz="4" w:space="0" w:color="auto"/>
              <w:right w:val="single" w:sz="4" w:space="0" w:color="auto"/>
            </w:tcBorders>
            <w:shd w:val="clear" w:color="auto" w:fill="C6EFCE"/>
            <w:noWrap/>
          </w:tcPr>
          <w:p w14:paraId="59875636" w14:textId="71BC5D4A" w:rsidR="00756A50" w:rsidRPr="00CB11E3" w:rsidRDefault="00756A50" w:rsidP="00270B0B">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1 existing dam – LESU, for which</w:t>
            </w:r>
            <w:r w:rsidR="00D23D91" w:rsidRPr="00CB11E3">
              <w:rPr>
                <w:rFonts w:ascii="Times New Roman" w:hAnsi="Times New Roman" w:cs="Times New Roman"/>
                <w:noProof/>
                <w:sz w:val="20"/>
                <w:szCs w:val="20"/>
                <w:lang w:val="en-GB"/>
              </w:rPr>
              <w:t xml:space="preserve"> </w:t>
            </w:r>
            <w:r w:rsidRPr="00CB11E3">
              <w:rPr>
                <w:rFonts w:ascii="Times New Roman" w:hAnsi="Times New Roman" w:cs="Times New Roman"/>
                <w:noProof/>
                <w:sz w:val="20"/>
                <w:szCs w:val="20"/>
                <w:lang w:val="en-GB"/>
              </w:rPr>
              <w:t xml:space="preserve">the Documentation for the Approval of Intervention Works concluded that there are no feasible alternatives to reduce flood risks and the project complies with DNSH requirements, shall be rehabilitated. </w:t>
            </w:r>
          </w:p>
          <w:p w14:paraId="380340B1"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Additionally, 1 polder – SALARD shall be rehabilitated. </w:t>
            </w:r>
          </w:p>
        </w:tc>
      </w:tr>
      <w:tr w:rsidR="00756A50" w:rsidRPr="00CB11E3" w14:paraId="5B8BCD32" w14:textId="77777777" w:rsidTr="00270B0B">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tcPr>
          <w:p w14:paraId="6EEC5396"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18</w:t>
            </w:r>
          </w:p>
        </w:tc>
        <w:tc>
          <w:tcPr>
            <w:tcW w:w="2126" w:type="dxa"/>
            <w:tcBorders>
              <w:top w:val="nil"/>
              <w:left w:val="single" w:sz="4" w:space="0" w:color="auto"/>
              <w:bottom w:val="single" w:sz="4" w:space="0" w:color="auto"/>
              <w:right w:val="single" w:sz="4" w:space="0" w:color="auto"/>
            </w:tcBorders>
            <w:shd w:val="clear" w:color="auto" w:fill="C6EFCE"/>
            <w:noWrap/>
          </w:tcPr>
          <w:p w14:paraId="7B4F9F98"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Investment 5. Appropriate endowment of river basin administrations for flood monitoring, prevention and emergency response </w:t>
            </w:r>
          </w:p>
        </w:tc>
        <w:tc>
          <w:tcPr>
            <w:tcW w:w="1418" w:type="dxa"/>
            <w:tcBorders>
              <w:top w:val="nil"/>
              <w:left w:val="single" w:sz="4" w:space="0" w:color="auto"/>
              <w:bottom w:val="single" w:sz="4" w:space="0" w:color="auto"/>
              <w:right w:val="single" w:sz="4" w:space="0" w:color="auto"/>
            </w:tcBorders>
            <w:shd w:val="clear" w:color="auto" w:fill="C6EFCE"/>
            <w:noWrap/>
          </w:tcPr>
          <w:p w14:paraId="38AA7F08"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Target</w:t>
            </w:r>
          </w:p>
        </w:tc>
        <w:tc>
          <w:tcPr>
            <w:tcW w:w="1559" w:type="dxa"/>
            <w:tcBorders>
              <w:top w:val="nil"/>
              <w:left w:val="single" w:sz="4" w:space="0" w:color="auto"/>
              <w:bottom w:val="single" w:sz="4" w:space="0" w:color="auto"/>
              <w:right w:val="single" w:sz="4" w:space="0" w:color="auto"/>
            </w:tcBorders>
            <w:shd w:val="clear" w:color="auto" w:fill="C6EFCE"/>
            <w:noWrap/>
          </w:tcPr>
          <w:p w14:paraId="7FD836A3"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River Basin Administrations equipped</w:t>
            </w:r>
          </w:p>
        </w:tc>
        <w:tc>
          <w:tcPr>
            <w:tcW w:w="1843" w:type="dxa"/>
            <w:tcBorders>
              <w:top w:val="nil"/>
              <w:left w:val="single" w:sz="4" w:space="0" w:color="auto"/>
              <w:bottom w:val="single" w:sz="4" w:space="0" w:color="auto"/>
              <w:right w:val="single" w:sz="4" w:space="0" w:color="auto"/>
            </w:tcBorders>
            <w:shd w:val="clear" w:color="auto" w:fill="C6EFCE"/>
            <w:noWrap/>
          </w:tcPr>
          <w:p w14:paraId="24B4F82A"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 </w:t>
            </w:r>
          </w:p>
        </w:tc>
        <w:tc>
          <w:tcPr>
            <w:tcW w:w="1338" w:type="dxa"/>
            <w:tcBorders>
              <w:top w:val="nil"/>
              <w:left w:val="single" w:sz="4" w:space="0" w:color="auto"/>
              <w:bottom w:val="single" w:sz="4" w:space="0" w:color="auto"/>
              <w:right w:val="single" w:sz="4" w:space="0" w:color="auto"/>
            </w:tcBorders>
            <w:shd w:val="clear" w:color="auto" w:fill="C6EFCE"/>
            <w:noWrap/>
          </w:tcPr>
          <w:p w14:paraId="4DA11AEE"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Number</w:t>
            </w:r>
          </w:p>
        </w:tc>
        <w:tc>
          <w:tcPr>
            <w:tcW w:w="1134" w:type="dxa"/>
            <w:tcBorders>
              <w:top w:val="nil"/>
              <w:left w:val="single" w:sz="4" w:space="0" w:color="auto"/>
              <w:bottom w:val="single" w:sz="4" w:space="0" w:color="auto"/>
              <w:right w:val="single" w:sz="4" w:space="0" w:color="auto"/>
            </w:tcBorders>
            <w:shd w:val="clear" w:color="auto" w:fill="C6EFCE"/>
            <w:noWrap/>
          </w:tcPr>
          <w:p w14:paraId="3892F4BA"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0</w:t>
            </w:r>
          </w:p>
        </w:tc>
        <w:tc>
          <w:tcPr>
            <w:tcW w:w="851" w:type="dxa"/>
            <w:tcBorders>
              <w:top w:val="nil"/>
              <w:left w:val="single" w:sz="4" w:space="0" w:color="auto"/>
              <w:bottom w:val="single" w:sz="4" w:space="0" w:color="auto"/>
              <w:right w:val="single" w:sz="4" w:space="0" w:color="auto"/>
            </w:tcBorders>
            <w:shd w:val="clear" w:color="auto" w:fill="C6EFCE"/>
            <w:noWrap/>
          </w:tcPr>
          <w:p w14:paraId="78C35C5B"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11</w:t>
            </w:r>
          </w:p>
        </w:tc>
        <w:tc>
          <w:tcPr>
            <w:tcW w:w="1139" w:type="dxa"/>
            <w:tcBorders>
              <w:top w:val="nil"/>
              <w:left w:val="single" w:sz="4" w:space="0" w:color="auto"/>
              <w:bottom w:val="single" w:sz="4" w:space="0" w:color="auto"/>
              <w:right w:val="single" w:sz="4" w:space="0" w:color="auto"/>
            </w:tcBorders>
            <w:shd w:val="clear" w:color="auto" w:fill="C6EFCE"/>
            <w:noWrap/>
          </w:tcPr>
          <w:p w14:paraId="79BB18A0"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Q2</w:t>
            </w:r>
          </w:p>
        </w:tc>
        <w:tc>
          <w:tcPr>
            <w:tcW w:w="851" w:type="dxa"/>
            <w:tcBorders>
              <w:top w:val="nil"/>
              <w:left w:val="single" w:sz="4" w:space="0" w:color="auto"/>
              <w:bottom w:val="single" w:sz="4" w:space="0" w:color="auto"/>
              <w:right w:val="single" w:sz="4" w:space="0" w:color="auto"/>
            </w:tcBorders>
            <w:shd w:val="clear" w:color="auto" w:fill="C6EFCE"/>
            <w:noWrap/>
          </w:tcPr>
          <w:p w14:paraId="19AC9ED9"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2026</w:t>
            </w:r>
          </w:p>
        </w:tc>
        <w:tc>
          <w:tcPr>
            <w:tcW w:w="2835" w:type="dxa"/>
            <w:tcBorders>
              <w:top w:val="nil"/>
              <w:left w:val="single" w:sz="4" w:space="0" w:color="auto"/>
              <w:bottom w:val="single" w:sz="4" w:space="0" w:color="auto"/>
              <w:right w:val="single" w:sz="4" w:space="0" w:color="auto"/>
            </w:tcBorders>
            <w:shd w:val="clear" w:color="auto" w:fill="C6EFCE"/>
            <w:noWrap/>
          </w:tcPr>
          <w:p w14:paraId="0E56B3E4" w14:textId="77777777" w:rsidR="00756A50" w:rsidRPr="00CB11E3" w:rsidRDefault="00756A50" w:rsidP="00270B0B">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The purchase of the following equipment for 11 </w:t>
            </w:r>
            <w:r w:rsidRPr="00CB11E3">
              <w:rPr>
                <w:rFonts w:ascii="Times New Roman" w:hAnsi="Times New Roman" w:cs="Times New Roman"/>
                <w:noProof/>
                <w:sz w:val="20"/>
                <w:szCs w:val="20"/>
              </w:rPr>
              <w:t>River Basin Administrations</w:t>
            </w:r>
            <w:r w:rsidRPr="00CB11E3">
              <w:rPr>
                <w:rFonts w:ascii="Times New Roman" w:hAnsi="Times New Roman" w:cs="Times New Roman"/>
                <w:noProof/>
                <w:sz w:val="20"/>
                <w:szCs w:val="20"/>
                <w:lang w:val="en-GB"/>
              </w:rPr>
              <w:t xml:space="preserve"> which may include, but is not limited to:</w:t>
            </w:r>
          </w:p>
          <w:p w14:paraId="2F3FE920" w14:textId="3680FE95" w:rsidR="00756A50" w:rsidRPr="00CB11E3" w:rsidRDefault="00756A50" w:rsidP="00270B0B">
            <w:pPr>
              <w:spacing w:after="0" w:line="240" w:lineRule="auto"/>
              <w:jc w:val="both"/>
              <w:rPr>
                <w:rFonts w:ascii="Times New Roman" w:hAnsi="Times New Roman" w:cs="Times New Roman"/>
                <w:noProof/>
                <w:sz w:val="20"/>
                <w:szCs w:val="20"/>
                <w:lang w:val="en-GB"/>
              </w:rPr>
            </w:pPr>
            <w:r w:rsidRPr="45DE955F">
              <w:rPr>
                <w:rFonts w:ascii="Times New Roman" w:hAnsi="Times New Roman" w:cs="Times New Roman"/>
                <w:noProof/>
                <w:sz w:val="20"/>
                <w:szCs w:val="20"/>
                <w:lang w:val="en-GB"/>
              </w:rPr>
              <w:t>-machinery for rough terrain access and intervention, amphibious access and transport of mobile sandbags in hard-to-reach areas. In order to ensure that the measure complies with the D</w:t>
            </w:r>
            <w:r w:rsidR="078879D0" w:rsidRPr="45DE955F">
              <w:rPr>
                <w:rFonts w:ascii="Times New Roman" w:hAnsi="Times New Roman" w:cs="Times New Roman"/>
                <w:noProof/>
                <w:sz w:val="20"/>
                <w:szCs w:val="20"/>
                <w:lang w:val="en-GB"/>
              </w:rPr>
              <w:t>N</w:t>
            </w:r>
            <w:r w:rsidRPr="45DE955F">
              <w:rPr>
                <w:rFonts w:ascii="Times New Roman" w:hAnsi="Times New Roman" w:cs="Times New Roman"/>
                <w:noProof/>
                <w:sz w:val="20"/>
                <w:szCs w:val="20"/>
                <w:lang w:val="en-GB"/>
              </w:rPr>
              <w:t>SH Technical Guidance (2021/C58/01), the machinery purchased under this measure shall be the best</w:t>
            </w:r>
            <w:r w:rsidR="689A42BB" w:rsidRPr="45DE955F">
              <w:rPr>
                <w:rFonts w:ascii="Times New Roman" w:hAnsi="Times New Roman" w:cs="Times New Roman"/>
                <w:noProof/>
                <w:sz w:val="20"/>
                <w:szCs w:val="20"/>
                <w:lang w:val="en-GB"/>
              </w:rPr>
              <w:t xml:space="preserve"> </w:t>
            </w:r>
            <w:r w:rsidRPr="45DE955F">
              <w:rPr>
                <w:rFonts w:ascii="Times New Roman" w:hAnsi="Times New Roman" w:cs="Times New Roman"/>
                <w:noProof/>
                <w:sz w:val="20"/>
                <w:szCs w:val="20"/>
                <w:lang w:val="en-GB"/>
              </w:rPr>
              <w:t>available</w:t>
            </w:r>
            <w:r w:rsidR="41469CFE" w:rsidRPr="45DE955F">
              <w:rPr>
                <w:rFonts w:ascii="Times New Roman" w:hAnsi="Times New Roman" w:cs="Times New Roman"/>
                <w:noProof/>
                <w:sz w:val="20"/>
                <w:szCs w:val="20"/>
                <w:lang w:val="en-GB"/>
              </w:rPr>
              <w:t xml:space="preserve"> </w:t>
            </w:r>
            <w:r w:rsidRPr="45DE955F">
              <w:rPr>
                <w:rFonts w:ascii="Times New Roman" w:hAnsi="Times New Roman" w:cs="Times New Roman"/>
                <w:noProof/>
                <w:sz w:val="20"/>
                <w:szCs w:val="20"/>
                <w:lang w:val="en-GB"/>
              </w:rPr>
              <w:t>technology from an environmental point of view;</w:t>
            </w:r>
          </w:p>
          <w:p w14:paraId="41DF4C6A" w14:textId="77777777" w:rsidR="00756A50" w:rsidRPr="00CB11E3" w:rsidRDefault="00756A50" w:rsidP="00270B0B">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-drones equipped with LIDAR/Flir/photogrammetry sensors; </w:t>
            </w:r>
          </w:p>
          <w:p w14:paraId="2E83458B" w14:textId="77777777" w:rsidR="00756A50" w:rsidRPr="00CB11E3" w:rsidRDefault="00756A50" w:rsidP="00270B0B">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-geo-electro resistive/geo radar technologies of dyke bodies;</w:t>
            </w:r>
          </w:p>
          <w:p w14:paraId="7D0FA076"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-hardware and software infrastructure for data analysis and data storage collected by the above-mentioned equipment. </w:t>
            </w:r>
          </w:p>
        </w:tc>
      </w:tr>
    </w:tbl>
    <w:p w14:paraId="1D4BDA99" w14:textId="77777777" w:rsidR="00756A50" w:rsidRPr="00291374" w:rsidRDefault="00756A50" w:rsidP="00756A50">
      <w:pPr>
        <w:rPr>
          <w:rFonts w:ascii="Times New Roman" w:hAnsi="Times New Roman" w:cs="Times New Roman"/>
          <w:noProof/>
          <w:lang w:val="en-GB"/>
        </w:rPr>
        <w:sectPr w:rsidR="00756A50" w:rsidRPr="00291374" w:rsidSect="00756A50">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1ED94B8A" w14:textId="77777777" w:rsidR="005E1674" w:rsidRPr="00291374" w:rsidRDefault="005E1674" w:rsidP="005E1674">
      <w:pPr>
        <w:keepNext/>
        <w:numPr>
          <w:ilvl w:val="0"/>
          <w:numId w:val="1"/>
        </w:numPr>
        <w:tabs>
          <w:tab w:val="left" w:pos="850"/>
        </w:tabs>
        <w:spacing w:before="360" w:after="120" w:line="240" w:lineRule="auto"/>
        <w:jc w:val="both"/>
        <w:outlineLvl w:val="0"/>
        <w:rPr>
          <w:rFonts w:ascii="Times New Roman" w:hAnsi="Times New Roman" w:cs="Times New Roman"/>
          <w:b/>
          <w:bCs/>
          <w:smallCaps/>
          <w:noProof/>
          <w:lang w:val="en-GB"/>
        </w:rPr>
      </w:pPr>
      <w:r w:rsidRPr="00291374">
        <w:rPr>
          <w:rFonts w:ascii="Times New Roman" w:hAnsi="Times New Roman" w:cs="Times New Roman"/>
          <w:b/>
          <w:smallCaps/>
          <w:noProof/>
          <w:lang w:val="en-GB"/>
        </w:rPr>
        <w:t>COMPONENT 2: Forests and biodiversity protection</w:t>
      </w:r>
    </w:p>
    <w:p w14:paraId="1133ABC7" w14:textId="77777777" w:rsidR="005E1674" w:rsidRPr="00291374" w:rsidRDefault="005E1674" w:rsidP="005E1674">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the component is to harmonise national forest management practices with those on preserving biodiversity and protecting the environment and ensuring a transition to a climate-neutral Europe by creating new areas covered by forests and restoring degraded habitats. </w:t>
      </w:r>
    </w:p>
    <w:p w14:paraId="06519F14" w14:textId="77777777" w:rsidR="005E1674" w:rsidRPr="00291374" w:rsidRDefault="005E1674" w:rsidP="005E1674">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component is comprised of two reforms and five investments. </w:t>
      </w:r>
    </w:p>
    <w:p w14:paraId="04507512" w14:textId="77777777" w:rsidR="005E1674" w:rsidRPr="00291374" w:rsidRDefault="005E1674" w:rsidP="005E1674">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measures included in the component are expected to address some challenges highlighted by the country-specific recommendation to focus investment on the green and digital transition, in particular on environmental infrastructure among others (country-specific recommendation 4, 2019 and country-specific recommendation 3, 2020).</w:t>
      </w:r>
    </w:p>
    <w:p w14:paraId="1DA7ECDD" w14:textId="77777777" w:rsidR="005E1674" w:rsidRPr="00291374" w:rsidRDefault="005E1674" w:rsidP="005E1674">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4E368C09" w14:textId="77777777" w:rsidR="005E1674" w:rsidRPr="00291374" w:rsidRDefault="005E1674" w:rsidP="005E1674">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B.1. Description of the reforms and investments for non-repayable financial support</w:t>
      </w:r>
    </w:p>
    <w:p w14:paraId="1DA7267D" w14:textId="77777777" w:rsidR="005E1674" w:rsidRPr="00291374" w:rsidRDefault="005E1674" w:rsidP="005E1674">
      <w:pPr>
        <w:suppressAutoHyphens/>
        <w:autoSpaceDN w:val="0"/>
        <w:spacing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 xml:space="preserve">Reform 1. Reform of forest management and governance systems through a new National Forest Strategy and subsequent legal acts </w:t>
      </w:r>
    </w:p>
    <w:p w14:paraId="307C4E7F" w14:textId="77777777" w:rsidR="005E1674" w:rsidRPr="00291374" w:rsidRDefault="005E1674" w:rsidP="005E1674">
      <w:pPr>
        <w:spacing w:before="120" w:after="120" w:line="240" w:lineRule="auto"/>
        <w:jc w:val="both"/>
        <w:rPr>
          <w:rFonts w:ascii="Times New Roman" w:hAnsi="Times New Roman" w:cs="Times New Roman"/>
          <w:noProof/>
          <w:u w:val="single"/>
          <w:lang w:val="en-GB"/>
        </w:rPr>
      </w:pPr>
      <w:r w:rsidRPr="00291374">
        <w:rPr>
          <w:rFonts w:ascii="Times New Roman" w:hAnsi="Times New Roman" w:cs="Times New Roman"/>
          <w:noProof/>
          <w:lang w:val="en-GB"/>
        </w:rPr>
        <w:t>The objective of the reform is to ensure a regulatory framework for sustainable forest policies that support climate change mitigation and adaptation. The reform consists of the adoption of strategies and legal acts for afforestation and reforestation, combatting illegal logging and improving forest management.</w:t>
      </w:r>
    </w:p>
    <w:p w14:paraId="2BDC23BF" w14:textId="77777777" w:rsidR="005E1674" w:rsidRPr="00291374" w:rsidRDefault="005E1674" w:rsidP="005E1674">
      <w:pPr>
        <w:suppressAutoHyphens/>
        <w:autoSpaceDN w:val="0"/>
        <w:spacing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 xml:space="preserve">Investment 1. Afforestation and reforestation national campaign, including urban forests </w:t>
      </w:r>
    </w:p>
    <w:p w14:paraId="37542669" w14:textId="77777777" w:rsidR="005E1674" w:rsidRPr="00291374" w:rsidRDefault="005E1674" w:rsidP="005E1674">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the investment is to create forests. The investment consists in afforestation and reforestation projects in urban and non-urban areas. </w:t>
      </w:r>
    </w:p>
    <w:p w14:paraId="325263AF" w14:textId="77777777" w:rsidR="005E1674" w:rsidRPr="00291374" w:rsidRDefault="005E1674" w:rsidP="005E1674">
      <w:pPr>
        <w:suppressAutoHyphens/>
        <w:autoSpaceDN w:val="0"/>
        <w:spacing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 xml:space="preserve">Investment 2. Modern production capacities of forest reproduction material </w:t>
      </w:r>
    </w:p>
    <w:p w14:paraId="1DC70CBD" w14:textId="77777777" w:rsidR="005E1674" w:rsidRPr="00291374" w:rsidRDefault="005E1674" w:rsidP="005E1674">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the investment is to develop sufficient reproductive production capacities (tree species). The investment consists of the construction or rehabilitation of tree nurseries.</w:t>
      </w:r>
    </w:p>
    <w:p w14:paraId="7840722B" w14:textId="77777777" w:rsidR="005E1674" w:rsidRPr="00291374" w:rsidRDefault="005E1674" w:rsidP="005E1674">
      <w:pPr>
        <w:suppressAutoHyphens/>
        <w:autoSpaceDN w:val="0"/>
        <w:spacing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Investment 3. Identification of potential areas for strict protection in natural terrestrial and marine habitats in line with the EU Biodiversity Strategy for 2030</w:t>
      </w:r>
    </w:p>
    <w:p w14:paraId="5B68CEB6" w14:textId="77777777" w:rsidR="005E1674" w:rsidRPr="00291374" w:rsidRDefault="005E1674" w:rsidP="005E1674">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this investment is to provide a framework for the protection of nature. The investment consists of legal acts for the designation of strictly protected areas identified in Natura 2000 protected areas.</w:t>
      </w:r>
    </w:p>
    <w:p w14:paraId="5ECEF5F4" w14:textId="77777777" w:rsidR="005E1674" w:rsidRPr="00291374" w:rsidRDefault="005E1674" w:rsidP="005E1674">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Investment 4. Monitoring system for wild sturgeons along the Lower Danube</w:t>
      </w:r>
    </w:p>
    <w:p w14:paraId="44BE89AD" w14:textId="77777777" w:rsidR="005E1674" w:rsidRPr="00291374" w:rsidRDefault="005E1674" w:rsidP="005E1674">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this investment is to endow the National Research and Development Institute for Environmental Protection with equipment and vehicles for monitoring wild sturgeon along the Lower Danube. The investment consists of the purchase of equipment and vehicles.</w:t>
      </w:r>
    </w:p>
    <w:p w14:paraId="5CB48B3C" w14:textId="77777777" w:rsidR="005E1674" w:rsidRPr="00291374" w:rsidRDefault="005E1674" w:rsidP="005E1674">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 xml:space="preserve">Investment 5. Integrated flood risk mitigation systems in forest river basins </w:t>
      </w:r>
    </w:p>
    <w:p w14:paraId="154E7163" w14:textId="77777777" w:rsidR="005E1674" w:rsidRPr="00291374" w:rsidRDefault="005E1674" w:rsidP="005E1674">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the investment is to reduce flood risk in order to protect people, infrastructure and socio-economic objectives in risk areas, as well as to protect the environment and biodiversity through environmental measures, in particular those relating to ensuring fish migration and ensuring ecological flow. The investment consists of modernisation works for flood protection. </w:t>
      </w:r>
    </w:p>
    <w:p w14:paraId="7D60AEB7" w14:textId="77777777" w:rsidR="005E1674" w:rsidRPr="00291374" w:rsidRDefault="005E1674" w:rsidP="005E1674">
      <w:pPr>
        <w:spacing w:before="120" w:after="120" w:line="240" w:lineRule="auto"/>
        <w:jc w:val="both"/>
        <w:rPr>
          <w:rFonts w:ascii="Times New Roman" w:hAnsi="Times New Roman" w:cs="Times New Roman"/>
          <w:noProof/>
          <w:lang w:val="en-GB"/>
        </w:rPr>
        <w:sectPr w:rsidR="005E1674" w:rsidRPr="00291374" w:rsidSect="005E1674">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011B94D3" w14:textId="77777777" w:rsidR="005E1674" w:rsidRPr="00291374" w:rsidRDefault="005E1674" w:rsidP="005E1674">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B.2. </w:t>
      </w:r>
      <w:r w:rsidRPr="00291374">
        <w:rPr>
          <w:rFonts w:ascii="Times New Roman" w:hAnsi="Times New Roman" w:cs="Times New Roman"/>
          <w:noProof/>
          <w:lang w:val="en-GB"/>
        </w:rPr>
        <w:tab/>
      </w:r>
      <w:r w:rsidRPr="00291374">
        <w:rPr>
          <w:rFonts w:ascii="Times New Roman" w:hAnsi="Times New Roman" w:cs="Times New Roman"/>
          <w:b/>
          <w:noProof/>
          <w:lang w:val="en-GB"/>
        </w:rPr>
        <w:t>Milestones, targets, indicators, and timetable for monitoring and implementation for non-repayable financial support</w:t>
      </w:r>
    </w:p>
    <w:tbl>
      <w:tblPr>
        <w:tblW w:w="15831" w:type="dxa"/>
        <w:jc w:val="center"/>
        <w:tblLayout w:type="fixed"/>
        <w:tblLook w:val="04A0" w:firstRow="1" w:lastRow="0" w:firstColumn="1" w:lastColumn="0" w:noHBand="0" w:noVBand="1"/>
      </w:tblPr>
      <w:tblGrid>
        <w:gridCol w:w="786"/>
        <w:gridCol w:w="1491"/>
        <w:gridCol w:w="1222"/>
        <w:gridCol w:w="1760"/>
        <w:gridCol w:w="1760"/>
        <w:gridCol w:w="1088"/>
        <w:gridCol w:w="1357"/>
        <w:gridCol w:w="1089"/>
        <w:gridCol w:w="1134"/>
        <w:gridCol w:w="850"/>
        <w:gridCol w:w="3294"/>
      </w:tblGrid>
      <w:tr w:rsidR="005E1674" w:rsidRPr="00CB11E3" w14:paraId="6644359B" w14:textId="77777777">
        <w:trPr>
          <w:trHeight w:val="632"/>
          <w:tblHeader/>
          <w:jc w:val="center"/>
        </w:trPr>
        <w:tc>
          <w:tcPr>
            <w:tcW w:w="78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A291D53"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Seq. Num.</w:t>
            </w:r>
          </w:p>
        </w:tc>
        <w:tc>
          <w:tcPr>
            <w:tcW w:w="149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56B53F"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Related Measure (Reform or Investment)</w:t>
            </w:r>
          </w:p>
        </w:tc>
        <w:tc>
          <w:tcPr>
            <w:tcW w:w="122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7740ACA"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Milestone/Target</w:t>
            </w:r>
          </w:p>
        </w:tc>
        <w:tc>
          <w:tcPr>
            <w:tcW w:w="17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CEC1E5"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Name</w:t>
            </w:r>
          </w:p>
        </w:tc>
        <w:tc>
          <w:tcPr>
            <w:tcW w:w="17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4D210B8" w14:textId="1ED816D2" w:rsidR="005E1674" w:rsidRPr="00CB11E3" w:rsidRDefault="005E1674" w:rsidP="00CB11E3">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Qualitative</w:t>
            </w:r>
            <w:r w:rsidR="00CB11E3">
              <w:rPr>
                <w:rFonts w:ascii="Times New Roman" w:hAnsi="Times New Roman" w:cs="Times New Roman"/>
                <w:b/>
                <w:noProof/>
                <w:sz w:val="20"/>
                <w:szCs w:val="20"/>
                <w:lang w:val="en-GB"/>
              </w:rPr>
              <w:t xml:space="preserve"> </w:t>
            </w:r>
            <w:r w:rsidRPr="00CB11E3">
              <w:rPr>
                <w:rFonts w:ascii="Times New Roman" w:hAnsi="Times New Roman" w:cs="Times New Roman"/>
                <w:b/>
                <w:noProof/>
                <w:sz w:val="20"/>
                <w:szCs w:val="20"/>
                <w:lang w:val="en-GB"/>
              </w:rPr>
              <w:t>indicators</w:t>
            </w:r>
            <w:r w:rsidRPr="00CB11E3">
              <w:rPr>
                <w:rFonts w:ascii="Times New Roman" w:hAnsi="Times New Roman" w:cs="Times New Roman"/>
                <w:noProof/>
                <w:sz w:val="20"/>
                <w:szCs w:val="20"/>
                <w:lang w:val="en-GB"/>
              </w:rPr>
              <w:t xml:space="preserve"> </w:t>
            </w:r>
            <w:r w:rsidRPr="00CB11E3">
              <w:rPr>
                <w:rFonts w:ascii="Times New Roman" w:hAnsi="Times New Roman" w:cs="Times New Roman"/>
                <w:noProof/>
                <w:sz w:val="20"/>
                <w:szCs w:val="20"/>
                <w:lang w:val="en-GB"/>
              </w:rPr>
              <w:br/>
            </w:r>
            <w:r w:rsidRPr="00CB11E3">
              <w:rPr>
                <w:rFonts w:ascii="Times New Roman" w:hAnsi="Times New Roman" w:cs="Times New Roman"/>
                <w:b/>
                <w:noProof/>
                <w:sz w:val="20"/>
                <w:szCs w:val="20"/>
                <w:lang w:val="en-GB"/>
              </w:rPr>
              <w:t>(for milestones)</w:t>
            </w:r>
          </w:p>
        </w:tc>
        <w:tc>
          <w:tcPr>
            <w:tcW w:w="353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76BF973" w14:textId="4C79DBE5" w:rsidR="005E1674" w:rsidRPr="00CB11E3" w:rsidRDefault="005E1674" w:rsidP="00CB11E3">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Quantitative</w:t>
            </w:r>
            <w:r w:rsidR="00CB11E3">
              <w:rPr>
                <w:rFonts w:ascii="Times New Roman" w:hAnsi="Times New Roman" w:cs="Times New Roman"/>
                <w:b/>
                <w:noProof/>
                <w:sz w:val="20"/>
                <w:szCs w:val="20"/>
                <w:lang w:val="en-GB"/>
              </w:rPr>
              <w:t xml:space="preserve"> </w:t>
            </w:r>
            <w:r w:rsidRPr="00CB11E3">
              <w:rPr>
                <w:rFonts w:ascii="Times New Roman" w:hAnsi="Times New Roman" w:cs="Times New Roman"/>
                <w:b/>
                <w:noProof/>
                <w:sz w:val="20"/>
                <w:szCs w:val="20"/>
                <w:lang w:val="en-GB"/>
              </w:rPr>
              <w:t xml:space="preserve">indicators </w:t>
            </w:r>
            <w:r w:rsidRPr="00CB11E3">
              <w:rPr>
                <w:rFonts w:ascii="Times New Roman" w:hAnsi="Times New Roman" w:cs="Times New Roman"/>
                <w:noProof/>
                <w:sz w:val="20"/>
                <w:szCs w:val="20"/>
                <w:lang w:val="en-GB"/>
              </w:rPr>
              <w:br/>
            </w:r>
            <w:r w:rsidRPr="00CB11E3">
              <w:rPr>
                <w:rFonts w:ascii="Times New Roman" w:hAnsi="Times New Roman" w:cs="Times New Roman"/>
                <w:b/>
                <w:noProof/>
                <w:sz w:val="20"/>
                <w:szCs w:val="20"/>
                <w:lang w:val="en-GB"/>
              </w:rPr>
              <w:t>(for targets)</w:t>
            </w:r>
          </w:p>
        </w:tc>
        <w:tc>
          <w:tcPr>
            <w:tcW w:w="198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6FACF92" w14:textId="61D20361" w:rsidR="005E1674" w:rsidRPr="00CB11E3" w:rsidRDefault="005E1674" w:rsidP="00CB11E3">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Indicative timeline</w:t>
            </w:r>
            <w:r w:rsidR="00CB11E3">
              <w:rPr>
                <w:rFonts w:ascii="Times New Roman" w:hAnsi="Times New Roman" w:cs="Times New Roman"/>
                <w:b/>
                <w:noProof/>
                <w:sz w:val="20"/>
                <w:szCs w:val="20"/>
                <w:lang w:val="en-GB"/>
              </w:rPr>
              <w:t xml:space="preserve"> </w:t>
            </w:r>
            <w:r w:rsidRPr="00CB11E3">
              <w:rPr>
                <w:rFonts w:ascii="Times New Roman" w:hAnsi="Times New Roman" w:cs="Times New Roman"/>
                <w:b/>
                <w:noProof/>
                <w:sz w:val="20"/>
                <w:szCs w:val="20"/>
                <w:lang w:val="en-GB"/>
              </w:rPr>
              <w:t>for completion</w:t>
            </w:r>
          </w:p>
        </w:tc>
        <w:tc>
          <w:tcPr>
            <w:tcW w:w="329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EF9F54C"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Description of each milestone and target</w:t>
            </w:r>
          </w:p>
        </w:tc>
      </w:tr>
      <w:tr w:rsidR="005E1674" w:rsidRPr="00CB11E3" w14:paraId="27FAFE15" w14:textId="77777777" w:rsidTr="00CD7AC9">
        <w:trPr>
          <w:trHeight w:val="502"/>
          <w:tblHeader/>
          <w:jc w:val="center"/>
        </w:trPr>
        <w:tc>
          <w:tcPr>
            <w:tcW w:w="786" w:type="dxa"/>
            <w:vMerge/>
            <w:tcBorders>
              <w:top w:val="single" w:sz="4" w:space="0" w:color="auto"/>
              <w:left w:val="single" w:sz="4" w:space="0" w:color="auto"/>
              <w:bottom w:val="single" w:sz="4" w:space="0" w:color="auto"/>
              <w:right w:val="single" w:sz="4" w:space="0" w:color="auto"/>
            </w:tcBorders>
            <w:hideMark/>
          </w:tcPr>
          <w:p w14:paraId="61C962B5" w14:textId="77777777" w:rsidR="005E1674" w:rsidRPr="00CB11E3" w:rsidRDefault="005E1674">
            <w:pPr>
              <w:spacing w:after="0" w:line="240" w:lineRule="auto"/>
              <w:jc w:val="center"/>
              <w:rPr>
                <w:rFonts w:ascii="Times New Roman" w:eastAsia="Times New Roman" w:hAnsi="Times New Roman" w:cs="Times New Roman"/>
                <w:b/>
                <w:bCs/>
                <w:noProof/>
                <w:sz w:val="20"/>
                <w:szCs w:val="20"/>
                <w:lang w:val="en-GB" w:eastAsia="en-GB"/>
              </w:rPr>
            </w:pPr>
          </w:p>
        </w:tc>
        <w:tc>
          <w:tcPr>
            <w:tcW w:w="1491" w:type="dxa"/>
            <w:vMerge/>
            <w:tcBorders>
              <w:top w:val="single" w:sz="4" w:space="0" w:color="auto"/>
              <w:left w:val="single" w:sz="4" w:space="0" w:color="auto"/>
              <w:bottom w:val="single" w:sz="4" w:space="0" w:color="auto"/>
              <w:right w:val="single" w:sz="4" w:space="0" w:color="auto"/>
            </w:tcBorders>
            <w:hideMark/>
          </w:tcPr>
          <w:p w14:paraId="05DCAD13" w14:textId="77777777" w:rsidR="005E1674" w:rsidRPr="00CB11E3" w:rsidRDefault="005E1674">
            <w:pPr>
              <w:spacing w:after="0" w:line="240" w:lineRule="auto"/>
              <w:jc w:val="both"/>
              <w:rPr>
                <w:rFonts w:ascii="Times New Roman" w:eastAsia="Times New Roman" w:hAnsi="Times New Roman" w:cs="Times New Roman"/>
                <w:b/>
                <w:bCs/>
                <w:noProof/>
                <w:sz w:val="20"/>
                <w:szCs w:val="20"/>
                <w:lang w:val="en-GB" w:eastAsia="en-GB"/>
              </w:rPr>
            </w:pPr>
          </w:p>
        </w:tc>
        <w:tc>
          <w:tcPr>
            <w:tcW w:w="1222" w:type="dxa"/>
            <w:vMerge/>
            <w:tcBorders>
              <w:top w:val="single" w:sz="4" w:space="0" w:color="auto"/>
              <w:left w:val="single" w:sz="4" w:space="0" w:color="auto"/>
              <w:bottom w:val="single" w:sz="4" w:space="0" w:color="auto"/>
              <w:right w:val="single" w:sz="4" w:space="0" w:color="auto"/>
            </w:tcBorders>
            <w:hideMark/>
          </w:tcPr>
          <w:p w14:paraId="7DE853EB" w14:textId="77777777" w:rsidR="005E1674" w:rsidRPr="00CB11E3" w:rsidRDefault="005E1674">
            <w:pPr>
              <w:spacing w:after="0" w:line="240" w:lineRule="auto"/>
              <w:jc w:val="center"/>
              <w:rPr>
                <w:rFonts w:ascii="Times New Roman" w:eastAsia="Times New Roman" w:hAnsi="Times New Roman" w:cs="Times New Roman"/>
                <w:b/>
                <w:bCs/>
                <w:noProof/>
                <w:sz w:val="20"/>
                <w:szCs w:val="20"/>
                <w:lang w:val="en-GB" w:eastAsia="en-GB"/>
              </w:rPr>
            </w:pPr>
          </w:p>
        </w:tc>
        <w:tc>
          <w:tcPr>
            <w:tcW w:w="1760" w:type="dxa"/>
            <w:vMerge/>
            <w:tcBorders>
              <w:top w:val="single" w:sz="4" w:space="0" w:color="auto"/>
              <w:left w:val="single" w:sz="4" w:space="0" w:color="auto"/>
              <w:bottom w:val="single" w:sz="4" w:space="0" w:color="auto"/>
              <w:right w:val="single" w:sz="4" w:space="0" w:color="auto"/>
            </w:tcBorders>
            <w:hideMark/>
          </w:tcPr>
          <w:p w14:paraId="54E84A0B" w14:textId="77777777" w:rsidR="005E1674" w:rsidRPr="00CB11E3" w:rsidRDefault="005E1674">
            <w:pPr>
              <w:spacing w:after="0" w:line="240" w:lineRule="auto"/>
              <w:jc w:val="both"/>
              <w:rPr>
                <w:rFonts w:ascii="Times New Roman" w:eastAsia="Times New Roman" w:hAnsi="Times New Roman" w:cs="Times New Roman"/>
                <w:b/>
                <w:bCs/>
                <w:noProof/>
                <w:sz w:val="20"/>
                <w:szCs w:val="20"/>
                <w:lang w:val="en-GB" w:eastAsia="en-GB"/>
              </w:rPr>
            </w:pPr>
          </w:p>
        </w:tc>
        <w:tc>
          <w:tcPr>
            <w:tcW w:w="1760" w:type="dxa"/>
            <w:vMerge/>
            <w:tcBorders>
              <w:top w:val="single" w:sz="4" w:space="0" w:color="auto"/>
              <w:left w:val="single" w:sz="4" w:space="0" w:color="auto"/>
              <w:bottom w:val="single" w:sz="4" w:space="0" w:color="auto"/>
              <w:right w:val="single" w:sz="4" w:space="0" w:color="auto"/>
            </w:tcBorders>
            <w:hideMark/>
          </w:tcPr>
          <w:p w14:paraId="6E6D6295" w14:textId="77777777" w:rsidR="005E1674" w:rsidRPr="00CB11E3" w:rsidRDefault="005E1674">
            <w:pPr>
              <w:spacing w:after="0" w:line="240" w:lineRule="auto"/>
              <w:jc w:val="both"/>
              <w:rPr>
                <w:rFonts w:ascii="Times New Roman" w:eastAsia="Times New Roman" w:hAnsi="Times New Roman" w:cs="Times New Roman"/>
                <w:b/>
                <w:bCs/>
                <w:noProof/>
                <w:sz w:val="20"/>
                <w:szCs w:val="20"/>
                <w:lang w:val="en-GB" w:eastAsia="en-GB"/>
              </w:rPr>
            </w:pPr>
          </w:p>
        </w:tc>
        <w:tc>
          <w:tcPr>
            <w:tcW w:w="108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F1C76E2" w14:textId="3843E73A" w:rsidR="005E1674" w:rsidRPr="00CB11E3" w:rsidRDefault="005E1674" w:rsidP="00CB11E3">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Unit</w:t>
            </w:r>
            <w:r w:rsidR="00CB11E3">
              <w:rPr>
                <w:rFonts w:ascii="Times New Roman" w:hAnsi="Times New Roman" w:cs="Times New Roman"/>
                <w:b/>
                <w:noProof/>
                <w:sz w:val="20"/>
                <w:szCs w:val="20"/>
                <w:lang w:val="en-GB"/>
              </w:rPr>
              <w:t xml:space="preserve"> </w:t>
            </w:r>
            <w:r w:rsidRPr="00CB11E3">
              <w:rPr>
                <w:rFonts w:ascii="Times New Roman" w:hAnsi="Times New Roman" w:cs="Times New Roman"/>
                <w:b/>
                <w:noProof/>
                <w:sz w:val="20"/>
                <w:szCs w:val="20"/>
                <w:lang w:val="en-GB"/>
              </w:rPr>
              <w:t>of</w:t>
            </w:r>
            <w:r w:rsidR="00CB11E3">
              <w:rPr>
                <w:rFonts w:ascii="Times New Roman" w:hAnsi="Times New Roman" w:cs="Times New Roman"/>
                <w:b/>
                <w:noProof/>
                <w:sz w:val="20"/>
                <w:szCs w:val="20"/>
                <w:lang w:val="en-GB"/>
              </w:rPr>
              <w:t xml:space="preserve"> </w:t>
            </w:r>
            <w:r w:rsidRPr="00CB11E3">
              <w:rPr>
                <w:rFonts w:ascii="Times New Roman" w:hAnsi="Times New Roman" w:cs="Times New Roman"/>
                <w:b/>
                <w:noProof/>
                <w:sz w:val="20"/>
                <w:szCs w:val="20"/>
                <w:lang w:val="en-GB"/>
              </w:rPr>
              <w:t>measure</w:t>
            </w:r>
          </w:p>
        </w:tc>
        <w:tc>
          <w:tcPr>
            <w:tcW w:w="13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20991F8"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Baseline</w:t>
            </w:r>
          </w:p>
        </w:tc>
        <w:tc>
          <w:tcPr>
            <w:tcW w:w="108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431B715"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Goal</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24947E5"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Quarter</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57D68F"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Year</w:t>
            </w:r>
          </w:p>
        </w:tc>
        <w:tc>
          <w:tcPr>
            <w:tcW w:w="3294" w:type="dxa"/>
            <w:vMerge/>
            <w:tcBorders>
              <w:top w:val="single" w:sz="4" w:space="0" w:color="auto"/>
              <w:bottom w:val="single" w:sz="4" w:space="0" w:color="auto"/>
              <w:right w:val="single" w:sz="4" w:space="0" w:color="auto"/>
            </w:tcBorders>
            <w:hideMark/>
          </w:tcPr>
          <w:p w14:paraId="54CF18E5" w14:textId="77777777" w:rsidR="005E1674" w:rsidRPr="00CB11E3" w:rsidRDefault="005E1674">
            <w:pPr>
              <w:spacing w:after="0" w:line="240" w:lineRule="auto"/>
              <w:jc w:val="both"/>
              <w:rPr>
                <w:rFonts w:ascii="Times New Roman" w:eastAsia="Times New Roman" w:hAnsi="Times New Roman" w:cs="Times New Roman"/>
                <w:b/>
                <w:bCs/>
                <w:noProof/>
                <w:sz w:val="20"/>
                <w:szCs w:val="20"/>
                <w:lang w:val="en-GB" w:eastAsia="en-GB"/>
              </w:rPr>
            </w:pPr>
          </w:p>
        </w:tc>
      </w:tr>
      <w:tr w:rsidR="005E1674" w:rsidRPr="00CB11E3" w14:paraId="42BA77E6" w14:textId="77777777">
        <w:trPr>
          <w:trHeight w:val="309"/>
          <w:jc w:val="center"/>
        </w:trPr>
        <w:tc>
          <w:tcPr>
            <w:tcW w:w="786" w:type="dxa"/>
            <w:tcBorders>
              <w:top w:val="single" w:sz="4" w:space="0" w:color="auto"/>
              <w:left w:val="single" w:sz="4" w:space="0" w:color="auto"/>
              <w:bottom w:val="single" w:sz="4" w:space="0" w:color="auto"/>
              <w:right w:val="single" w:sz="4" w:space="0" w:color="auto"/>
            </w:tcBorders>
            <w:shd w:val="clear" w:color="auto" w:fill="C6EFCE"/>
            <w:noWrap/>
          </w:tcPr>
          <w:p w14:paraId="62F22CE4" w14:textId="77777777" w:rsidR="005E1674" w:rsidRPr="00CB11E3" w:rsidRDefault="005E1674">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22</w:t>
            </w:r>
          </w:p>
        </w:tc>
        <w:tc>
          <w:tcPr>
            <w:tcW w:w="1491" w:type="dxa"/>
            <w:tcBorders>
              <w:top w:val="single" w:sz="4" w:space="0" w:color="auto"/>
              <w:left w:val="single" w:sz="4" w:space="0" w:color="auto"/>
              <w:bottom w:val="single" w:sz="4" w:space="0" w:color="auto"/>
              <w:right w:val="single" w:sz="4" w:space="0" w:color="auto"/>
            </w:tcBorders>
            <w:shd w:val="clear" w:color="auto" w:fill="C6EFCE"/>
            <w:noWrap/>
          </w:tcPr>
          <w:p w14:paraId="7FB108AE"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Reform 1. Reform of forest management and governance systems through a new National Forest Strategy and subsequent legal acts </w:t>
            </w:r>
          </w:p>
        </w:tc>
        <w:tc>
          <w:tcPr>
            <w:tcW w:w="1222" w:type="dxa"/>
            <w:tcBorders>
              <w:top w:val="single" w:sz="4" w:space="0" w:color="auto"/>
              <w:left w:val="single" w:sz="4" w:space="0" w:color="auto"/>
              <w:bottom w:val="single" w:sz="4" w:space="0" w:color="auto"/>
              <w:right w:val="single" w:sz="4" w:space="0" w:color="auto"/>
            </w:tcBorders>
            <w:shd w:val="clear" w:color="auto" w:fill="C6EFCE"/>
            <w:noWrap/>
          </w:tcPr>
          <w:p w14:paraId="45A703F4" w14:textId="77777777" w:rsidR="005E1674" w:rsidRPr="00CB11E3" w:rsidRDefault="005E1674">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Milestone</w:t>
            </w:r>
          </w:p>
        </w:tc>
        <w:tc>
          <w:tcPr>
            <w:tcW w:w="1760" w:type="dxa"/>
            <w:tcBorders>
              <w:top w:val="single" w:sz="4" w:space="0" w:color="auto"/>
              <w:left w:val="single" w:sz="4" w:space="0" w:color="auto"/>
              <w:bottom w:val="single" w:sz="4" w:space="0" w:color="auto"/>
              <w:right w:val="single" w:sz="4" w:space="0" w:color="auto"/>
            </w:tcBorders>
            <w:shd w:val="clear" w:color="auto" w:fill="C6EFCE"/>
            <w:noWrap/>
          </w:tcPr>
          <w:p w14:paraId="334F9483"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Adoption of the National Forest Strategy 2020-2030</w:t>
            </w:r>
          </w:p>
          <w:p w14:paraId="0F013C83"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1760" w:type="dxa"/>
            <w:tcBorders>
              <w:top w:val="single" w:sz="4" w:space="0" w:color="auto"/>
              <w:left w:val="single" w:sz="4" w:space="0" w:color="auto"/>
              <w:bottom w:val="single" w:sz="4" w:space="0" w:color="auto"/>
              <w:right w:val="single" w:sz="4" w:space="0" w:color="auto"/>
            </w:tcBorders>
            <w:shd w:val="clear" w:color="auto" w:fill="C6EFCE"/>
            <w:noWrap/>
          </w:tcPr>
          <w:p w14:paraId="3D7B15AD"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Adoption of the National Forest Strategy 2020-2030 </w:t>
            </w:r>
          </w:p>
        </w:tc>
        <w:tc>
          <w:tcPr>
            <w:tcW w:w="1088" w:type="dxa"/>
            <w:tcBorders>
              <w:top w:val="single" w:sz="4" w:space="0" w:color="auto"/>
              <w:left w:val="single" w:sz="4" w:space="0" w:color="auto"/>
              <w:bottom w:val="single" w:sz="4" w:space="0" w:color="auto"/>
              <w:right w:val="single" w:sz="4" w:space="0" w:color="auto"/>
            </w:tcBorders>
            <w:shd w:val="clear" w:color="auto" w:fill="C6EFCE"/>
            <w:noWrap/>
          </w:tcPr>
          <w:p w14:paraId="35FB6E82"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 </w:t>
            </w:r>
          </w:p>
        </w:tc>
        <w:tc>
          <w:tcPr>
            <w:tcW w:w="1357" w:type="dxa"/>
            <w:tcBorders>
              <w:top w:val="single" w:sz="4" w:space="0" w:color="auto"/>
              <w:left w:val="single" w:sz="4" w:space="0" w:color="auto"/>
              <w:bottom w:val="single" w:sz="4" w:space="0" w:color="auto"/>
              <w:right w:val="single" w:sz="4" w:space="0" w:color="auto"/>
            </w:tcBorders>
            <w:shd w:val="clear" w:color="auto" w:fill="C6EFCE"/>
            <w:noWrap/>
          </w:tcPr>
          <w:p w14:paraId="09CB30D8"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531D8A1C"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F48447E"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Q3</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027853F8"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2022</w:t>
            </w:r>
          </w:p>
        </w:tc>
        <w:tc>
          <w:tcPr>
            <w:tcW w:w="3294" w:type="dxa"/>
            <w:tcBorders>
              <w:top w:val="single" w:sz="4" w:space="0" w:color="auto"/>
              <w:left w:val="single" w:sz="4" w:space="0" w:color="auto"/>
              <w:bottom w:val="single" w:sz="4" w:space="0" w:color="auto"/>
              <w:right w:val="single" w:sz="4" w:space="0" w:color="auto"/>
            </w:tcBorders>
            <w:shd w:val="clear" w:color="auto" w:fill="C6EFCE"/>
            <w:noWrap/>
          </w:tcPr>
          <w:p w14:paraId="5D39FB6D"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National Forest Strategy 2020-2030 shall be adopted. </w:t>
            </w:r>
          </w:p>
          <w:p w14:paraId="146F767E"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The Strategy shall, on the basis of the recommendations of the independent studies, set out binding rules for afforestation and reforestation as follows:</w:t>
            </w:r>
          </w:p>
          <w:p w14:paraId="13218DDA"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a. Requirements for species and ecotypes to be climate-resilient and without negative impact on biodiversity. The strategy shall respond to the need to have updated guidelines on tree planting in Romania and shall create safeguards, in particular, to exclude the use or release of invasive alien species</w:t>
            </w:r>
          </w:p>
          <w:p w14:paraId="094BA204"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b. Requirements for the production of reproductive material to target tree species and ecotypes that are suitable for Romania’s future projected climatic conditions in sufficient quantities with the involvement of the private sector, and for measures to discourage the creation of commercial nurseries for short rotation or monoculture production. </w:t>
            </w:r>
          </w:p>
          <w:p w14:paraId="3593214F"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c. Requirements for afforestation to contribute positively to the objectives of biodiversity conservation, water management and soil protection by prohibiting afforestation or reforestation on agricultural land with high nature value, grassland or wetlands, excluding habitat restoration. </w:t>
            </w:r>
          </w:p>
          <w:p w14:paraId="6871B3D4"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d. Requirements for preventive measures that increase the natural absorption capacity of the soil to be included in forest management activities and specific climate change adaptation requirements to ensure that forest management is based on species monitoring. </w:t>
            </w:r>
          </w:p>
          <w:p w14:paraId="6D0CCDF0"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e. Requirements for urban afforestation to be achieved through a landscape level approach that contributes to strengthening connectivity with natural or semi-natural areas (such as forests or agricultural areas) with a focus on linking habitats with green infrastructure and ecological corridors.</w:t>
            </w:r>
          </w:p>
          <w:p w14:paraId="1F456F0B"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f. Requirements for afforestation and reforestation projects to be carried out in areas exposed and vulnerable to climatic hazards, in particular to drought and floods, and where appropriate afforestation or reforestation reduces the resulting risks.</w:t>
            </w:r>
          </w:p>
          <w:p w14:paraId="45C1C067"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g. The Strategy shall set out sustainability criteria for forest biomass for energy use.</w:t>
            </w:r>
          </w:p>
          <w:p w14:paraId="34FF0D3B"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h. The Strategy shall include specific actions to tackle illegal logging, such as a full implementation of SUMAL including logging monitoring through remote-sensing, strengthening of the sanctions regime, and other measures as appropriate. </w:t>
            </w:r>
          </w:p>
          <w:p w14:paraId="37AB53CC"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i. The Strategy shall also include concrete measures for protecting forest habitats and species, and particularly the alignment of forestry norms with biodiversity considerations.</w:t>
            </w:r>
          </w:p>
        </w:tc>
      </w:tr>
      <w:tr w:rsidR="005E1674" w:rsidRPr="00CB11E3" w14:paraId="585E8016" w14:textId="77777777">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069694A4" w14:textId="77777777" w:rsidR="005E1674" w:rsidRPr="00CB11E3" w:rsidRDefault="005E1674">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23</w:t>
            </w:r>
          </w:p>
        </w:tc>
        <w:tc>
          <w:tcPr>
            <w:tcW w:w="1491" w:type="dxa"/>
            <w:tcBorders>
              <w:top w:val="nil"/>
              <w:left w:val="single" w:sz="4" w:space="0" w:color="auto"/>
              <w:bottom w:val="single" w:sz="4" w:space="0" w:color="auto"/>
              <w:right w:val="single" w:sz="4" w:space="0" w:color="auto"/>
            </w:tcBorders>
            <w:shd w:val="clear" w:color="auto" w:fill="C6EFCE"/>
            <w:noWrap/>
          </w:tcPr>
          <w:p w14:paraId="59D10223"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Reform 1. Reform of forest management and governance systems through a new National Forest Strategy and subsequent legal acts </w:t>
            </w:r>
          </w:p>
        </w:tc>
        <w:tc>
          <w:tcPr>
            <w:tcW w:w="1222" w:type="dxa"/>
            <w:tcBorders>
              <w:top w:val="nil"/>
              <w:left w:val="single" w:sz="4" w:space="0" w:color="auto"/>
              <w:bottom w:val="single" w:sz="4" w:space="0" w:color="auto"/>
              <w:right w:val="single" w:sz="4" w:space="0" w:color="auto"/>
            </w:tcBorders>
            <w:shd w:val="clear" w:color="auto" w:fill="C6EFCE"/>
            <w:noWrap/>
          </w:tcPr>
          <w:p w14:paraId="424BD926" w14:textId="77777777" w:rsidR="005E1674" w:rsidRPr="00CB11E3" w:rsidRDefault="005E1674">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Milestone</w:t>
            </w:r>
          </w:p>
        </w:tc>
        <w:tc>
          <w:tcPr>
            <w:tcW w:w="1760" w:type="dxa"/>
            <w:tcBorders>
              <w:top w:val="nil"/>
              <w:left w:val="single" w:sz="4" w:space="0" w:color="auto"/>
              <w:bottom w:val="single" w:sz="4" w:space="0" w:color="auto"/>
              <w:right w:val="single" w:sz="4" w:space="0" w:color="auto"/>
            </w:tcBorders>
            <w:shd w:val="clear" w:color="auto" w:fill="C6EFCE"/>
            <w:noWrap/>
          </w:tcPr>
          <w:p w14:paraId="72D657E0"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Entry into force of amended Ministerial Ordinances laying down binding rules for afforestation and reforestation foreseen in the National Forestry Strategy 2020-2030</w:t>
            </w:r>
          </w:p>
        </w:tc>
        <w:tc>
          <w:tcPr>
            <w:tcW w:w="1760" w:type="dxa"/>
            <w:tcBorders>
              <w:top w:val="nil"/>
              <w:left w:val="single" w:sz="4" w:space="0" w:color="auto"/>
              <w:bottom w:val="single" w:sz="4" w:space="0" w:color="auto"/>
              <w:right w:val="single" w:sz="4" w:space="0" w:color="auto"/>
            </w:tcBorders>
            <w:shd w:val="clear" w:color="auto" w:fill="C6EFCE"/>
            <w:noWrap/>
          </w:tcPr>
          <w:p w14:paraId="23F61ABF"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Provision in the Ministerial Ordinances indicating the entry into force of the amendments</w:t>
            </w:r>
          </w:p>
          <w:p w14:paraId="336CDA4B" w14:textId="77777777" w:rsidR="005E1674" w:rsidRPr="00CB11E3" w:rsidRDefault="005E1674">
            <w:pPr>
              <w:spacing w:after="0" w:line="240" w:lineRule="auto"/>
              <w:jc w:val="both"/>
              <w:rPr>
                <w:rFonts w:ascii="Times New Roman" w:hAnsi="Times New Roman" w:cs="Times New Roman"/>
                <w:noProof/>
                <w:sz w:val="20"/>
                <w:szCs w:val="20"/>
                <w:lang w:val="en-GB"/>
              </w:rPr>
            </w:pPr>
          </w:p>
          <w:p w14:paraId="71FF3EF8"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1088" w:type="dxa"/>
            <w:tcBorders>
              <w:top w:val="nil"/>
              <w:left w:val="single" w:sz="4" w:space="0" w:color="auto"/>
              <w:bottom w:val="single" w:sz="4" w:space="0" w:color="auto"/>
              <w:right w:val="single" w:sz="4" w:space="0" w:color="auto"/>
            </w:tcBorders>
            <w:shd w:val="clear" w:color="auto" w:fill="C6EFCE"/>
            <w:noWrap/>
          </w:tcPr>
          <w:p w14:paraId="681F941F"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1357" w:type="dxa"/>
            <w:tcBorders>
              <w:top w:val="nil"/>
              <w:left w:val="single" w:sz="4" w:space="0" w:color="auto"/>
              <w:bottom w:val="single" w:sz="4" w:space="0" w:color="auto"/>
              <w:right w:val="single" w:sz="4" w:space="0" w:color="auto"/>
            </w:tcBorders>
            <w:shd w:val="clear" w:color="auto" w:fill="C6EFCE"/>
            <w:noWrap/>
          </w:tcPr>
          <w:p w14:paraId="1E8255FC"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1089" w:type="dxa"/>
            <w:tcBorders>
              <w:top w:val="nil"/>
              <w:left w:val="single" w:sz="4" w:space="0" w:color="auto"/>
              <w:bottom w:val="single" w:sz="4" w:space="0" w:color="auto"/>
              <w:right w:val="single" w:sz="4" w:space="0" w:color="auto"/>
            </w:tcBorders>
            <w:shd w:val="clear" w:color="auto" w:fill="C6EFCE"/>
            <w:noWrap/>
          </w:tcPr>
          <w:p w14:paraId="09296D88"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1134" w:type="dxa"/>
            <w:tcBorders>
              <w:top w:val="nil"/>
              <w:left w:val="single" w:sz="4" w:space="0" w:color="auto"/>
              <w:bottom w:val="single" w:sz="4" w:space="0" w:color="auto"/>
              <w:right w:val="single" w:sz="4" w:space="0" w:color="auto"/>
            </w:tcBorders>
            <w:shd w:val="clear" w:color="auto" w:fill="C6EFCE"/>
            <w:noWrap/>
          </w:tcPr>
          <w:p w14:paraId="155BAABD"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Q3</w:t>
            </w:r>
          </w:p>
        </w:tc>
        <w:tc>
          <w:tcPr>
            <w:tcW w:w="850" w:type="dxa"/>
            <w:tcBorders>
              <w:top w:val="nil"/>
              <w:left w:val="single" w:sz="4" w:space="0" w:color="auto"/>
              <w:bottom w:val="single" w:sz="4" w:space="0" w:color="auto"/>
              <w:right w:val="single" w:sz="4" w:space="0" w:color="auto"/>
            </w:tcBorders>
            <w:shd w:val="clear" w:color="auto" w:fill="C6EFCE"/>
            <w:noWrap/>
          </w:tcPr>
          <w:p w14:paraId="78B1CE34"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2022</w:t>
            </w:r>
          </w:p>
        </w:tc>
        <w:tc>
          <w:tcPr>
            <w:tcW w:w="3294" w:type="dxa"/>
            <w:tcBorders>
              <w:top w:val="nil"/>
              <w:left w:val="single" w:sz="4" w:space="0" w:color="auto"/>
              <w:bottom w:val="single" w:sz="4" w:space="0" w:color="auto"/>
              <w:right w:val="single" w:sz="4" w:space="0" w:color="auto"/>
            </w:tcBorders>
            <w:shd w:val="clear" w:color="auto" w:fill="C6EFCE"/>
            <w:noWrap/>
          </w:tcPr>
          <w:p w14:paraId="58408DE9"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Entry into force of the following amended Ministerial Ordinances (MO) in line with the binding rules for afforestation and reforestation foreseen in the National Forest Strategy 2020-2030:</w:t>
            </w:r>
          </w:p>
          <w:p w14:paraId="3F910893" w14:textId="77777777" w:rsidR="005E1674" w:rsidRPr="00CB11E3" w:rsidRDefault="005E1674" w:rsidP="005E1674">
            <w:pPr>
              <w:numPr>
                <w:ilvl w:val="0"/>
                <w:numId w:val="4"/>
              </w:numPr>
              <w:spacing w:before="120" w:after="0" w:line="240" w:lineRule="auto"/>
              <w:ind w:left="317"/>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Order no. 766/2018 regarding the elaboration and amendment of forest management plans, including of the provisions for land use of forest land, as well as of the Methodology regarding the approval of annual windthrow harvesting quotas.</w:t>
            </w:r>
          </w:p>
          <w:p w14:paraId="3A02BC94" w14:textId="77777777" w:rsidR="005E1674" w:rsidRPr="00CB11E3" w:rsidRDefault="005E1674" w:rsidP="005E1674">
            <w:pPr>
              <w:numPr>
                <w:ilvl w:val="0"/>
                <w:numId w:val="4"/>
              </w:numPr>
              <w:spacing w:before="120" w:after="0" w:line="240" w:lineRule="auto"/>
              <w:ind w:left="317"/>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Order no. 1648/2000 on the approval of technical rules on compositions, schemes and technologies for forest regeneration and afforestation of degraded land</w:t>
            </w:r>
          </w:p>
          <w:p w14:paraId="1609570E" w14:textId="77777777" w:rsidR="005E1674" w:rsidRPr="00CB11E3" w:rsidRDefault="005E1674" w:rsidP="005E1674">
            <w:pPr>
              <w:numPr>
                <w:ilvl w:val="0"/>
                <w:numId w:val="4"/>
              </w:numPr>
              <w:spacing w:before="120" w:after="0" w:line="240" w:lineRule="auto"/>
              <w:ind w:left="317"/>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Order no. 1649/2000 on the approval of the Technical Norms for the care and management of stands</w:t>
            </w:r>
          </w:p>
          <w:p w14:paraId="7F5D6D07" w14:textId="77777777" w:rsidR="005E1674" w:rsidRPr="00CB11E3" w:rsidRDefault="005E1674" w:rsidP="005E1674">
            <w:pPr>
              <w:numPr>
                <w:ilvl w:val="0"/>
                <w:numId w:val="4"/>
              </w:numPr>
              <w:spacing w:before="120" w:after="0" w:line="240" w:lineRule="auto"/>
              <w:ind w:left="317"/>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Order no. 1650/2000 on the approval of the Technical Norms on the choice and application of treatments</w:t>
            </w:r>
          </w:p>
          <w:p w14:paraId="3E2CA78B" w14:textId="77777777" w:rsidR="005E1674" w:rsidRPr="00CB11E3" w:rsidRDefault="005E1674" w:rsidP="005E1674">
            <w:pPr>
              <w:numPr>
                <w:ilvl w:val="0"/>
                <w:numId w:val="4"/>
              </w:numPr>
              <w:spacing w:before="120" w:after="0" w:line="240" w:lineRule="auto"/>
              <w:ind w:left="317"/>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Order no. 1653/2000 regarding the approval of the Technical Norms regarding the annual control of regenerations</w:t>
            </w:r>
          </w:p>
          <w:p w14:paraId="52245F07" w14:textId="77777777" w:rsidR="005E1674" w:rsidRPr="00CB11E3" w:rsidRDefault="005E1674" w:rsidP="005E1674">
            <w:pPr>
              <w:numPr>
                <w:ilvl w:val="0"/>
                <w:numId w:val="4"/>
              </w:numPr>
              <w:spacing w:before="120" w:after="0" w:line="240" w:lineRule="auto"/>
              <w:ind w:left="317"/>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Order no. 1672/2000 regarding the approval of the Technical Norms for forest management</w:t>
            </w:r>
          </w:p>
        </w:tc>
      </w:tr>
      <w:tr w:rsidR="005E1674" w:rsidRPr="00CB11E3" w14:paraId="236B3F49" w14:textId="77777777">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3C649F17" w14:textId="77777777" w:rsidR="005E1674" w:rsidRPr="00CB11E3" w:rsidRDefault="005E1674">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24</w:t>
            </w:r>
          </w:p>
        </w:tc>
        <w:tc>
          <w:tcPr>
            <w:tcW w:w="1491" w:type="dxa"/>
            <w:tcBorders>
              <w:top w:val="nil"/>
              <w:left w:val="single" w:sz="4" w:space="0" w:color="auto"/>
              <w:bottom w:val="single" w:sz="4" w:space="0" w:color="auto"/>
              <w:right w:val="single" w:sz="4" w:space="0" w:color="auto"/>
            </w:tcBorders>
            <w:shd w:val="clear" w:color="auto" w:fill="C6EFCE"/>
            <w:noWrap/>
          </w:tcPr>
          <w:p w14:paraId="7B37F9B0"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Reform 1. Reform of forest management and governance systems through a new National Forest Strategy and subsequent legal acts </w:t>
            </w:r>
          </w:p>
        </w:tc>
        <w:tc>
          <w:tcPr>
            <w:tcW w:w="1222" w:type="dxa"/>
            <w:tcBorders>
              <w:top w:val="nil"/>
              <w:left w:val="single" w:sz="4" w:space="0" w:color="auto"/>
              <w:bottom w:val="single" w:sz="4" w:space="0" w:color="auto"/>
              <w:right w:val="single" w:sz="4" w:space="0" w:color="auto"/>
            </w:tcBorders>
            <w:shd w:val="clear" w:color="auto" w:fill="C6EFCE"/>
            <w:noWrap/>
          </w:tcPr>
          <w:p w14:paraId="2D72C7F4" w14:textId="77777777" w:rsidR="005E1674" w:rsidRPr="00CB11E3" w:rsidRDefault="005E1674">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Milestone</w:t>
            </w:r>
          </w:p>
        </w:tc>
        <w:tc>
          <w:tcPr>
            <w:tcW w:w="1760" w:type="dxa"/>
            <w:tcBorders>
              <w:top w:val="nil"/>
              <w:left w:val="single" w:sz="4" w:space="0" w:color="auto"/>
              <w:bottom w:val="single" w:sz="4" w:space="0" w:color="auto"/>
              <w:right w:val="single" w:sz="4" w:space="0" w:color="auto"/>
            </w:tcBorders>
            <w:shd w:val="clear" w:color="auto" w:fill="C6EFCE"/>
            <w:noWrap/>
          </w:tcPr>
          <w:p w14:paraId="276DAE97"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Entry into force of the legislative acts amending and supplementing the existing legislation on forests</w:t>
            </w:r>
          </w:p>
          <w:p w14:paraId="35CF8D41"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1760" w:type="dxa"/>
            <w:tcBorders>
              <w:top w:val="nil"/>
              <w:left w:val="single" w:sz="4" w:space="0" w:color="auto"/>
              <w:bottom w:val="single" w:sz="4" w:space="0" w:color="auto"/>
              <w:right w:val="single" w:sz="4" w:space="0" w:color="auto"/>
            </w:tcBorders>
            <w:shd w:val="clear" w:color="auto" w:fill="C6EFCE"/>
            <w:noWrap/>
          </w:tcPr>
          <w:p w14:paraId="766ACB81"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Provision in the law indicating the entry into force of the legislative acts </w:t>
            </w:r>
          </w:p>
        </w:tc>
        <w:tc>
          <w:tcPr>
            <w:tcW w:w="1088" w:type="dxa"/>
            <w:tcBorders>
              <w:top w:val="nil"/>
              <w:left w:val="single" w:sz="4" w:space="0" w:color="auto"/>
              <w:bottom w:val="single" w:sz="4" w:space="0" w:color="auto"/>
              <w:right w:val="single" w:sz="4" w:space="0" w:color="auto"/>
            </w:tcBorders>
            <w:shd w:val="clear" w:color="auto" w:fill="C6EFCE"/>
            <w:noWrap/>
          </w:tcPr>
          <w:p w14:paraId="7A0E0C58"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 </w:t>
            </w:r>
          </w:p>
        </w:tc>
        <w:tc>
          <w:tcPr>
            <w:tcW w:w="1357" w:type="dxa"/>
            <w:tcBorders>
              <w:top w:val="nil"/>
              <w:left w:val="single" w:sz="4" w:space="0" w:color="auto"/>
              <w:bottom w:val="single" w:sz="4" w:space="0" w:color="auto"/>
              <w:right w:val="single" w:sz="4" w:space="0" w:color="auto"/>
            </w:tcBorders>
            <w:shd w:val="clear" w:color="auto" w:fill="C6EFCE"/>
            <w:noWrap/>
          </w:tcPr>
          <w:p w14:paraId="07FC8F2C"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 </w:t>
            </w:r>
          </w:p>
        </w:tc>
        <w:tc>
          <w:tcPr>
            <w:tcW w:w="1089" w:type="dxa"/>
            <w:tcBorders>
              <w:top w:val="nil"/>
              <w:left w:val="single" w:sz="4" w:space="0" w:color="auto"/>
              <w:bottom w:val="single" w:sz="4" w:space="0" w:color="auto"/>
              <w:right w:val="single" w:sz="4" w:space="0" w:color="auto"/>
            </w:tcBorders>
            <w:shd w:val="clear" w:color="auto" w:fill="C6EFCE"/>
            <w:noWrap/>
          </w:tcPr>
          <w:p w14:paraId="7F0D408E"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 </w:t>
            </w:r>
          </w:p>
        </w:tc>
        <w:tc>
          <w:tcPr>
            <w:tcW w:w="1134" w:type="dxa"/>
            <w:tcBorders>
              <w:top w:val="nil"/>
              <w:left w:val="single" w:sz="4" w:space="0" w:color="auto"/>
              <w:bottom w:val="single" w:sz="4" w:space="0" w:color="auto"/>
              <w:right w:val="single" w:sz="4" w:space="0" w:color="auto"/>
            </w:tcBorders>
            <w:shd w:val="clear" w:color="auto" w:fill="C6EFCE"/>
            <w:noWrap/>
          </w:tcPr>
          <w:p w14:paraId="3A7282EB"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Q4</w:t>
            </w:r>
          </w:p>
        </w:tc>
        <w:tc>
          <w:tcPr>
            <w:tcW w:w="850" w:type="dxa"/>
            <w:tcBorders>
              <w:top w:val="nil"/>
              <w:left w:val="single" w:sz="4" w:space="0" w:color="auto"/>
              <w:bottom w:val="single" w:sz="4" w:space="0" w:color="auto"/>
              <w:right w:val="single" w:sz="4" w:space="0" w:color="auto"/>
            </w:tcBorders>
            <w:shd w:val="clear" w:color="auto" w:fill="C6EFCE"/>
            <w:noWrap/>
          </w:tcPr>
          <w:p w14:paraId="56154A9C"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2025</w:t>
            </w:r>
          </w:p>
        </w:tc>
        <w:tc>
          <w:tcPr>
            <w:tcW w:w="3294" w:type="dxa"/>
            <w:tcBorders>
              <w:top w:val="nil"/>
              <w:left w:val="single" w:sz="4" w:space="0" w:color="auto"/>
              <w:bottom w:val="single" w:sz="4" w:space="0" w:color="auto"/>
              <w:right w:val="single" w:sz="4" w:space="0" w:color="auto"/>
            </w:tcBorders>
            <w:shd w:val="clear" w:color="auto" w:fill="C6EFCE"/>
            <w:noWrap/>
          </w:tcPr>
          <w:p w14:paraId="09DC2954"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Entry into force of legal acts: </w:t>
            </w:r>
          </w:p>
          <w:p w14:paraId="5E2A2925"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(i) setting out amendments to the criminal penalty system;</w:t>
            </w:r>
          </w:p>
          <w:p w14:paraId="12796209"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(ii) establishing the methods for assessing damage to forest vegetation in forests and beyond;</w:t>
            </w:r>
          </w:p>
          <w:p w14:paraId="55B2B4D5"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(iii) sanctioning of forest offences, establishing calculation methods for the environmental and financial damage caused by illegal logging and other forest crime, </w:t>
            </w:r>
          </w:p>
          <w:p w14:paraId="43D026BF" w14:textId="436FE44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(iv) including provisions for combatting illegal logging and reorganising forest management</w:t>
            </w:r>
            <w:r w:rsidR="00D23D91" w:rsidRPr="00CB11E3">
              <w:rPr>
                <w:rFonts w:ascii="Times New Roman" w:hAnsi="Times New Roman" w:cs="Times New Roman"/>
                <w:noProof/>
                <w:sz w:val="20"/>
                <w:szCs w:val="20"/>
                <w:lang w:val="en-GB"/>
              </w:rPr>
              <w:t xml:space="preserve"> </w:t>
            </w:r>
            <w:r w:rsidRPr="00CB11E3">
              <w:rPr>
                <w:rFonts w:ascii="Times New Roman" w:hAnsi="Times New Roman" w:cs="Times New Roman"/>
                <w:noProof/>
                <w:sz w:val="20"/>
                <w:szCs w:val="20"/>
                <w:lang w:val="en-GB"/>
              </w:rPr>
              <w:t>(Government Decision No 229/2009).</w:t>
            </w:r>
          </w:p>
        </w:tc>
      </w:tr>
      <w:tr w:rsidR="005E1674" w:rsidRPr="00CB11E3" w14:paraId="786E9BFD" w14:textId="77777777">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64679B73" w14:textId="77777777" w:rsidR="005E1674" w:rsidRPr="00CB11E3" w:rsidRDefault="005E1674">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26</w:t>
            </w:r>
          </w:p>
        </w:tc>
        <w:tc>
          <w:tcPr>
            <w:tcW w:w="1491" w:type="dxa"/>
            <w:tcBorders>
              <w:top w:val="nil"/>
              <w:left w:val="single" w:sz="4" w:space="0" w:color="auto"/>
              <w:bottom w:val="single" w:sz="4" w:space="0" w:color="auto"/>
              <w:right w:val="single" w:sz="4" w:space="0" w:color="auto"/>
            </w:tcBorders>
            <w:shd w:val="clear" w:color="auto" w:fill="C6EFCE"/>
            <w:noWrap/>
          </w:tcPr>
          <w:p w14:paraId="75C37300" w14:textId="77777777" w:rsidR="005E1674" w:rsidRPr="00CB11E3" w:rsidRDefault="005E1674" w:rsidP="0061489A">
            <w:pPr>
              <w:spacing w:after="0" w:line="240" w:lineRule="auto"/>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Investment 1. Afforestation and reforestation national campaign, including urban forests</w:t>
            </w:r>
          </w:p>
        </w:tc>
        <w:tc>
          <w:tcPr>
            <w:tcW w:w="1222" w:type="dxa"/>
            <w:tcBorders>
              <w:top w:val="nil"/>
              <w:left w:val="single" w:sz="4" w:space="0" w:color="auto"/>
              <w:bottom w:val="single" w:sz="4" w:space="0" w:color="auto"/>
              <w:right w:val="single" w:sz="4" w:space="0" w:color="auto"/>
            </w:tcBorders>
            <w:shd w:val="clear" w:color="auto" w:fill="C6EFCE"/>
            <w:noWrap/>
          </w:tcPr>
          <w:p w14:paraId="661FBA3D" w14:textId="77777777" w:rsidR="005E1674" w:rsidRPr="00CB11E3" w:rsidRDefault="005E1674">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Target</w:t>
            </w:r>
          </w:p>
        </w:tc>
        <w:tc>
          <w:tcPr>
            <w:tcW w:w="1760" w:type="dxa"/>
            <w:tcBorders>
              <w:top w:val="nil"/>
              <w:left w:val="single" w:sz="4" w:space="0" w:color="auto"/>
              <w:bottom w:val="single" w:sz="4" w:space="0" w:color="auto"/>
              <w:right w:val="single" w:sz="4" w:space="0" w:color="auto"/>
            </w:tcBorders>
            <w:shd w:val="clear" w:color="auto" w:fill="C6EFCE"/>
            <w:noWrap/>
          </w:tcPr>
          <w:p w14:paraId="78900811" w14:textId="50D8920E" w:rsidR="005E1674" w:rsidRPr="00CB11E3" w:rsidRDefault="005E1674" w:rsidP="00CB11E3">
            <w:pPr>
              <w:spacing w:after="0" w:line="240" w:lineRule="auto"/>
              <w:jc w:val="both"/>
              <w:rPr>
                <w:rFonts w:ascii="Times New Roman" w:eastAsia="Times New Roman" w:hAnsi="Times New Roman" w:cs="Times New Roman"/>
                <w:noProof/>
                <w:sz w:val="20"/>
                <w:szCs w:val="20"/>
                <w:lang w:val="en-GB" w:eastAsia="en-GB"/>
              </w:rPr>
            </w:pPr>
            <w:r w:rsidRPr="00CB11E3">
              <w:rPr>
                <w:rFonts w:ascii="Times New Roman" w:hAnsi="Times New Roman" w:cs="Times New Roman"/>
                <w:noProof/>
                <w:sz w:val="20"/>
                <w:szCs w:val="20"/>
                <w:lang w:val="en-GB"/>
              </w:rPr>
              <w:t>New areas of afforested or reforested land</w:t>
            </w:r>
          </w:p>
        </w:tc>
        <w:tc>
          <w:tcPr>
            <w:tcW w:w="1760" w:type="dxa"/>
            <w:tcBorders>
              <w:top w:val="nil"/>
              <w:left w:val="single" w:sz="4" w:space="0" w:color="auto"/>
              <w:bottom w:val="single" w:sz="4" w:space="0" w:color="auto"/>
              <w:right w:val="single" w:sz="4" w:space="0" w:color="auto"/>
            </w:tcBorders>
            <w:shd w:val="clear" w:color="auto" w:fill="C6EFCE"/>
            <w:noWrap/>
          </w:tcPr>
          <w:p w14:paraId="4892676A"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 </w:t>
            </w:r>
          </w:p>
        </w:tc>
        <w:tc>
          <w:tcPr>
            <w:tcW w:w="1088" w:type="dxa"/>
            <w:tcBorders>
              <w:top w:val="nil"/>
              <w:left w:val="single" w:sz="4" w:space="0" w:color="auto"/>
              <w:bottom w:val="single" w:sz="4" w:space="0" w:color="auto"/>
              <w:right w:val="single" w:sz="4" w:space="0" w:color="auto"/>
            </w:tcBorders>
            <w:shd w:val="clear" w:color="auto" w:fill="C6EFCE"/>
            <w:noWrap/>
          </w:tcPr>
          <w:p w14:paraId="3396356F"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ha</w:t>
            </w:r>
          </w:p>
        </w:tc>
        <w:tc>
          <w:tcPr>
            <w:tcW w:w="1357" w:type="dxa"/>
            <w:tcBorders>
              <w:top w:val="nil"/>
              <w:left w:val="single" w:sz="4" w:space="0" w:color="auto"/>
              <w:bottom w:val="single" w:sz="4" w:space="0" w:color="auto"/>
              <w:right w:val="single" w:sz="4" w:space="0" w:color="auto"/>
            </w:tcBorders>
            <w:shd w:val="clear" w:color="auto" w:fill="C6EFCE"/>
            <w:noWrap/>
          </w:tcPr>
          <w:p w14:paraId="248CBAB1"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0</w:t>
            </w:r>
          </w:p>
        </w:tc>
        <w:tc>
          <w:tcPr>
            <w:tcW w:w="1089" w:type="dxa"/>
            <w:tcBorders>
              <w:top w:val="nil"/>
              <w:left w:val="single" w:sz="4" w:space="0" w:color="auto"/>
              <w:bottom w:val="single" w:sz="4" w:space="0" w:color="auto"/>
              <w:right w:val="single" w:sz="4" w:space="0" w:color="auto"/>
            </w:tcBorders>
            <w:shd w:val="clear" w:color="auto" w:fill="C6EFCE"/>
            <w:noWrap/>
          </w:tcPr>
          <w:p w14:paraId="45E2EA33"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18 000 </w:t>
            </w:r>
          </w:p>
        </w:tc>
        <w:tc>
          <w:tcPr>
            <w:tcW w:w="1134" w:type="dxa"/>
            <w:tcBorders>
              <w:top w:val="nil"/>
              <w:left w:val="single" w:sz="4" w:space="0" w:color="auto"/>
              <w:bottom w:val="single" w:sz="4" w:space="0" w:color="auto"/>
              <w:right w:val="single" w:sz="4" w:space="0" w:color="auto"/>
            </w:tcBorders>
            <w:shd w:val="clear" w:color="auto" w:fill="C6EFCE"/>
            <w:noWrap/>
          </w:tcPr>
          <w:p w14:paraId="2D3F6E76"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Q2</w:t>
            </w:r>
          </w:p>
        </w:tc>
        <w:tc>
          <w:tcPr>
            <w:tcW w:w="850" w:type="dxa"/>
            <w:tcBorders>
              <w:top w:val="nil"/>
              <w:left w:val="single" w:sz="4" w:space="0" w:color="auto"/>
              <w:bottom w:val="single" w:sz="4" w:space="0" w:color="auto"/>
              <w:right w:val="single" w:sz="4" w:space="0" w:color="auto"/>
            </w:tcBorders>
            <w:shd w:val="clear" w:color="auto" w:fill="C6EFCE"/>
            <w:noWrap/>
          </w:tcPr>
          <w:p w14:paraId="757D66BA"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2026</w:t>
            </w:r>
          </w:p>
        </w:tc>
        <w:tc>
          <w:tcPr>
            <w:tcW w:w="3294" w:type="dxa"/>
            <w:tcBorders>
              <w:top w:val="nil"/>
              <w:left w:val="single" w:sz="4" w:space="0" w:color="auto"/>
              <w:bottom w:val="single" w:sz="4" w:space="0" w:color="auto"/>
              <w:right w:val="single" w:sz="4" w:space="0" w:color="auto"/>
            </w:tcBorders>
            <w:shd w:val="clear" w:color="auto" w:fill="C6EFCE"/>
            <w:noWrap/>
          </w:tcPr>
          <w:p w14:paraId="75EF4D1F" w14:textId="1F67F98E" w:rsidR="005E1674" w:rsidRPr="00CB11E3" w:rsidRDefault="005E1674" w:rsidP="00CB11E3">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New areas of afforested or reforested land (total 18</w:t>
            </w:r>
            <w:r w:rsidR="002E344C" w:rsidRPr="00CB11E3">
              <w:rPr>
                <w:rFonts w:ascii="Times New Roman" w:eastAsia="Calibri" w:hAnsi="Times New Roman" w:cs="Times New Roman"/>
                <w:noProof/>
                <w:sz w:val="20"/>
                <w:szCs w:val="20"/>
                <w:lang w:val="en-GB"/>
              </w:rPr>
              <w:t> </w:t>
            </w:r>
            <w:r w:rsidRPr="00CB11E3">
              <w:rPr>
                <w:rFonts w:ascii="Times New Roman" w:hAnsi="Times New Roman" w:cs="Times New Roman"/>
                <w:noProof/>
                <w:sz w:val="20"/>
                <w:szCs w:val="20"/>
                <w:lang w:val="en-GB"/>
              </w:rPr>
              <w:t>000 ha).</w:t>
            </w:r>
          </w:p>
        </w:tc>
      </w:tr>
      <w:tr w:rsidR="005E1674" w:rsidRPr="00CB11E3" w14:paraId="2D5BFF7E" w14:textId="77777777">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46633152" w14:textId="77777777" w:rsidR="005E1674" w:rsidRPr="00CB11E3" w:rsidRDefault="005E1674">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28</w:t>
            </w:r>
          </w:p>
        </w:tc>
        <w:tc>
          <w:tcPr>
            <w:tcW w:w="1491" w:type="dxa"/>
            <w:tcBorders>
              <w:top w:val="nil"/>
              <w:left w:val="single" w:sz="4" w:space="0" w:color="auto"/>
              <w:bottom w:val="single" w:sz="4" w:space="0" w:color="auto"/>
              <w:right w:val="single" w:sz="4" w:space="0" w:color="auto"/>
            </w:tcBorders>
            <w:shd w:val="clear" w:color="auto" w:fill="C6EFCE"/>
            <w:noWrap/>
          </w:tcPr>
          <w:p w14:paraId="6667ECBB"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Investment 1. Afforestation and reforestation national campaign, including urban forests</w:t>
            </w:r>
          </w:p>
        </w:tc>
        <w:tc>
          <w:tcPr>
            <w:tcW w:w="1222" w:type="dxa"/>
            <w:tcBorders>
              <w:top w:val="nil"/>
              <w:left w:val="single" w:sz="4" w:space="0" w:color="auto"/>
              <w:bottom w:val="single" w:sz="4" w:space="0" w:color="auto"/>
              <w:right w:val="single" w:sz="4" w:space="0" w:color="auto"/>
            </w:tcBorders>
            <w:shd w:val="clear" w:color="auto" w:fill="C6EFCE"/>
            <w:noWrap/>
          </w:tcPr>
          <w:p w14:paraId="3BF1A8E3" w14:textId="77777777" w:rsidR="005E1674" w:rsidRPr="00CB11E3" w:rsidRDefault="005E1674">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Target</w:t>
            </w:r>
          </w:p>
        </w:tc>
        <w:tc>
          <w:tcPr>
            <w:tcW w:w="1760" w:type="dxa"/>
            <w:tcBorders>
              <w:top w:val="nil"/>
              <w:left w:val="single" w:sz="4" w:space="0" w:color="auto"/>
              <w:bottom w:val="single" w:sz="4" w:space="0" w:color="auto"/>
              <w:right w:val="single" w:sz="4" w:space="0" w:color="auto"/>
            </w:tcBorders>
            <w:shd w:val="clear" w:color="auto" w:fill="C6EFCE"/>
            <w:noWrap/>
          </w:tcPr>
          <w:p w14:paraId="40E8D5F8"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New areas of urban forests created</w:t>
            </w:r>
          </w:p>
          <w:p w14:paraId="3F656C34"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p w14:paraId="30F4C9F4"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 </w:t>
            </w:r>
          </w:p>
        </w:tc>
        <w:tc>
          <w:tcPr>
            <w:tcW w:w="1760" w:type="dxa"/>
            <w:tcBorders>
              <w:top w:val="nil"/>
              <w:left w:val="single" w:sz="4" w:space="0" w:color="auto"/>
              <w:bottom w:val="single" w:sz="4" w:space="0" w:color="auto"/>
              <w:right w:val="single" w:sz="4" w:space="0" w:color="auto"/>
            </w:tcBorders>
            <w:shd w:val="clear" w:color="auto" w:fill="C6EFCE"/>
            <w:noWrap/>
          </w:tcPr>
          <w:p w14:paraId="39F45EEC"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 </w:t>
            </w:r>
          </w:p>
        </w:tc>
        <w:tc>
          <w:tcPr>
            <w:tcW w:w="1088" w:type="dxa"/>
            <w:tcBorders>
              <w:top w:val="nil"/>
              <w:left w:val="single" w:sz="4" w:space="0" w:color="auto"/>
              <w:bottom w:val="single" w:sz="4" w:space="0" w:color="auto"/>
              <w:right w:val="single" w:sz="4" w:space="0" w:color="auto"/>
            </w:tcBorders>
            <w:shd w:val="clear" w:color="auto" w:fill="C6EFCE"/>
            <w:noWrap/>
          </w:tcPr>
          <w:p w14:paraId="6EEA4FEF"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m</w:t>
            </w:r>
            <w:r w:rsidRPr="00CB11E3">
              <w:rPr>
                <w:rFonts w:ascii="Times New Roman" w:hAnsi="Times New Roman" w:cs="Times New Roman"/>
                <w:noProof/>
                <w:sz w:val="20"/>
                <w:szCs w:val="20"/>
                <w:vertAlign w:val="superscript"/>
                <w:lang w:val="en-GB"/>
              </w:rPr>
              <w:t>2</w:t>
            </w:r>
          </w:p>
        </w:tc>
        <w:tc>
          <w:tcPr>
            <w:tcW w:w="1357" w:type="dxa"/>
            <w:tcBorders>
              <w:top w:val="nil"/>
              <w:left w:val="single" w:sz="4" w:space="0" w:color="auto"/>
              <w:bottom w:val="single" w:sz="4" w:space="0" w:color="auto"/>
              <w:right w:val="single" w:sz="4" w:space="0" w:color="auto"/>
            </w:tcBorders>
            <w:shd w:val="clear" w:color="auto" w:fill="C6EFCE"/>
            <w:noWrap/>
          </w:tcPr>
          <w:p w14:paraId="2E09799D"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0</w:t>
            </w:r>
          </w:p>
        </w:tc>
        <w:tc>
          <w:tcPr>
            <w:tcW w:w="1089" w:type="dxa"/>
            <w:tcBorders>
              <w:top w:val="nil"/>
              <w:left w:val="single" w:sz="4" w:space="0" w:color="auto"/>
              <w:bottom w:val="single" w:sz="4" w:space="0" w:color="auto"/>
              <w:right w:val="single" w:sz="4" w:space="0" w:color="auto"/>
            </w:tcBorders>
            <w:shd w:val="clear" w:color="auto" w:fill="C6EFCE"/>
            <w:noWrap/>
          </w:tcPr>
          <w:p w14:paraId="3C8B4431"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130 000</w:t>
            </w:r>
          </w:p>
        </w:tc>
        <w:tc>
          <w:tcPr>
            <w:tcW w:w="1134" w:type="dxa"/>
            <w:tcBorders>
              <w:top w:val="nil"/>
              <w:left w:val="single" w:sz="4" w:space="0" w:color="auto"/>
              <w:bottom w:val="single" w:sz="4" w:space="0" w:color="auto"/>
              <w:right w:val="single" w:sz="4" w:space="0" w:color="auto"/>
            </w:tcBorders>
            <w:shd w:val="clear" w:color="auto" w:fill="C6EFCE"/>
            <w:noWrap/>
          </w:tcPr>
          <w:p w14:paraId="45C3E291"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Q2</w:t>
            </w:r>
          </w:p>
        </w:tc>
        <w:tc>
          <w:tcPr>
            <w:tcW w:w="850" w:type="dxa"/>
            <w:tcBorders>
              <w:top w:val="nil"/>
              <w:left w:val="single" w:sz="4" w:space="0" w:color="auto"/>
              <w:bottom w:val="single" w:sz="4" w:space="0" w:color="auto"/>
              <w:right w:val="single" w:sz="4" w:space="0" w:color="auto"/>
            </w:tcBorders>
            <w:shd w:val="clear" w:color="auto" w:fill="C6EFCE"/>
            <w:noWrap/>
          </w:tcPr>
          <w:p w14:paraId="06D7BB8E"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2026</w:t>
            </w:r>
          </w:p>
        </w:tc>
        <w:tc>
          <w:tcPr>
            <w:tcW w:w="3294" w:type="dxa"/>
            <w:tcBorders>
              <w:top w:val="nil"/>
              <w:left w:val="single" w:sz="4" w:space="0" w:color="auto"/>
              <w:bottom w:val="single" w:sz="4" w:space="0" w:color="auto"/>
              <w:right w:val="single" w:sz="4" w:space="0" w:color="auto"/>
            </w:tcBorders>
            <w:shd w:val="clear" w:color="auto" w:fill="C6EFCE"/>
            <w:noWrap/>
          </w:tcPr>
          <w:p w14:paraId="1D42F920"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New areas of urban forests (total 130 000 m</w:t>
            </w:r>
            <w:r w:rsidRPr="00CB11E3">
              <w:rPr>
                <w:rFonts w:ascii="Times New Roman" w:hAnsi="Times New Roman" w:cs="Times New Roman"/>
                <w:noProof/>
                <w:sz w:val="20"/>
                <w:szCs w:val="20"/>
                <w:vertAlign w:val="superscript"/>
                <w:lang w:val="en-GB"/>
              </w:rPr>
              <w:t>2</w:t>
            </w:r>
            <w:r w:rsidRPr="00CB11E3">
              <w:rPr>
                <w:rFonts w:ascii="Times New Roman" w:hAnsi="Times New Roman" w:cs="Times New Roman"/>
                <w:noProof/>
                <w:sz w:val="20"/>
                <w:szCs w:val="20"/>
                <w:lang w:val="en-GB"/>
              </w:rPr>
              <w:t xml:space="preserve">). </w:t>
            </w:r>
          </w:p>
        </w:tc>
      </w:tr>
      <w:tr w:rsidR="005E1674" w:rsidRPr="00CB11E3" w14:paraId="20A7744D" w14:textId="77777777">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3D654776" w14:textId="77777777" w:rsidR="005E1674" w:rsidRPr="00CB11E3" w:rsidRDefault="005E1674">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29</w:t>
            </w:r>
          </w:p>
        </w:tc>
        <w:tc>
          <w:tcPr>
            <w:tcW w:w="1491" w:type="dxa"/>
            <w:tcBorders>
              <w:top w:val="nil"/>
              <w:left w:val="single" w:sz="4" w:space="0" w:color="auto"/>
              <w:bottom w:val="single" w:sz="4" w:space="0" w:color="auto"/>
              <w:right w:val="single" w:sz="4" w:space="0" w:color="auto"/>
            </w:tcBorders>
            <w:shd w:val="clear" w:color="auto" w:fill="C6EFCE"/>
            <w:noWrap/>
          </w:tcPr>
          <w:p w14:paraId="717346AA"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Investment 2. Modern production capacities of forest reproduction material </w:t>
            </w:r>
          </w:p>
        </w:tc>
        <w:tc>
          <w:tcPr>
            <w:tcW w:w="1222" w:type="dxa"/>
            <w:tcBorders>
              <w:top w:val="nil"/>
              <w:left w:val="single" w:sz="4" w:space="0" w:color="auto"/>
              <w:bottom w:val="single" w:sz="4" w:space="0" w:color="auto"/>
              <w:right w:val="single" w:sz="4" w:space="0" w:color="auto"/>
            </w:tcBorders>
            <w:shd w:val="clear" w:color="auto" w:fill="C6EFCE"/>
            <w:noWrap/>
          </w:tcPr>
          <w:p w14:paraId="6E6AEEED" w14:textId="77777777" w:rsidR="005E1674" w:rsidRPr="00CB11E3" w:rsidRDefault="005E1674">
            <w:pPr>
              <w:spacing w:after="0" w:line="240" w:lineRule="auto"/>
              <w:jc w:val="center"/>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Target</w:t>
            </w:r>
          </w:p>
        </w:tc>
        <w:tc>
          <w:tcPr>
            <w:tcW w:w="1760" w:type="dxa"/>
            <w:tcBorders>
              <w:top w:val="nil"/>
              <w:left w:val="single" w:sz="4" w:space="0" w:color="auto"/>
              <w:bottom w:val="single" w:sz="4" w:space="0" w:color="auto"/>
              <w:right w:val="single" w:sz="4" w:space="0" w:color="auto"/>
            </w:tcBorders>
            <w:shd w:val="clear" w:color="auto" w:fill="C6EFCE"/>
            <w:noWrap/>
          </w:tcPr>
          <w:p w14:paraId="175CEE04"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New or rehabilitated tree nurseries </w:t>
            </w:r>
          </w:p>
        </w:tc>
        <w:tc>
          <w:tcPr>
            <w:tcW w:w="1760" w:type="dxa"/>
            <w:tcBorders>
              <w:top w:val="nil"/>
              <w:left w:val="single" w:sz="4" w:space="0" w:color="auto"/>
              <w:bottom w:val="single" w:sz="4" w:space="0" w:color="auto"/>
              <w:right w:val="single" w:sz="4" w:space="0" w:color="auto"/>
            </w:tcBorders>
            <w:shd w:val="clear" w:color="auto" w:fill="C6EFCE"/>
            <w:noWrap/>
          </w:tcPr>
          <w:p w14:paraId="6323C2ED"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 </w:t>
            </w:r>
          </w:p>
        </w:tc>
        <w:tc>
          <w:tcPr>
            <w:tcW w:w="1088" w:type="dxa"/>
            <w:tcBorders>
              <w:top w:val="nil"/>
              <w:left w:val="single" w:sz="4" w:space="0" w:color="auto"/>
              <w:bottom w:val="single" w:sz="4" w:space="0" w:color="auto"/>
              <w:right w:val="single" w:sz="4" w:space="0" w:color="auto"/>
            </w:tcBorders>
            <w:shd w:val="clear" w:color="auto" w:fill="C6EFCE"/>
            <w:noWrap/>
          </w:tcPr>
          <w:p w14:paraId="6DF9F621"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Number</w:t>
            </w:r>
          </w:p>
        </w:tc>
        <w:tc>
          <w:tcPr>
            <w:tcW w:w="1357" w:type="dxa"/>
            <w:tcBorders>
              <w:top w:val="nil"/>
              <w:left w:val="single" w:sz="4" w:space="0" w:color="auto"/>
              <w:bottom w:val="single" w:sz="4" w:space="0" w:color="auto"/>
              <w:right w:val="single" w:sz="4" w:space="0" w:color="auto"/>
            </w:tcBorders>
            <w:shd w:val="clear" w:color="auto" w:fill="C6EFCE"/>
            <w:noWrap/>
          </w:tcPr>
          <w:p w14:paraId="29644FBE"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0</w:t>
            </w:r>
          </w:p>
        </w:tc>
        <w:tc>
          <w:tcPr>
            <w:tcW w:w="1089" w:type="dxa"/>
            <w:tcBorders>
              <w:top w:val="nil"/>
              <w:left w:val="single" w:sz="4" w:space="0" w:color="auto"/>
              <w:bottom w:val="single" w:sz="4" w:space="0" w:color="auto"/>
              <w:right w:val="single" w:sz="4" w:space="0" w:color="auto"/>
            </w:tcBorders>
            <w:shd w:val="clear" w:color="auto" w:fill="C6EFCE"/>
            <w:noWrap/>
          </w:tcPr>
          <w:p w14:paraId="0853FA54"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90</w:t>
            </w:r>
          </w:p>
        </w:tc>
        <w:tc>
          <w:tcPr>
            <w:tcW w:w="1134" w:type="dxa"/>
            <w:tcBorders>
              <w:top w:val="nil"/>
              <w:left w:val="single" w:sz="4" w:space="0" w:color="auto"/>
              <w:bottom w:val="single" w:sz="4" w:space="0" w:color="auto"/>
              <w:right w:val="single" w:sz="4" w:space="0" w:color="auto"/>
            </w:tcBorders>
            <w:shd w:val="clear" w:color="auto" w:fill="C6EFCE"/>
            <w:noWrap/>
          </w:tcPr>
          <w:p w14:paraId="18B714E0"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Q2</w:t>
            </w:r>
          </w:p>
        </w:tc>
        <w:tc>
          <w:tcPr>
            <w:tcW w:w="850" w:type="dxa"/>
            <w:tcBorders>
              <w:top w:val="nil"/>
              <w:left w:val="single" w:sz="4" w:space="0" w:color="auto"/>
              <w:bottom w:val="single" w:sz="4" w:space="0" w:color="auto"/>
              <w:right w:val="single" w:sz="4" w:space="0" w:color="auto"/>
            </w:tcBorders>
            <w:shd w:val="clear" w:color="auto" w:fill="C6EFCE"/>
            <w:noWrap/>
          </w:tcPr>
          <w:p w14:paraId="42A89D3B"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2026</w:t>
            </w:r>
          </w:p>
        </w:tc>
        <w:tc>
          <w:tcPr>
            <w:tcW w:w="3294" w:type="dxa"/>
            <w:tcBorders>
              <w:top w:val="nil"/>
              <w:left w:val="single" w:sz="4" w:space="0" w:color="auto"/>
              <w:bottom w:val="single" w:sz="4" w:space="0" w:color="auto"/>
              <w:right w:val="single" w:sz="4" w:space="0" w:color="auto"/>
            </w:tcBorders>
            <w:shd w:val="clear" w:color="auto" w:fill="C6EFCE"/>
            <w:noWrap/>
          </w:tcPr>
          <w:p w14:paraId="59A4C1B0"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A total of 90 tree nurseries shall be either constructed or rehabilitated.</w:t>
            </w:r>
            <w:r w:rsidRPr="00CB11E3">
              <w:rPr>
                <w:rFonts w:ascii="Times New Roman" w:hAnsi="Times New Roman" w:cs="Times New Roman"/>
                <w:noProof/>
                <w:sz w:val="20"/>
                <w:szCs w:val="20"/>
              </w:rPr>
              <w:t xml:space="preserve"> </w:t>
            </w:r>
            <w:r w:rsidRPr="00CB11E3">
              <w:rPr>
                <w:rFonts w:ascii="Times New Roman" w:hAnsi="Times New Roman" w:cs="Times New Roman"/>
                <w:noProof/>
                <w:sz w:val="20"/>
                <w:szCs w:val="20"/>
                <w:lang w:val="en-GB"/>
              </w:rPr>
              <w:t>The production of reproductive material shall include tree species that are suitable for Romania’s future projected climatic conditions.</w:t>
            </w:r>
          </w:p>
        </w:tc>
      </w:tr>
      <w:tr w:rsidR="005E1674" w:rsidRPr="00CB11E3" w14:paraId="2A52D747" w14:textId="77777777">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53256F02" w14:textId="77777777" w:rsidR="005E1674" w:rsidRPr="00CB11E3" w:rsidRDefault="005E1674">
            <w:pPr>
              <w:spacing w:after="0" w:line="240" w:lineRule="auto"/>
              <w:jc w:val="center"/>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34</w:t>
            </w:r>
          </w:p>
        </w:tc>
        <w:tc>
          <w:tcPr>
            <w:tcW w:w="1491" w:type="dxa"/>
            <w:tcBorders>
              <w:top w:val="nil"/>
              <w:left w:val="nil"/>
              <w:bottom w:val="single" w:sz="4" w:space="0" w:color="auto"/>
              <w:right w:val="single" w:sz="4" w:space="0" w:color="auto"/>
            </w:tcBorders>
            <w:shd w:val="clear" w:color="auto" w:fill="C6EFCE"/>
            <w:noWrap/>
          </w:tcPr>
          <w:p w14:paraId="5E20930A"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Investment 3 Identification of potential areas for strict protection in natural terrestrial and marine habitats in line with the EU Biodiversity Strategy for 2030</w:t>
            </w:r>
          </w:p>
        </w:tc>
        <w:tc>
          <w:tcPr>
            <w:tcW w:w="1222" w:type="dxa"/>
            <w:tcBorders>
              <w:top w:val="nil"/>
              <w:left w:val="nil"/>
              <w:bottom w:val="single" w:sz="4" w:space="0" w:color="auto"/>
              <w:right w:val="single" w:sz="4" w:space="0" w:color="auto"/>
            </w:tcBorders>
            <w:shd w:val="clear" w:color="auto" w:fill="C6EFCE"/>
            <w:noWrap/>
          </w:tcPr>
          <w:p w14:paraId="22B5D561" w14:textId="77777777" w:rsidR="005E1674" w:rsidRPr="00CB11E3" w:rsidRDefault="005E1674">
            <w:pPr>
              <w:spacing w:after="0" w:line="240" w:lineRule="auto"/>
              <w:jc w:val="center"/>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Milestone</w:t>
            </w:r>
          </w:p>
        </w:tc>
        <w:tc>
          <w:tcPr>
            <w:tcW w:w="1760" w:type="dxa"/>
            <w:tcBorders>
              <w:top w:val="nil"/>
              <w:left w:val="nil"/>
              <w:bottom w:val="single" w:sz="4" w:space="0" w:color="auto"/>
              <w:right w:val="single" w:sz="4" w:space="0" w:color="auto"/>
            </w:tcBorders>
            <w:shd w:val="clear" w:color="auto" w:fill="C6EFCE"/>
            <w:noWrap/>
          </w:tcPr>
          <w:p w14:paraId="34C7AF8C"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Entry into force of legal act(s) for the designation of strictly protected areas </w:t>
            </w:r>
          </w:p>
          <w:p w14:paraId="6BA6685F"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760" w:type="dxa"/>
            <w:tcBorders>
              <w:top w:val="nil"/>
              <w:left w:val="nil"/>
              <w:bottom w:val="single" w:sz="4" w:space="0" w:color="auto"/>
              <w:right w:val="single" w:sz="4" w:space="0" w:color="auto"/>
            </w:tcBorders>
            <w:shd w:val="clear" w:color="auto" w:fill="C6EFCE"/>
            <w:noWrap/>
          </w:tcPr>
          <w:p w14:paraId="69FEEE88"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Provision in the law indicating the entry into force of legal act(s)</w:t>
            </w:r>
          </w:p>
        </w:tc>
        <w:tc>
          <w:tcPr>
            <w:tcW w:w="1088" w:type="dxa"/>
            <w:tcBorders>
              <w:top w:val="nil"/>
              <w:left w:val="nil"/>
              <w:bottom w:val="single" w:sz="4" w:space="0" w:color="auto"/>
              <w:right w:val="single" w:sz="4" w:space="0" w:color="auto"/>
            </w:tcBorders>
            <w:shd w:val="clear" w:color="auto" w:fill="C6EFCE"/>
            <w:noWrap/>
          </w:tcPr>
          <w:p w14:paraId="7411D881"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357" w:type="dxa"/>
            <w:tcBorders>
              <w:top w:val="nil"/>
              <w:left w:val="nil"/>
              <w:bottom w:val="single" w:sz="4" w:space="0" w:color="auto"/>
              <w:right w:val="single" w:sz="4" w:space="0" w:color="auto"/>
            </w:tcBorders>
            <w:shd w:val="clear" w:color="auto" w:fill="C6EFCE"/>
            <w:noWrap/>
          </w:tcPr>
          <w:p w14:paraId="6BABCBCA"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089" w:type="dxa"/>
            <w:tcBorders>
              <w:top w:val="nil"/>
              <w:left w:val="nil"/>
              <w:bottom w:val="single" w:sz="4" w:space="0" w:color="auto"/>
              <w:right w:val="single" w:sz="4" w:space="0" w:color="auto"/>
            </w:tcBorders>
            <w:shd w:val="clear" w:color="auto" w:fill="C6EFCE"/>
            <w:noWrap/>
          </w:tcPr>
          <w:p w14:paraId="38B5F932"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134" w:type="dxa"/>
            <w:tcBorders>
              <w:top w:val="nil"/>
              <w:left w:val="nil"/>
              <w:bottom w:val="single" w:sz="4" w:space="0" w:color="auto"/>
              <w:right w:val="single" w:sz="4" w:space="0" w:color="auto"/>
            </w:tcBorders>
            <w:shd w:val="clear" w:color="auto" w:fill="C6EFCE"/>
            <w:noWrap/>
          </w:tcPr>
          <w:p w14:paraId="3825D3E6"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Q2</w:t>
            </w:r>
          </w:p>
        </w:tc>
        <w:tc>
          <w:tcPr>
            <w:tcW w:w="850" w:type="dxa"/>
            <w:tcBorders>
              <w:top w:val="nil"/>
              <w:left w:val="nil"/>
              <w:bottom w:val="single" w:sz="4" w:space="0" w:color="auto"/>
              <w:right w:val="single" w:sz="4" w:space="0" w:color="auto"/>
            </w:tcBorders>
            <w:shd w:val="clear" w:color="auto" w:fill="C6EFCE"/>
            <w:noWrap/>
          </w:tcPr>
          <w:p w14:paraId="1E3EE524"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2026</w:t>
            </w:r>
          </w:p>
        </w:tc>
        <w:tc>
          <w:tcPr>
            <w:tcW w:w="3294" w:type="dxa"/>
            <w:tcBorders>
              <w:top w:val="nil"/>
              <w:left w:val="nil"/>
              <w:bottom w:val="single" w:sz="4" w:space="0" w:color="auto"/>
              <w:right w:val="single" w:sz="4" w:space="0" w:color="auto"/>
            </w:tcBorders>
            <w:shd w:val="clear" w:color="auto" w:fill="C6EFCE"/>
            <w:noWrap/>
          </w:tcPr>
          <w:p w14:paraId="6DE94D99"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Entry into force of legal act(s) for the designation of strictly protected areas (in the sense of the EU Biodiversity Strategy 2030 and which can be referred to under a different name in the Romanian legal acts) identified in Natura 2000 protected areas and additional areas.</w:t>
            </w:r>
          </w:p>
        </w:tc>
      </w:tr>
      <w:tr w:rsidR="005E1674" w:rsidRPr="00CB11E3" w14:paraId="578FA4DB" w14:textId="77777777">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47197976" w14:textId="77777777" w:rsidR="005E1674" w:rsidRPr="00CB11E3" w:rsidRDefault="005E1674">
            <w:pPr>
              <w:spacing w:after="0" w:line="240" w:lineRule="auto"/>
              <w:jc w:val="center"/>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39</w:t>
            </w:r>
          </w:p>
        </w:tc>
        <w:tc>
          <w:tcPr>
            <w:tcW w:w="1491" w:type="dxa"/>
            <w:tcBorders>
              <w:top w:val="nil"/>
              <w:left w:val="nil"/>
              <w:bottom w:val="single" w:sz="4" w:space="0" w:color="auto"/>
              <w:right w:val="single" w:sz="4" w:space="0" w:color="auto"/>
            </w:tcBorders>
            <w:shd w:val="clear" w:color="auto" w:fill="C6EFCE"/>
            <w:noWrap/>
          </w:tcPr>
          <w:p w14:paraId="37558653"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Investment 4 Monitoring system for wild sturgeons along the Lower Danube</w:t>
            </w:r>
          </w:p>
        </w:tc>
        <w:tc>
          <w:tcPr>
            <w:tcW w:w="1222" w:type="dxa"/>
            <w:tcBorders>
              <w:top w:val="nil"/>
              <w:left w:val="nil"/>
              <w:bottom w:val="single" w:sz="4" w:space="0" w:color="auto"/>
              <w:right w:val="single" w:sz="4" w:space="0" w:color="auto"/>
            </w:tcBorders>
            <w:shd w:val="clear" w:color="auto" w:fill="C6EFCE"/>
            <w:noWrap/>
          </w:tcPr>
          <w:p w14:paraId="670EEB8D" w14:textId="77777777" w:rsidR="005E1674" w:rsidRPr="00CB11E3" w:rsidRDefault="005E1674">
            <w:pPr>
              <w:spacing w:after="0" w:line="240" w:lineRule="auto"/>
              <w:jc w:val="center"/>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Milestone</w:t>
            </w:r>
          </w:p>
        </w:tc>
        <w:tc>
          <w:tcPr>
            <w:tcW w:w="1760" w:type="dxa"/>
            <w:tcBorders>
              <w:top w:val="nil"/>
              <w:left w:val="nil"/>
              <w:bottom w:val="single" w:sz="4" w:space="0" w:color="auto"/>
              <w:right w:val="single" w:sz="4" w:space="0" w:color="auto"/>
            </w:tcBorders>
            <w:shd w:val="clear" w:color="auto" w:fill="C6EFCE"/>
            <w:noWrap/>
          </w:tcPr>
          <w:p w14:paraId="426F726A"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Delivery of equipment and vehicles for monitoring of wild sturgeon data </w:t>
            </w:r>
          </w:p>
        </w:tc>
        <w:tc>
          <w:tcPr>
            <w:tcW w:w="1760" w:type="dxa"/>
            <w:tcBorders>
              <w:top w:val="nil"/>
              <w:left w:val="nil"/>
              <w:bottom w:val="single" w:sz="4" w:space="0" w:color="auto"/>
              <w:right w:val="single" w:sz="4" w:space="0" w:color="auto"/>
            </w:tcBorders>
            <w:shd w:val="clear" w:color="auto" w:fill="C6EFCE"/>
            <w:noWrap/>
          </w:tcPr>
          <w:p w14:paraId="48851F74"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Equipment and vehicles delivered </w:t>
            </w:r>
          </w:p>
        </w:tc>
        <w:tc>
          <w:tcPr>
            <w:tcW w:w="1088" w:type="dxa"/>
            <w:tcBorders>
              <w:top w:val="nil"/>
              <w:left w:val="nil"/>
              <w:bottom w:val="single" w:sz="4" w:space="0" w:color="auto"/>
              <w:right w:val="single" w:sz="4" w:space="0" w:color="auto"/>
            </w:tcBorders>
            <w:shd w:val="clear" w:color="auto" w:fill="C6EFCE"/>
            <w:noWrap/>
          </w:tcPr>
          <w:p w14:paraId="361481E7"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357" w:type="dxa"/>
            <w:tcBorders>
              <w:top w:val="nil"/>
              <w:left w:val="nil"/>
              <w:bottom w:val="single" w:sz="4" w:space="0" w:color="auto"/>
              <w:right w:val="single" w:sz="4" w:space="0" w:color="auto"/>
            </w:tcBorders>
            <w:shd w:val="clear" w:color="auto" w:fill="C6EFCE"/>
            <w:noWrap/>
          </w:tcPr>
          <w:p w14:paraId="4BC84FD0"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089" w:type="dxa"/>
            <w:tcBorders>
              <w:top w:val="nil"/>
              <w:left w:val="nil"/>
              <w:bottom w:val="single" w:sz="4" w:space="0" w:color="auto"/>
              <w:right w:val="single" w:sz="4" w:space="0" w:color="auto"/>
            </w:tcBorders>
            <w:shd w:val="clear" w:color="auto" w:fill="C6EFCE"/>
            <w:noWrap/>
          </w:tcPr>
          <w:p w14:paraId="5EAAB0AF"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134" w:type="dxa"/>
            <w:tcBorders>
              <w:top w:val="nil"/>
              <w:left w:val="nil"/>
              <w:bottom w:val="single" w:sz="4" w:space="0" w:color="auto"/>
              <w:right w:val="single" w:sz="4" w:space="0" w:color="auto"/>
            </w:tcBorders>
            <w:shd w:val="clear" w:color="auto" w:fill="C6EFCE"/>
            <w:noWrap/>
          </w:tcPr>
          <w:p w14:paraId="55490669"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Q2</w:t>
            </w:r>
          </w:p>
        </w:tc>
        <w:tc>
          <w:tcPr>
            <w:tcW w:w="850" w:type="dxa"/>
            <w:tcBorders>
              <w:top w:val="nil"/>
              <w:left w:val="nil"/>
              <w:bottom w:val="single" w:sz="4" w:space="0" w:color="auto"/>
              <w:right w:val="single" w:sz="4" w:space="0" w:color="auto"/>
            </w:tcBorders>
            <w:shd w:val="clear" w:color="auto" w:fill="C6EFCE"/>
            <w:noWrap/>
          </w:tcPr>
          <w:p w14:paraId="6D87C601"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2026</w:t>
            </w:r>
          </w:p>
        </w:tc>
        <w:tc>
          <w:tcPr>
            <w:tcW w:w="3294" w:type="dxa"/>
            <w:tcBorders>
              <w:top w:val="nil"/>
              <w:left w:val="nil"/>
              <w:bottom w:val="single" w:sz="4" w:space="0" w:color="auto"/>
              <w:right w:val="single" w:sz="4" w:space="0" w:color="auto"/>
            </w:tcBorders>
            <w:shd w:val="clear" w:color="auto" w:fill="C6EFCE"/>
            <w:noWrap/>
          </w:tcPr>
          <w:p w14:paraId="0CC408BB"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rPr>
              <w:t>Delivery of pontoon, measurements boats, laboratory equipment, IT equipment, SUV cars, and artificial intelligence processing system</w:t>
            </w:r>
            <w:r w:rsidRPr="00CB11E3">
              <w:rPr>
                <w:rFonts w:ascii="Times New Roman" w:hAnsi="Times New Roman" w:cs="Times New Roman"/>
                <w:noProof/>
                <w:sz w:val="20"/>
                <w:szCs w:val="20"/>
                <w:lang w:val="en-GB"/>
              </w:rPr>
              <w:t xml:space="preserve">. Vehicles to be purchased shall have specific emissions of CO2, that are lower than 50gCO2/km. The measurement boats to be purchased shall correspond to the best-available technology from an environmental point of view. </w:t>
            </w:r>
          </w:p>
        </w:tc>
      </w:tr>
      <w:tr w:rsidR="005E1674" w:rsidRPr="00CB11E3" w14:paraId="145B30A2" w14:textId="77777777">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3CB444DE" w14:textId="77777777" w:rsidR="005E1674" w:rsidRPr="00CB11E3" w:rsidRDefault="005E1674">
            <w:pPr>
              <w:spacing w:after="0" w:line="240" w:lineRule="auto"/>
              <w:jc w:val="center"/>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41</w:t>
            </w:r>
          </w:p>
        </w:tc>
        <w:tc>
          <w:tcPr>
            <w:tcW w:w="1491" w:type="dxa"/>
            <w:tcBorders>
              <w:top w:val="nil"/>
              <w:left w:val="nil"/>
              <w:bottom w:val="single" w:sz="4" w:space="0" w:color="auto"/>
              <w:right w:val="single" w:sz="4" w:space="0" w:color="auto"/>
            </w:tcBorders>
            <w:shd w:val="clear" w:color="auto" w:fill="C6EFCE"/>
            <w:noWrap/>
          </w:tcPr>
          <w:p w14:paraId="6AC2D449"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Investment 5. Integrated flood risk mitigation systems in forest river basins </w:t>
            </w:r>
          </w:p>
        </w:tc>
        <w:tc>
          <w:tcPr>
            <w:tcW w:w="1222" w:type="dxa"/>
            <w:tcBorders>
              <w:top w:val="nil"/>
              <w:left w:val="nil"/>
              <w:bottom w:val="single" w:sz="4" w:space="0" w:color="auto"/>
              <w:right w:val="single" w:sz="4" w:space="0" w:color="auto"/>
            </w:tcBorders>
            <w:shd w:val="clear" w:color="auto" w:fill="C6EFCE"/>
            <w:noWrap/>
          </w:tcPr>
          <w:p w14:paraId="4F56D3FA" w14:textId="77777777" w:rsidR="005E1674" w:rsidRPr="00CB11E3" w:rsidRDefault="005E1674">
            <w:pPr>
              <w:spacing w:after="0" w:line="240" w:lineRule="auto"/>
              <w:jc w:val="center"/>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Milestone</w:t>
            </w:r>
          </w:p>
        </w:tc>
        <w:tc>
          <w:tcPr>
            <w:tcW w:w="1760" w:type="dxa"/>
            <w:tcBorders>
              <w:top w:val="nil"/>
              <w:left w:val="nil"/>
              <w:bottom w:val="single" w:sz="4" w:space="0" w:color="auto"/>
              <w:right w:val="single" w:sz="4" w:space="0" w:color="auto"/>
            </w:tcBorders>
            <w:shd w:val="clear" w:color="auto" w:fill="C6EFCE"/>
            <w:noWrap/>
          </w:tcPr>
          <w:p w14:paraId="510F0765"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Approval of project design</w:t>
            </w:r>
          </w:p>
        </w:tc>
        <w:tc>
          <w:tcPr>
            <w:tcW w:w="1760" w:type="dxa"/>
            <w:tcBorders>
              <w:top w:val="nil"/>
              <w:left w:val="nil"/>
              <w:bottom w:val="single" w:sz="4" w:space="0" w:color="auto"/>
              <w:right w:val="single" w:sz="4" w:space="0" w:color="auto"/>
            </w:tcBorders>
            <w:shd w:val="clear" w:color="auto" w:fill="C6EFCE"/>
            <w:noWrap/>
          </w:tcPr>
          <w:p w14:paraId="489B84E8"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Approval of project design </w:t>
            </w:r>
          </w:p>
        </w:tc>
        <w:tc>
          <w:tcPr>
            <w:tcW w:w="1088" w:type="dxa"/>
            <w:tcBorders>
              <w:top w:val="nil"/>
              <w:left w:val="nil"/>
              <w:bottom w:val="single" w:sz="4" w:space="0" w:color="auto"/>
              <w:right w:val="single" w:sz="4" w:space="0" w:color="auto"/>
            </w:tcBorders>
            <w:shd w:val="clear" w:color="auto" w:fill="C6EFCE"/>
            <w:noWrap/>
          </w:tcPr>
          <w:p w14:paraId="1146A29C"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357" w:type="dxa"/>
            <w:tcBorders>
              <w:top w:val="nil"/>
              <w:left w:val="nil"/>
              <w:bottom w:val="single" w:sz="4" w:space="0" w:color="auto"/>
              <w:right w:val="single" w:sz="4" w:space="0" w:color="auto"/>
            </w:tcBorders>
            <w:shd w:val="clear" w:color="auto" w:fill="C6EFCE"/>
            <w:noWrap/>
          </w:tcPr>
          <w:p w14:paraId="5DD8E47B"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089" w:type="dxa"/>
            <w:tcBorders>
              <w:top w:val="nil"/>
              <w:left w:val="nil"/>
              <w:bottom w:val="single" w:sz="4" w:space="0" w:color="auto"/>
              <w:right w:val="single" w:sz="4" w:space="0" w:color="auto"/>
            </w:tcBorders>
            <w:shd w:val="clear" w:color="auto" w:fill="C6EFCE"/>
            <w:noWrap/>
          </w:tcPr>
          <w:p w14:paraId="64C22A28"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134" w:type="dxa"/>
            <w:tcBorders>
              <w:top w:val="nil"/>
              <w:left w:val="nil"/>
              <w:bottom w:val="single" w:sz="4" w:space="0" w:color="auto"/>
              <w:right w:val="single" w:sz="4" w:space="0" w:color="auto"/>
            </w:tcBorders>
            <w:shd w:val="clear" w:color="auto" w:fill="C6EFCE"/>
            <w:noWrap/>
          </w:tcPr>
          <w:p w14:paraId="07D83AD1"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Q1</w:t>
            </w:r>
          </w:p>
        </w:tc>
        <w:tc>
          <w:tcPr>
            <w:tcW w:w="850" w:type="dxa"/>
            <w:tcBorders>
              <w:top w:val="nil"/>
              <w:left w:val="nil"/>
              <w:bottom w:val="single" w:sz="4" w:space="0" w:color="auto"/>
              <w:right w:val="single" w:sz="4" w:space="0" w:color="auto"/>
            </w:tcBorders>
            <w:shd w:val="clear" w:color="auto" w:fill="C6EFCE"/>
            <w:noWrap/>
          </w:tcPr>
          <w:p w14:paraId="0D552830"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2023</w:t>
            </w:r>
          </w:p>
        </w:tc>
        <w:tc>
          <w:tcPr>
            <w:tcW w:w="3294" w:type="dxa"/>
            <w:tcBorders>
              <w:top w:val="nil"/>
              <w:left w:val="nil"/>
              <w:bottom w:val="single" w:sz="4" w:space="0" w:color="auto"/>
              <w:right w:val="single" w:sz="4" w:space="0" w:color="auto"/>
            </w:tcBorders>
            <w:shd w:val="clear" w:color="auto" w:fill="C6EFCE"/>
            <w:noWrap/>
          </w:tcPr>
          <w:p w14:paraId="16F37F20"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The project design for the modernisation works for flood protection shall be approved. It shall include actions for the:</w:t>
            </w:r>
          </w:p>
          <w:p w14:paraId="16609F42" w14:textId="77777777" w:rsidR="005E1674" w:rsidRPr="00CB11E3" w:rsidRDefault="005E1674" w:rsidP="005E1674">
            <w:pPr>
              <w:numPr>
                <w:ilvl w:val="0"/>
                <w:numId w:val="5"/>
              </w:numPr>
              <w:spacing w:after="0" w:line="240" w:lineRule="auto"/>
              <w:ind w:left="173" w:hanging="218"/>
              <w:contextualSpacing/>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Restoration of at least six damaged alluvium retention structures to install longitudinal measures, among others, fish ladders;</w:t>
            </w:r>
          </w:p>
          <w:p w14:paraId="13CA5609" w14:textId="77777777" w:rsidR="005E1674" w:rsidRPr="00CB11E3" w:rsidRDefault="005E1674" w:rsidP="005E1674">
            <w:pPr>
              <w:numPr>
                <w:ilvl w:val="0"/>
                <w:numId w:val="5"/>
              </w:numPr>
              <w:spacing w:after="0" w:line="240" w:lineRule="auto"/>
              <w:ind w:left="173" w:hanging="218"/>
              <w:contextualSpacing/>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Construction of at least 30 new alluvial structures, including fish ladders and ecological flow, with a maximum height of 5m;</w:t>
            </w:r>
          </w:p>
          <w:p w14:paraId="54534D71" w14:textId="77777777" w:rsidR="005E1674" w:rsidRPr="00CB11E3" w:rsidRDefault="005E1674" w:rsidP="005E1674">
            <w:pPr>
              <w:numPr>
                <w:ilvl w:val="0"/>
                <w:numId w:val="5"/>
              </w:numPr>
              <w:spacing w:after="0" w:line="240" w:lineRule="auto"/>
              <w:ind w:left="173" w:hanging="218"/>
              <w:contextualSpacing/>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The restoration of at least 4ha of land through reforestation, weeding, or building of twig fences;</w:t>
            </w:r>
          </w:p>
          <w:p w14:paraId="1ACECE68" w14:textId="77777777" w:rsidR="005E1674" w:rsidRPr="00CB11E3" w:rsidRDefault="005E1674" w:rsidP="005E1674">
            <w:pPr>
              <w:numPr>
                <w:ilvl w:val="0"/>
                <w:numId w:val="5"/>
              </w:numPr>
              <w:spacing w:after="0" w:line="240" w:lineRule="auto"/>
              <w:ind w:left="173" w:hanging="218"/>
              <w:contextualSpacing/>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The restoration of at least 30km of torrent bed.</w:t>
            </w:r>
          </w:p>
          <w:p w14:paraId="0AD123E8" w14:textId="77777777" w:rsidR="005E1674" w:rsidRPr="00CB11E3" w:rsidRDefault="005E1674">
            <w:pPr>
              <w:spacing w:after="0" w:line="240" w:lineRule="auto"/>
              <w:ind w:left="-45"/>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Any measures identified in the framework of the assessment under Directive 2000/60/EC (Water Framework Directive) as necessary to ensure compliance with the Do No Significant Harm Technical Guidance (2021/C58/01) shall be integrated into the project design and strictly complied with at the stages of construction, modernisation, operation and decommissioning.</w:t>
            </w:r>
          </w:p>
        </w:tc>
      </w:tr>
      <w:tr w:rsidR="005E1674" w:rsidRPr="00CB11E3" w14:paraId="61929B26" w14:textId="77777777">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096576EB" w14:textId="77777777" w:rsidR="005E1674" w:rsidRPr="00CB11E3" w:rsidRDefault="005E1674">
            <w:pPr>
              <w:spacing w:after="0" w:line="240" w:lineRule="auto"/>
              <w:jc w:val="center"/>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42</w:t>
            </w:r>
          </w:p>
        </w:tc>
        <w:tc>
          <w:tcPr>
            <w:tcW w:w="1491" w:type="dxa"/>
            <w:tcBorders>
              <w:top w:val="nil"/>
              <w:left w:val="nil"/>
              <w:bottom w:val="single" w:sz="4" w:space="0" w:color="auto"/>
              <w:right w:val="single" w:sz="4" w:space="0" w:color="auto"/>
            </w:tcBorders>
            <w:shd w:val="clear" w:color="auto" w:fill="C6EFCE"/>
            <w:noWrap/>
          </w:tcPr>
          <w:p w14:paraId="148FD477"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Investment 5. Integrated flood risk mitigation systems in forest river basins </w:t>
            </w:r>
          </w:p>
        </w:tc>
        <w:tc>
          <w:tcPr>
            <w:tcW w:w="1222" w:type="dxa"/>
            <w:tcBorders>
              <w:top w:val="nil"/>
              <w:left w:val="nil"/>
              <w:bottom w:val="single" w:sz="4" w:space="0" w:color="auto"/>
              <w:right w:val="single" w:sz="4" w:space="0" w:color="auto"/>
            </w:tcBorders>
            <w:shd w:val="clear" w:color="auto" w:fill="C6EFCE"/>
            <w:noWrap/>
          </w:tcPr>
          <w:p w14:paraId="6CD68A75" w14:textId="77777777" w:rsidR="005E1674" w:rsidRPr="00CB11E3" w:rsidRDefault="005E1674">
            <w:pPr>
              <w:spacing w:after="0" w:line="240" w:lineRule="auto"/>
              <w:jc w:val="center"/>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Milestone</w:t>
            </w:r>
          </w:p>
        </w:tc>
        <w:tc>
          <w:tcPr>
            <w:tcW w:w="1760" w:type="dxa"/>
            <w:tcBorders>
              <w:top w:val="nil"/>
              <w:left w:val="nil"/>
              <w:bottom w:val="single" w:sz="4" w:space="0" w:color="auto"/>
              <w:right w:val="single" w:sz="4" w:space="0" w:color="auto"/>
            </w:tcBorders>
            <w:shd w:val="clear" w:color="auto" w:fill="C6EFCE"/>
            <w:noWrap/>
          </w:tcPr>
          <w:p w14:paraId="7D8A914D"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Modernisation works for flood protection</w:t>
            </w:r>
          </w:p>
        </w:tc>
        <w:tc>
          <w:tcPr>
            <w:tcW w:w="1760" w:type="dxa"/>
            <w:tcBorders>
              <w:top w:val="nil"/>
              <w:left w:val="nil"/>
              <w:bottom w:val="single" w:sz="4" w:space="0" w:color="auto"/>
              <w:right w:val="single" w:sz="4" w:space="0" w:color="auto"/>
            </w:tcBorders>
            <w:shd w:val="clear" w:color="auto" w:fill="C6EFCE"/>
            <w:noWrap/>
          </w:tcPr>
          <w:p w14:paraId="47F53F44"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Modernisation of works for flood protection</w:t>
            </w:r>
          </w:p>
        </w:tc>
        <w:tc>
          <w:tcPr>
            <w:tcW w:w="1088" w:type="dxa"/>
            <w:tcBorders>
              <w:top w:val="nil"/>
              <w:left w:val="nil"/>
              <w:bottom w:val="single" w:sz="4" w:space="0" w:color="auto"/>
              <w:right w:val="single" w:sz="4" w:space="0" w:color="auto"/>
            </w:tcBorders>
            <w:shd w:val="clear" w:color="auto" w:fill="C6EFCE"/>
            <w:noWrap/>
          </w:tcPr>
          <w:p w14:paraId="2688FD21"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357" w:type="dxa"/>
            <w:tcBorders>
              <w:top w:val="nil"/>
              <w:left w:val="nil"/>
              <w:bottom w:val="single" w:sz="4" w:space="0" w:color="auto"/>
              <w:right w:val="single" w:sz="4" w:space="0" w:color="auto"/>
            </w:tcBorders>
            <w:shd w:val="clear" w:color="auto" w:fill="C6EFCE"/>
            <w:noWrap/>
          </w:tcPr>
          <w:p w14:paraId="7063A444"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089" w:type="dxa"/>
            <w:tcBorders>
              <w:top w:val="nil"/>
              <w:left w:val="nil"/>
              <w:bottom w:val="single" w:sz="4" w:space="0" w:color="auto"/>
              <w:right w:val="single" w:sz="4" w:space="0" w:color="auto"/>
            </w:tcBorders>
            <w:shd w:val="clear" w:color="auto" w:fill="C6EFCE"/>
            <w:noWrap/>
          </w:tcPr>
          <w:p w14:paraId="39A1B745"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134" w:type="dxa"/>
            <w:tcBorders>
              <w:top w:val="nil"/>
              <w:left w:val="nil"/>
              <w:bottom w:val="single" w:sz="4" w:space="0" w:color="auto"/>
              <w:right w:val="single" w:sz="4" w:space="0" w:color="auto"/>
            </w:tcBorders>
            <w:shd w:val="clear" w:color="auto" w:fill="C6EFCE"/>
            <w:noWrap/>
          </w:tcPr>
          <w:p w14:paraId="0C00A192"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Q2</w:t>
            </w:r>
          </w:p>
        </w:tc>
        <w:tc>
          <w:tcPr>
            <w:tcW w:w="850" w:type="dxa"/>
            <w:tcBorders>
              <w:top w:val="nil"/>
              <w:left w:val="nil"/>
              <w:bottom w:val="single" w:sz="4" w:space="0" w:color="auto"/>
              <w:right w:val="single" w:sz="4" w:space="0" w:color="auto"/>
            </w:tcBorders>
            <w:shd w:val="clear" w:color="auto" w:fill="C6EFCE"/>
            <w:noWrap/>
          </w:tcPr>
          <w:p w14:paraId="0F4306CE"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2026</w:t>
            </w:r>
          </w:p>
        </w:tc>
        <w:tc>
          <w:tcPr>
            <w:tcW w:w="3294" w:type="dxa"/>
            <w:tcBorders>
              <w:top w:val="nil"/>
              <w:left w:val="nil"/>
              <w:bottom w:val="single" w:sz="4" w:space="0" w:color="auto"/>
              <w:right w:val="single" w:sz="4" w:space="0" w:color="auto"/>
            </w:tcBorders>
            <w:shd w:val="clear" w:color="auto" w:fill="C6EFCE"/>
            <w:noWrap/>
          </w:tcPr>
          <w:p w14:paraId="1968B91F" w14:textId="77777777" w:rsidR="005E1674" w:rsidRPr="00CB11E3" w:rsidRDefault="005E1674">
            <w:pPr>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The project design for modernisation of flood protection projects set out in milestone 41 shall be constructed.</w:t>
            </w:r>
          </w:p>
        </w:tc>
      </w:tr>
    </w:tbl>
    <w:p w14:paraId="5056E62F" w14:textId="77777777" w:rsidR="005E1674" w:rsidRPr="00291374" w:rsidRDefault="005E1674" w:rsidP="005E1674">
      <w:pPr>
        <w:spacing w:before="120" w:after="120" w:line="240" w:lineRule="auto"/>
        <w:ind w:left="709"/>
        <w:jc w:val="both"/>
        <w:rPr>
          <w:rFonts w:ascii="Times New Roman" w:hAnsi="Times New Roman" w:cs="Times New Roman"/>
          <w:noProof/>
          <w:lang w:val="en-GB"/>
        </w:rPr>
      </w:pPr>
    </w:p>
    <w:p w14:paraId="30C969B3" w14:textId="77777777" w:rsidR="005E1674" w:rsidRPr="00291374" w:rsidRDefault="005E1674" w:rsidP="005E1674">
      <w:pPr>
        <w:spacing w:before="120" w:after="120" w:line="240" w:lineRule="auto"/>
        <w:ind w:left="709"/>
        <w:jc w:val="both"/>
        <w:rPr>
          <w:rFonts w:ascii="Times New Roman" w:hAnsi="Times New Roman" w:cs="Times New Roman"/>
          <w:noProof/>
          <w:lang w:val="en-GB"/>
        </w:rPr>
        <w:sectPr w:rsidR="005E1674" w:rsidRPr="00291374" w:rsidSect="005E1674">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39E8BC96" w14:textId="77777777" w:rsidR="005E1674" w:rsidRPr="00291374" w:rsidRDefault="005E1674" w:rsidP="005E1674">
      <w:pPr>
        <w:keepNext/>
        <w:spacing w:before="120" w:after="120" w:line="240" w:lineRule="auto"/>
        <w:jc w:val="both"/>
        <w:outlineLvl w:val="1"/>
        <w:rPr>
          <w:rFonts w:ascii="Times New Roman" w:hAnsi="Times New Roman" w:cs="Times New Roman"/>
          <w:b/>
          <w:noProof/>
          <w:lang w:val="en-GB"/>
        </w:rPr>
      </w:pPr>
      <w:r w:rsidRPr="00291374">
        <w:rPr>
          <w:rFonts w:ascii="Times New Roman" w:hAnsi="Times New Roman" w:cs="Times New Roman"/>
          <w:b/>
          <w:noProof/>
          <w:lang w:val="en-GB"/>
        </w:rPr>
        <w:t xml:space="preserve">B.3. </w:t>
      </w:r>
      <w:r w:rsidRPr="00291374">
        <w:rPr>
          <w:rFonts w:ascii="Times New Roman" w:hAnsi="Times New Roman" w:cs="Times New Roman"/>
          <w:b/>
          <w:noProof/>
          <w:lang w:val="en-GB"/>
        </w:rPr>
        <w:tab/>
        <w:t xml:space="preserve">Description of the reforms for the loan </w:t>
      </w:r>
    </w:p>
    <w:p w14:paraId="3097A80D" w14:textId="77777777" w:rsidR="005E1674" w:rsidRPr="00291374" w:rsidRDefault="005E1674" w:rsidP="005E1674">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Reform 2. Reform of the management system of protected natural areas for the European Biodiversity Strategy</w:t>
      </w:r>
    </w:p>
    <w:p w14:paraId="4516C13B" w14:textId="77777777" w:rsidR="005E1674" w:rsidRPr="00291374" w:rsidRDefault="005E1674" w:rsidP="005E1674">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reform is to amend the current framework for designating nature protected areas. </w:t>
      </w:r>
      <w:r w:rsidRPr="00291374">
        <w:rPr>
          <w:rFonts w:ascii="Times New Roman" w:eastAsia="NSimSun" w:hAnsi="Times New Roman" w:cs="Times New Roman"/>
          <w:noProof/>
          <w:kern w:val="3"/>
          <w:lang w:val="en-GB"/>
        </w:rPr>
        <w:t>The</w:t>
      </w:r>
      <w:r w:rsidRPr="00291374">
        <w:rPr>
          <w:rFonts w:ascii="Times New Roman" w:hAnsi="Times New Roman" w:cs="Times New Roman"/>
          <w:noProof/>
          <w:lang w:val="en-GB"/>
        </w:rPr>
        <w:t xml:space="preserve"> reform consists of legal act(s) to ensure that the existing legal framework for various sectors with an impact on biodiversity does not affect nor restrict the conservation measures in the management plans of the nature protected areas.</w:t>
      </w:r>
    </w:p>
    <w:p w14:paraId="14FFCB5A" w14:textId="77777777" w:rsidR="005E1674" w:rsidRPr="00291374" w:rsidRDefault="005E1674" w:rsidP="005E1674">
      <w:pPr>
        <w:spacing w:before="120" w:after="120" w:line="240" w:lineRule="auto"/>
        <w:jc w:val="both"/>
        <w:rPr>
          <w:rFonts w:ascii="Times New Roman" w:hAnsi="Times New Roman" w:cs="Times New Roman"/>
          <w:noProof/>
          <w:lang w:val="en-GB"/>
        </w:rPr>
        <w:sectPr w:rsidR="005E1674" w:rsidRPr="00291374" w:rsidSect="005E1674">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p>
    <w:p w14:paraId="34290A25" w14:textId="77777777" w:rsidR="005E1674" w:rsidRPr="00291374" w:rsidRDefault="005E1674" w:rsidP="005E1674">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B.4. </w:t>
      </w:r>
      <w:r w:rsidRPr="00291374">
        <w:rPr>
          <w:rFonts w:ascii="Times New Roman" w:hAnsi="Times New Roman" w:cs="Times New Roman"/>
          <w:noProof/>
          <w:lang w:val="en-GB"/>
        </w:rPr>
        <w:tab/>
      </w:r>
      <w:r w:rsidRPr="00291374">
        <w:rPr>
          <w:rFonts w:ascii="Times New Roman" w:hAnsi="Times New Roman" w:cs="Times New Roman"/>
          <w:b/>
          <w:noProof/>
          <w:lang w:val="en-GB"/>
        </w:rPr>
        <w:t>Milestones, targets, indicators, and timetable for monitoring and implementation for the loan</w:t>
      </w:r>
    </w:p>
    <w:tbl>
      <w:tblPr>
        <w:tblW w:w="15502" w:type="dxa"/>
        <w:jc w:val="center"/>
        <w:tblLayout w:type="fixed"/>
        <w:tblLook w:val="04A0" w:firstRow="1" w:lastRow="0" w:firstColumn="1" w:lastColumn="0" w:noHBand="0" w:noVBand="1"/>
      </w:tblPr>
      <w:tblGrid>
        <w:gridCol w:w="809"/>
        <w:gridCol w:w="1738"/>
        <w:gridCol w:w="1276"/>
        <w:gridCol w:w="1734"/>
        <w:gridCol w:w="1757"/>
        <w:gridCol w:w="1087"/>
        <w:gridCol w:w="1356"/>
        <w:gridCol w:w="818"/>
        <w:gridCol w:w="1087"/>
        <w:gridCol w:w="819"/>
        <w:gridCol w:w="3021"/>
      </w:tblGrid>
      <w:tr w:rsidR="005E1674" w:rsidRPr="00CB11E3" w14:paraId="5518C862" w14:textId="77777777" w:rsidTr="00252357">
        <w:trPr>
          <w:trHeight w:val="939"/>
          <w:tblHeader/>
          <w:jc w:val="center"/>
        </w:trPr>
        <w:tc>
          <w:tcPr>
            <w:tcW w:w="80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770E1A"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Seq. Num.</w:t>
            </w:r>
          </w:p>
        </w:tc>
        <w:tc>
          <w:tcPr>
            <w:tcW w:w="17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364BB0F"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Related Measure (Reform or Investment)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691075"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Milestone / Target</w:t>
            </w:r>
          </w:p>
        </w:tc>
        <w:tc>
          <w:tcPr>
            <w:tcW w:w="17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A92276"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Name</w:t>
            </w:r>
          </w:p>
        </w:tc>
        <w:tc>
          <w:tcPr>
            <w:tcW w:w="175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29BC70F"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 xml:space="preserve">Qualitative indicators </w:t>
            </w:r>
            <w:r w:rsidRPr="00CB11E3">
              <w:rPr>
                <w:rFonts w:ascii="Times New Roman" w:hAnsi="Times New Roman" w:cs="Times New Roman"/>
                <w:noProof/>
                <w:sz w:val="20"/>
                <w:szCs w:val="20"/>
                <w:lang w:val="en-GB"/>
              </w:rPr>
              <w:br/>
            </w:r>
            <w:r w:rsidRPr="00CB11E3">
              <w:rPr>
                <w:rFonts w:ascii="Times New Roman" w:hAnsi="Times New Roman" w:cs="Times New Roman"/>
                <w:b/>
                <w:noProof/>
                <w:sz w:val="20"/>
                <w:szCs w:val="20"/>
                <w:lang w:val="en-GB"/>
              </w:rPr>
              <w:t>(for milestones)</w:t>
            </w:r>
          </w:p>
        </w:tc>
        <w:tc>
          <w:tcPr>
            <w:tcW w:w="326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D305B25"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 xml:space="preserve">Quantitative indicators </w:t>
            </w:r>
            <w:r w:rsidRPr="00CB11E3">
              <w:rPr>
                <w:rFonts w:ascii="Times New Roman" w:hAnsi="Times New Roman" w:cs="Times New Roman"/>
                <w:noProof/>
                <w:sz w:val="20"/>
                <w:szCs w:val="20"/>
                <w:lang w:val="en-GB"/>
              </w:rPr>
              <w:br/>
            </w:r>
            <w:r w:rsidRPr="00CB11E3">
              <w:rPr>
                <w:rFonts w:ascii="Times New Roman" w:hAnsi="Times New Roman" w:cs="Times New Roman"/>
                <w:b/>
                <w:noProof/>
                <w:sz w:val="20"/>
                <w:szCs w:val="20"/>
                <w:lang w:val="en-GB"/>
              </w:rPr>
              <w:t>(for targets)</w:t>
            </w:r>
          </w:p>
        </w:tc>
        <w:tc>
          <w:tcPr>
            <w:tcW w:w="1906"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3258C54"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 xml:space="preserve">Indicative timeline for completion </w:t>
            </w:r>
          </w:p>
        </w:tc>
        <w:tc>
          <w:tcPr>
            <w:tcW w:w="302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2857652"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Description of each milestone and target</w:t>
            </w:r>
          </w:p>
        </w:tc>
      </w:tr>
      <w:tr w:rsidR="005E1674" w:rsidRPr="00CB11E3" w14:paraId="37176E69" w14:textId="77777777" w:rsidTr="00252357">
        <w:trPr>
          <w:trHeight w:val="1027"/>
          <w:tblHeader/>
          <w:jc w:val="center"/>
        </w:trPr>
        <w:tc>
          <w:tcPr>
            <w:tcW w:w="809" w:type="dxa"/>
            <w:vMerge/>
            <w:tcBorders>
              <w:top w:val="single" w:sz="4" w:space="0" w:color="auto"/>
              <w:left w:val="single" w:sz="4" w:space="0" w:color="auto"/>
              <w:bottom w:val="single" w:sz="4" w:space="0" w:color="auto"/>
              <w:right w:val="single" w:sz="4" w:space="0" w:color="auto"/>
            </w:tcBorders>
            <w:hideMark/>
          </w:tcPr>
          <w:p w14:paraId="32CC31F8" w14:textId="77777777" w:rsidR="005E1674" w:rsidRPr="00CB11E3" w:rsidRDefault="005E1674">
            <w:pPr>
              <w:spacing w:after="0" w:line="240" w:lineRule="auto"/>
              <w:jc w:val="center"/>
              <w:rPr>
                <w:rFonts w:ascii="Times New Roman" w:eastAsia="Times New Roman" w:hAnsi="Times New Roman" w:cs="Times New Roman"/>
                <w:b/>
                <w:bCs/>
                <w:noProof/>
                <w:sz w:val="20"/>
                <w:szCs w:val="20"/>
                <w:lang w:val="en-GB" w:eastAsia="en-GB"/>
              </w:rPr>
            </w:pPr>
          </w:p>
        </w:tc>
        <w:tc>
          <w:tcPr>
            <w:tcW w:w="1738" w:type="dxa"/>
            <w:vMerge/>
            <w:tcBorders>
              <w:top w:val="single" w:sz="4" w:space="0" w:color="auto"/>
              <w:left w:val="single" w:sz="4" w:space="0" w:color="auto"/>
              <w:bottom w:val="single" w:sz="4" w:space="0" w:color="auto"/>
              <w:right w:val="single" w:sz="4" w:space="0" w:color="auto"/>
            </w:tcBorders>
            <w:hideMark/>
          </w:tcPr>
          <w:p w14:paraId="5EA5C3D2" w14:textId="77777777" w:rsidR="005E1674" w:rsidRPr="00CB11E3" w:rsidRDefault="005E1674">
            <w:pPr>
              <w:spacing w:after="0" w:line="240" w:lineRule="auto"/>
              <w:jc w:val="both"/>
              <w:rPr>
                <w:rFonts w:ascii="Times New Roman" w:eastAsia="Times New Roman" w:hAnsi="Times New Roman" w:cs="Times New Roman"/>
                <w:b/>
                <w:bCs/>
                <w:noProof/>
                <w:sz w:val="20"/>
                <w:szCs w:val="20"/>
                <w:lang w:val="en-GB" w:eastAsia="en-GB"/>
              </w:rPr>
            </w:pPr>
          </w:p>
        </w:tc>
        <w:tc>
          <w:tcPr>
            <w:tcW w:w="1276" w:type="dxa"/>
            <w:vMerge/>
            <w:tcBorders>
              <w:top w:val="single" w:sz="4" w:space="0" w:color="auto"/>
              <w:left w:val="single" w:sz="4" w:space="0" w:color="auto"/>
              <w:bottom w:val="single" w:sz="4" w:space="0" w:color="auto"/>
              <w:right w:val="single" w:sz="4" w:space="0" w:color="auto"/>
            </w:tcBorders>
            <w:hideMark/>
          </w:tcPr>
          <w:p w14:paraId="18562921" w14:textId="77777777" w:rsidR="005E1674" w:rsidRPr="00CB11E3" w:rsidRDefault="005E1674">
            <w:pPr>
              <w:spacing w:after="0" w:line="240" w:lineRule="auto"/>
              <w:jc w:val="center"/>
              <w:rPr>
                <w:rFonts w:ascii="Times New Roman" w:eastAsia="Times New Roman" w:hAnsi="Times New Roman" w:cs="Times New Roman"/>
                <w:b/>
                <w:bCs/>
                <w:noProof/>
                <w:sz w:val="20"/>
                <w:szCs w:val="20"/>
                <w:lang w:val="en-GB" w:eastAsia="en-GB"/>
              </w:rPr>
            </w:pPr>
          </w:p>
        </w:tc>
        <w:tc>
          <w:tcPr>
            <w:tcW w:w="1734" w:type="dxa"/>
            <w:vMerge/>
            <w:tcBorders>
              <w:top w:val="single" w:sz="4" w:space="0" w:color="auto"/>
              <w:left w:val="single" w:sz="4" w:space="0" w:color="auto"/>
              <w:bottom w:val="single" w:sz="4" w:space="0" w:color="auto"/>
              <w:right w:val="single" w:sz="4" w:space="0" w:color="auto"/>
            </w:tcBorders>
            <w:hideMark/>
          </w:tcPr>
          <w:p w14:paraId="3C74A8A9" w14:textId="77777777" w:rsidR="005E1674" w:rsidRPr="00CB11E3" w:rsidRDefault="005E1674">
            <w:pPr>
              <w:spacing w:after="0" w:line="240" w:lineRule="auto"/>
              <w:jc w:val="both"/>
              <w:rPr>
                <w:rFonts w:ascii="Times New Roman" w:eastAsia="Times New Roman" w:hAnsi="Times New Roman" w:cs="Times New Roman"/>
                <w:b/>
                <w:bCs/>
                <w:noProof/>
                <w:sz w:val="20"/>
                <w:szCs w:val="20"/>
                <w:lang w:val="en-GB" w:eastAsia="en-GB"/>
              </w:rPr>
            </w:pPr>
          </w:p>
        </w:tc>
        <w:tc>
          <w:tcPr>
            <w:tcW w:w="1757" w:type="dxa"/>
            <w:vMerge/>
            <w:tcBorders>
              <w:top w:val="single" w:sz="4" w:space="0" w:color="auto"/>
              <w:left w:val="single" w:sz="4" w:space="0" w:color="auto"/>
              <w:bottom w:val="single" w:sz="4" w:space="0" w:color="auto"/>
              <w:right w:val="single" w:sz="4" w:space="0" w:color="auto"/>
            </w:tcBorders>
            <w:hideMark/>
          </w:tcPr>
          <w:p w14:paraId="627734C8" w14:textId="77777777" w:rsidR="005E1674" w:rsidRPr="00CB11E3" w:rsidRDefault="005E1674">
            <w:pPr>
              <w:spacing w:after="0" w:line="240" w:lineRule="auto"/>
              <w:jc w:val="both"/>
              <w:rPr>
                <w:rFonts w:ascii="Times New Roman" w:eastAsia="Times New Roman" w:hAnsi="Times New Roman" w:cs="Times New Roman"/>
                <w:b/>
                <w:bCs/>
                <w:noProof/>
                <w:sz w:val="20"/>
                <w:szCs w:val="20"/>
                <w:lang w:val="en-GB" w:eastAsia="en-GB"/>
              </w:rPr>
            </w:pPr>
          </w:p>
        </w:tc>
        <w:tc>
          <w:tcPr>
            <w:tcW w:w="10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30D13F"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Unit of measure</w:t>
            </w:r>
          </w:p>
        </w:tc>
        <w:tc>
          <w:tcPr>
            <w:tcW w:w="135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5D829A3"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 xml:space="preserve">Baseline </w:t>
            </w:r>
          </w:p>
        </w:tc>
        <w:tc>
          <w:tcPr>
            <w:tcW w:w="81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0C2448F"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 xml:space="preserve">Goal </w:t>
            </w:r>
          </w:p>
        </w:tc>
        <w:tc>
          <w:tcPr>
            <w:tcW w:w="10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7CCDC9E"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Quarter</w:t>
            </w:r>
          </w:p>
        </w:tc>
        <w:tc>
          <w:tcPr>
            <w:tcW w:w="81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9387BDB" w14:textId="77777777" w:rsidR="005E1674" w:rsidRPr="00CB11E3" w:rsidRDefault="005E1674">
            <w:pPr>
              <w:spacing w:after="0" w:line="240" w:lineRule="auto"/>
              <w:jc w:val="center"/>
              <w:rPr>
                <w:rFonts w:ascii="Times New Roman" w:eastAsia="Times New Roman" w:hAnsi="Times New Roman" w:cs="Times New Roman"/>
                <w:b/>
                <w:noProof/>
                <w:sz w:val="20"/>
                <w:szCs w:val="20"/>
                <w:lang w:val="en-GB"/>
              </w:rPr>
            </w:pPr>
            <w:r w:rsidRPr="00CB11E3">
              <w:rPr>
                <w:rFonts w:ascii="Times New Roman" w:hAnsi="Times New Roman" w:cs="Times New Roman"/>
                <w:b/>
                <w:noProof/>
                <w:sz w:val="20"/>
                <w:szCs w:val="20"/>
                <w:lang w:val="en-GB"/>
              </w:rPr>
              <w:t>Year</w:t>
            </w:r>
          </w:p>
        </w:tc>
        <w:tc>
          <w:tcPr>
            <w:tcW w:w="3021" w:type="dxa"/>
            <w:vMerge/>
            <w:tcBorders>
              <w:top w:val="single" w:sz="4" w:space="0" w:color="auto"/>
              <w:bottom w:val="single" w:sz="4" w:space="0" w:color="auto"/>
              <w:right w:val="single" w:sz="4" w:space="0" w:color="auto"/>
            </w:tcBorders>
            <w:hideMark/>
          </w:tcPr>
          <w:p w14:paraId="16F4596D" w14:textId="77777777" w:rsidR="005E1674" w:rsidRPr="00CB11E3" w:rsidRDefault="005E1674">
            <w:pPr>
              <w:spacing w:after="0" w:line="240" w:lineRule="auto"/>
              <w:jc w:val="center"/>
              <w:rPr>
                <w:rFonts w:ascii="Times New Roman" w:eastAsia="Times New Roman" w:hAnsi="Times New Roman" w:cs="Times New Roman"/>
                <w:b/>
                <w:bCs/>
                <w:noProof/>
                <w:sz w:val="20"/>
                <w:szCs w:val="20"/>
                <w:lang w:val="en-GB" w:eastAsia="en-GB"/>
              </w:rPr>
            </w:pPr>
          </w:p>
        </w:tc>
      </w:tr>
      <w:tr w:rsidR="005E1674" w:rsidRPr="00CB11E3" w14:paraId="2056B826" w14:textId="77777777" w:rsidTr="00252357">
        <w:trPr>
          <w:trHeight w:val="313"/>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18F37462" w14:textId="77777777" w:rsidR="005E1674" w:rsidRPr="00CB11E3" w:rsidRDefault="005E1674">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30</w:t>
            </w:r>
          </w:p>
        </w:tc>
        <w:tc>
          <w:tcPr>
            <w:tcW w:w="1738" w:type="dxa"/>
            <w:tcBorders>
              <w:top w:val="single" w:sz="4" w:space="0" w:color="auto"/>
              <w:left w:val="nil"/>
              <w:bottom w:val="single" w:sz="4" w:space="0" w:color="auto"/>
              <w:right w:val="single" w:sz="4" w:space="0" w:color="auto"/>
            </w:tcBorders>
            <w:shd w:val="clear" w:color="auto" w:fill="C6EFCE"/>
            <w:noWrap/>
          </w:tcPr>
          <w:p w14:paraId="4EC49CF5"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Reform 2. Reform of the management system for protected natural areas for the European Biodiversity Strategy</w:t>
            </w:r>
          </w:p>
        </w:tc>
        <w:tc>
          <w:tcPr>
            <w:tcW w:w="1276" w:type="dxa"/>
            <w:tcBorders>
              <w:top w:val="single" w:sz="4" w:space="0" w:color="auto"/>
              <w:left w:val="nil"/>
              <w:bottom w:val="single" w:sz="4" w:space="0" w:color="auto"/>
              <w:right w:val="single" w:sz="4" w:space="0" w:color="auto"/>
            </w:tcBorders>
            <w:shd w:val="clear" w:color="auto" w:fill="C6EFCE"/>
            <w:noWrap/>
          </w:tcPr>
          <w:p w14:paraId="67C6362C" w14:textId="2E0C1ECC" w:rsidR="005E1674" w:rsidRPr="00CB11E3" w:rsidRDefault="008A021B">
            <w:pPr>
              <w:spacing w:after="0" w:line="240" w:lineRule="auto"/>
              <w:jc w:val="center"/>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Milestone</w:t>
            </w:r>
          </w:p>
        </w:tc>
        <w:tc>
          <w:tcPr>
            <w:tcW w:w="1734" w:type="dxa"/>
            <w:tcBorders>
              <w:top w:val="single" w:sz="4" w:space="0" w:color="auto"/>
              <w:left w:val="nil"/>
              <w:bottom w:val="single" w:sz="4" w:space="0" w:color="auto"/>
              <w:right w:val="single" w:sz="4" w:space="0" w:color="auto"/>
            </w:tcBorders>
            <w:shd w:val="clear" w:color="auto" w:fill="C6EFCE"/>
            <w:noWrap/>
          </w:tcPr>
          <w:p w14:paraId="3A1927A7"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Entry into force of the legislative act setting up the inter-institutional committee to analyse the legal framework applicable to sectors with an impact on biodiversity </w:t>
            </w:r>
          </w:p>
        </w:tc>
        <w:tc>
          <w:tcPr>
            <w:tcW w:w="1757" w:type="dxa"/>
            <w:tcBorders>
              <w:top w:val="single" w:sz="4" w:space="0" w:color="auto"/>
              <w:left w:val="nil"/>
              <w:bottom w:val="single" w:sz="4" w:space="0" w:color="auto"/>
              <w:right w:val="single" w:sz="4" w:space="0" w:color="auto"/>
            </w:tcBorders>
            <w:shd w:val="clear" w:color="auto" w:fill="C6EFCE"/>
            <w:noWrap/>
          </w:tcPr>
          <w:p w14:paraId="7212FA32"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Provision in the law indicating the entry into force of the legislative act</w:t>
            </w:r>
          </w:p>
        </w:tc>
        <w:tc>
          <w:tcPr>
            <w:tcW w:w="1087" w:type="dxa"/>
            <w:tcBorders>
              <w:top w:val="single" w:sz="4" w:space="0" w:color="auto"/>
              <w:left w:val="nil"/>
              <w:bottom w:val="single" w:sz="4" w:space="0" w:color="auto"/>
              <w:right w:val="single" w:sz="4" w:space="0" w:color="auto"/>
            </w:tcBorders>
            <w:shd w:val="clear" w:color="auto" w:fill="C6EFCE"/>
            <w:noWrap/>
          </w:tcPr>
          <w:p w14:paraId="5D1549C5"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1356" w:type="dxa"/>
            <w:tcBorders>
              <w:top w:val="single" w:sz="4" w:space="0" w:color="auto"/>
              <w:left w:val="nil"/>
              <w:bottom w:val="single" w:sz="4" w:space="0" w:color="auto"/>
              <w:right w:val="single" w:sz="4" w:space="0" w:color="auto"/>
            </w:tcBorders>
            <w:shd w:val="clear" w:color="auto" w:fill="C6EFCE"/>
            <w:noWrap/>
          </w:tcPr>
          <w:p w14:paraId="14BC0347"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818" w:type="dxa"/>
            <w:tcBorders>
              <w:top w:val="single" w:sz="4" w:space="0" w:color="auto"/>
              <w:left w:val="nil"/>
              <w:bottom w:val="single" w:sz="4" w:space="0" w:color="auto"/>
              <w:right w:val="single" w:sz="4" w:space="0" w:color="auto"/>
            </w:tcBorders>
            <w:shd w:val="clear" w:color="auto" w:fill="C6EFCE"/>
            <w:noWrap/>
          </w:tcPr>
          <w:p w14:paraId="0BD6862D"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1087" w:type="dxa"/>
            <w:tcBorders>
              <w:top w:val="single" w:sz="4" w:space="0" w:color="auto"/>
              <w:left w:val="nil"/>
              <w:bottom w:val="single" w:sz="4" w:space="0" w:color="auto"/>
              <w:right w:val="single" w:sz="4" w:space="0" w:color="auto"/>
            </w:tcBorders>
            <w:shd w:val="clear" w:color="auto" w:fill="C6EFCE"/>
            <w:noWrap/>
          </w:tcPr>
          <w:p w14:paraId="3FE6157C"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Q2</w:t>
            </w:r>
          </w:p>
        </w:tc>
        <w:tc>
          <w:tcPr>
            <w:tcW w:w="819" w:type="dxa"/>
            <w:tcBorders>
              <w:top w:val="single" w:sz="4" w:space="0" w:color="auto"/>
              <w:left w:val="nil"/>
              <w:bottom w:val="single" w:sz="4" w:space="0" w:color="auto"/>
              <w:right w:val="single" w:sz="4" w:space="0" w:color="auto"/>
            </w:tcBorders>
            <w:shd w:val="clear" w:color="auto" w:fill="C6EFCE"/>
            <w:noWrap/>
          </w:tcPr>
          <w:p w14:paraId="78D3052B"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2022 </w:t>
            </w:r>
          </w:p>
        </w:tc>
        <w:tc>
          <w:tcPr>
            <w:tcW w:w="3021" w:type="dxa"/>
            <w:tcBorders>
              <w:top w:val="single" w:sz="4" w:space="0" w:color="auto"/>
              <w:left w:val="nil"/>
              <w:bottom w:val="single" w:sz="4" w:space="0" w:color="auto"/>
              <w:right w:val="single" w:sz="4" w:space="0" w:color="auto"/>
            </w:tcBorders>
            <w:shd w:val="clear" w:color="auto" w:fill="C6EFCE"/>
            <w:noWrap/>
          </w:tcPr>
          <w:p w14:paraId="527A3BA1"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Entry into force of the legislative act setting up the inter-institutional committee to analyse the legal framework applicable to sectors with an impact on biodiversity, namely education, agriculture, forestry, hunting, tourism, spatial organisation, transport and energy. </w:t>
            </w:r>
          </w:p>
          <w:p w14:paraId="364E76D1" w14:textId="77777777"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The Committee shall be steered by the Ministry of the Environment, Waters and Forests and it shall include the line ministries and the subordinated authorities responsible for the relevant sectors: education, agriculture, forestry, hunting, tourism, spatial organisation, transport and energy.</w:t>
            </w:r>
          </w:p>
          <w:p w14:paraId="7B30F5E8"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The committee shall prepare proposals to revise the legal framework in the light of up-to-date information on the distribution and dynamics of the conservation status of species and habitats. </w:t>
            </w:r>
          </w:p>
        </w:tc>
      </w:tr>
      <w:tr w:rsidR="005E1674" w:rsidRPr="00CB11E3" w14:paraId="632E1206" w14:textId="77777777" w:rsidTr="00252357">
        <w:trPr>
          <w:trHeight w:val="313"/>
          <w:jc w:val="center"/>
        </w:trPr>
        <w:tc>
          <w:tcPr>
            <w:tcW w:w="809" w:type="dxa"/>
            <w:tcBorders>
              <w:top w:val="nil"/>
              <w:left w:val="single" w:sz="4" w:space="0" w:color="auto"/>
              <w:bottom w:val="single" w:sz="4" w:space="0" w:color="auto"/>
              <w:right w:val="single" w:sz="4" w:space="0" w:color="auto"/>
            </w:tcBorders>
            <w:shd w:val="clear" w:color="auto" w:fill="C6EFCE"/>
            <w:noWrap/>
            <w:hideMark/>
          </w:tcPr>
          <w:p w14:paraId="39E34ED0" w14:textId="77777777" w:rsidR="005E1674" w:rsidRPr="00CB11E3" w:rsidRDefault="005E1674">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31</w:t>
            </w:r>
          </w:p>
        </w:tc>
        <w:tc>
          <w:tcPr>
            <w:tcW w:w="1738" w:type="dxa"/>
            <w:tcBorders>
              <w:top w:val="nil"/>
              <w:left w:val="nil"/>
              <w:bottom w:val="single" w:sz="4" w:space="0" w:color="auto"/>
              <w:right w:val="single" w:sz="4" w:space="0" w:color="auto"/>
            </w:tcBorders>
            <w:shd w:val="clear" w:color="auto" w:fill="C6EFCE"/>
            <w:noWrap/>
            <w:hideMark/>
          </w:tcPr>
          <w:p w14:paraId="60536690"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Reform 2. Reform of the management system for protected natural areas for the European Biodiversity Strategy</w:t>
            </w:r>
          </w:p>
        </w:tc>
        <w:tc>
          <w:tcPr>
            <w:tcW w:w="1276" w:type="dxa"/>
            <w:tcBorders>
              <w:top w:val="nil"/>
              <w:left w:val="nil"/>
              <w:bottom w:val="single" w:sz="4" w:space="0" w:color="auto"/>
              <w:right w:val="single" w:sz="4" w:space="0" w:color="auto"/>
            </w:tcBorders>
            <w:shd w:val="clear" w:color="auto" w:fill="C6EFCE"/>
            <w:noWrap/>
            <w:hideMark/>
          </w:tcPr>
          <w:p w14:paraId="7A929CD1" w14:textId="77777777" w:rsidR="005E1674" w:rsidRPr="00CB11E3" w:rsidRDefault="005E1674">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Milestone</w:t>
            </w:r>
          </w:p>
        </w:tc>
        <w:tc>
          <w:tcPr>
            <w:tcW w:w="1734" w:type="dxa"/>
            <w:tcBorders>
              <w:top w:val="nil"/>
              <w:left w:val="nil"/>
              <w:bottom w:val="single" w:sz="4" w:space="0" w:color="auto"/>
              <w:right w:val="single" w:sz="4" w:space="0" w:color="auto"/>
            </w:tcBorders>
            <w:shd w:val="clear" w:color="auto" w:fill="C6EFCE"/>
            <w:noWrap/>
            <w:hideMark/>
          </w:tcPr>
          <w:p w14:paraId="6596FD74"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Entry into force of the legal act(s) applicable to sectors with an impact on biodiversity</w:t>
            </w:r>
          </w:p>
        </w:tc>
        <w:tc>
          <w:tcPr>
            <w:tcW w:w="1757" w:type="dxa"/>
            <w:tcBorders>
              <w:top w:val="nil"/>
              <w:left w:val="nil"/>
              <w:bottom w:val="single" w:sz="4" w:space="0" w:color="auto"/>
              <w:right w:val="single" w:sz="4" w:space="0" w:color="auto"/>
            </w:tcBorders>
            <w:shd w:val="clear" w:color="auto" w:fill="C6EFCE"/>
            <w:noWrap/>
            <w:hideMark/>
          </w:tcPr>
          <w:p w14:paraId="6C862AF9"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Provision in the law indicating the entry into force of the legal act(s)</w:t>
            </w:r>
          </w:p>
        </w:tc>
        <w:tc>
          <w:tcPr>
            <w:tcW w:w="1087" w:type="dxa"/>
            <w:tcBorders>
              <w:top w:val="nil"/>
              <w:left w:val="nil"/>
              <w:bottom w:val="single" w:sz="4" w:space="0" w:color="auto"/>
              <w:right w:val="single" w:sz="4" w:space="0" w:color="auto"/>
            </w:tcBorders>
            <w:shd w:val="clear" w:color="auto" w:fill="C6EFCE"/>
            <w:noWrap/>
            <w:hideMark/>
          </w:tcPr>
          <w:p w14:paraId="722B7882"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1356" w:type="dxa"/>
            <w:tcBorders>
              <w:top w:val="nil"/>
              <w:left w:val="nil"/>
              <w:bottom w:val="single" w:sz="4" w:space="0" w:color="auto"/>
              <w:right w:val="single" w:sz="4" w:space="0" w:color="auto"/>
            </w:tcBorders>
            <w:shd w:val="clear" w:color="auto" w:fill="C6EFCE"/>
            <w:noWrap/>
            <w:hideMark/>
          </w:tcPr>
          <w:p w14:paraId="08BAFC5B"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818" w:type="dxa"/>
            <w:tcBorders>
              <w:top w:val="nil"/>
              <w:left w:val="nil"/>
              <w:bottom w:val="single" w:sz="4" w:space="0" w:color="auto"/>
              <w:right w:val="single" w:sz="4" w:space="0" w:color="auto"/>
            </w:tcBorders>
            <w:shd w:val="clear" w:color="auto" w:fill="C6EFCE"/>
            <w:noWrap/>
            <w:hideMark/>
          </w:tcPr>
          <w:p w14:paraId="086FDC8B"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1087" w:type="dxa"/>
            <w:tcBorders>
              <w:top w:val="nil"/>
              <w:left w:val="nil"/>
              <w:bottom w:val="single" w:sz="4" w:space="0" w:color="auto"/>
              <w:right w:val="single" w:sz="4" w:space="0" w:color="auto"/>
            </w:tcBorders>
            <w:shd w:val="clear" w:color="auto" w:fill="C6EFCE"/>
            <w:noWrap/>
            <w:hideMark/>
          </w:tcPr>
          <w:p w14:paraId="466C7DCA"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Q1</w:t>
            </w:r>
          </w:p>
        </w:tc>
        <w:tc>
          <w:tcPr>
            <w:tcW w:w="819" w:type="dxa"/>
            <w:tcBorders>
              <w:top w:val="nil"/>
              <w:left w:val="nil"/>
              <w:bottom w:val="single" w:sz="4" w:space="0" w:color="auto"/>
              <w:right w:val="single" w:sz="4" w:space="0" w:color="auto"/>
            </w:tcBorders>
            <w:shd w:val="clear" w:color="auto" w:fill="C6EFCE"/>
            <w:noWrap/>
            <w:hideMark/>
          </w:tcPr>
          <w:p w14:paraId="4B227830"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2026</w:t>
            </w:r>
          </w:p>
        </w:tc>
        <w:tc>
          <w:tcPr>
            <w:tcW w:w="3021" w:type="dxa"/>
            <w:tcBorders>
              <w:top w:val="nil"/>
              <w:left w:val="nil"/>
              <w:bottom w:val="single" w:sz="4" w:space="0" w:color="auto"/>
              <w:right w:val="single" w:sz="4" w:space="0" w:color="auto"/>
            </w:tcBorders>
            <w:shd w:val="clear" w:color="auto" w:fill="C6EFCE"/>
            <w:noWrap/>
            <w:hideMark/>
          </w:tcPr>
          <w:p w14:paraId="0469A00F" w14:textId="06D44201" w:rsidR="005E1674" w:rsidRPr="00CB11E3" w:rsidRDefault="005E1674">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Entry into force of the legal act(s) </w:t>
            </w:r>
            <w:bookmarkStart w:id="2" w:name="_Hlk209076280"/>
            <w:r w:rsidRPr="00CB11E3">
              <w:rPr>
                <w:rFonts w:ascii="Times New Roman" w:hAnsi="Times New Roman" w:cs="Times New Roman"/>
                <w:noProof/>
                <w:sz w:val="20"/>
                <w:szCs w:val="20"/>
                <w:lang w:val="en-GB"/>
              </w:rPr>
              <w:t>approving the</w:t>
            </w:r>
            <w:r w:rsidR="00D23D91" w:rsidRPr="00CB11E3">
              <w:rPr>
                <w:rFonts w:ascii="Times New Roman" w:hAnsi="Times New Roman" w:cs="Times New Roman"/>
                <w:noProof/>
                <w:sz w:val="20"/>
                <w:szCs w:val="20"/>
                <w:lang w:val="en-GB"/>
              </w:rPr>
              <w:t xml:space="preserve"> </w:t>
            </w:r>
            <w:r w:rsidRPr="00CB11E3">
              <w:rPr>
                <w:rFonts w:ascii="Times New Roman" w:hAnsi="Times New Roman" w:cs="Times New Roman"/>
                <w:noProof/>
                <w:sz w:val="20"/>
                <w:szCs w:val="20"/>
                <w:lang w:val="en-GB"/>
              </w:rPr>
              <w:t>National Biodiversity strategy that shall also apply to the education, agriculture, forestry, hunting, tourism, spatial organisation, transport and energy sectors</w:t>
            </w:r>
            <w:bookmarkEnd w:id="2"/>
            <w:r w:rsidRPr="00CB11E3">
              <w:rPr>
                <w:rFonts w:ascii="Times New Roman" w:hAnsi="Times New Roman" w:cs="Times New Roman"/>
                <w:noProof/>
                <w:sz w:val="20"/>
                <w:szCs w:val="20"/>
                <w:lang w:val="en-GB"/>
              </w:rPr>
              <w:t>.</w:t>
            </w:r>
            <w:r w:rsidR="00D23D91" w:rsidRPr="00CB11E3">
              <w:rPr>
                <w:rFonts w:ascii="Times New Roman" w:hAnsi="Times New Roman" w:cs="Times New Roman"/>
                <w:noProof/>
                <w:sz w:val="20"/>
                <w:szCs w:val="20"/>
                <w:lang w:val="en-GB"/>
              </w:rPr>
              <w:t xml:space="preserve"> </w:t>
            </w:r>
          </w:p>
        </w:tc>
      </w:tr>
    </w:tbl>
    <w:p w14:paraId="79766151" w14:textId="77777777" w:rsidR="005E1674" w:rsidRPr="00291374" w:rsidRDefault="005E1674" w:rsidP="005E1674">
      <w:pPr>
        <w:spacing w:before="120" w:after="120" w:line="240" w:lineRule="auto"/>
        <w:jc w:val="both"/>
        <w:rPr>
          <w:rFonts w:ascii="Times New Roman" w:hAnsi="Times New Roman" w:cs="Times New Roman"/>
          <w:noProof/>
          <w:lang w:val="en-GB"/>
        </w:rPr>
        <w:sectPr w:rsidR="005E1674" w:rsidRPr="00291374" w:rsidSect="005E1674">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p>
    <w:p w14:paraId="5DD63FF7" w14:textId="77777777" w:rsidR="003E0A8C" w:rsidRPr="009F5ACB" w:rsidRDefault="003E0A8C" w:rsidP="003E0A8C">
      <w:pPr>
        <w:keepNext/>
        <w:numPr>
          <w:ilvl w:val="0"/>
          <w:numId w:val="1"/>
        </w:numPr>
        <w:tabs>
          <w:tab w:val="left" w:pos="850"/>
        </w:tabs>
        <w:spacing w:before="360" w:after="120" w:line="240" w:lineRule="auto"/>
        <w:jc w:val="both"/>
        <w:outlineLvl w:val="0"/>
        <w:rPr>
          <w:rFonts w:ascii="Times New Roman" w:hAnsi="Times New Roman" w:cs="Times New Roman"/>
          <w:b/>
          <w:bCs/>
          <w:smallCaps/>
          <w:noProof/>
          <w:lang w:val="en-GB"/>
        </w:rPr>
      </w:pPr>
      <w:r w:rsidRPr="009F5ACB">
        <w:rPr>
          <w:rFonts w:ascii="Times New Roman" w:hAnsi="Times New Roman" w:cs="Times New Roman"/>
          <w:b/>
          <w:smallCaps/>
          <w:noProof/>
          <w:lang w:val="en-GB"/>
        </w:rPr>
        <w:t>COMPONENT 3: Waste management</w:t>
      </w:r>
    </w:p>
    <w:p w14:paraId="7F60DC24" w14:textId="26477297" w:rsidR="003E0A8C" w:rsidRPr="009F5ACB" w:rsidRDefault="003E0A8C" w:rsidP="003E0A8C">
      <w:pPr>
        <w:spacing w:before="120" w:after="120" w:line="240" w:lineRule="auto"/>
        <w:jc w:val="both"/>
        <w:rPr>
          <w:rFonts w:ascii="Times New Roman" w:hAnsi="Times New Roman" w:cs="Times New Roman"/>
          <w:noProof/>
          <w:lang w:val="en-GB"/>
        </w:rPr>
      </w:pPr>
      <w:r w:rsidRPr="009F5ACB">
        <w:rPr>
          <w:rFonts w:ascii="Times New Roman" w:hAnsi="Times New Roman" w:cs="Times New Roman"/>
          <w:noProof/>
          <w:lang w:val="en-GB"/>
        </w:rPr>
        <w:t>The objective of the component is to accelerate the expansion and modernisation of waste management systems in Romania with a focus on separate collection, prevention, reduction, re-use and recovery to comply with the</w:t>
      </w:r>
      <w:r w:rsidR="00D23D91">
        <w:rPr>
          <w:rFonts w:ascii="Times New Roman" w:hAnsi="Times New Roman" w:cs="Times New Roman"/>
          <w:noProof/>
          <w:lang w:val="en-GB"/>
        </w:rPr>
        <w:t xml:space="preserve"> </w:t>
      </w:r>
      <w:r w:rsidRPr="009F5ACB">
        <w:rPr>
          <w:rFonts w:ascii="Times New Roman" w:hAnsi="Times New Roman" w:cs="Times New Roman"/>
          <w:noProof/>
          <w:lang w:val="en-GB"/>
        </w:rPr>
        <w:t>transition to the circular economy.</w:t>
      </w:r>
    </w:p>
    <w:p w14:paraId="41EA431F" w14:textId="77777777" w:rsidR="003E0A8C" w:rsidRPr="009F5ACB" w:rsidRDefault="003E0A8C" w:rsidP="003E0A8C">
      <w:pPr>
        <w:spacing w:before="120" w:after="120" w:line="240" w:lineRule="auto"/>
        <w:jc w:val="both"/>
        <w:rPr>
          <w:rFonts w:ascii="Times New Roman" w:hAnsi="Times New Roman" w:cs="Times New Roman"/>
          <w:noProof/>
          <w:lang w:val="en-GB"/>
        </w:rPr>
      </w:pPr>
      <w:r w:rsidRPr="3966F64D">
        <w:rPr>
          <w:rFonts w:ascii="Times New Roman" w:hAnsi="Times New Roman" w:cs="Times New Roman"/>
          <w:noProof/>
          <w:lang w:val="en-GB"/>
        </w:rPr>
        <w:t xml:space="preserve">The component is comprised of one reform and three investments, </w:t>
      </w:r>
      <w:r w:rsidRPr="3966F64D">
        <w:rPr>
          <w:rFonts w:ascii="Times New Roman" w:eastAsia="Times New Roman" w:hAnsi="Times New Roman" w:cs="Times New Roman"/>
          <w:noProof/>
          <w:color w:val="000000" w:themeColor="text1"/>
          <w:lang w:val="en-GB"/>
        </w:rPr>
        <w:t>out of which one subinvestment of the investment 1 and one investment are financed through non-repayable financial support</w:t>
      </w:r>
      <w:r w:rsidRPr="3966F64D">
        <w:rPr>
          <w:rFonts w:ascii="Times New Roman" w:hAnsi="Times New Roman" w:cs="Times New Roman"/>
          <w:noProof/>
          <w:lang w:val="en-GB"/>
        </w:rPr>
        <w:t xml:space="preserve">. </w:t>
      </w:r>
    </w:p>
    <w:p w14:paraId="531DC16B" w14:textId="77777777" w:rsidR="003E0A8C" w:rsidRPr="009F5ACB" w:rsidRDefault="003E0A8C" w:rsidP="003E0A8C">
      <w:pPr>
        <w:spacing w:before="120" w:after="120" w:line="240" w:lineRule="auto"/>
        <w:jc w:val="both"/>
        <w:rPr>
          <w:rFonts w:ascii="Times New Roman" w:hAnsi="Times New Roman" w:cs="Times New Roman"/>
          <w:noProof/>
          <w:lang w:val="en-GB"/>
        </w:rPr>
      </w:pPr>
      <w:r w:rsidRPr="009F5ACB">
        <w:rPr>
          <w:rFonts w:ascii="Times New Roman" w:hAnsi="Times New Roman" w:cs="Times New Roman"/>
          <w:noProof/>
          <w:lang w:val="en-GB"/>
        </w:rPr>
        <w:t>The measures included in the component are expected to address some of the challenges highlighted by the country-specific recommendation to focus investment on the green and digital transition, in particular on environmental infrastructure among others (country-specific recommendations 2019 and 2020).</w:t>
      </w:r>
    </w:p>
    <w:p w14:paraId="379218D0" w14:textId="77777777" w:rsidR="003E0A8C" w:rsidRPr="009F5ACB" w:rsidRDefault="003E0A8C" w:rsidP="003E0A8C">
      <w:pPr>
        <w:spacing w:before="120" w:after="120" w:line="240" w:lineRule="auto"/>
        <w:jc w:val="both"/>
        <w:rPr>
          <w:rFonts w:ascii="Times New Roman" w:hAnsi="Times New Roman" w:cs="Times New Roman"/>
          <w:noProof/>
          <w:lang w:val="en-GB"/>
        </w:rPr>
      </w:pPr>
      <w:r w:rsidRPr="009F5ACB">
        <w:rPr>
          <w:rFonts w:ascii="Times New Roman" w:hAnsi="Times New Roman" w:cs="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7ACEAF76" w14:textId="77777777" w:rsidR="003E0A8C" w:rsidRPr="009F5ACB" w:rsidRDefault="003E0A8C" w:rsidP="003E0A8C">
      <w:pPr>
        <w:keepNext/>
        <w:spacing w:before="120" w:after="120" w:line="240" w:lineRule="auto"/>
        <w:jc w:val="both"/>
        <w:outlineLvl w:val="1"/>
        <w:rPr>
          <w:rFonts w:ascii="Times New Roman" w:hAnsi="Times New Roman" w:cs="Times New Roman"/>
          <w:b/>
          <w:bCs/>
          <w:noProof/>
          <w:lang w:val="en-GB"/>
        </w:rPr>
      </w:pPr>
      <w:r w:rsidRPr="3966F64D">
        <w:rPr>
          <w:rFonts w:ascii="Times New Roman" w:hAnsi="Times New Roman" w:cs="Times New Roman"/>
          <w:b/>
          <w:bCs/>
          <w:noProof/>
          <w:lang w:val="en-GB"/>
        </w:rPr>
        <w:t xml:space="preserve">C.1. </w:t>
      </w:r>
      <w:r>
        <w:rPr>
          <w:noProof/>
        </w:rPr>
        <w:tab/>
      </w:r>
      <w:r w:rsidRPr="3966F64D">
        <w:rPr>
          <w:rFonts w:ascii="Times New Roman" w:hAnsi="Times New Roman" w:cs="Times New Roman"/>
          <w:b/>
          <w:bCs/>
          <w:noProof/>
          <w:lang w:val="en-GB"/>
        </w:rPr>
        <w:t xml:space="preserve">Description of the investments through non repayable financial support </w:t>
      </w:r>
    </w:p>
    <w:p w14:paraId="662E4224" w14:textId="77777777" w:rsidR="003E0A8C" w:rsidRDefault="003E0A8C" w:rsidP="003E0A8C">
      <w:pPr>
        <w:suppressAutoHyphens/>
        <w:autoSpaceDN w:val="0"/>
        <w:spacing w:before="240" w:after="240" w:line="240" w:lineRule="auto"/>
        <w:jc w:val="both"/>
        <w:textAlignment w:val="baseline"/>
        <w:rPr>
          <w:rFonts w:ascii="Times New Roman" w:eastAsia="NSimSun" w:hAnsi="Times New Roman" w:cs="Times New Roman"/>
          <w:noProof/>
          <w:kern w:val="3"/>
          <w:u w:val="single"/>
          <w:lang w:val="en-GB"/>
        </w:rPr>
      </w:pPr>
      <w:r w:rsidRPr="009F5ACB">
        <w:rPr>
          <w:rFonts w:ascii="Times New Roman" w:eastAsia="NSimSun" w:hAnsi="Times New Roman" w:cs="Times New Roman"/>
          <w:noProof/>
          <w:kern w:val="3"/>
          <w:u w:val="single"/>
          <w:lang w:val="en-GB"/>
        </w:rPr>
        <w:t>Investment 1.a. Construction of voluntary waste collection centres</w:t>
      </w:r>
    </w:p>
    <w:p w14:paraId="17AC5E16" w14:textId="258CE4F9" w:rsidR="003E0A8C" w:rsidRPr="009F5ACB" w:rsidRDefault="003E0A8C" w:rsidP="003E0A8C">
      <w:pPr>
        <w:suppressAutoHyphens/>
        <w:autoSpaceDN w:val="0"/>
        <w:spacing w:before="240" w:after="240" w:line="240" w:lineRule="auto"/>
        <w:jc w:val="both"/>
        <w:textAlignment w:val="baseline"/>
        <w:rPr>
          <w:rFonts w:ascii="Times New Roman" w:eastAsia="NSimSun" w:hAnsi="Times New Roman" w:cs="Times New Roman"/>
          <w:noProof/>
          <w:kern w:val="3"/>
          <w:lang w:val="en-GB"/>
        </w:rPr>
      </w:pPr>
      <w:r w:rsidRPr="009F5ACB">
        <w:rPr>
          <w:rFonts w:ascii="Times New Roman" w:eastAsia="NSimSun" w:hAnsi="Times New Roman" w:cs="Times New Roman"/>
          <w:noProof/>
          <w:kern w:val="3"/>
          <w:lang w:val="en-GB"/>
        </w:rPr>
        <w:t xml:space="preserve">The objective of this sub-investment is to </w:t>
      </w:r>
      <w:r w:rsidRPr="17BAEB68">
        <w:rPr>
          <w:rFonts w:ascii="Times New Roman" w:eastAsia="NSimSun" w:hAnsi="Times New Roman" w:cs="Times New Roman"/>
          <w:noProof/>
          <w:lang w:val="en-GB"/>
        </w:rPr>
        <w:t>make available</w:t>
      </w:r>
      <w:r w:rsidRPr="009F5ACB">
        <w:rPr>
          <w:rFonts w:ascii="Times New Roman" w:eastAsia="NSimSun" w:hAnsi="Times New Roman" w:cs="Times New Roman"/>
          <w:noProof/>
          <w:kern w:val="3"/>
          <w:lang w:val="en-GB"/>
        </w:rPr>
        <w:t xml:space="preserve"> voluntary waste collection centres</w:t>
      </w:r>
      <w:r w:rsidRPr="17BAEB68">
        <w:rPr>
          <w:rFonts w:ascii="Times New Roman" w:eastAsia="NSimSun" w:hAnsi="Times New Roman" w:cs="Times New Roman"/>
          <w:noProof/>
          <w:lang w:val="en-GB"/>
        </w:rPr>
        <w:t xml:space="preserve"> benefitting </w:t>
      </w:r>
      <w:r w:rsidR="009B6031" w:rsidRPr="009B6031">
        <w:rPr>
          <w:rFonts w:ascii="Times New Roman" w:eastAsia="NSimSun" w:hAnsi="Times New Roman" w:cs="Times New Roman"/>
          <w:noProof/>
          <w:lang w:val="en-GB"/>
        </w:rPr>
        <w:t>administrative territorial units</w:t>
      </w:r>
      <w:r w:rsidRPr="17BAEB68">
        <w:rPr>
          <w:rFonts w:ascii="Times New Roman" w:eastAsia="NSimSun" w:hAnsi="Times New Roman" w:cs="Times New Roman"/>
          <w:noProof/>
          <w:lang w:val="en-GB"/>
        </w:rPr>
        <w:t>.</w:t>
      </w:r>
      <w:r w:rsidRPr="009F5ACB">
        <w:rPr>
          <w:rFonts w:ascii="Times New Roman" w:eastAsia="NSimSun" w:hAnsi="Times New Roman" w:cs="Times New Roman"/>
          <w:noProof/>
          <w:kern w:val="3"/>
          <w:lang w:val="en-GB"/>
        </w:rPr>
        <w:t xml:space="preserve"> The investment consist</w:t>
      </w:r>
      <w:r>
        <w:rPr>
          <w:rFonts w:ascii="Times New Roman" w:eastAsia="NSimSun" w:hAnsi="Times New Roman" w:cs="Times New Roman"/>
          <w:noProof/>
          <w:kern w:val="3"/>
          <w:lang w:val="en-GB"/>
        </w:rPr>
        <w:t>s</w:t>
      </w:r>
      <w:r w:rsidRPr="009F5ACB">
        <w:rPr>
          <w:rFonts w:ascii="Times New Roman" w:eastAsia="NSimSun" w:hAnsi="Times New Roman" w:cs="Times New Roman"/>
          <w:noProof/>
          <w:kern w:val="3"/>
          <w:lang w:val="en-GB"/>
        </w:rPr>
        <w:t xml:space="preserve"> in </w:t>
      </w:r>
      <w:r>
        <w:rPr>
          <w:rFonts w:ascii="Times New Roman" w:eastAsia="NSimSun" w:hAnsi="Times New Roman" w:cs="Times New Roman"/>
          <w:noProof/>
          <w:kern w:val="3"/>
          <w:lang w:val="en-GB"/>
        </w:rPr>
        <w:t>the</w:t>
      </w:r>
      <w:r w:rsidRPr="009F5ACB">
        <w:rPr>
          <w:rFonts w:ascii="Times New Roman" w:eastAsia="NSimSun" w:hAnsi="Times New Roman" w:cs="Times New Roman"/>
          <w:noProof/>
          <w:kern w:val="3"/>
          <w:lang w:val="en-GB"/>
        </w:rPr>
        <w:t xml:space="preserve"> construction of voluntary collection centres.</w:t>
      </w:r>
    </w:p>
    <w:p w14:paraId="4AA220E6" w14:textId="77777777" w:rsidR="003E0A8C" w:rsidRPr="009F5ACB" w:rsidRDefault="003E0A8C" w:rsidP="003E0A8C">
      <w:pPr>
        <w:suppressAutoHyphens/>
        <w:autoSpaceDN w:val="0"/>
        <w:spacing w:before="240" w:after="240" w:line="240" w:lineRule="auto"/>
        <w:jc w:val="both"/>
        <w:textAlignment w:val="baseline"/>
        <w:rPr>
          <w:rFonts w:ascii="Times New Roman" w:eastAsia="NSimSun" w:hAnsi="Times New Roman" w:cs="Times New Roman"/>
          <w:noProof/>
          <w:kern w:val="3"/>
          <w:lang w:val="en-GB"/>
        </w:rPr>
      </w:pPr>
      <w:r w:rsidRPr="009F5ACB">
        <w:rPr>
          <w:rFonts w:ascii="Times New Roman" w:eastAsia="NSimSun" w:hAnsi="Times New Roman" w:cs="Times New Roman"/>
          <w:noProof/>
          <w:kern w:val="3"/>
          <w:lang w:val="en-GB"/>
        </w:rPr>
        <w:t>This sub-investment is complemented by the other sub-investments of Investment 1 (1.b, 1.c and 1.d).</w:t>
      </w:r>
    </w:p>
    <w:p w14:paraId="48D4E627" w14:textId="77777777" w:rsidR="003E0A8C" w:rsidRPr="009F5ACB" w:rsidRDefault="003E0A8C" w:rsidP="003E0A8C">
      <w:pPr>
        <w:suppressAutoHyphens/>
        <w:autoSpaceDN w:val="0"/>
        <w:spacing w:before="240" w:after="240" w:line="240" w:lineRule="auto"/>
        <w:jc w:val="both"/>
        <w:textAlignment w:val="baseline"/>
        <w:rPr>
          <w:rFonts w:ascii="Times New Roman" w:eastAsia="NSimSun" w:hAnsi="Times New Roman" w:cs="Times New Roman"/>
          <w:noProof/>
          <w:kern w:val="3"/>
          <w:u w:val="single"/>
          <w:lang w:val="en-GB"/>
        </w:rPr>
      </w:pPr>
      <w:r w:rsidRPr="009F5ACB">
        <w:rPr>
          <w:rFonts w:ascii="Times New Roman" w:eastAsia="NSimSun" w:hAnsi="Times New Roman" w:cs="Times New Roman"/>
          <w:noProof/>
          <w:kern w:val="3"/>
          <w:u w:val="single"/>
          <w:lang w:val="en-GB"/>
        </w:rPr>
        <w:t>Investment 3. Public monitoring, control and institutional capacities for waste management</w:t>
      </w:r>
    </w:p>
    <w:p w14:paraId="2A8E54C4" w14:textId="503DCEC2" w:rsidR="003E0A8C" w:rsidRPr="009F5ACB" w:rsidRDefault="003E0A8C" w:rsidP="003E0A8C">
      <w:pPr>
        <w:suppressAutoHyphens/>
        <w:autoSpaceDN w:val="0"/>
        <w:spacing w:before="240" w:after="240" w:line="240" w:lineRule="auto"/>
        <w:jc w:val="both"/>
        <w:textAlignment w:val="baseline"/>
        <w:rPr>
          <w:rFonts w:ascii="Times New Roman" w:eastAsia="NSimSun" w:hAnsi="Times New Roman" w:cs="Times New Roman"/>
          <w:noProof/>
          <w:kern w:val="3"/>
          <w:lang w:val="en-GB"/>
        </w:rPr>
      </w:pPr>
      <w:r w:rsidRPr="009F5ACB">
        <w:rPr>
          <w:rFonts w:ascii="Times New Roman" w:eastAsia="NSimSun" w:hAnsi="Times New Roman" w:cs="Times New Roman"/>
          <w:noProof/>
          <w:kern w:val="3"/>
          <w:lang w:val="en-GB"/>
        </w:rPr>
        <w:t xml:space="preserve">The objective of this investment is to increase public monitoring, control and institutional capacities for waste </w:t>
      </w:r>
      <w:r w:rsidR="0078790C">
        <w:rPr>
          <w:rFonts w:ascii="Times New Roman" w:eastAsia="NSimSun" w:hAnsi="Times New Roman" w:cs="Times New Roman"/>
          <w:noProof/>
          <w:kern w:val="3"/>
          <w:lang w:val="en-GB"/>
        </w:rPr>
        <w:t>and environmental</w:t>
      </w:r>
      <w:r w:rsidRPr="009F5ACB">
        <w:rPr>
          <w:rFonts w:ascii="Times New Roman" w:eastAsia="NSimSun" w:hAnsi="Times New Roman" w:cs="Times New Roman"/>
          <w:noProof/>
          <w:kern w:val="3"/>
          <w:lang w:val="en-GB"/>
        </w:rPr>
        <w:t xml:space="preserve"> management. </w:t>
      </w:r>
    </w:p>
    <w:p w14:paraId="31569A94" w14:textId="4BC44277" w:rsidR="003E0A8C" w:rsidRPr="009F5ACB" w:rsidRDefault="003E0A8C" w:rsidP="003E0A8C">
      <w:pPr>
        <w:suppressAutoHyphens/>
        <w:autoSpaceDN w:val="0"/>
        <w:spacing w:before="240" w:after="240" w:line="240" w:lineRule="auto"/>
        <w:jc w:val="both"/>
        <w:textAlignment w:val="baseline"/>
        <w:rPr>
          <w:rFonts w:ascii="Times New Roman" w:eastAsia="NSimSun" w:hAnsi="Times New Roman" w:cs="Times New Roman"/>
          <w:noProof/>
          <w:kern w:val="3"/>
          <w:lang w:val="en-GB"/>
        </w:rPr>
      </w:pPr>
      <w:r w:rsidRPr="009F5ACB">
        <w:rPr>
          <w:rFonts w:ascii="Times New Roman" w:eastAsia="NSimSun" w:hAnsi="Times New Roman" w:cs="Times New Roman"/>
          <w:noProof/>
          <w:kern w:val="3"/>
          <w:lang w:val="en-GB"/>
        </w:rPr>
        <w:t>The investment consist in equiping with digital equipment the</w:t>
      </w:r>
      <w:r w:rsidR="00D23D91">
        <w:rPr>
          <w:rFonts w:ascii="Times New Roman" w:eastAsia="NSimSun" w:hAnsi="Times New Roman" w:cs="Times New Roman"/>
          <w:noProof/>
          <w:kern w:val="3"/>
          <w:lang w:val="en-GB"/>
        </w:rPr>
        <w:t xml:space="preserve"> </w:t>
      </w:r>
      <w:r w:rsidRPr="3644FE77">
        <w:rPr>
          <w:rFonts w:ascii="Times New Roman" w:eastAsia="NSimSun" w:hAnsi="Times New Roman" w:cs="Times New Roman"/>
          <w:noProof/>
          <w:lang w:val="en-GB"/>
        </w:rPr>
        <w:t>Commissioners of the Environmental Guard</w:t>
      </w:r>
      <w:r>
        <w:rPr>
          <w:rFonts w:ascii="Times New Roman" w:eastAsia="NSimSun" w:hAnsi="Times New Roman" w:cs="Times New Roman"/>
          <w:noProof/>
          <w:lang w:val="en-GB"/>
        </w:rPr>
        <w:t xml:space="preserve"> and </w:t>
      </w:r>
      <w:r w:rsidRPr="00374EE3">
        <w:rPr>
          <w:rFonts w:ascii="Times New Roman" w:eastAsia="NSimSun" w:hAnsi="Times New Roman" w:cs="Times New Roman"/>
          <w:noProof/>
          <w:lang w:val="en-GB"/>
        </w:rPr>
        <w:t>400 control missions</w:t>
      </w:r>
      <w:r w:rsidRPr="000179A2">
        <w:rPr>
          <w:rFonts w:ascii="Times New Roman" w:eastAsia="NSimSun" w:hAnsi="Times New Roman" w:cs="Times New Roman"/>
          <w:noProof/>
          <w:lang w:val="en-GB"/>
        </w:rPr>
        <w:t xml:space="preserve"> </w:t>
      </w:r>
      <w:r w:rsidR="001D6CB1" w:rsidRPr="001D6CB1">
        <w:rPr>
          <w:rFonts w:ascii="Times New Roman" w:eastAsia="NSimSun" w:hAnsi="Times New Roman" w:cs="Times New Roman"/>
          <w:noProof/>
          <w:lang w:val="en-GB"/>
        </w:rPr>
        <w:t>the domains of pollution control or biodiversity control</w:t>
      </w:r>
      <w:r w:rsidR="0079747B">
        <w:rPr>
          <w:rFonts w:ascii="Times New Roman" w:eastAsia="NSimSun" w:hAnsi="Times New Roman" w:cs="Times New Roman"/>
          <w:noProof/>
          <w:lang w:val="en-GB"/>
        </w:rPr>
        <w:t xml:space="preserve"> </w:t>
      </w:r>
      <w:r w:rsidRPr="00374EE3">
        <w:rPr>
          <w:rFonts w:ascii="Times New Roman" w:eastAsia="NSimSun" w:hAnsi="Times New Roman" w:cs="Times New Roman"/>
          <w:noProof/>
          <w:lang w:val="en-GB"/>
        </w:rPr>
        <w:t>conducted by the National Environmental Guard Commissioners using digital equipment</w:t>
      </w:r>
      <w:r w:rsidRPr="009F5ACB">
        <w:rPr>
          <w:rFonts w:ascii="Times New Roman" w:eastAsia="NSimSun" w:hAnsi="Times New Roman" w:cs="Times New Roman"/>
          <w:noProof/>
          <w:kern w:val="3"/>
          <w:lang w:val="en-GB"/>
        </w:rPr>
        <w:t>.</w:t>
      </w:r>
      <w:r w:rsidR="00D23D91">
        <w:rPr>
          <w:rFonts w:ascii="Times New Roman" w:eastAsia="NSimSun" w:hAnsi="Times New Roman" w:cs="Times New Roman"/>
          <w:noProof/>
          <w:kern w:val="3"/>
          <w:lang w:val="en-GB"/>
        </w:rPr>
        <w:t xml:space="preserve"> </w:t>
      </w:r>
      <w:r w:rsidR="00C55364" w:rsidRPr="00C55364">
        <w:rPr>
          <w:rFonts w:ascii="Times New Roman" w:eastAsia="NSimSun" w:hAnsi="Times New Roman" w:cs="Times New Roman"/>
          <w:noProof/>
          <w:kern w:val="3"/>
          <w:lang w:val="en-GB"/>
        </w:rPr>
        <w:t>At least some of the control missions shall be related to waste management.</w:t>
      </w:r>
      <w:r w:rsidR="00D23D91">
        <w:rPr>
          <w:rFonts w:ascii="Times New Roman" w:eastAsia="NSimSun" w:hAnsi="Times New Roman" w:cs="Times New Roman"/>
          <w:noProof/>
          <w:kern w:val="3"/>
          <w:lang w:val="en-GB"/>
        </w:rPr>
        <w:t xml:space="preserve"> </w:t>
      </w:r>
    </w:p>
    <w:p w14:paraId="6274DC28" w14:textId="77777777" w:rsidR="003E0A8C" w:rsidRPr="009F5ACB" w:rsidRDefault="003E0A8C" w:rsidP="003E0A8C">
      <w:pPr>
        <w:rPr>
          <w:rFonts w:ascii="Times New Roman" w:hAnsi="Times New Roman" w:cs="Times New Roman"/>
          <w:noProof/>
          <w:lang w:val="en-GB"/>
        </w:rPr>
        <w:sectPr w:rsidR="003E0A8C" w:rsidRPr="009F5ACB" w:rsidSect="003E0A8C">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p>
    <w:p w14:paraId="382ED3CE" w14:textId="77777777" w:rsidR="003E0A8C" w:rsidRPr="009E242B" w:rsidRDefault="003E0A8C" w:rsidP="003E0A8C">
      <w:pPr>
        <w:keepNext/>
        <w:spacing w:before="120" w:after="120" w:line="240" w:lineRule="auto"/>
        <w:ind w:left="-284"/>
        <w:jc w:val="both"/>
        <w:outlineLvl w:val="1"/>
        <w:rPr>
          <w:rFonts w:ascii="Times New Roman" w:hAnsi="Times New Roman" w:cs="Times New Roman"/>
          <w:b/>
          <w:noProof/>
          <w:lang w:val="en-GB"/>
        </w:rPr>
      </w:pPr>
      <w:r w:rsidRPr="009E242B">
        <w:rPr>
          <w:rFonts w:ascii="Times New Roman" w:hAnsi="Times New Roman" w:cs="Times New Roman"/>
          <w:b/>
          <w:noProof/>
          <w:lang w:val="en-GB"/>
        </w:rPr>
        <w:t>C.2. Milestones, targets, indicators, and timetable for monitoring and implementation for non repayable financial support</w:t>
      </w:r>
    </w:p>
    <w:tbl>
      <w:tblPr>
        <w:tblW w:w="14879" w:type="dxa"/>
        <w:jc w:val="center"/>
        <w:tblLayout w:type="fixed"/>
        <w:tblLook w:val="04A0" w:firstRow="1" w:lastRow="0" w:firstColumn="1" w:lastColumn="0" w:noHBand="0" w:noVBand="1"/>
      </w:tblPr>
      <w:tblGrid>
        <w:gridCol w:w="834"/>
        <w:gridCol w:w="1490"/>
        <w:gridCol w:w="1222"/>
        <w:gridCol w:w="1490"/>
        <w:gridCol w:w="1625"/>
        <w:gridCol w:w="1087"/>
        <w:gridCol w:w="1357"/>
        <w:gridCol w:w="818"/>
        <w:gridCol w:w="1087"/>
        <w:gridCol w:w="819"/>
        <w:gridCol w:w="3050"/>
      </w:tblGrid>
      <w:tr w:rsidR="00382D78" w:rsidRPr="00CB11E3" w14:paraId="569E36F9" w14:textId="77777777" w:rsidTr="00270B0B">
        <w:trPr>
          <w:trHeight w:val="587"/>
          <w:tblHeader/>
          <w:jc w:val="center"/>
        </w:trPr>
        <w:tc>
          <w:tcPr>
            <w:tcW w:w="8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780678A" w14:textId="77777777" w:rsidR="003E0A8C" w:rsidRPr="00CB11E3" w:rsidRDefault="003E0A8C" w:rsidP="00270B0B">
            <w:pPr>
              <w:spacing w:after="0" w:line="240" w:lineRule="auto"/>
              <w:jc w:val="center"/>
              <w:rPr>
                <w:rFonts w:ascii="Times New Roman" w:eastAsia="Times New Roman" w:hAnsi="Times New Roman" w:cs="Times New Roman"/>
                <w:b/>
                <w:bCs/>
                <w:noProof/>
                <w:sz w:val="20"/>
                <w:szCs w:val="20"/>
                <w:lang w:val="en-GB"/>
              </w:rPr>
            </w:pPr>
            <w:r w:rsidRPr="00CB11E3">
              <w:rPr>
                <w:rFonts w:ascii="Times New Roman" w:hAnsi="Times New Roman" w:cs="Times New Roman"/>
                <w:b/>
                <w:bCs/>
                <w:noProof/>
                <w:sz w:val="20"/>
                <w:szCs w:val="20"/>
                <w:lang w:val="en-GB"/>
              </w:rPr>
              <w:t>Seq. Num.</w:t>
            </w:r>
          </w:p>
        </w:tc>
        <w:tc>
          <w:tcPr>
            <w:tcW w:w="149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1113F1" w14:textId="77777777" w:rsidR="003E0A8C" w:rsidRPr="00CB11E3" w:rsidRDefault="003E0A8C" w:rsidP="00270B0B">
            <w:pPr>
              <w:spacing w:after="0" w:line="240" w:lineRule="auto"/>
              <w:jc w:val="center"/>
              <w:rPr>
                <w:rFonts w:ascii="Times New Roman" w:eastAsia="Times New Roman" w:hAnsi="Times New Roman" w:cs="Times New Roman"/>
                <w:b/>
                <w:bCs/>
                <w:noProof/>
                <w:sz w:val="20"/>
                <w:szCs w:val="20"/>
                <w:lang w:val="en-GB"/>
              </w:rPr>
            </w:pPr>
            <w:r w:rsidRPr="00CB11E3">
              <w:rPr>
                <w:rFonts w:ascii="Times New Roman" w:hAnsi="Times New Roman" w:cs="Times New Roman"/>
                <w:b/>
                <w:bCs/>
                <w:noProof/>
                <w:sz w:val="20"/>
                <w:szCs w:val="20"/>
                <w:lang w:val="en-GB"/>
              </w:rPr>
              <w:t>Related Measure (Reform or Investment)</w:t>
            </w:r>
          </w:p>
        </w:tc>
        <w:tc>
          <w:tcPr>
            <w:tcW w:w="122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E36D34C" w14:textId="77777777" w:rsidR="003E0A8C" w:rsidRPr="00CB11E3" w:rsidRDefault="003E0A8C" w:rsidP="00270B0B">
            <w:pPr>
              <w:spacing w:after="0" w:line="240" w:lineRule="auto"/>
              <w:jc w:val="center"/>
              <w:rPr>
                <w:rFonts w:ascii="Times New Roman" w:eastAsia="Times New Roman" w:hAnsi="Times New Roman" w:cs="Times New Roman"/>
                <w:b/>
                <w:bCs/>
                <w:noProof/>
                <w:sz w:val="20"/>
                <w:szCs w:val="20"/>
                <w:lang w:val="en-GB"/>
              </w:rPr>
            </w:pPr>
            <w:r w:rsidRPr="00CB11E3">
              <w:rPr>
                <w:rFonts w:ascii="Times New Roman" w:hAnsi="Times New Roman" w:cs="Times New Roman"/>
                <w:b/>
                <w:bCs/>
                <w:noProof/>
                <w:sz w:val="20"/>
                <w:szCs w:val="20"/>
                <w:lang w:val="en-GB"/>
              </w:rPr>
              <w:t>Milestone/Target</w:t>
            </w:r>
          </w:p>
        </w:tc>
        <w:tc>
          <w:tcPr>
            <w:tcW w:w="149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550724" w14:textId="77777777" w:rsidR="003E0A8C" w:rsidRPr="00CB11E3" w:rsidRDefault="003E0A8C" w:rsidP="00270B0B">
            <w:pPr>
              <w:spacing w:after="0" w:line="240" w:lineRule="auto"/>
              <w:jc w:val="center"/>
              <w:rPr>
                <w:rFonts w:ascii="Times New Roman" w:eastAsia="Times New Roman" w:hAnsi="Times New Roman" w:cs="Times New Roman"/>
                <w:b/>
                <w:bCs/>
                <w:noProof/>
                <w:sz w:val="20"/>
                <w:szCs w:val="20"/>
                <w:lang w:val="en-GB"/>
              </w:rPr>
            </w:pPr>
            <w:r w:rsidRPr="00CB11E3">
              <w:rPr>
                <w:rFonts w:ascii="Times New Roman" w:hAnsi="Times New Roman" w:cs="Times New Roman"/>
                <w:b/>
                <w:bCs/>
                <w:noProof/>
                <w:sz w:val="20"/>
                <w:szCs w:val="20"/>
                <w:lang w:val="en-GB"/>
              </w:rPr>
              <w:t>Name</w:t>
            </w:r>
          </w:p>
        </w:tc>
        <w:tc>
          <w:tcPr>
            <w:tcW w:w="16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F511548" w14:textId="3E297840" w:rsidR="003E0A8C" w:rsidRPr="00CB11E3" w:rsidRDefault="003E0A8C" w:rsidP="00270B0B">
            <w:pPr>
              <w:spacing w:after="0" w:line="240" w:lineRule="auto"/>
              <w:jc w:val="center"/>
              <w:rPr>
                <w:rFonts w:ascii="Times New Roman" w:eastAsia="Times New Roman" w:hAnsi="Times New Roman" w:cs="Times New Roman"/>
                <w:b/>
                <w:bCs/>
                <w:noProof/>
                <w:sz w:val="20"/>
                <w:szCs w:val="20"/>
                <w:lang w:val="en-GB"/>
              </w:rPr>
            </w:pPr>
            <w:r w:rsidRPr="00CB11E3">
              <w:rPr>
                <w:rFonts w:ascii="Times New Roman" w:hAnsi="Times New Roman" w:cs="Times New Roman"/>
                <w:b/>
                <w:bCs/>
                <w:noProof/>
                <w:sz w:val="20"/>
                <w:szCs w:val="20"/>
                <w:lang w:val="en-GB"/>
              </w:rPr>
              <w:t>Qualitative</w:t>
            </w:r>
            <w:r w:rsidR="00CB11E3">
              <w:rPr>
                <w:rFonts w:ascii="Times New Roman" w:hAnsi="Times New Roman" w:cs="Times New Roman"/>
                <w:b/>
                <w:bCs/>
                <w:noProof/>
                <w:sz w:val="20"/>
                <w:szCs w:val="20"/>
                <w:lang w:val="en-GB"/>
              </w:rPr>
              <w:t xml:space="preserve"> </w:t>
            </w:r>
            <w:r w:rsidRPr="00CB11E3">
              <w:rPr>
                <w:rFonts w:ascii="Times New Roman" w:hAnsi="Times New Roman" w:cs="Times New Roman"/>
                <w:b/>
                <w:bCs/>
                <w:noProof/>
                <w:sz w:val="20"/>
                <w:szCs w:val="20"/>
                <w:lang w:val="en-GB"/>
              </w:rPr>
              <w:t>indicators</w:t>
            </w:r>
            <w:r w:rsidRPr="00CB11E3">
              <w:rPr>
                <w:rFonts w:ascii="Times New Roman" w:hAnsi="Times New Roman" w:cs="Times New Roman"/>
                <w:noProof/>
                <w:sz w:val="20"/>
                <w:szCs w:val="20"/>
                <w:lang w:val="en-GB"/>
              </w:rPr>
              <w:t xml:space="preserve"> </w:t>
            </w:r>
            <w:r w:rsidRPr="00CB11E3">
              <w:rPr>
                <w:rFonts w:ascii="Times New Roman" w:hAnsi="Times New Roman" w:cs="Times New Roman"/>
                <w:noProof/>
                <w:sz w:val="20"/>
                <w:szCs w:val="20"/>
              </w:rPr>
              <w:br/>
            </w:r>
            <w:r w:rsidRPr="00CB11E3">
              <w:rPr>
                <w:rFonts w:ascii="Times New Roman" w:hAnsi="Times New Roman" w:cs="Times New Roman"/>
                <w:b/>
                <w:bCs/>
                <w:noProof/>
                <w:sz w:val="20"/>
                <w:szCs w:val="20"/>
                <w:lang w:val="en-GB"/>
              </w:rPr>
              <w:t>(for milestones)</w:t>
            </w:r>
          </w:p>
        </w:tc>
        <w:tc>
          <w:tcPr>
            <w:tcW w:w="326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4AA6B83" w14:textId="77777777" w:rsidR="003E0A8C" w:rsidRPr="00CB11E3" w:rsidRDefault="003E0A8C" w:rsidP="00270B0B">
            <w:pPr>
              <w:spacing w:after="0" w:line="240" w:lineRule="auto"/>
              <w:jc w:val="center"/>
              <w:rPr>
                <w:rFonts w:ascii="Times New Roman" w:eastAsia="Times New Roman" w:hAnsi="Times New Roman" w:cs="Times New Roman"/>
                <w:b/>
                <w:bCs/>
                <w:noProof/>
                <w:sz w:val="20"/>
                <w:szCs w:val="20"/>
                <w:lang w:val="en-GB"/>
              </w:rPr>
            </w:pPr>
            <w:r w:rsidRPr="00CB11E3">
              <w:rPr>
                <w:rFonts w:ascii="Times New Roman" w:hAnsi="Times New Roman" w:cs="Times New Roman"/>
                <w:b/>
                <w:bCs/>
                <w:noProof/>
                <w:sz w:val="20"/>
                <w:szCs w:val="20"/>
                <w:lang w:val="en-GB"/>
              </w:rPr>
              <w:t>Quantitative indicators (for targets)</w:t>
            </w:r>
          </w:p>
        </w:tc>
        <w:tc>
          <w:tcPr>
            <w:tcW w:w="1906" w:type="dxa"/>
            <w:gridSpan w:val="2"/>
            <w:tcBorders>
              <w:top w:val="single" w:sz="4" w:space="0" w:color="auto"/>
              <w:left w:val="nil"/>
              <w:bottom w:val="single" w:sz="4" w:space="0" w:color="auto"/>
              <w:right w:val="single" w:sz="4" w:space="0" w:color="auto"/>
            </w:tcBorders>
            <w:shd w:val="clear" w:color="auto" w:fill="BDD7EE"/>
            <w:vAlign w:val="center"/>
          </w:tcPr>
          <w:p w14:paraId="24D423D9" w14:textId="372A17A5" w:rsidR="003E0A8C" w:rsidRPr="00CB11E3" w:rsidRDefault="003E0A8C" w:rsidP="00270B0B">
            <w:pPr>
              <w:spacing w:after="0" w:line="240" w:lineRule="auto"/>
              <w:jc w:val="center"/>
              <w:rPr>
                <w:rFonts w:ascii="Times New Roman" w:eastAsia="Times New Roman" w:hAnsi="Times New Roman" w:cs="Times New Roman"/>
                <w:b/>
                <w:bCs/>
                <w:noProof/>
                <w:sz w:val="20"/>
                <w:szCs w:val="20"/>
                <w:lang w:val="en-GB"/>
              </w:rPr>
            </w:pPr>
            <w:r w:rsidRPr="00CB11E3">
              <w:rPr>
                <w:rFonts w:ascii="Times New Roman" w:hAnsi="Times New Roman" w:cs="Times New Roman"/>
                <w:b/>
                <w:bCs/>
                <w:noProof/>
                <w:sz w:val="20"/>
                <w:szCs w:val="20"/>
                <w:lang w:val="en-GB"/>
              </w:rPr>
              <w:t>Indicative timeline</w:t>
            </w:r>
            <w:r w:rsidR="00CB11E3">
              <w:rPr>
                <w:rFonts w:ascii="Times New Roman" w:hAnsi="Times New Roman" w:cs="Times New Roman"/>
                <w:b/>
                <w:bCs/>
                <w:noProof/>
                <w:sz w:val="20"/>
                <w:szCs w:val="20"/>
                <w:lang w:val="en-GB"/>
              </w:rPr>
              <w:t xml:space="preserve"> </w:t>
            </w:r>
            <w:r w:rsidRPr="00CB11E3">
              <w:rPr>
                <w:rFonts w:ascii="Times New Roman" w:hAnsi="Times New Roman" w:cs="Times New Roman"/>
                <w:b/>
                <w:bCs/>
                <w:noProof/>
                <w:sz w:val="20"/>
                <w:szCs w:val="20"/>
                <w:lang w:val="en-GB"/>
              </w:rPr>
              <w:t>for completion</w:t>
            </w:r>
          </w:p>
        </w:tc>
        <w:tc>
          <w:tcPr>
            <w:tcW w:w="30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6FF1DA" w14:textId="77777777" w:rsidR="003E0A8C" w:rsidRPr="00CB11E3" w:rsidRDefault="003E0A8C" w:rsidP="00270B0B">
            <w:pPr>
              <w:spacing w:after="0" w:line="240" w:lineRule="auto"/>
              <w:jc w:val="center"/>
              <w:rPr>
                <w:rFonts w:ascii="Times New Roman" w:eastAsia="Times New Roman" w:hAnsi="Times New Roman" w:cs="Times New Roman"/>
                <w:b/>
                <w:bCs/>
                <w:noProof/>
                <w:sz w:val="20"/>
                <w:szCs w:val="20"/>
                <w:lang w:val="en-GB"/>
              </w:rPr>
            </w:pPr>
            <w:r w:rsidRPr="00CB11E3">
              <w:rPr>
                <w:rFonts w:ascii="Times New Roman" w:hAnsi="Times New Roman" w:cs="Times New Roman"/>
                <w:b/>
                <w:bCs/>
                <w:noProof/>
                <w:sz w:val="20"/>
                <w:szCs w:val="20"/>
                <w:lang w:val="en-GB"/>
              </w:rPr>
              <w:t>Description of each milestone and target</w:t>
            </w:r>
          </w:p>
        </w:tc>
      </w:tr>
      <w:tr w:rsidR="00382D78" w:rsidRPr="00CB11E3" w14:paraId="78DB9A85" w14:textId="77777777" w:rsidTr="00270B0B">
        <w:trPr>
          <w:trHeight w:val="457"/>
          <w:tblHeader/>
          <w:jc w:val="center"/>
        </w:trPr>
        <w:tc>
          <w:tcPr>
            <w:tcW w:w="834" w:type="dxa"/>
            <w:vMerge/>
            <w:tcBorders>
              <w:top w:val="single" w:sz="4" w:space="0" w:color="auto"/>
              <w:left w:val="single" w:sz="4" w:space="0" w:color="auto"/>
              <w:bottom w:val="single" w:sz="4" w:space="0" w:color="auto"/>
              <w:right w:val="single" w:sz="4" w:space="0" w:color="auto"/>
            </w:tcBorders>
            <w:hideMark/>
          </w:tcPr>
          <w:p w14:paraId="0EAFD530" w14:textId="77777777" w:rsidR="003E0A8C" w:rsidRPr="00CB11E3" w:rsidRDefault="003E0A8C" w:rsidP="00270B0B">
            <w:pPr>
              <w:spacing w:after="0" w:line="240" w:lineRule="auto"/>
              <w:jc w:val="center"/>
              <w:rPr>
                <w:rFonts w:ascii="Times New Roman" w:eastAsia="Times New Roman" w:hAnsi="Times New Roman" w:cs="Times New Roman"/>
                <w:b/>
                <w:bCs/>
                <w:noProof/>
                <w:sz w:val="20"/>
                <w:szCs w:val="20"/>
                <w:lang w:val="en-GB" w:eastAsia="en-GB"/>
              </w:rPr>
            </w:pPr>
          </w:p>
        </w:tc>
        <w:tc>
          <w:tcPr>
            <w:tcW w:w="1490" w:type="dxa"/>
            <w:vMerge/>
            <w:tcBorders>
              <w:top w:val="single" w:sz="4" w:space="0" w:color="auto"/>
              <w:left w:val="single" w:sz="4" w:space="0" w:color="auto"/>
              <w:bottom w:val="single" w:sz="4" w:space="0" w:color="auto"/>
              <w:right w:val="single" w:sz="4" w:space="0" w:color="auto"/>
            </w:tcBorders>
            <w:hideMark/>
          </w:tcPr>
          <w:p w14:paraId="0A92470A" w14:textId="77777777" w:rsidR="003E0A8C" w:rsidRPr="00CB11E3" w:rsidRDefault="003E0A8C" w:rsidP="00270B0B">
            <w:pPr>
              <w:spacing w:after="0" w:line="240" w:lineRule="auto"/>
              <w:jc w:val="both"/>
              <w:rPr>
                <w:rFonts w:ascii="Times New Roman" w:eastAsia="Times New Roman" w:hAnsi="Times New Roman" w:cs="Times New Roman"/>
                <w:b/>
                <w:bCs/>
                <w:noProof/>
                <w:sz w:val="20"/>
                <w:szCs w:val="20"/>
                <w:lang w:val="en-GB" w:eastAsia="en-GB"/>
              </w:rPr>
            </w:pPr>
          </w:p>
        </w:tc>
        <w:tc>
          <w:tcPr>
            <w:tcW w:w="1222" w:type="dxa"/>
            <w:vMerge/>
            <w:tcBorders>
              <w:top w:val="single" w:sz="4" w:space="0" w:color="auto"/>
              <w:left w:val="single" w:sz="4" w:space="0" w:color="auto"/>
              <w:bottom w:val="single" w:sz="4" w:space="0" w:color="auto"/>
              <w:right w:val="single" w:sz="4" w:space="0" w:color="auto"/>
            </w:tcBorders>
            <w:hideMark/>
          </w:tcPr>
          <w:p w14:paraId="28BC11BE" w14:textId="77777777" w:rsidR="003E0A8C" w:rsidRPr="00CB11E3" w:rsidRDefault="003E0A8C" w:rsidP="00270B0B">
            <w:pPr>
              <w:spacing w:after="0" w:line="240" w:lineRule="auto"/>
              <w:jc w:val="center"/>
              <w:rPr>
                <w:rFonts w:ascii="Times New Roman" w:eastAsia="Times New Roman" w:hAnsi="Times New Roman" w:cs="Times New Roman"/>
                <w:b/>
                <w:bCs/>
                <w:noProof/>
                <w:sz w:val="20"/>
                <w:szCs w:val="20"/>
                <w:lang w:val="en-GB" w:eastAsia="en-GB"/>
              </w:rPr>
            </w:pPr>
          </w:p>
        </w:tc>
        <w:tc>
          <w:tcPr>
            <w:tcW w:w="1490" w:type="dxa"/>
            <w:vMerge/>
            <w:tcBorders>
              <w:top w:val="single" w:sz="4" w:space="0" w:color="auto"/>
              <w:left w:val="single" w:sz="4" w:space="0" w:color="auto"/>
              <w:bottom w:val="single" w:sz="4" w:space="0" w:color="auto"/>
              <w:right w:val="single" w:sz="4" w:space="0" w:color="auto"/>
            </w:tcBorders>
            <w:hideMark/>
          </w:tcPr>
          <w:p w14:paraId="520167F6" w14:textId="77777777" w:rsidR="003E0A8C" w:rsidRPr="00CB11E3" w:rsidRDefault="003E0A8C" w:rsidP="00270B0B">
            <w:pPr>
              <w:spacing w:after="0" w:line="240" w:lineRule="auto"/>
              <w:jc w:val="both"/>
              <w:rPr>
                <w:rFonts w:ascii="Times New Roman" w:eastAsia="Times New Roman" w:hAnsi="Times New Roman" w:cs="Times New Roman"/>
                <w:b/>
                <w:bCs/>
                <w:noProof/>
                <w:sz w:val="20"/>
                <w:szCs w:val="20"/>
                <w:lang w:val="en-GB" w:eastAsia="en-GB"/>
              </w:rPr>
            </w:pPr>
          </w:p>
        </w:tc>
        <w:tc>
          <w:tcPr>
            <w:tcW w:w="1625" w:type="dxa"/>
            <w:vMerge/>
            <w:tcBorders>
              <w:top w:val="single" w:sz="4" w:space="0" w:color="auto"/>
              <w:left w:val="single" w:sz="4" w:space="0" w:color="auto"/>
              <w:bottom w:val="single" w:sz="4" w:space="0" w:color="auto"/>
              <w:right w:val="single" w:sz="4" w:space="0" w:color="auto"/>
            </w:tcBorders>
            <w:hideMark/>
          </w:tcPr>
          <w:p w14:paraId="1AFE1C37" w14:textId="77777777" w:rsidR="003E0A8C" w:rsidRPr="00CB11E3" w:rsidRDefault="003E0A8C" w:rsidP="00270B0B">
            <w:pPr>
              <w:spacing w:after="0" w:line="240" w:lineRule="auto"/>
              <w:jc w:val="both"/>
              <w:rPr>
                <w:rFonts w:ascii="Times New Roman" w:eastAsia="Times New Roman" w:hAnsi="Times New Roman" w:cs="Times New Roman"/>
                <w:b/>
                <w:bCs/>
                <w:noProof/>
                <w:sz w:val="20"/>
                <w:szCs w:val="20"/>
                <w:lang w:val="en-GB" w:eastAsia="en-GB"/>
              </w:rPr>
            </w:pPr>
          </w:p>
        </w:tc>
        <w:tc>
          <w:tcPr>
            <w:tcW w:w="1087" w:type="dxa"/>
            <w:tcBorders>
              <w:top w:val="single" w:sz="4" w:space="0" w:color="auto"/>
              <w:left w:val="single" w:sz="4" w:space="0" w:color="auto"/>
              <w:bottom w:val="nil"/>
              <w:right w:val="single" w:sz="4" w:space="0" w:color="auto"/>
            </w:tcBorders>
            <w:shd w:val="clear" w:color="auto" w:fill="BDD7EE"/>
            <w:vAlign w:val="center"/>
            <w:hideMark/>
          </w:tcPr>
          <w:p w14:paraId="0DB33E6B" w14:textId="36259278" w:rsidR="003E0A8C" w:rsidRPr="00CB11E3" w:rsidRDefault="003E0A8C" w:rsidP="00270B0B">
            <w:pPr>
              <w:spacing w:after="0" w:line="240" w:lineRule="auto"/>
              <w:jc w:val="center"/>
              <w:rPr>
                <w:rFonts w:ascii="Times New Roman" w:eastAsia="Times New Roman" w:hAnsi="Times New Roman" w:cs="Times New Roman"/>
                <w:b/>
                <w:bCs/>
                <w:noProof/>
                <w:sz w:val="20"/>
                <w:szCs w:val="20"/>
                <w:lang w:val="en-GB"/>
              </w:rPr>
            </w:pPr>
            <w:r w:rsidRPr="00CB11E3">
              <w:rPr>
                <w:rFonts w:ascii="Times New Roman" w:hAnsi="Times New Roman" w:cs="Times New Roman"/>
                <w:b/>
                <w:bCs/>
                <w:noProof/>
                <w:sz w:val="20"/>
                <w:szCs w:val="20"/>
                <w:lang w:val="en-GB"/>
              </w:rPr>
              <w:t>Unit</w:t>
            </w:r>
            <w:r w:rsidR="00CB11E3">
              <w:rPr>
                <w:rFonts w:ascii="Times New Roman" w:hAnsi="Times New Roman" w:cs="Times New Roman"/>
                <w:b/>
                <w:bCs/>
                <w:noProof/>
                <w:sz w:val="20"/>
                <w:szCs w:val="20"/>
                <w:lang w:val="en-GB"/>
              </w:rPr>
              <w:t xml:space="preserve"> </w:t>
            </w:r>
            <w:r w:rsidRPr="00CB11E3">
              <w:rPr>
                <w:rFonts w:ascii="Times New Roman" w:hAnsi="Times New Roman" w:cs="Times New Roman"/>
                <w:b/>
                <w:bCs/>
                <w:noProof/>
                <w:sz w:val="20"/>
                <w:szCs w:val="20"/>
                <w:lang w:val="en-GB"/>
              </w:rPr>
              <w:t>of measure</w:t>
            </w:r>
          </w:p>
        </w:tc>
        <w:tc>
          <w:tcPr>
            <w:tcW w:w="1357" w:type="dxa"/>
            <w:tcBorders>
              <w:top w:val="single" w:sz="4" w:space="0" w:color="auto"/>
              <w:left w:val="nil"/>
              <w:bottom w:val="nil"/>
              <w:right w:val="single" w:sz="4" w:space="0" w:color="auto"/>
            </w:tcBorders>
            <w:shd w:val="clear" w:color="auto" w:fill="BDD7EE"/>
            <w:vAlign w:val="center"/>
            <w:hideMark/>
          </w:tcPr>
          <w:p w14:paraId="306E4173" w14:textId="77777777" w:rsidR="003E0A8C" w:rsidRPr="00CB11E3" w:rsidRDefault="003E0A8C" w:rsidP="00270B0B">
            <w:pPr>
              <w:spacing w:after="0" w:line="240" w:lineRule="auto"/>
              <w:jc w:val="center"/>
              <w:rPr>
                <w:rFonts w:ascii="Times New Roman" w:eastAsia="Times New Roman" w:hAnsi="Times New Roman" w:cs="Times New Roman"/>
                <w:b/>
                <w:bCs/>
                <w:noProof/>
                <w:sz w:val="20"/>
                <w:szCs w:val="20"/>
                <w:lang w:val="en-GB"/>
              </w:rPr>
            </w:pPr>
            <w:r w:rsidRPr="00CB11E3">
              <w:rPr>
                <w:rFonts w:ascii="Times New Roman" w:hAnsi="Times New Roman" w:cs="Times New Roman"/>
                <w:b/>
                <w:bCs/>
                <w:noProof/>
                <w:sz w:val="20"/>
                <w:szCs w:val="20"/>
                <w:lang w:val="en-GB"/>
              </w:rPr>
              <w:t xml:space="preserve">Baseline </w:t>
            </w:r>
          </w:p>
        </w:tc>
        <w:tc>
          <w:tcPr>
            <w:tcW w:w="818" w:type="dxa"/>
            <w:tcBorders>
              <w:top w:val="single" w:sz="4" w:space="0" w:color="auto"/>
              <w:left w:val="nil"/>
              <w:bottom w:val="nil"/>
              <w:right w:val="single" w:sz="4" w:space="0" w:color="auto"/>
            </w:tcBorders>
            <w:shd w:val="clear" w:color="auto" w:fill="BDD7EE"/>
            <w:vAlign w:val="center"/>
            <w:hideMark/>
          </w:tcPr>
          <w:p w14:paraId="10D1A38F" w14:textId="77777777" w:rsidR="003E0A8C" w:rsidRPr="00CB11E3" w:rsidRDefault="003E0A8C" w:rsidP="00270B0B">
            <w:pPr>
              <w:spacing w:after="0" w:line="240" w:lineRule="auto"/>
              <w:jc w:val="center"/>
              <w:rPr>
                <w:rFonts w:ascii="Times New Roman" w:eastAsia="Times New Roman" w:hAnsi="Times New Roman" w:cs="Times New Roman"/>
                <w:b/>
                <w:bCs/>
                <w:noProof/>
                <w:sz w:val="20"/>
                <w:szCs w:val="20"/>
                <w:lang w:val="en-GB"/>
              </w:rPr>
            </w:pPr>
            <w:r w:rsidRPr="00CB11E3">
              <w:rPr>
                <w:rFonts w:ascii="Times New Roman" w:hAnsi="Times New Roman" w:cs="Times New Roman"/>
                <w:b/>
                <w:bCs/>
                <w:noProof/>
                <w:sz w:val="20"/>
                <w:szCs w:val="20"/>
                <w:lang w:val="en-GB"/>
              </w:rPr>
              <w:t xml:space="preserve">Goal </w:t>
            </w:r>
          </w:p>
        </w:tc>
        <w:tc>
          <w:tcPr>
            <w:tcW w:w="1087" w:type="dxa"/>
            <w:tcBorders>
              <w:top w:val="single" w:sz="4" w:space="0" w:color="auto"/>
              <w:left w:val="nil"/>
              <w:bottom w:val="nil"/>
              <w:right w:val="single" w:sz="4" w:space="0" w:color="auto"/>
            </w:tcBorders>
            <w:shd w:val="clear" w:color="auto" w:fill="BDD7EE"/>
            <w:vAlign w:val="center"/>
            <w:hideMark/>
          </w:tcPr>
          <w:p w14:paraId="557C6310" w14:textId="77777777" w:rsidR="003E0A8C" w:rsidRPr="00CB11E3" w:rsidRDefault="003E0A8C" w:rsidP="00270B0B">
            <w:pPr>
              <w:spacing w:after="0" w:line="240" w:lineRule="auto"/>
              <w:jc w:val="center"/>
              <w:rPr>
                <w:rFonts w:ascii="Times New Roman" w:eastAsia="Times New Roman" w:hAnsi="Times New Roman" w:cs="Times New Roman"/>
                <w:b/>
                <w:bCs/>
                <w:noProof/>
                <w:sz w:val="20"/>
                <w:szCs w:val="20"/>
                <w:lang w:val="en-GB"/>
              </w:rPr>
            </w:pPr>
            <w:r w:rsidRPr="00CB11E3">
              <w:rPr>
                <w:rFonts w:ascii="Times New Roman" w:hAnsi="Times New Roman" w:cs="Times New Roman"/>
                <w:b/>
                <w:bCs/>
                <w:noProof/>
                <w:sz w:val="20"/>
                <w:szCs w:val="20"/>
                <w:lang w:val="en-GB"/>
              </w:rPr>
              <w:t>Quarter</w:t>
            </w:r>
          </w:p>
        </w:tc>
        <w:tc>
          <w:tcPr>
            <w:tcW w:w="819" w:type="dxa"/>
            <w:tcBorders>
              <w:top w:val="single" w:sz="4" w:space="0" w:color="auto"/>
              <w:left w:val="nil"/>
              <w:bottom w:val="nil"/>
              <w:right w:val="single" w:sz="4" w:space="0" w:color="auto"/>
            </w:tcBorders>
            <w:shd w:val="clear" w:color="auto" w:fill="BDD7EE"/>
            <w:vAlign w:val="center"/>
            <w:hideMark/>
          </w:tcPr>
          <w:p w14:paraId="1FF14CE8" w14:textId="77777777" w:rsidR="003E0A8C" w:rsidRPr="00CB11E3" w:rsidRDefault="003E0A8C" w:rsidP="00270B0B">
            <w:pPr>
              <w:spacing w:after="0" w:line="240" w:lineRule="auto"/>
              <w:jc w:val="center"/>
              <w:rPr>
                <w:rFonts w:ascii="Times New Roman" w:eastAsia="Times New Roman" w:hAnsi="Times New Roman" w:cs="Times New Roman"/>
                <w:b/>
                <w:bCs/>
                <w:noProof/>
                <w:sz w:val="20"/>
                <w:szCs w:val="20"/>
                <w:lang w:val="en-GB"/>
              </w:rPr>
            </w:pPr>
            <w:r w:rsidRPr="00CB11E3">
              <w:rPr>
                <w:rFonts w:ascii="Times New Roman" w:hAnsi="Times New Roman" w:cs="Times New Roman"/>
                <w:b/>
                <w:bCs/>
                <w:noProof/>
                <w:sz w:val="20"/>
                <w:szCs w:val="20"/>
                <w:lang w:val="en-GB"/>
              </w:rPr>
              <w:t>Year</w:t>
            </w:r>
          </w:p>
        </w:tc>
        <w:tc>
          <w:tcPr>
            <w:tcW w:w="3050" w:type="dxa"/>
            <w:vMerge/>
            <w:tcBorders>
              <w:top w:val="single" w:sz="4" w:space="0" w:color="auto"/>
              <w:bottom w:val="single" w:sz="4" w:space="0" w:color="auto"/>
              <w:right w:val="single" w:sz="4" w:space="0" w:color="auto"/>
            </w:tcBorders>
            <w:hideMark/>
          </w:tcPr>
          <w:p w14:paraId="07202FEF" w14:textId="77777777" w:rsidR="003E0A8C" w:rsidRPr="00CB11E3" w:rsidRDefault="003E0A8C" w:rsidP="00270B0B">
            <w:pPr>
              <w:spacing w:after="0" w:line="240" w:lineRule="auto"/>
              <w:jc w:val="both"/>
              <w:rPr>
                <w:rFonts w:ascii="Times New Roman" w:eastAsia="Times New Roman" w:hAnsi="Times New Roman" w:cs="Times New Roman"/>
                <w:b/>
                <w:bCs/>
                <w:noProof/>
                <w:sz w:val="20"/>
                <w:szCs w:val="20"/>
                <w:lang w:val="en-GB" w:eastAsia="en-GB"/>
              </w:rPr>
            </w:pPr>
          </w:p>
        </w:tc>
      </w:tr>
      <w:tr w:rsidR="00382D78" w:rsidRPr="00CB11E3" w14:paraId="4FC8DECC" w14:textId="77777777" w:rsidTr="00270B0B">
        <w:tblPrEx>
          <w:tblCellMar>
            <w:left w:w="28" w:type="dxa"/>
            <w:right w:w="28" w:type="dxa"/>
          </w:tblCellMar>
        </w:tblPrEx>
        <w:trPr>
          <w:trHeight w:val="309"/>
          <w:jc w:val="center"/>
        </w:trPr>
        <w:tc>
          <w:tcPr>
            <w:tcW w:w="834" w:type="dxa"/>
            <w:tcBorders>
              <w:top w:val="single" w:sz="4" w:space="0" w:color="auto"/>
              <w:left w:val="single" w:sz="4" w:space="0" w:color="auto"/>
              <w:bottom w:val="single" w:sz="4" w:space="0" w:color="auto"/>
              <w:right w:val="single" w:sz="4" w:space="0" w:color="auto"/>
            </w:tcBorders>
            <w:shd w:val="clear" w:color="auto" w:fill="C6EFCE"/>
            <w:noWrap/>
          </w:tcPr>
          <w:p w14:paraId="1BC3D116" w14:textId="77777777" w:rsidR="003E0A8C" w:rsidRPr="00CB11E3" w:rsidRDefault="003E0A8C" w:rsidP="00270B0B">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49</w:t>
            </w:r>
          </w:p>
        </w:tc>
        <w:tc>
          <w:tcPr>
            <w:tcW w:w="1490" w:type="dxa"/>
            <w:tcBorders>
              <w:top w:val="single" w:sz="4" w:space="0" w:color="auto"/>
              <w:left w:val="nil"/>
              <w:bottom w:val="single" w:sz="4" w:space="0" w:color="auto"/>
              <w:right w:val="single" w:sz="4" w:space="0" w:color="auto"/>
            </w:tcBorders>
            <w:shd w:val="clear" w:color="auto" w:fill="C6EFCE"/>
            <w:noWrap/>
          </w:tcPr>
          <w:p w14:paraId="4238FAB4" w14:textId="77777777" w:rsidR="003E0A8C" w:rsidRPr="00CB11E3" w:rsidRDefault="003E0A8C"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Investment 1.a Construction of voluntary collection centres</w:t>
            </w:r>
          </w:p>
        </w:tc>
        <w:tc>
          <w:tcPr>
            <w:tcW w:w="1222" w:type="dxa"/>
            <w:tcBorders>
              <w:top w:val="single" w:sz="4" w:space="0" w:color="auto"/>
              <w:left w:val="nil"/>
              <w:bottom w:val="single" w:sz="4" w:space="0" w:color="auto"/>
              <w:right w:val="single" w:sz="4" w:space="0" w:color="auto"/>
            </w:tcBorders>
            <w:shd w:val="clear" w:color="auto" w:fill="C6EFCE"/>
            <w:noWrap/>
          </w:tcPr>
          <w:p w14:paraId="1EF6B0B2" w14:textId="77777777" w:rsidR="003E0A8C" w:rsidRPr="00CB11E3" w:rsidRDefault="003E0A8C"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Target</w:t>
            </w:r>
          </w:p>
        </w:tc>
        <w:tc>
          <w:tcPr>
            <w:tcW w:w="1490" w:type="dxa"/>
            <w:tcBorders>
              <w:top w:val="single" w:sz="4" w:space="0" w:color="auto"/>
              <w:left w:val="nil"/>
              <w:bottom w:val="single" w:sz="4" w:space="0" w:color="auto"/>
              <w:right w:val="single" w:sz="4" w:space="0" w:color="auto"/>
            </w:tcBorders>
            <w:shd w:val="clear" w:color="auto" w:fill="C6EFCE"/>
            <w:noWrap/>
          </w:tcPr>
          <w:p w14:paraId="78E56651" w14:textId="1E097232" w:rsidR="003E0A8C" w:rsidRPr="00CB11E3" w:rsidRDefault="003E0A8C" w:rsidP="00270B0B">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Voluntary collection centres constructed</w:t>
            </w:r>
            <w:r w:rsidR="00D23D91" w:rsidRPr="00CB11E3">
              <w:rPr>
                <w:rFonts w:ascii="Times New Roman" w:hAnsi="Times New Roman" w:cs="Times New Roman"/>
                <w:noProof/>
                <w:sz w:val="20"/>
                <w:szCs w:val="20"/>
                <w:lang w:val="en-GB"/>
              </w:rPr>
              <w:t xml:space="preserve"> </w:t>
            </w:r>
          </w:p>
          <w:p w14:paraId="13932079" w14:textId="77777777" w:rsidR="003E0A8C" w:rsidRPr="00CB11E3" w:rsidRDefault="003E0A8C" w:rsidP="00270B0B">
            <w:pPr>
              <w:spacing w:after="0" w:line="240" w:lineRule="auto"/>
              <w:jc w:val="both"/>
              <w:rPr>
                <w:rFonts w:ascii="Times New Roman" w:eastAsia="Times New Roman" w:hAnsi="Times New Roman" w:cs="Times New Roman"/>
                <w:noProof/>
                <w:sz w:val="20"/>
                <w:szCs w:val="20"/>
                <w:lang w:val="en-GB" w:eastAsia="en-GB"/>
              </w:rPr>
            </w:pPr>
          </w:p>
        </w:tc>
        <w:tc>
          <w:tcPr>
            <w:tcW w:w="1625" w:type="dxa"/>
            <w:tcBorders>
              <w:top w:val="single" w:sz="4" w:space="0" w:color="auto"/>
              <w:left w:val="nil"/>
              <w:bottom w:val="single" w:sz="4" w:space="0" w:color="auto"/>
              <w:right w:val="single" w:sz="4" w:space="0" w:color="auto"/>
            </w:tcBorders>
            <w:shd w:val="clear" w:color="auto" w:fill="C6EFCE"/>
            <w:noWrap/>
          </w:tcPr>
          <w:p w14:paraId="0E517CEE" w14:textId="77777777" w:rsidR="003E0A8C" w:rsidRPr="00CB11E3" w:rsidRDefault="003E0A8C" w:rsidP="00270B0B">
            <w:pPr>
              <w:spacing w:after="0" w:line="240" w:lineRule="auto"/>
              <w:jc w:val="both"/>
              <w:rPr>
                <w:rFonts w:ascii="Times New Roman" w:eastAsia="Times New Roman" w:hAnsi="Times New Roman" w:cs="Times New Roman"/>
                <w:noProof/>
                <w:sz w:val="20"/>
                <w:szCs w:val="20"/>
                <w:lang w:val="en-GB" w:eastAsia="en-GB"/>
              </w:rPr>
            </w:pPr>
          </w:p>
        </w:tc>
        <w:tc>
          <w:tcPr>
            <w:tcW w:w="1087" w:type="dxa"/>
            <w:tcBorders>
              <w:top w:val="single" w:sz="4" w:space="0" w:color="auto"/>
              <w:left w:val="nil"/>
              <w:bottom w:val="single" w:sz="4" w:space="0" w:color="auto"/>
              <w:right w:val="single" w:sz="4" w:space="0" w:color="auto"/>
            </w:tcBorders>
            <w:shd w:val="clear" w:color="auto" w:fill="C6EFCE"/>
            <w:noWrap/>
          </w:tcPr>
          <w:p w14:paraId="67326810" w14:textId="77777777" w:rsidR="003E0A8C" w:rsidRPr="00CB11E3" w:rsidRDefault="003E0A8C" w:rsidP="00270B0B">
            <w:pPr>
              <w:rPr>
                <w:rFonts w:ascii="Times New Roman" w:hAnsi="Times New Roman" w:cs="Times New Roman"/>
                <w:noProof/>
                <w:sz w:val="20"/>
                <w:szCs w:val="20"/>
              </w:rPr>
            </w:pPr>
          </w:p>
        </w:tc>
        <w:tc>
          <w:tcPr>
            <w:tcW w:w="1357" w:type="dxa"/>
            <w:tcBorders>
              <w:top w:val="single" w:sz="4" w:space="0" w:color="auto"/>
              <w:left w:val="single" w:sz="4" w:space="0" w:color="auto"/>
              <w:bottom w:val="single" w:sz="4" w:space="0" w:color="auto"/>
              <w:right w:val="single" w:sz="4" w:space="0" w:color="auto"/>
            </w:tcBorders>
            <w:shd w:val="clear" w:color="auto" w:fill="C6EFCE"/>
            <w:noWrap/>
          </w:tcPr>
          <w:p w14:paraId="13CF1118" w14:textId="77777777" w:rsidR="003E0A8C" w:rsidRPr="00CB11E3" w:rsidRDefault="003E0A8C"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0</w:t>
            </w:r>
          </w:p>
        </w:tc>
        <w:tc>
          <w:tcPr>
            <w:tcW w:w="818" w:type="dxa"/>
            <w:tcBorders>
              <w:top w:val="single" w:sz="4" w:space="0" w:color="auto"/>
              <w:left w:val="single" w:sz="4" w:space="0" w:color="auto"/>
              <w:bottom w:val="single" w:sz="4" w:space="0" w:color="auto"/>
              <w:right w:val="single" w:sz="4" w:space="0" w:color="auto"/>
            </w:tcBorders>
            <w:shd w:val="clear" w:color="auto" w:fill="C6EFCE"/>
            <w:noWrap/>
          </w:tcPr>
          <w:p w14:paraId="09CF930C" w14:textId="77777777" w:rsidR="003E0A8C" w:rsidRPr="00CB11E3" w:rsidRDefault="003E0A8C"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300</w:t>
            </w:r>
          </w:p>
        </w:tc>
        <w:tc>
          <w:tcPr>
            <w:tcW w:w="1087" w:type="dxa"/>
            <w:tcBorders>
              <w:top w:val="single" w:sz="4" w:space="0" w:color="auto"/>
              <w:left w:val="single" w:sz="4" w:space="0" w:color="auto"/>
              <w:bottom w:val="single" w:sz="4" w:space="0" w:color="auto"/>
              <w:right w:val="single" w:sz="4" w:space="0" w:color="auto"/>
            </w:tcBorders>
            <w:shd w:val="clear" w:color="auto" w:fill="C6EFCE"/>
            <w:noWrap/>
          </w:tcPr>
          <w:p w14:paraId="7B48F837" w14:textId="77777777" w:rsidR="003E0A8C" w:rsidRPr="00CB11E3" w:rsidRDefault="003E0A8C"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Q2</w:t>
            </w:r>
          </w:p>
        </w:tc>
        <w:tc>
          <w:tcPr>
            <w:tcW w:w="819" w:type="dxa"/>
            <w:tcBorders>
              <w:top w:val="single" w:sz="4" w:space="0" w:color="auto"/>
              <w:left w:val="single" w:sz="4" w:space="0" w:color="auto"/>
              <w:bottom w:val="single" w:sz="4" w:space="0" w:color="auto"/>
              <w:right w:val="single" w:sz="4" w:space="0" w:color="auto"/>
            </w:tcBorders>
            <w:shd w:val="clear" w:color="auto" w:fill="C6EFCE"/>
            <w:noWrap/>
          </w:tcPr>
          <w:p w14:paraId="39675369" w14:textId="77777777" w:rsidR="003E0A8C" w:rsidRPr="00CB11E3" w:rsidRDefault="003E0A8C"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2026</w:t>
            </w:r>
          </w:p>
        </w:tc>
        <w:tc>
          <w:tcPr>
            <w:tcW w:w="3050" w:type="dxa"/>
            <w:tcBorders>
              <w:top w:val="single" w:sz="4" w:space="0" w:color="auto"/>
              <w:left w:val="single" w:sz="4" w:space="0" w:color="auto"/>
              <w:bottom w:val="single" w:sz="4" w:space="0" w:color="auto"/>
              <w:right w:val="single" w:sz="4" w:space="0" w:color="auto"/>
            </w:tcBorders>
            <w:shd w:val="clear" w:color="auto" w:fill="C6EFCE"/>
            <w:noWrap/>
          </w:tcPr>
          <w:p w14:paraId="4BF7BFAE" w14:textId="77777777" w:rsidR="003E0A8C" w:rsidRPr="00CB11E3" w:rsidRDefault="003E0A8C" w:rsidP="00270B0B">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Work completion reception certificates of construction of 300 voluntary collection centres shall be provided. </w:t>
            </w:r>
          </w:p>
          <w:p w14:paraId="7A815C8F" w14:textId="112FA7E5" w:rsidR="003E0A8C" w:rsidRPr="00CB11E3" w:rsidRDefault="003E0A8C" w:rsidP="00270B0B">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The centres ensure the separate collection of household waste.</w:t>
            </w:r>
            <w:r w:rsidR="00D23D91" w:rsidRPr="00CB11E3">
              <w:rPr>
                <w:rFonts w:ascii="Times New Roman" w:hAnsi="Times New Roman" w:cs="Times New Roman"/>
                <w:noProof/>
                <w:sz w:val="20"/>
                <w:szCs w:val="20"/>
                <w:lang w:val="en-GB"/>
              </w:rPr>
              <w:t xml:space="preserve"> </w:t>
            </w:r>
          </w:p>
        </w:tc>
      </w:tr>
      <w:tr w:rsidR="00382D78" w:rsidRPr="00CB11E3" w14:paraId="1BB8600C" w14:textId="77777777" w:rsidTr="00270B0B">
        <w:tblPrEx>
          <w:tblCellMar>
            <w:left w:w="28" w:type="dxa"/>
            <w:right w:w="28" w:type="dxa"/>
          </w:tblCellMar>
        </w:tblPrEx>
        <w:trPr>
          <w:trHeight w:val="309"/>
          <w:jc w:val="center"/>
        </w:trPr>
        <w:tc>
          <w:tcPr>
            <w:tcW w:w="834" w:type="dxa"/>
            <w:tcBorders>
              <w:top w:val="nil"/>
              <w:left w:val="single" w:sz="4" w:space="0" w:color="auto"/>
              <w:bottom w:val="single" w:sz="4" w:space="0" w:color="auto"/>
              <w:right w:val="single" w:sz="4" w:space="0" w:color="auto"/>
            </w:tcBorders>
            <w:shd w:val="clear" w:color="auto" w:fill="C6EFCE"/>
            <w:noWrap/>
          </w:tcPr>
          <w:p w14:paraId="681813E5" w14:textId="77777777" w:rsidR="003E0A8C" w:rsidRPr="00CB11E3" w:rsidRDefault="003E0A8C" w:rsidP="00270B0B">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56</w:t>
            </w:r>
          </w:p>
        </w:tc>
        <w:tc>
          <w:tcPr>
            <w:tcW w:w="1490" w:type="dxa"/>
            <w:tcBorders>
              <w:top w:val="nil"/>
              <w:left w:val="nil"/>
              <w:bottom w:val="single" w:sz="4" w:space="0" w:color="auto"/>
              <w:right w:val="single" w:sz="4" w:space="0" w:color="auto"/>
            </w:tcBorders>
            <w:shd w:val="clear" w:color="auto" w:fill="C6EFCE"/>
            <w:noWrap/>
          </w:tcPr>
          <w:p w14:paraId="7EC02595" w14:textId="77777777" w:rsidR="003E0A8C" w:rsidRPr="00CB11E3" w:rsidRDefault="003E0A8C" w:rsidP="00270B0B">
            <w:pPr>
              <w:spacing w:after="0" w:line="240" w:lineRule="auto"/>
              <w:rPr>
                <w:rFonts w:ascii="Times New Roman" w:hAnsi="Times New Roman" w:cs="Times New Roman"/>
                <w:noProof/>
                <w:sz w:val="20"/>
                <w:szCs w:val="20"/>
                <w:u w:val="single"/>
                <w:lang w:val="en-GB"/>
              </w:rPr>
            </w:pPr>
            <w:r w:rsidRPr="00CB11E3">
              <w:rPr>
                <w:rFonts w:ascii="Times New Roman" w:hAnsi="Times New Roman" w:cs="Times New Roman"/>
                <w:noProof/>
                <w:sz w:val="20"/>
                <w:szCs w:val="20"/>
                <w:lang w:val="en-GB"/>
              </w:rPr>
              <w:t xml:space="preserve">Investment 3.a Public monitoring, control and institutional capacities </w:t>
            </w:r>
          </w:p>
          <w:p w14:paraId="2C6ECCD3" w14:textId="77777777" w:rsidR="003E0A8C" w:rsidRPr="00CB11E3" w:rsidRDefault="003E0A8C" w:rsidP="00270B0B">
            <w:pPr>
              <w:spacing w:after="0" w:line="240" w:lineRule="auto"/>
              <w:jc w:val="both"/>
              <w:rPr>
                <w:rFonts w:ascii="Times New Roman" w:hAnsi="Times New Roman" w:cs="Times New Roman"/>
                <w:noProof/>
                <w:sz w:val="20"/>
                <w:szCs w:val="20"/>
                <w:lang w:val="en-GB"/>
              </w:rPr>
            </w:pPr>
          </w:p>
        </w:tc>
        <w:tc>
          <w:tcPr>
            <w:tcW w:w="1222" w:type="dxa"/>
            <w:tcBorders>
              <w:top w:val="nil"/>
              <w:left w:val="nil"/>
              <w:bottom w:val="single" w:sz="4" w:space="0" w:color="auto"/>
              <w:right w:val="single" w:sz="4" w:space="0" w:color="auto"/>
            </w:tcBorders>
            <w:shd w:val="clear" w:color="auto" w:fill="C6EFCE"/>
            <w:noWrap/>
          </w:tcPr>
          <w:p w14:paraId="31B492B2" w14:textId="77777777" w:rsidR="003E0A8C" w:rsidRPr="00CB11E3" w:rsidRDefault="003E0A8C"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Milestone</w:t>
            </w:r>
          </w:p>
        </w:tc>
        <w:tc>
          <w:tcPr>
            <w:tcW w:w="1490" w:type="dxa"/>
            <w:tcBorders>
              <w:top w:val="nil"/>
              <w:left w:val="nil"/>
              <w:bottom w:val="single" w:sz="4" w:space="0" w:color="auto"/>
              <w:right w:val="single" w:sz="4" w:space="0" w:color="auto"/>
            </w:tcBorders>
            <w:shd w:val="clear" w:color="auto" w:fill="C6EFCE"/>
            <w:noWrap/>
          </w:tcPr>
          <w:p w14:paraId="776C7A8C" w14:textId="77777777" w:rsidR="003E0A8C" w:rsidRPr="00CB11E3" w:rsidRDefault="003E0A8C" w:rsidP="00270B0B">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Purchase of digital equipment </w:t>
            </w:r>
          </w:p>
        </w:tc>
        <w:tc>
          <w:tcPr>
            <w:tcW w:w="1625" w:type="dxa"/>
            <w:tcBorders>
              <w:top w:val="nil"/>
              <w:left w:val="nil"/>
              <w:bottom w:val="single" w:sz="4" w:space="0" w:color="auto"/>
              <w:right w:val="single" w:sz="4" w:space="0" w:color="auto"/>
            </w:tcBorders>
            <w:shd w:val="clear" w:color="auto" w:fill="C6EFCE"/>
            <w:noWrap/>
          </w:tcPr>
          <w:p w14:paraId="17A63C6E" w14:textId="77777777" w:rsidR="003E0A8C" w:rsidRPr="00CB11E3" w:rsidRDefault="003E0A8C" w:rsidP="00270B0B">
            <w:pPr>
              <w:spacing w:after="0" w:line="240" w:lineRule="auto"/>
              <w:jc w:val="both"/>
              <w:rPr>
                <w:rFonts w:ascii="Times New Roman" w:eastAsia="Times New Roman" w:hAnsi="Times New Roman" w:cs="Times New Roman"/>
                <w:noProof/>
                <w:sz w:val="20"/>
                <w:szCs w:val="20"/>
                <w:lang w:val="en-GB" w:eastAsia="en-GB"/>
              </w:rPr>
            </w:pPr>
            <w:r w:rsidRPr="00CB11E3">
              <w:rPr>
                <w:rFonts w:ascii="Times New Roman" w:eastAsia="Times New Roman" w:hAnsi="Times New Roman" w:cs="Times New Roman"/>
                <w:noProof/>
                <w:sz w:val="20"/>
                <w:szCs w:val="20"/>
                <w:lang w:val="en-GB" w:eastAsia="en-GB"/>
              </w:rPr>
              <w:t>Reception certificates</w:t>
            </w:r>
          </w:p>
        </w:tc>
        <w:tc>
          <w:tcPr>
            <w:tcW w:w="1087" w:type="dxa"/>
            <w:tcBorders>
              <w:top w:val="single" w:sz="4" w:space="0" w:color="auto"/>
              <w:left w:val="nil"/>
              <w:bottom w:val="single" w:sz="4" w:space="0" w:color="auto"/>
              <w:right w:val="single" w:sz="4" w:space="0" w:color="auto"/>
            </w:tcBorders>
            <w:shd w:val="clear" w:color="auto" w:fill="C6EFCE"/>
            <w:noWrap/>
          </w:tcPr>
          <w:p w14:paraId="5F690D45" w14:textId="77777777" w:rsidR="003E0A8C" w:rsidRPr="00CB11E3" w:rsidRDefault="003E0A8C" w:rsidP="00270B0B">
            <w:pPr>
              <w:rPr>
                <w:rFonts w:ascii="Times New Roman" w:hAnsi="Times New Roman" w:cs="Times New Roman"/>
                <w:noProof/>
                <w:sz w:val="20"/>
                <w:szCs w:val="20"/>
              </w:rPr>
            </w:pPr>
          </w:p>
        </w:tc>
        <w:tc>
          <w:tcPr>
            <w:tcW w:w="1357" w:type="dxa"/>
            <w:tcBorders>
              <w:top w:val="single" w:sz="4" w:space="0" w:color="auto"/>
              <w:left w:val="nil"/>
              <w:bottom w:val="single" w:sz="4" w:space="0" w:color="auto"/>
              <w:right w:val="single" w:sz="4" w:space="0" w:color="auto"/>
            </w:tcBorders>
            <w:shd w:val="clear" w:color="auto" w:fill="C6EFCE"/>
            <w:noWrap/>
          </w:tcPr>
          <w:p w14:paraId="5C2EEA94" w14:textId="77777777" w:rsidR="003E0A8C" w:rsidRPr="00CB11E3" w:rsidRDefault="003E0A8C" w:rsidP="00270B0B">
            <w:pPr>
              <w:rPr>
                <w:rFonts w:ascii="Times New Roman" w:hAnsi="Times New Roman" w:cs="Times New Roman"/>
                <w:noProof/>
                <w:sz w:val="20"/>
                <w:szCs w:val="20"/>
              </w:rPr>
            </w:pPr>
          </w:p>
        </w:tc>
        <w:tc>
          <w:tcPr>
            <w:tcW w:w="818" w:type="dxa"/>
            <w:tcBorders>
              <w:top w:val="single" w:sz="4" w:space="0" w:color="auto"/>
              <w:left w:val="nil"/>
              <w:bottom w:val="single" w:sz="4" w:space="0" w:color="auto"/>
              <w:right w:val="single" w:sz="4" w:space="0" w:color="auto"/>
            </w:tcBorders>
            <w:shd w:val="clear" w:color="auto" w:fill="C6EFCE"/>
            <w:noWrap/>
          </w:tcPr>
          <w:p w14:paraId="0EEA19CB" w14:textId="77777777" w:rsidR="003E0A8C" w:rsidRPr="00CB11E3" w:rsidRDefault="003E0A8C" w:rsidP="00270B0B">
            <w:pPr>
              <w:rPr>
                <w:rFonts w:ascii="Times New Roman" w:hAnsi="Times New Roman" w:cs="Times New Roman"/>
                <w:noProof/>
                <w:sz w:val="20"/>
                <w:szCs w:val="20"/>
              </w:rPr>
            </w:pPr>
          </w:p>
        </w:tc>
        <w:tc>
          <w:tcPr>
            <w:tcW w:w="1087" w:type="dxa"/>
            <w:tcBorders>
              <w:top w:val="single" w:sz="4" w:space="0" w:color="auto"/>
              <w:left w:val="nil"/>
              <w:bottom w:val="single" w:sz="4" w:space="0" w:color="auto"/>
              <w:right w:val="single" w:sz="4" w:space="0" w:color="auto"/>
            </w:tcBorders>
            <w:shd w:val="clear" w:color="auto" w:fill="C6EFCE"/>
            <w:noWrap/>
          </w:tcPr>
          <w:p w14:paraId="45EC350C" w14:textId="77777777" w:rsidR="003E0A8C" w:rsidRPr="00CB11E3" w:rsidRDefault="003E0A8C" w:rsidP="00270B0B">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Q3</w:t>
            </w:r>
          </w:p>
        </w:tc>
        <w:tc>
          <w:tcPr>
            <w:tcW w:w="819" w:type="dxa"/>
            <w:tcBorders>
              <w:top w:val="single" w:sz="4" w:space="0" w:color="auto"/>
              <w:left w:val="nil"/>
              <w:bottom w:val="single" w:sz="4" w:space="0" w:color="auto"/>
              <w:right w:val="single" w:sz="4" w:space="0" w:color="auto"/>
            </w:tcBorders>
            <w:shd w:val="clear" w:color="auto" w:fill="C6EFCE"/>
            <w:noWrap/>
          </w:tcPr>
          <w:p w14:paraId="11BBDEF6" w14:textId="77777777" w:rsidR="003E0A8C" w:rsidRPr="00CB11E3" w:rsidRDefault="003E0A8C" w:rsidP="00270B0B">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2025</w:t>
            </w:r>
          </w:p>
        </w:tc>
        <w:tc>
          <w:tcPr>
            <w:tcW w:w="3050" w:type="dxa"/>
            <w:tcBorders>
              <w:top w:val="nil"/>
              <w:left w:val="nil"/>
              <w:bottom w:val="single" w:sz="4" w:space="0" w:color="auto"/>
              <w:right w:val="single" w:sz="4" w:space="0" w:color="auto"/>
            </w:tcBorders>
            <w:shd w:val="clear" w:color="auto" w:fill="C6EFCE"/>
            <w:noWrap/>
          </w:tcPr>
          <w:p w14:paraId="6F652F6C" w14:textId="3C5CBB39" w:rsidR="003E0A8C" w:rsidRPr="00CB11E3" w:rsidRDefault="003E0A8C"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Reception certificate(s)</w:t>
            </w:r>
            <w:r w:rsidR="00D23D91" w:rsidRPr="00CB11E3">
              <w:rPr>
                <w:rFonts w:ascii="Times New Roman" w:hAnsi="Times New Roman" w:cs="Times New Roman"/>
                <w:noProof/>
                <w:sz w:val="20"/>
                <w:szCs w:val="20"/>
                <w:lang w:val="en-GB"/>
              </w:rPr>
              <w:t xml:space="preserve"> </w:t>
            </w:r>
            <w:r w:rsidRPr="00CB11E3" w:rsidDel="00F77059">
              <w:rPr>
                <w:rFonts w:ascii="Times New Roman" w:hAnsi="Times New Roman" w:cs="Times New Roman"/>
                <w:noProof/>
                <w:sz w:val="20"/>
                <w:szCs w:val="20"/>
                <w:lang w:val="en-GB"/>
              </w:rPr>
              <w:t xml:space="preserve">for the </w:t>
            </w:r>
            <w:r w:rsidRPr="00CB11E3">
              <w:rPr>
                <w:rFonts w:ascii="Times New Roman" w:hAnsi="Times New Roman" w:cs="Times New Roman"/>
                <w:noProof/>
                <w:sz w:val="20"/>
                <w:szCs w:val="20"/>
                <w:lang w:val="en-GB"/>
              </w:rPr>
              <w:t>following equipment shall be provided :</w:t>
            </w:r>
          </w:p>
          <w:p w14:paraId="17D93AF2" w14:textId="77777777" w:rsidR="003E0A8C" w:rsidRPr="00CB11E3" w:rsidRDefault="003E0A8C" w:rsidP="00270B0B">
            <w:pPr>
              <w:numPr>
                <w:ilvl w:val="0"/>
                <w:numId w:val="93"/>
              </w:numPr>
              <w:spacing w:after="0" w:line="240" w:lineRule="auto"/>
              <w:ind w:left="165" w:hanging="165"/>
              <w:contextualSpacing/>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1 ICT integrated system;</w:t>
            </w:r>
          </w:p>
          <w:p w14:paraId="03B7215F" w14:textId="77777777" w:rsidR="003E0A8C" w:rsidRPr="00CB11E3" w:rsidRDefault="003E0A8C" w:rsidP="00270B0B">
            <w:pPr>
              <w:numPr>
                <w:ilvl w:val="0"/>
                <w:numId w:val="93"/>
              </w:numPr>
              <w:spacing w:after="0" w:line="240" w:lineRule="auto"/>
              <w:ind w:left="165" w:hanging="165"/>
              <w:contextualSpacing/>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8 truck scanning systems;</w:t>
            </w:r>
          </w:p>
          <w:p w14:paraId="2387E99E" w14:textId="77777777" w:rsidR="003E0A8C" w:rsidRPr="00CB11E3" w:rsidRDefault="003E0A8C" w:rsidP="00270B0B">
            <w:pPr>
              <w:numPr>
                <w:ilvl w:val="0"/>
                <w:numId w:val="93"/>
              </w:numPr>
              <w:spacing w:after="0" w:line="240" w:lineRule="auto"/>
              <w:ind w:left="165" w:hanging="165"/>
              <w:contextualSpacing/>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271 dash cam video cameras;</w:t>
            </w:r>
          </w:p>
          <w:p w14:paraId="301A1D67" w14:textId="77777777" w:rsidR="003E0A8C" w:rsidRPr="00CB11E3" w:rsidRDefault="003E0A8C" w:rsidP="00270B0B">
            <w:pPr>
              <w:numPr>
                <w:ilvl w:val="0"/>
                <w:numId w:val="93"/>
              </w:numPr>
              <w:spacing w:after="0" w:line="240" w:lineRule="auto"/>
              <w:ind w:left="165" w:hanging="165"/>
              <w:contextualSpacing/>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16 unmanned Aerial Vehicles;</w:t>
            </w:r>
          </w:p>
          <w:p w14:paraId="74E6CB70" w14:textId="77777777" w:rsidR="003E0A8C" w:rsidRPr="00CB11E3" w:rsidRDefault="003E0A8C" w:rsidP="00270B0B">
            <w:pPr>
              <w:numPr>
                <w:ilvl w:val="0"/>
                <w:numId w:val="93"/>
              </w:numPr>
              <w:spacing w:after="0" w:line="240" w:lineRule="auto"/>
              <w:ind w:left="165" w:hanging="165"/>
              <w:contextualSpacing/>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8 utility vehicles equipped with radio communication for the transport of monitoring equipment; </w:t>
            </w:r>
          </w:p>
          <w:p w14:paraId="55176B6B" w14:textId="77777777" w:rsidR="003E0A8C" w:rsidRPr="00CB11E3" w:rsidRDefault="003E0A8C" w:rsidP="00270B0B">
            <w:pPr>
              <w:numPr>
                <w:ilvl w:val="0"/>
                <w:numId w:val="93"/>
              </w:numPr>
              <w:spacing w:after="0" w:line="240" w:lineRule="auto"/>
              <w:ind w:left="165" w:hanging="165"/>
              <w:contextualSpacing/>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709 body worn Cameras. </w:t>
            </w:r>
          </w:p>
          <w:p w14:paraId="7E80B8B7" w14:textId="77777777" w:rsidR="003E0A8C" w:rsidRPr="00CB11E3" w:rsidRDefault="003E0A8C" w:rsidP="00270B0B">
            <w:pPr>
              <w:spacing w:after="0" w:line="240" w:lineRule="auto"/>
              <w:ind w:left="165" w:hanging="165"/>
              <w:contextualSpacing/>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Equipment shall be distributed among the 43 Commissioners of the Environmental Guard</w:t>
            </w:r>
          </w:p>
          <w:p w14:paraId="2B3B444F" w14:textId="77777777" w:rsidR="003E0A8C" w:rsidRPr="00CB11E3" w:rsidRDefault="003E0A8C" w:rsidP="00270B0B">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In order to ensure that the measure complies with the ‘Do no significant harm’ Technical Guidance (2021/C58/01), the vehicles purchased under this measure shall be the best-available-technology from an environmental point of view.</w:t>
            </w:r>
          </w:p>
        </w:tc>
      </w:tr>
      <w:tr w:rsidR="00382D78" w:rsidRPr="00CB11E3" w14:paraId="11554939" w14:textId="77777777" w:rsidTr="00270B0B">
        <w:tblPrEx>
          <w:tblCellMar>
            <w:left w:w="28" w:type="dxa"/>
            <w:right w:w="28" w:type="dxa"/>
          </w:tblCellMar>
        </w:tblPrEx>
        <w:trPr>
          <w:trHeight w:val="309"/>
          <w:jc w:val="center"/>
        </w:trPr>
        <w:tc>
          <w:tcPr>
            <w:tcW w:w="834" w:type="dxa"/>
            <w:tcBorders>
              <w:top w:val="nil"/>
              <w:left w:val="single" w:sz="4" w:space="0" w:color="auto"/>
              <w:bottom w:val="single" w:sz="4" w:space="0" w:color="auto"/>
              <w:right w:val="single" w:sz="4" w:space="0" w:color="auto"/>
            </w:tcBorders>
            <w:shd w:val="clear" w:color="auto" w:fill="C6EFCE"/>
            <w:noWrap/>
          </w:tcPr>
          <w:p w14:paraId="0B495B91" w14:textId="77777777" w:rsidR="003E0A8C" w:rsidRPr="00CB11E3" w:rsidRDefault="003E0A8C" w:rsidP="00270B0B">
            <w:pPr>
              <w:spacing w:after="0" w:line="240" w:lineRule="auto"/>
              <w:jc w:val="both"/>
              <w:rPr>
                <w:rFonts w:ascii="Times New Roman" w:hAnsi="Times New Roman" w:cs="Times New Roman"/>
                <w:noProof/>
                <w:sz w:val="20"/>
                <w:szCs w:val="20"/>
                <w:lang w:val="en-GB"/>
              </w:rPr>
            </w:pPr>
            <w:bookmarkStart w:id="3" w:name="_Hlk233971422"/>
            <w:r w:rsidRPr="00CB11E3">
              <w:rPr>
                <w:rFonts w:ascii="Times New Roman" w:hAnsi="Times New Roman" w:cs="Times New Roman"/>
                <w:noProof/>
                <w:sz w:val="20"/>
                <w:szCs w:val="20"/>
                <w:lang w:val="en-GB"/>
              </w:rPr>
              <w:t>57</w:t>
            </w:r>
          </w:p>
        </w:tc>
        <w:tc>
          <w:tcPr>
            <w:tcW w:w="1490" w:type="dxa"/>
            <w:tcBorders>
              <w:top w:val="nil"/>
              <w:left w:val="nil"/>
              <w:bottom w:val="single" w:sz="4" w:space="0" w:color="auto"/>
              <w:right w:val="single" w:sz="4" w:space="0" w:color="auto"/>
            </w:tcBorders>
            <w:shd w:val="clear" w:color="auto" w:fill="C6EFCE"/>
            <w:noWrap/>
          </w:tcPr>
          <w:p w14:paraId="184A8DCA" w14:textId="77777777" w:rsidR="003E0A8C" w:rsidRPr="00CB11E3" w:rsidRDefault="003E0A8C" w:rsidP="00270B0B">
            <w:pPr>
              <w:spacing w:after="0" w:line="240" w:lineRule="auto"/>
              <w:jc w:val="both"/>
              <w:rPr>
                <w:rFonts w:ascii="Times New Roman" w:hAnsi="Times New Roman" w:cs="Times New Roman"/>
                <w:noProof/>
                <w:sz w:val="20"/>
                <w:szCs w:val="20"/>
                <w:highlight w:val="yellow"/>
                <w:lang w:val="en-GB"/>
              </w:rPr>
            </w:pPr>
            <w:r w:rsidRPr="00CB11E3">
              <w:rPr>
                <w:rFonts w:ascii="Times New Roman" w:hAnsi="Times New Roman" w:cs="Times New Roman"/>
                <w:noProof/>
                <w:sz w:val="20"/>
                <w:szCs w:val="20"/>
                <w:lang w:val="en-GB"/>
              </w:rPr>
              <w:t>Investment 3.b</w:t>
            </w:r>
          </w:p>
          <w:p w14:paraId="7F2E3620" w14:textId="77777777" w:rsidR="003E0A8C" w:rsidRPr="00CB11E3" w:rsidRDefault="003E0A8C" w:rsidP="00270B0B">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 xml:space="preserve">Public monitoring, control and institutional capacities </w:t>
            </w:r>
          </w:p>
        </w:tc>
        <w:tc>
          <w:tcPr>
            <w:tcW w:w="1222" w:type="dxa"/>
            <w:tcBorders>
              <w:top w:val="nil"/>
              <w:left w:val="nil"/>
              <w:bottom w:val="single" w:sz="4" w:space="0" w:color="auto"/>
              <w:right w:val="single" w:sz="4" w:space="0" w:color="auto"/>
            </w:tcBorders>
            <w:shd w:val="clear" w:color="auto" w:fill="C6EFCE"/>
            <w:noWrap/>
          </w:tcPr>
          <w:p w14:paraId="2ADF6F39" w14:textId="77777777" w:rsidR="003E0A8C" w:rsidRPr="00CB11E3" w:rsidRDefault="003E0A8C" w:rsidP="00270B0B">
            <w:pPr>
              <w:spacing w:after="0" w:line="240" w:lineRule="auto"/>
              <w:jc w:val="center"/>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Target</w:t>
            </w:r>
          </w:p>
        </w:tc>
        <w:tc>
          <w:tcPr>
            <w:tcW w:w="1490" w:type="dxa"/>
            <w:tcBorders>
              <w:top w:val="nil"/>
              <w:left w:val="nil"/>
              <w:bottom w:val="single" w:sz="4" w:space="0" w:color="auto"/>
              <w:right w:val="single" w:sz="4" w:space="0" w:color="auto"/>
            </w:tcBorders>
            <w:shd w:val="clear" w:color="auto" w:fill="C6EFCE"/>
            <w:noWrap/>
          </w:tcPr>
          <w:p w14:paraId="58BAB273" w14:textId="7ED670F1" w:rsidR="003E0A8C" w:rsidRPr="00CB11E3" w:rsidRDefault="003E0A8C" w:rsidP="00270B0B">
            <w:pPr>
              <w:spacing w:after="0" w:line="240" w:lineRule="auto"/>
              <w:jc w:val="both"/>
              <w:rPr>
                <w:rFonts w:ascii="Times New Roman" w:hAnsi="Times New Roman" w:cs="Times New Roman"/>
                <w:noProof/>
                <w:sz w:val="20"/>
                <w:szCs w:val="20"/>
                <w:lang w:val="en-GB"/>
              </w:rPr>
            </w:pPr>
            <w:r w:rsidRPr="00CB11E3">
              <w:rPr>
                <w:rFonts w:ascii="Times New Roman" w:hAnsi="Times New Roman" w:cs="Times New Roman"/>
                <w:noProof/>
                <w:sz w:val="20"/>
                <w:szCs w:val="20"/>
                <w:lang w:val="en-GB"/>
              </w:rPr>
              <w:t>Delivery of 400 control missions using digital</w:t>
            </w:r>
            <w:r w:rsidR="00D23D91" w:rsidRPr="00CB11E3">
              <w:rPr>
                <w:rFonts w:ascii="Times New Roman" w:hAnsi="Times New Roman" w:cs="Times New Roman"/>
                <w:noProof/>
                <w:sz w:val="20"/>
                <w:szCs w:val="20"/>
                <w:lang w:val="en-GB"/>
              </w:rPr>
              <w:t xml:space="preserve"> </w:t>
            </w:r>
            <w:r w:rsidRPr="00CB11E3">
              <w:rPr>
                <w:rFonts w:ascii="Times New Roman" w:hAnsi="Times New Roman" w:cs="Times New Roman"/>
                <w:noProof/>
                <w:sz w:val="20"/>
                <w:szCs w:val="20"/>
                <w:lang w:val="en-GB"/>
              </w:rPr>
              <w:t xml:space="preserve">equipment </w:t>
            </w:r>
          </w:p>
        </w:tc>
        <w:tc>
          <w:tcPr>
            <w:tcW w:w="1625" w:type="dxa"/>
            <w:tcBorders>
              <w:top w:val="nil"/>
              <w:left w:val="nil"/>
              <w:bottom w:val="single" w:sz="4" w:space="0" w:color="auto"/>
              <w:right w:val="single" w:sz="4" w:space="0" w:color="auto"/>
            </w:tcBorders>
            <w:shd w:val="clear" w:color="auto" w:fill="C6EFCE"/>
            <w:noWrap/>
          </w:tcPr>
          <w:p w14:paraId="0D5CD054" w14:textId="77777777" w:rsidR="003E0A8C" w:rsidRPr="00CB11E3" w:rsidRDefault="003E0A8C" w:rsidP="00270B0B">
            <w:pPr>
              <w:spacing w:after="0" w:line="240" w:lineRule="auto"/>
              <w:jc w:val="both"/>
              <w:rPr>
                <w:rFonts w:ascii="Times New Roman" w:eastAsia="Times New Roman" w:hAnsi="Times New Roman" w:cs="Times New Roman"/>
                <w:noProof/>
                <w:sz w:val="20"/>
                <w:szCs w:val="20"/>
                <w:lang w:val="en-GB" w:eastAsia="en-GB"/>
              </w:rPr>
            </w:pPr>
          </w:p>
        </w:tc>
        <w:tc>
          <w:tcPr>
            <w:tcW w:w="1087" w:type="dxa"/>
            <w:tcBorders>
              <w:top w:val="single" w:sz="4" w:space="0" w:color="auto"/>
              <w:left w:val="nil"/>
              <w:bottom w:val="single" w:sz="4" w:space="0" w:color="auto"/>
              <w:right w:val="single" w:sz="4" w:space="0" w:color="auto"/>
            </w:tcBorders>
            <w:shd w:val="clear" w:color="auto" w:fill="C6EFCE"/>
            <w:noWrap/>
          </w:tcPr>
          <w:p w14:paraId="3CB0E53B" w14:textId="77777777" w:rsidR="003E0A8C" w:rsidRPr="00CB11E3" w:rsidRDefault="003E0A8C" w:rsidP="00270B0B">
            <w:pPr>
              <w:rPr>
                <w:rFonts w:ascii="Times New Roman" w:hAnsi="Times New Roman" w:cs="Times New Roman"/>
                <w:noProof/>
                <w:sz w:val="20"/>
                <w:szCs w:val="20"/>
              </w:rPr>
            </w:pPr>
            <w:r w:rsidRPr="00CB11E3">
              <w:rPr>
                <w:rFonts w:ascii="Times New Roman" w:hAnsi="Times New Roman" w:cs="Times New Roman"/>
                <w:noProof/>
                <w:sz w:val="20"/>
                <w:szCs w:val="20"/>
              </w:rPr>
              <w:t>Number</w:t>
            </w:r>
          </w:p>
        </w:tc>
        <w:tc>
          <w:tcPr>
            <w:tcW w:w="1357" w:type="dxa"/>
            <w:tcBorders>
              <w:top w:val="single" w:sz="4" w:space="0" w:color="auto"/>
              <w:left w:val="nil"/>
              <w:bottom w:val="single" w:sz="4" w:space="0" w:color="auto"/>
              <w:right w:val="single" w:sz="4" w:space="0" w:color="auto"/>
            </w:tcBorders>
            <w:shd w:val="clear" w:color="auto" w:fill="C6EFCE"/>
            <w:noWrap/>
          </w:tcPr>
          <w:p w14:paraId="6956E38B" w14:textId="77777777" w:rsidR="003E0A8C" w:rsidRPr="00CB11E3" w:rsidRDefault="003E0A8C" w:rsidP="00270B0B">
            <w:pPr>
              <w:rPr>
                <w:rFonts w:ascii="Times New Roman" w:hAnsi="Times New Roman" w:cs="Times New Roman"/>
                <w:noProof/>
                <w:sz w:val="20"/>
                <w:szCs w:val="20"/>
              </w:rPr>
            </w:pPr>
            <w:r w:rsidRPr="00CB11E3">
              <w:rPr>
                <w:rFonts w:ascii="Times New Roman" w:hAnsi="Times New Roman" w:cs="Times New Roman"/>
                <w:noProof/>
                <w:sz w:val="20"/>
                <w:szCs w:val="20"/>
              </w:rPr>
              <w:t>0</w:t>
            </w:r>
          </w:p>
        </w:tc>
        <w:tc>
          <w:tcPr>
            <w:tcW w:w="818" w:type="dxa"/>
            <w:tcBorders>
              <w:top w:val="single" w:sz="4" w:space="0" w:color="auto"/>
              <w:left w:val="single" w:sz="4" w:space="0" w:color="auto"/>
              <w:bottom w:val="single" w:sz="4" w:space="0" w:color="auto"/>
              <w:right w:val="single" w:sz="4" w:space="0" w:color="auto"/>
            </w:tcBorders>
            <w:shd w:val="clear" w:color="auto" w:fill="C6EFCE"/>
            <w:noWrap/>
          </w:tcPr>
          <w:p w14:paraId="456446E7" w14:textId="77777777" w:rsidR="003E0A8C" w:rsidRPr="00CB11E3" w:rsidRDefault="003E0A8C" w:rsidP="00270B0B">
            <w:pPr>
              <w:rPr>
                <w:rFonts w:ascii="Times New Roman" w:hAnsi="Times New Roman" w:cs="Times New Roman"/>
                <w:noProof/>
                <w:sz w:val="20"/>
                <w:szCs w:val="20"/>
              </w:rPr>
            </w:pPr>
            <w:r w:rsidRPr="00CB11E3">
              <w:rPr>
                <w:rFonts w:ascii="Times New Roman" w:hAnsi="Times New Roman" w:cs="Times New Roman"/>
                <w:noProof/>
                <w:sz w:val="20"/>
                <w:szCs w:val="20"/>
              </w:rPr>
              <w:t>400</w:t>
            </w:r>
          </w:p>
        </w:tc>
        <w:tc>
          <w:tcPr>
            <w:tcW w:w="1087" w:type="dxa"/>
            <w:tcBorders>
              <w:top w:val="single" w:sz="4" w:space="0" w:color="auto"/>
              <w:left w:val="single" w:sz="4" w:space="0" w:color="auto"/>
              <w:bottom w:val="single" w:sz="4" w:space="0" w:color="auto"/>
              <w:right w:val="single" w:sz="4" w:space="0" w:color="auto"/>
            </w:tcBorders>
            <w:shd w:val="clear" w:color="auto" w:fill="C6EFCE"/>
            <w:noWrap/>
          </w:tcPr>
          <w:p w14:paraId="3300EBFA" w14:textId="77777777" w:rsidR="003E0A8C" w:rsidRPr="00CB11E3" w:rsidRDefault="003E0A8C"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Q4</w:t>
            </w:r>
          </w:p>
        </w:tc>
        <w:tc>
          <w:tcPr>
            <w:tcW w:w="819" w:type="dxa"/>
            <w:tcBorders>
              <w:top w:val="single" w:sz="4" w:space="0" w:color="auto"/>
              <w:left w:val="single" w:sz="4" w:space="0" w:color="auto"/>
              <w:bottom w:val="single" w:sz="4" w:space="0" w:color="auto"/>
              <w:right w:val="single" w:sz="4" w:space="0" w:color="auto"/>
            </w:tcBorders>
            <w:shd w:val="clear" w:color="auto" w:fill="C6EFCE"/>
            <w:noWrap/>
          </w:tcPr>
          <w:p w14:paraId="4569AA6A" w14:textId="77777777" w:rsidR="003E0A8C" w:rsidRPr="00CB11E3" w:rsidRDefault="003E0A8C" w:rsidP="00270B0B">
            <w:pPr>
              <w:spacing w:after="0" w:line="240" w:lineRule="auto"/>
              <w:jc w:val="both"/>
              <w:rPr>
                <w:rFonts w:ascii="Times New Roman" w:eastAsia="Times New Roman" w:hAnsi="Times New Roman" w:cs="Times New Roman"/>
                <w:noProof/>
                <w:sz w:val="20"/>
                <w:szCs w:val="20"/>
                <w:lang w:val="en-GB"/>
              </w:rPr>
            </w:pPr>
            <w:r w:rsidRPr="00CB11E3">
              <w:rPr>
                <w:rFonts w:ascii="Times New Roman" w:hAnsi="Times New Roman" w:cs="Times New Roman"/>
                <w:noProof/>
                <w:sz w:val="20"/>
                <w:szCs w:val="20"/>
                <w:lang w:val="en-GB"/>
              </w:rPr>
              <w:t>2025</w:t>
            </w:r>
          </w:p>
        </w:tc>
        <w:tc>
          <w:tcPr>
            <w:tcW w:w="3050" w:type="dxa"/>
            <w:tcBorders>
              <w:top w:val="nil"/>
              <w:left w:val="single" w:sz="4" w:space="0" w:color="auto"/>
              <w:bottom w:val="single" w:sz="4" w:space="0" w:color="auto"/>
              <w:right w:val="single" w:sz="4" w:space="0" w:color="auto"/>
            </w:tcBorders>
            <w:shd w:val="clear" w:color="auto" w:fill="C6EFCE"/>
            <w:noWrap/>
          </w:tcPr>
          <w:p w14:paraId="01BB8120" w14:textId="3C718177" w:rsidR="003E0A8C" w:rsidRPr="00CB11E3" w:rsidRDefault="003E0A8C" w:rsidP="00270B0B">
            <w:pPr>
              <w:spacing w:after="0" w:line="240" w:lineRule="auto"/>
              <w:jc w:val="both"/>
              <w:rPr>
                <w:rFonts w:ascii="Times New Roman" w:hAnsi="Times New Roman" w:cs="Times New Roman"/>
                <w:noProof/>
                <w:sz w:val="20"/>
                <w:szCs w:val="20"/>
                <w:highlight w:val="yellow"/>
                <w:lang w:val="en-GB"/>
              </w:rPr>
            </w:pPr>
            <w:r w:rsidRPr="00CB11E3">
              <w:rPr>
                <w:rFonts w:ascii="Times New Roman" w:hAnsi="Times New Roman" w:cs="Times New Roman"/>
                <w:noProof/>
                <w:sz w:val="20"/>
                <w:szCs w:val="20"/>
                <w:lang w:val="en-GB"/>
              </w:rPr>
              <w:t>Control documents</w:t>
            </w:r>
            <w:r w:rsidR="00D23D91" w:rsidRPr="00CB11E3">
              <w:rPr>
                <w:rFonts w:ascii="Times New Roman" w:hAnsi="Times New Roman" w:cs="Times New Roman"/>
                <w:noProof/>
                <w:sz w:val="20"/>
                <w:szCs w:val="20"/>
                <w:lang w:val="en-GB"/>
              </w:rPr>
              <w:t xml:space="preserve"> </w:t>
            </w:r>
            <w:r w:rsidRPr="00CB11E3">
              <w:rPr>
                <w:rFonts w:ascii="Times New Roman" w:hAnsi="Times New Roman" w:cs="Times New Roman"/>
                <w:noProof/>
                <w:sz w:val="20"/>
                <w:szCs w:val="20"/>
                <w:lang w:val="en-GB"/>
              </w:rPr>
              <w:t xml:space="preserve">of 400 control missions in the domains of pollution control </w:t>
            </w:r>
            <w:r w:rsidR="009C7343" w:rsidRPr="00CB11E3">
              <w:rPr>
                <w:rFonts w:ascii="Times New Roman" w:hAnsi="Times New Roman" w:cs="Times New Roman"/>
                <w:noProof/>
                <w:sz w:val="20"/>
                <w:szCs w:val="20"/>
                <w:lang w:val="en-GB"/>
              </w:rPr>
              <w:t>or</w:t>
            </w:r>
            <w:r w:rsidRPr="00CB11E3">
              <w:rPr>
                <w:rFonts w:ascii="Times New Roman" w:hAnsi="Times New Roman" w:cs="Times New Roman"/>
                <w:noProof/>
                <w:sz w:val="20"/>
                <w:szCs w:val="20"/>
                <w:lang w:val="en-GB"/>
              </w:rPr>
              <w:t xml:space="preserve"> biodiversity control</w:t>
            </w:r>
            <w:r w:rsidRPr="00CB11E3" w:rsidDel="002577D4">
              <w:rPr>
                <w:rFonts w:ascii="Times New Roman" w:hAnsi="Times New Roman" w:cs="Times New Roman"/>
                <w:noProof/>
                <w:sz w:val="20"/>
                <w:szCs w:val="20"/>
                <w:lang w:val="en-GB"/>
              </w:rPr>
              <w:t xml:space="preserve"> </w:t>
            </w:r>
            <w:r w:rsidRPr="00CB11E3">
              <w:rPr>
                <w:rFonts w:ascii="Times New Roman" w:hAnsi="Times New Roman" w:cs="Times New Roman"/>
                <w:noProof/>
                <w:sz w:val="20"/>
                <w:szCs w:val="20"/>
                <w:lang w:val="en-GB"/>
              </w:rPr>
              <w:t>conducted by the National Environmental Guard Commissioners using digital equipment. At least some of the control missions shall be related to waste management.</w:t>
            </w:r>
          </w:p>
        </w:tc>
      </w:tr>
      <w:bookmarkEnd w:id="3"/>
    </w:tbl>
    <w:p w14:paraId="0FE6C3B6" w14:textId="77777777" w:rsidR="003E0A8C" w:rsidRDefault="003E0A8C" w:rsidP="003E0A8C">
      <w:pPr>
        <w:spacing w:after="120"/>
        <w:rPr>
          <w:rFonts w:ascii="Times New Roman" w:hAnsi="Times New Roman" w:cs="Times New Roman"/>
          <w:b/>
          <w:bCs/>
          <w:noProof/>
          <w:lang w:val="en-GB"/>
        </w:rPr>
      </w:pPr>
    </w:p>
    <w:p w14:paraId="22EEE9D9" w14:textId="77777777" w:rsidR="003E0A8C" w:rsidRDefault="003E0A8C" w:rsidP="003E0A8C">
      <w:pPr>
        <w:spacing w:after="120"/>
        <w:rPr>
          <w:rFonts w:ascii="Times New Roman" w:hAnsi="Times New Roman" w:cs="Times New Roman"/>
          <w:b/>
          <w:bCs/>
          <w:noProof/>
          <w:lang w:val="en-GB"/>
        </w:rPr>
      </w:pPr>
    </w:p>
    <w:p w14:paraId="428DDD4F" w14:textId="77777777" w:rsidR="003E0A8C" w:rsidRPr="009F5ACB" w:rsidRDefault="003E0A8C" w:rsidP="003E0A8C">
      <w:pPr>
        <w:spacing w:after="120"/>
        <w:rPr>
          <w:rFonts w:ascii="Times New Roman" w:hAnsi="Times New Roman" w:cs="Times New Roman"/>
          <w:b/>
          <w:bCs/>
          <w:noProof/>
          <w:lang w:val="en-GB"/>
        </w:rPr>
      </w:pPr>
    </w:p>
    <w:p w14:paraId="576FF15F" w14:textId="77777777" w:rsidR="003E0A8C" w:rsidRPr="009F5ACB" w:rsidRDefault="003E0A8C" w:rsidP="003E0A8C">
      <w:pPr>
        <w:rPr>
          <w:rFonts w:ascii="Times New Roman" w:hAnsi="Times New Roman" w:cs="Times New Roman"/>
          <w:noProof/>
          <w:lang w:val="en-GB"/>
        </w:rPr>
      </w:pPr>
    </w:p>
    <w:p w14:paraId="7C8BA2E6" w14:textId="77777777" w:rsidR="003E0A8C" w:rsidRPr="009F5ACB" w:rsidRDefault="003E0A8C" w:rsidP="003E0A8C">
      <w:pPr>
        <w:rPr>
          <w:rFonts w:ascii="Times New Roman" w:hAnsi="Times New Roman" w:cs="Times New Roman"/>
          <w:noProof/>
          <w:lang w:val="en-GB"/>
        </w:rPr>
        <w:sectPr w:rsidR="003E0A8C" w:rsidRPr="009F5ACB" w:rsidSect="003E0A8C">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08"/>
          <w:docGrid w:linePitch="360"/>
        </w:sectPr>
      </w:pPr>
    </w:p>
    <w:p w14:paraId="13F54625" w14:textId="5E0BAA99" w:rsidR="003E0A8C" w:rsidRPr="009E242B" w:rsidRDefault="003E0A8C" w:rsidP="003E0A8C">
      <w:pPr>
        <w:keepNext/>
        <w:spacing w:before="120" w:after="120" w:line="240" w:lineRule="auto"/>
        <w:jc w:val="both"/>
        <w:outlineLvl w:val="1"/>
        <w:rPr>
          <w:rFonts w:ascii="Times New Roman" w:hAnsi="Times New Roman" w:cs="Times New Roman"/>
          <w:b/>
          <w:bCs/>
          <w:noProof/>
          <w:lang w:val="en-GB"/>
        </w:rPr>
      </w:pPr>
      <w:r w:rsidRPr="009E242B">
        <w:rPr>
          <w:rFonts w:ascii="Times New Roman" w:hAnsi="Times New Roman" w:cs="Times New Roman"/>
          <w:b/>
          <w:bCs/>
          <w:noProof/>
          <w:lang w:val="en-GB"/>
        </w:rPr>
        <w:t xml:space="preserve">C.3. </w:t>
      </w:r>
      <w:r w:rsidRPr="009E242B">
        <w:rPr>
          <w:rFonts w:ascii="Times New Roman" w:hAnsi="Times New Roman" w:cs="Times New Roman"/>
          <w:b/>
          <w:bCs/>
          <w:noProof/>
          <w:lang w:val="en-GB"/>
        </w:rPr>
        <w:tab/>
        <w:t>Description of the reforms and investments for the loan</w:t>
      </w:r>
      <w:r w:rsidR="00D23D91">
        <w:rPr>
          <w:rFonts w:ascii="Times New Roman" w:hAnsi="Times New Roman" w:cs="Times New Roman"/>
          <w:b/>
          <w:bCs/>
          <w:noProof/>
          <w:lang w:val="en-GB"/>
        </w:rPr>
        <w:t xml:space="preserve"> </w:t>
      </w:r>
    </w:p>
    <w:p w14:paraId="4390C532" w14:textId="77777777" w:rsidR="003E0A8C" w:rsidRPr="009F5ACB" w:rsidRDefault="003E0A8C" w:rsidP="003E0A8C">
      <w:pPr>
        <w:suppressAutoHyphens/>
        <w:autoSpaceDN w:val="0"/>
        <w:spacing w:before="240" w:after="0" w:line="240" w:lineRule="auto"/>
        <w:textAlignment w:val="baseline"/>
        <w:rPr>
          <w:rFonts w:ascii="Times New Roman" w:eastAsiaTheme="majorEastAsia" w:hAnsi="Times New Roman" w:cs="Times New Roman"/>
          <w:noProof/>
          <w:kern w:val="3"/>
          <w:u w:val="single"/>
          <w:lang w:val="en-GB"/>
        </w:rPr>
      </w:pPr>
      <w:r w:rsidRPr="009F5ACB">
        <w:rPr>
          <w:rFonts w:ascii="Times New Roman" w:eastAsia="NSimSun" w:hAnsi="Times New Roman" w:cs="Times New Roman"/>
          <w:noProof/>
          <w:kern w:val="3"/>
          <w:u w:val="single"/>
          <w:lang w:val="en-GB"/>
        </w:rPr>
        <w:t>Reform 1. Support to waste management governance to accelerate the transition to the circular economy</w:t>
      </w:r>
    </w:p>
    <w:p w14:paraId="23E9DB25" w14:textId="77777777" w:rsidR="003E0A8C" w:rsidRPr="009F5ACB" w:rsidRDefault="003E0A8C" w:rsidP="003E0A8C">
      <w:pPr>
        <w:spacing w:before="120" w:after="120" w:line="240" w:lineRule="auto"/>
        <w:jc w:val="both"/>
        <w:rPr>
          <w:rFonts w:ascii="Times New Roman" w:eastAsia="Calibri" w:hAnsi="Times New Roman" w:cs="Times New Roman"/>
          <w:noProof/>
          <w:lang w:val="en-GB"/>
        </w:rPr>
      </w:pPr>
      <w:r w:rsidRPr="009F5ACB">
        <w:rPr>
          <w:rFonts w:ascii="Times New Roman" w:hAnsi="Times New Roman" w:cs="Times New Roman"/>
          <w:noProof/>
          <w:lang w:val="en-GB"/>
        </w:rPr>
        <w:t xml:space="preserve">The objective of this reform is to create a waste management framework for the transition to the circular economy. </w:t>
      </w:r>
    </w:p>
    <w:p w14:paraId="5D88D4F5" w14:textId="77777777" w:rsidR="003E0A8C" w:rsidRPr="009F5ACB" w:rsidRDefault="003E0A8C" w:rsidP="003E0A8C">
      <w:pPr>
        <w:spacing w:before="120" w:after="120" w:line="240" w:lineRule="auto"/>
        <w:jc w:val="both"/>
        <w:rPr>
          <w:rFonts w:ascii="Times New Roman" w:eastAsia="Calibri" w:hAnsi="Times New Roman" w:cs="Times New Roman"/>
          <w:noProof/>
          <w:lang w:val="en-GB"/>
        </w:rPr>
      </w:pPr>
      <w:r w:rsidRPr="3966F64D">
        <w:rPr>
          <w:rFonts w:ascii="Times New Roman" w:hAnsi="Times New Roman" w:cs="Times New Roman"/>
          <w:noProof/>
          <w:lang w:val="en-GB"/>
        </w:rPr>
        <w:t xml:space="preserve">The reform consists in the adoption of a strategy and a respective action plan, as well as legal acts. </w:t>
      </w:r>
    </w:p>
    <w:p w14:paraId="655EB5E2" w14:textId="77777777" w:rsidR="003E0A8C" w:rsidRDefault="003E0A8C" w:rsidP="003E0A8C">
      <w:pPr>
        <w:spacing w:before="120" w:after="120" w:line="240" w:lineRule="auto"/>
        <w:jc w:val="both"/>
        <w:rPr>
          <w:rFonts w:ascii="Times New Roman" w:eastAsia="NSimSun" w:hAnsi="Times New Roman" w:cs="Times New Roman"/>
          <w:noProof/>
          <w:kern w:val="3"/>
          <w:u w:val="single"/>
          <w:lang w:val="en-GB"/>
        </w:rPr>
      </w:pPr>
      <w:r w:rsidRPr="009F5ACB">
        <w:rPr>
          <w:rFonts w:ascii="Times New Roman" w:eastAsia="NSimSun" w:hAnsi="Times New Roman" w:cs="Times New Roman"/>
          <w:noProof/>
          <w:kern w:val="3"/>
          <w:u w:val="single"/>
          <w:lang w:val="en-GB"/>
        </w:rPr>
        <w:t xml:space="preserve">Investment 1. Establishment of integrated municipal waste management systems </w:t>
      </w:r>
    </w:p>
    <w:p w14:paraId="7D749B1B" w14:textId="767F2655" w:rsidR="003E0A8C" w:rsidRPr="009F5ACB" w:rsidRDefault="003E0A8C" w:rsidP="003E0A8C">
      <w:pPr>
        <w:spacing w:before="120" w:after="120" w:line="240" w:lineRule="auto"/>
        <w:jc w:val="both"/>
        <w:rPr>
          <w:rFonts w:ascii="Times New Roman" w:hAnsi="Times New Roman" w:cs="Times New Roman"/>
          <w:noProof/>
          <w:u w:val="single"/>
          <w:lang w:val="en-GB"/>
        </w:rPr>
      </w:pPr>
      <w:r w:rsidRPr="17BAEB68">
        <w:rPr>
          <w:rFonts w:ascii="Times New Roman" w:hAnsi="Times New Roman" w:cs="Times New Roman"/>
          <w:noProof/>
          <w:lang w:val="en-GB"/>
        </w:rPr>
        <w:t>The objective of this investment is to establish integrated waste management systems for separate collection and infrastructure for the management of public waste</w:t>
      </w:r>
      <w:r w:rsidR="006C2C05" w:rsidRPr="006C2C05">
        <w:rPr>
          <w:noProof/>
        </w:rPr>
        <w:t xml:space="preserve"> </w:t>
      </w:r>
      <w:r w:rsidR="006C2C05" w:rsidRPr="006C2C05">
        <w:rPr>
          <w:rFonts w:ascii="Times New Roman" w:hAnsi="Times New Roman" w:cs="Times New Roman"/>
          <w:noProof/>
          <w:lang w:val="en-GB"/>
        </w:rPr>
        <w:t>to meet the recycling targets of the circular economy package</w:t>
      </w:r>
      <w:r w:rsidRPr="17BAEB68">
        <w:rPr>
          <w:rFonts w:ascii="Times New Roman" w:hAnsi="Times New Roman" w:cs="Times New Roman"/>
          <w:noProof/>
          <w:lang w:val="en-GB"/>
        </w:rPr>
        <w:t xml:space="preserve">. </w:t>
      </w:r>
    </w:p>
    <w:p w14:paraId="7D6F4C3F" w14:textId="77777777" w:rsidR="003E0A8C" w:rsidRPr="009F5ACB" w:rsidRDefault="003E0A8C" w:rsidP="003E0A8C">
      <w:pPr>
        <w:spacing w:before="120" w:after="120" w:line="240" w:lineRule="auto"/>
        <w:jc w:val="both"/>
        <w:rPr>
          <w:rFonts w:ascii="Times New Roman" w:hAnsi="Times New Roman" w:cs="Times New Roman"/>
          <w:noProof/>
          <w:lang w:val="en-GB"/>
        </w:rPr>
      </w:pPr>
      <w:r w:rsidRPr="17BAEB68">
        <w:rPr>
          <w:rFonts w:ascii="Times New Roman" w:hAnsi="Times New Roman" w:cs="Times New Roman"/>
          <w:noProof/>
          <w:lang w:val="en-GB"/>
        </w:rPr>
        <w:t xml:space="preserve">The investment consists in delivery of eco-islands , construction of integrated </w:t>
      </w:r>
      <w:r>
        <w:rPr>
          <w:rFonts w:ascii="Times New Roman" w:hAnsi="Times New Roman" w:cs="Times New Roman"/>
          <w:noProof/>
          <w:lang w:val="en-GB"/>
        </w:rPr>
        <w:t xml:space="preserve">waste collection </w:t>
      </w:r>
      <w:r w:rsidRPr="17BAEB68">
        <w:rPr>
          <w:rFonts w:ascii="Times New Roman" w:hAnsi="Times New Roman" w:cs="Times New Roman"/>
          <w:noProof/>
          <w:lang w:val="en-GB"/>
        </w:rPr>
        <w:t xml:space="preserve">centres in the municipalities of Craiova, Buzău and Cluj-Napoca for separate waste collection and construction of waste recycling facilities. </w:t>
      </w:r>
    </w:p>
    <w:p w14:paraId="31CD0D64" w14:textId="77777777" w:rsidR="003E0A8C" w:rsidRPr="009F5ACB" w:rsidRDefault="003E0A8C" w:rsidP="003E0A8C">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9F5ACB">
        <w:rPr>
          <w:rFonts w:ascii="Times New Roman" w:eastAsia="NSimSun" w:hAnsi="Times New Roman" w:cs="Times New Roman"/>
          <w:noProof/>
          <w:kern w:val="3"/>
          <w:u w:val="single"/>
          <w:lang w:val="en-GB"/>
        </w:rPr>
        <w:t>Investment 2. Construction of infrastructure for manure and other compostable agricultural waste management</w:t>
      </w:r>
    </w:p>
    <w:p w14:paraId="22877C96" w14:textId="77777777" w:rsidR="003E0A8C" w:rsidRPr="009F5ACB" w:rsidRDefault="003E0A8C" w:rsidP="003E0A8C">
      <w:pPr>
        <w:spacing w:before="120" w:after="120" w:line="240" w:lineRule="auto"/>
        <w:jc w:val="both"/>
        <w:rPr>
          <w:rFonts w:ascii="Times New Roman" w:hAnsi="Times New Roman" w:cs="Times New Roman"/>
          <w:noProof/>
          <w:lang w:val="en-GB"/>
        </w:rPr>
      </w:pPr>
      <w:r w:rsidRPr="009F5ACB">
        <w:rPr>
          <w:rFonts w:ascii="Times New Roman" w:hAnsi="Times New Roman" w:cs="Times New Roman"/>
          <w:noProof/>
          <w:lang w:val="en-GB"/>
        </w:rPr>
        <w:t xml:space="preserve">The objective of the investment is to construct manure collection and recovery systems. </w:t>
      </w:r>
    </w:p>
    <w:p w14:paraId="42C3565E" w14:textId="77777777" w:rsidR="003E0A8C" w:rsidRPr="009F5ACB" w:rsidRDefault="003E0A8C" w:rsidP="003E0A8C">
      <w:pPr>
        <w:spacing w:before="120" w:after="120" w:line="240" w:lineRule="auto"/>
        <w:jc w:val="both"/>
        <w:rPr>
          <w:rFonts w:ascii="Times New Roman" w:hAnsi="Times New Roman" w:cs="Times New Roman"/>
          <w:noProof/>
          <w:lang w:val="en-GB"/>
        </w:rPr>
      </w:pPr>
      <w:r w:rsidRPr="009F5ACB">
        <w:rPr>
          <w:rFonts w:ascii="Times New Roman" w:hAnsi="Times New Roman" w:cs="Times New Roman"/>
          <w:noProof/>
          <w:lang w:val="en-GB"/>
        </w:rPr>
        <w:t xml:space="preserve">The investment consists in the construction of integrated collection systems for compostable agricultural waste. </w:t>
      </w:r>
    </w:p>
    <w:p w14:paraId="5AD51FC0" w14:textId="77777777" w:rsidR="003E0A8C" w:rsidRPr="009F5ACB" w:rsidRDefault="003E0A8C" w:rsidP="003E0A8C">
      <w:pPr>
        <w:spacing w:before="120" w:after="120" w:line="240" w:lineRule="auto"/>
        <w:jc w:val="both"/>
        <w:rPr>
          <w:rFonts w:ascii="Times New Roman" w:hAnsi="Times New Roman" w:cs="Times New Roman"/>
          <w:noProof/>
          <w:lang w:val="en-GB"/>
        </w:rPr>
        <w:sectPr w:rsidR="003E0A8C" w:rsidRPr="009F5ACB" w:rsidSect="003E0A8C">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p>
    <w:p w14:paraId="3D2FED28" w14:textId="77777777" w:rsidR="003E0A8C" w:rsidRPr="009F5ACB" w:rsidRDefault="003E0A8C" w:rsidP="003E0A8C">
      <w:pPr>
        <w:keepNext/>
        <w:spacing w:before="120" w:after="120" w:line="240" w:lineRule="auto"/>
        <w:ind w:left="-284"/>
        <w:jc w:val="both"/>
        <w:outlineLvl w:val="1"/>
        <w:rPr>
          <w:rFonts w:ascii="Times New Roman" w:eastAsiaTheme="majorEastAsia" w:hAnsi="Times New Roman" w:cs="Times New Roman"/>
          <w:b/>
          <w:bCs/>
          <w:noProof/>
          <w:lang w:val="en-GB"/>
        </w:rPr>
      </w:pPr>
      <w:r w:rsidRPr="009F5ACB">
        <w:rPr>
          <w:rFonts w:ascii="Times New Roman" w:hAnsi="Times New Roman" w:cs="Times New Roman"/>
          <w:b/>
          <w:noProof/>
          <w:lang w:val="en-GB"/>
        </w:rPr>
        <w:t xml:space="preserve">C.4. </w:t>
      </w:r>
      <w:r w:rsidRPr="009F5ACB">
        <w:rPr>
          <w:rFonts w:ascii="Times New Roman" w:hAnsi="Times New Roman" w:cs="Times New Roman"/>
          <w:noProof/>
          <w:lang w:val="en-GB"/>
        </w:rPr>
        <w:tab/>
      </w:r>
      <w:r w:rsidRPr="009F5ACB">
        <w:rPr>
          <w:rFonts w:ascii="Times New Roman" w:hAnsi="Times New Roman" w:cs="Times New Roman"/>
          <w:b/>
          <w:noProof/>
          <w:lang w:val="en-GB"/>
        </w:rPr>
        <w:t>Milestones, targets, indicators, and timetable for monitoring and implementation for the loan</w:t>
      </w:r>
    </w:p>
    <w:tbl>
      <w:tblPr>
        <w:tblW w:w="15544" w:type="dxa"/>
        <w:jc w:val="center"/>
        <w:tblLayout w:type="fixed"/>
        <w:tblLook w:val="04A0" w:firstRow="1" w:lastRow="0" w:firstColumn="1" w:lastColumn="0" w:noHBand="0" w:noVBand="1"/>
      </w:tblPr>
      <w:tblGrid>
        <w:gridCol w:w="15"/>
        <w:gridCol w:w="819"/>
        <w:gridCol w:w="1573"/>
        <w:gridCol w:w="1320"/>
        <w:gridCol w:w="1309"/>
        <w:gridCol w:w="1625"/>
        <w:gridCol w:w="1087"/>
        <w:gridCol w:w="1357"/>
        <w:gridCol w:w="818"/>
        <w:gridCol w:w="1087"/>
        <w:gridCol w:w="819"/>
        <w:gridCol w:w="3715"/>
      </w:tblGrid>
      <w:tr w:rsidR="003E0A8C" w:rsidRPr="00270B0B" w14:paraId="3FDEDA6E" w14:textId="77777777">
        <w:trPr>
          <w:trHeight w:val="587"/>
          <w:tblHeader/>
          <w:jc w:val="center"/>
        </w:trPr>
        <w:tc>
          <w:tcPr>
            <w:tcW w:w="834"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A9DA4A" w14:textId="77777777" w:rsidR="003E0A8C" w:rsidRPr="00270B0B" w:rsidRDefault="003E0A8C">
            <w:pPr>
              <w:spacing w:after="0" w:line="240" w:lineRule="auto"/>
              <w:jc w:val="center"/>
              <w:rPr>
                <w:rFonts w:ascii="Times New Roman" w:eastAsia="Times New Roman" w:hAnsi="Times New Roman" w:cs="Times New Roman"/>
                <w:b/>
                <w:noProof/>
                <w:sz w:val="20"/>
                <w:szCs w:val="20"/>
                <w:lang w:val="en-GB"/>
              </w:rPr>
            </w:pPr>
            <w:r w:rsidRPr="00270B0B">
              <w:rPr>
                <w:rFonts w:ascii="Times New Roman" w:hAnsi="Times New Roman" w:cs="Times New Roman"/>
                <w:b/>
                <w:noProof/>
                <w:sz w:val="20"/>
                <w:szCs w:val="20"/>
                <w:lang w:val="en-GB"/>
              </w:rPr>
              <w:t>Seq. Num.</w:t>
            </w:r>
          </w:p>
        </w:tc>
        <w:tc>
          <w:tcPr>
            <w:tcW w:w="157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284303" w14:textId="77777777" w:rsidR="003E0A8C" w:rsidRPr="00270B0B" w:rsidRDefault="003E0A8C">
            <w:pPr>
              <w:spacing w:after="0" w:line="240" w:lineRule="auto"/>
              <w:jc w:val="center"/>
              <w:rPr>
                <w:rFonts w:ascii="Times New Roman" w:eastAsia="Times New Roman" w:hAnsi="Times New Roman" w:cs="Times New Roman"/>
                <w:b/>
                <w:noProof/>
                <w:sz w:val="20"/>
                <w:szCs w:val="20"/>
                <w:lang w:val="en-GB"/>
              </w:rPr>
            </w:pPr>
            <w:r w:rsidRPr="00270B0B">
              <w:rPr>
                <w:rFonts w:ascii="Times New Roman" w:hAnsi="Times New Roman" w:cs="Times New Roman"/>
                <w:b/>
                <w:noProof/>
                <w:sz w:val="20"/>
                <w:szCs w:val="20"/>
                <w:lang w:val="en-GB"/>
              </w:rPr>
              <w:t>Related Measure (Reform or Investment)</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9FCD4B" w14:textId="77777777" w:rsidR="003E0A8C" w:rsidRPr="00270B0B" w:rsidRDefault="003E0A8C">
            <w:pPr>
              <w:spacing w:after="0" w:line="240" w:lineRule="auto"/>
              <w:jc w:val="center"/>
              <w:rPr>
                <w:rFonts w:ascii="Times New Roman" w:eastAsia="Times New Roman" w:hAnsi="Times New Roman" w:cs="Times New Roman"/>
                <w:b/>
                <w:noProof/>
                <w:sz w:val="20"/>
                <w:szCs w:val="20"/>
                <w:lang w:val="en-GB"/>
              </w:rPr>
            </w:pPr>
            <w:r w:rsidRPr="00270B0B">
              <w:rPr>
                <w:rFonts w:ascii="Times New Roman" w:hAnsi="Times New Roman" w:cs="Times New Roman"/>
                <w:b/>
                <w:noProof/>
                <w:sz w:val="20"/>
                <w:szCs w:val="20"/>
                <w:lang w:val="en-GB"/>
              </w:rPr>
              <w:t>Milestone/Target</w:t>
            </w:r>
          </w:p>
        </w:tc>
        <w:tc>
          <w:tcPr>
            <w:tcW w:w="130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936BD2" w14:textId="77777777" w:rsidR="003E0A8C" w:rsidRPr="00270B0B" w:rsidRDefault="003E0A8C">
            <w:pPr>
              <w:spacing w:after="0" w:line="240" w:lineRule="auto"/>
              <w:jc w:val="center"/>
              <w:rPr>
                <w:rFonts w:ascii="Times New Roman" w:eastAsia="Times New Roman" w:hAnsi="Times New Roman" w:cs="Times New Roman"/>
                <w:b/>
                <w:noProof/>
                <w:sz w:val="20"/>
                <w:szCs w:val="20"/>
                <w:lang w:val="en-GB"/>
              </w:rPr>
            </w:pPr>
            <w:r w:rsidRPr="00270B0B">
              <w:rPr>
                <w:rFonts w:ascii="Times New Roman" w:hAnsi="Times New Roman" w:cs="Times New Roman"/>
                <w:b/>
                <w:noProof/>
                <w:sz w:val="20"/>
                <w:szCs w:val="20"/>
                <w:lang w:val="en-GB"/>
              </w:rPr>
              <w:t>Name</w:t>
            </w:r>
          </w:p>
        </w:tc>
        <w:tc>
          <w:tcPr>
            <w:tcW w:w="16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95AB911" w14:textId="14EFBFC2" w:rsidR="003E0A8C" w:rsidRPr="00270B0B" w:rsidRDefault="003E0A8C" w:rsidP="00CB11E3">
            <w:pPr>
              <w:spacing w:after="0" w:line="240" w:lineRule="auto"/>
              <w:jc w:val="center"/>
              <w:rPr>
                <w:rFonts w:ascii="Times New Roman" w:eastAsia="Times New Roman" w:hAnsi="Times New Roman" w:cs="Times New Roman"/>
                <w:b/>
                <w:noProof/>
                <w:sz w:val="20"/>
                <w:szCs w:val="20"/>
                <w:lang w:val="en-GB"/>
              </w:rPr>
            </w:pPr>
            <w:r w:rsidRPr="00270B0B">
              <w:rPr>
                <w:rFonts w:ascii="Times New Roman" w:hAnsi="Times New Roman" w:cs="Times New Roman"/>
                <w:b/>
                <w:noProof/>
                <w:sz w:val="20"/>
                <w:szCs w:val="20"/>
                <w:lang w:val="en-GB"/>
              </w:rPr>
              <w:t>Qualitative</w:t>
            </w:r>
            <w:r w:rsidR="00CB11E3" w:rsidRPr="00270B0B">
              <w:rPr>
                <w:rFonts w:ascii="Times New Roman" w:hAnsi="Times New Roman" w:cs="Times New Roman"/>
                <w:b/>
                <w:noProof/>
                <w:sz w:val="20"/>
                <w:szCs w:val="20"/>
                <w:lang w:val="en-GB"/>
              </w:rPr>
              <w:t xml:space="preserve"> </w:t>
            </w:r>
            <w:r w:rsidRPr="00270B0B">
              <w:rPr>
                <w:rFonts w:ascii="Times New Roman" w:hAnsi="Times New Roman" w:cs="Times New Roman"/>
                <w:b/>
                <w:noProof/>
                <w:sz w:val="20"/>
                <w:szCs w:val="20"/>
                <w:lang w:val="en-GB"/>
              </w:rPr>
              <w:t>indicators</w:t>
            </w:r>
            <w:r w:rsidRPr="00270B0B">
              <w:rPr>
                <w:rFonts w:ascii="Times New Roman" w:hAnsi="Times New Roman" w:cs="Times New Roman"/>
                <w:noProof/>
                <w:sz w:val="20"/>
                <w:szCs w:val="20"/>
                <w:lang w:val="en-GB"/>
              </w:rPr>
              <w:t xml:space="preserve"> </w:t>
            </w:r>
            <w:r w:rsidRPr="00270B0B">
              <w:rPr>
                <w:rFonts w:ascii="Times New Roman" w:hAnsi="Times New Roman" w:cs="Times New Roman"/>
                <w:noProof/>
                <w:sz w:val="20"/>
                <w:szCs w:val="20"/>
                <w:lang w:val="en-GB"/>
              </w:rPr>
              <w:br/>
            </w:r>
            <w:r w:rsidRPr="00270B0B">
              <w:rPr>
                <w:rFonts w:ascii="Times New Roman" w:hAnsi="Times New Roman" w:cs="Times New Roman"/>
                <w:b/>
                <w:noProof/>
                <w:sz w:val="20"/>
                <w:szCs w:val="20"/>
                <w:lang w:val="en-GB"/>
              </w:rPr>
              <w:t>(for milestones)</w:t>
            </w:r>
          </w:p>
        </w:tc>
        <w:tc>
          <w:tcPr>
            <w:tcW w:w="326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87A99E5" w14:textId="77777777" w:rsidR="003E0A8C" w:rsidRPr="00270B0B" w:rsidRDefault="003E0A8C">
            <w:pPr>
              <w:spacing w:after="0" w:line="240" w:lineRule="auto"/>
              <w:jc w:val="center"/>
              <w:rPr>
                <w:rFonts w:ascii="Times New Roman" w:eastAsia="Times New Roman" w:hAnsi="Times New Roman" w:cs="Times New Roman"/>
                <w:b/>
                <w:noProof/>
                <w:sz w:val="20"/>
                <w:szCs w:val="20"/>
                <w:lang w:val="en-GB"/>
              </w:rPr>
            </w:pPr>
            <w:r w:rsidRPr="00270B0B">
              <w:rPr>
                <w:rFonts w:ascii="Times New Roman" w:hAnsi="Times New Roman" w:cs="Times New Roman"/>
                <w:b/>
                <w:noProof/>
                <w:sz w:val="20"/>
                <w:szCs w:val="20"/>
                <w:lang w:val="en-GB"/>
              </w:rPr>
              <w:t>Quantitative indicators (for targets)</w:t>
            </w:r>
          </w:p>
        </w:tc>
        <w:tc>
          <w:tcPr>
            <w:tcW w:w="1906" w:type="dxa"/>
            <w:gridSpan w:val="2"/>
            <w:tcBorders>
              <w:top w:val="single" w:sz="4" w:space="0" w:color="auto"/>
              <w:left w:val="nil"/>
              <w:bottom w:val="single" w:sz="4" w:space="0" w:color="auto"/>
              <w:right w:val="single" w:sz="4" w:space="0" w:color="auto"/>
            </w:tcBorders>
            <w:shd w:val="clear" w:color="auto" w:fill="BDD7EE"/>
            <w:vAlign w:val="center"/>
          </w:tcPr>
          <w:p w14:paraId="486602A8" w14:textId="215761E6" w:rsidR="003E0A8C" w:rsidRPr="00270B0B" w:rsidRDefault="003E0A8C" w:rsidP="00CB11E3">
            <w:pPr>
              <w:spacing w:after="0" w:line="240" w:lineRule="auto"/>
              <w:jc w:val="center"/>
              <w:rPr>
                <w:rFonts w:ascii="Times New Roman" w:eastAsia="Times New Roman" w:hAnsi="Times New Roman" w:cs="Times New Roman"/>
                <w:b/>
                <w:noProof/>
                <w:sz w:val="20"/>
                <w:szCs w:val="20"/>
                <w:lang w:val="en-GB"/>
              </w:rPr>
            </w:pPr>
            <w:r w:rsidRPr="00270B0B">
              <w:rPr>
                <w:rFonts w:ascii="Times New Roman" w:hAnsi="Times New Roman" w:cs="Times New Roman"/>
                <w:b/>
                <w:noProof/>
                <w:sz w:val="20"/>
                <w:szCs w:val="20"/>
                <w:lang w:val="en-GB"/>
              </w:rPr>
              <w:t>Indicative timeline</w:t>
            </w:r>
            <w:r w:rsidR="00CB11E3" w:rsidRPr="00270B0B">
              <w:rPr>
                <w:rFonts w:ascii="Times New Roman" w:hAnsi="Times New Roman" w:cs="Times New Roman"/>
                <w:b/>
                <w:noProof/>
                <w:sz w:val="20"/>
                <w:szCs w:val="20"/>
                <w:lang w:val="en-GB"/>
              </w:rPr>
              <w:t xml:space="preserve"> </w:t>
            </w:r>
            <w:r w:rsidRPr="00270B0B">
              <w:rPr>
                <w:rFonts w:ascii="Times New Roman" w:hAnsi="Times New Roman" w:cs="Times New Roman"/>
                <w:b/>
                <w:noProof/>
                <w:sz w:val="20"/>
                <w:szCs w:val="20"/>
                <w:lang w:val="en-GB"/>
              </w:rPr>
              <w:t>for completion</w:t>
            </w:r>
          </w:p>
        </w:tc>
        <w:tc>
          <w:tcPr>
            <w:tcW w:w="371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C80AFA4" w14:textId="77777777" w:rsidR="003E0A8C" w:rsidRPr="00270B0B" w:rsidRDefault="003E0A8C">
            <w:pPr>
              <w:spacing w:after="0" w:line="240" w:lineRule="auto"/>
              <w:jc w:val="center"/>
              <w:rPr>
                <w:rFonts w:ascii="Times New Roman" w:eastAsia="Times New Roman" w:hAnsi="Times New Roman" w:cs="Times New Roman"/>
                <w:b/>
                <w:noProof/>
                <w:sz w:val="20"/>
                <w:szCs w:val="20"/>
                <w:lang w:val="en-GB"/>
              </w:rPr>
            </w:pPr>
            <w:r w:rsidRPr="00270B0B">
              <w:rPr>
                <w:rFonts w:ascii="Times New Roman" w:hAnsi="Times New Roman" w:cs="Times New Roman"/>
                <w:b/>
                <w:noProof/>
                <w:sz w:val="20"/>
                <w:szCs w:val="20"/>
                <w:lang w:val="en-GB"/>
              </w:rPr>
              <w:t>Description of each milestone and target</w:t>
            </w:r>
          </w:p>
        </w:tc>
      </w:tr>
      <w:tr w:rsidR="00382D78" w:rsidRPr="00270B0B" w14:paraId="21D62A61" w14:textId="77777777" w:rsidTr="00CD7AC9">
        <w:trPr>
          <w:trHeight w:val="457"/>
          <w:tblHeader/>
          <w:jc w:val="center"/>
        </w:trPr>
        <w:tc>
          <w:tcPr>
            <w:tcW w:w="834" w:type="dxa"/>
            <w:gridSpan w:val="2"/>
            <w:vMerge/>
            <w:tcBorders>
              <w:top w:val="single" w:sz="4" w:space="0" w:color="auto"/>
              <w:left w:val="single" w:sz="4" w:space="0" w:color="auto"/>
              <w:bottom w:val="single" w:sz="4" w:space="0" w:color="auto"/>
              <w:right w:val="single" w:sz="4" w:space="0" w:color="auto"/>
            </w:tcBorders>
            <w:hideMark/>
          </w:tcPr>
          <w:p w14:paraId="636E7C1C" w14:textId="77777777" w:rsidR="003E0A8C" w:rsidRPr="00270B0B" w:rsidRDefault="003E0A8C">
            <w:pPr>
              <w:spacing w:after="0" w:line="240" w:lineRule="auto"/>
              <w:jc w:val="center"/>
              <w:rPr>
                <w:rFonts w:ascii="Times New Roman" w:eastAsia="Times New Roman" w:hAnsi="Times New Roman" w:cs="Times New Roman"/>
                <w:b/>
                <w:bCs/>
                <w:noProof/>
                <w:sz w:val="20"/>
                <w:szCs w:val="20"/>
                <w:lang w:val="en-GB" w:eastAsia="en-GB"/>
              </w:rPr>
            </w:pPr>
          </w:p>
        </w:tc>
        <w:tc>
          <w:tcPr>
            <w:tcW w:w="1573" w:type="dxa"/>
            <w:vMerge/>
            <w:tcBorders>
              <w:top w:val="single" w:sz="4" w:space="0" w:color="auto"/>
              <w:left w:val="single" w:sz="4" w:space="0" w:color="auto"/>
              <w:bottom w:val="single" w:sz="4" w:space="0" w:color="auto"/>
              <w:right w:val="single" w:sz="4" w:space="0" w:color="auto"/>
            </w:tcBorders>
            <w:hideMark/>
          </w:tcPr>
          <w:p w14:paraId="209C2952" w14:textId="77777777" w:rsidR="003E0A8C" w:rsidRPr="00270B0B" w:rsidRDefault="003E0A8C">
            <w:pPr>
              <w:spacing w:after="0" w:line="240" w:lineRule="auto"/>
              <w:jc w:val="both"/>
              <w:rPr>
                <w:rFonts w:ascii="Times New Roman" w:eastAsia="Times New Roman" w:hAnsi="Times New Roman" w:cs="Times New Roman"/>
                <w:b/>
                <w:bCs/>
                <w:noProof/>
                <w:sz w:val="20"/>
                <w:szCs w:val="20"/>
                <w:lang w:val="en-GB" w:eastAsia="en-GB"/>
              </w:rPr>
            </w:pPr>
          </w:p>
        </w:tc>
        <w:tc>
          <w:tcPr>
            <w:tcW w:w="1320" w:type="dxa"/>
            <w:vMerge/>
            <w:tcBorders>
              <w:top w:val="single" w:sz="4" w:space="0" w:color="auto"/>
              <w:left w:val="single" w:sz="4" w:space="0" w:color="auto"/>
              <w:bottom w:val="single" w:sz="4" w:space="0" w:color="auto"/>
              <w:right w:val="single" w:sz="4" w:space="0" w:color="auto"/>
            </w:tcBorders>
            <w:hideMark/>
          </w:tcPr>
          <w:p w14:paraId="21E9FEE4" w14:textId="77777777" w:rsidR="003E0A8C" w:rsidRPr="00270B0B" w:rsidRDefault="003E0A8C">
            <w:pPr>
              <w:spacing w:after="0" w:line="240" w:lineRule="auto"/>
              <w:jc w:val="center"/>
              <w:rPr>
                <w:rFonts w:ascii="Times New Roman" w:eastAsia="Times New Roman" w:hAnsi="Times New Roman" w:cs="Times New Roman"/>
                <w:b/>
                <w:bCs/>
                <w:noProof/>
                <w:sz w:val="20"/>
                <w:szCs w:val="20"/>
                <w:lang w:val="en-GB" w:eastAsia="en-GB"/>
              </w:rPr>
            </w:pPr>
          </w:p>
        </w:tc>
        <w:tc>
          <w:tcPr>
            <w:tcW w:w="1309" w:type="dxa"/>
            <w:vMerge/>
            <w:tcBorders>
              <w:top w:val="single" w:sz="4" w:space="0" w:color="auto"/>
              <w:left w:val="single" w:sz="4" w:space="0" w:color="auto"/>
              <w:bottom w:val="single" w:sz="4" w:space="0" w:color="auto"/>
              <w:right w:val="single" w:sz="4" w:space="0" w:color="auto"/>
            </w:tcBorders>
            <w:hideMark/>
          </w:tcPr>
          <w:p w14:paraId="28E42AF9" w14:textId="77777777" w:rsidR="003E0A8C" w:rsidRPr="00270B0B" w:rsidRDefault="003E0A8C">
            <w:pPr>
              <w:spacing w:after="0" w:line="240" w:lineRule="auto"/>
              <w:jc w:val="both"/>
              <w:rPr>
                <w:rFonts w:ascii="Times New Roman" w:eastAsia="Times New Roman" w:hAnsi="Times New Roman" w:cs="Times New Roman"/>
                <w:b/>
                <w:bCs/>
                <w:noProof/>
                <w:sz w:val="20"/>
                <w:szCs w:val="20"/>
                <w:lang w:val="en-GB" w:eastAsia="en-GB"/>
              </w:rPr>
            </w:pPr>
          </w:p>
        </w:tc>
        <w:tc>
          <w:tcPr>
            <w:tcW w:w="1625" w:type="dxa"/>
            <w:vMerge/>
            <w:tcBorders>
              <w:top w:val="single" w:sz="4" w:space="0" w:color="auto"/>
              <w:left w:val="single" w:sz="4" w:space="0" w:color="auto"/>
              <w:bottom w:val="single" w:sz="4" w:space="0" w:color="auto"/>
              <w:right w:val="single" w:sz="4" w:space="0" w:color="auto"/>
            </w:tcBorders>
            <w:hideMark/>
          </w:tcPr>
          <w:p w14:paraId="54516A7F" w14:textId="77777777" w:rsidR="003E0A8C" w:rsidRPr="00270B0B" w:rsidRDefault="003E0A8C">
            <w:pPr>
              <w:spacing w:after="0" w:line="240" w:lineRule="auto"/>
              <w:jc w:val="both"/>
              <w:rPr>
                <w:rFonts w:ascii="Times New Roman" w:eastAsia="Times New Roman" w:hAnsi="Times New Roman" w:cs="Times New Roman"/>
                <w:b/>
                <w:bCs/>
                <w:noProof/>
                <w:sz w:val="20"/>
                <w:szCs w:val="20"/>
                <w:lang w:val="en-GB" w:eastAsia="en-GB"/>
              </w:rPr>
            </w:pPr>
          </w:p>
        </w:tc>
        <w:tc>
          <w:tcPr>
            <w:tcW w:w="1087" w:type="dxa"/>
            <w:tcBorders>
              <w:top w:val="nil"/>
              <w:left w:val="single" w:sz="4" w:space="0" w:color="auto"/>
              <w:bottom w:val="nil"/>
              <w:right w:val="single" w:sz="4" w:space="0" w:color="auto"/>
            </w:tcBorders>
            <w:shd w:val="clear" w:color="auto" w:fill="BDD7EE"/>
            <w:vAlign w:val="center"/>
            <w:hideMark/>
          </w:tcPr>
          <w:p w14:paraId="1BDC3438" w14:textId="1E63043D" w:rsidR="003E0A8C" w:rsidRPr="00270B0B" w:rsidRDefault="003E0A8C" w:rsidP="00CB11E3">
            <w:pPr>
              <w:spacing w:after="0" w:line="240" w:lineRule="auto"/>
              <w:jc w:val="center"/>
              <w:rPr>
                <w:rFonts w:ascii="Times New Roman" w:eastAsia="Times New Roman" w:hAnsi="Times New Roman" w:cs="Times New Roman"/>
                <w:b/>
                <w:noProof/>
                <w:sz w:val="20"/>
                <w:szCs w:val="20"/>
                <w:lang w:val="en-GB"/>
              </w:rPr>
            </w:pPr>
            <w:r w:rsidRPr="00270B0B">
              <w:rPr>
                <w:rFonts w:ascii="Times New Roman" w:hAnsi="Times New Roman" w:cs="Times New Roman"/>
                <w:b/>
                <w:noProof/>
                <w:sz w:val="20"/>
                <w:szCs w:val="20"/>
                <w:lang w:val="en-GB"/>
              </w:rPr>
              <w:t>Unit of measure</w:t>
            </w:r>
          </w:p>
        </w:tc>
        <w:tc>
          <w:tcPr>
            <w:tcW w:w="1357" w:type="dxa"/>
            <w:tcBorders>
              <w:top w:val="nil"/>
              <w:left w:val="nil"/>
              <w:bottom w:val="nil"/>
              <w:right w:val="single" w:sz="4" w:space="0" w:color="auto"/>
            </w:tcBorders>
            <w:shd w:val="clear" w:color="auto" w:fill="BDD7EE"/>
            <w:vAlign w:val="center"/>
            <w:hideMark/>
          </w:tcPr>
          <w:p w14:paraId="69CC1BE3" w14:textId="77777777" w:rsidR="003E0A8C" w:rsidRPr="00270B0B" w:rsidRDefault="003E0A8C">
            <w:pPr>
              <w:spacing w:after="0" w:line="240" w:lineRule="auto"/>
              <w:jc w:val="center"/>
              <w:rPr>
                <w:rFonts w:ascii="Times New Roman" w:eastAsia="Times New Roman" w:hAnsi="Times New Roman" w:cs="Times New Roman"/>
                <w:b/>
                <w:noProof/>
                <w:sz w:val="20"/>
                <w:szCs w:val="20"/>
                <w:lang w:val="en-GB"/>
              </w:rPr>
            </w:pPr>
            <w:r w:rsidRPr="00270B0B">
              <w:rPr>
                <w:rFonts w:ascii="Times New Roman" w:hAnsi="Times New Roman" w:cs="Times New Roman"/>
                <w:b/>
                <w:noProof/>
                <w:sz w:val="20"/>
                <w:szCs w:val="20"/>
                <w:lang w:val="en-GB"/>
              </w:rPr>
              <w:t xml:space="preserve">Baseline </w:t>
            </w:r>
          </w:p>
        </w:tc>
        <w:tc>
          <w:tcPr>
            <w:tcW w:w="818" w:type="dxa"/>
            <w:tcBorders>
              <w:top w:val="nil"/>
              <w:left w:val="nil"/>
              <w:bottom w:val="nil"/>
              <w:right w:val="single" w:sz="4" w:space="0" w:color="auto"/>
            </w:tcBorders>
            <w:shd w:val="clear" w:color="auto" w:fill="BDD7EE"/>
            <w:vAlign w:val="center"/>
            <w:hideMark/>
          </w:tcPr>
          <w:p w14:paraId="5656C19C" w14:textId="77777777" w:rsidR="003E0A8C" w:rsidRPr="00270B0B" w:rsidRDefault="003E0A8C">
            <w:pPr>
              <w:spacing w:after="0" w:line="240" w:lineRule="auto"/>
              <w:jc w:val="center"/>
              <w:rPr>
                <w:rFonts w:ascii="Times New Roman" w:eastAsia="Times New Roman" w:hAnsi="Times New Roman" w:cs="Times New Roman"/>
                <w:b/>
                <w:noProof/>
                <w:sz w:val="20"/>
                <w:szCs w:val="20"/>
                <w:lang w:val="en-GB"/>
              </w:rPr>
            </w:pPr>
            <w:r w:rsidRPr="00270B0B">
              <w:rPr>
                <w:rFonts w:ascii="Times New Roman" w:hAnsi="Times New Roman" w:cs="Times New Roman"/>
                <w:b/>
                <w:noProof/>
                <w:sz w:val="20"/>
                <w:szCs w:val="20"/>
                <w:lang w:val="en-GB"/>
              </w:rPr>
              <w:t xml:space="preserve">Goal </w:t>
            </w:r>
          </w:p>
        </w:tc>
        <w:tc>
          <w:tcPr>
            <w:tcW w:w="1087" w:type="dxa"/>
            <w:tcBorders>
              <w:top w:val="nil"/>
              <w:left w:val="nil"/>
              <w:bottom w:val="nil"/>
              <w:right w:val="single" w:sz="4" w:space="0" w:color="auto"/>
            </w:tcBorders>
            <w:shd w:val="clear" w:color="auto" w:fill="BDD7EE"/>
            <w:vAlign w:val="center"/>
            <w:hideMark/>
          </w:tcPr>
          <w:p w14:paraId="594E57F6" w14:textId="77777777" w:rsidR="003E0A8C" w:rsidRPr="00270B0B" w:rsidRDefault="003E0A8C">
            <w:pPr>
              <w:spacing w:after="0" w:line="240" w:lineRule="auto"/>
              <w:jc w:val="center"/>
              <w:rPr>
                <w:rFonts w:ascii="Times New Roman" w:eastAsia="Times New Roman" w:hAnsi="Times New Roman" w:cs="Times New Roman"/>
                <w:b/>
                <w:noProof/>
                <w:sz w:val="20"/>
                <w:szCs w:val="20"/>
                <w:lang w:val="en-GB"/>
              </w:rPr>
            </w:pPr>
            <w:r w:rsidRPr="00270B0B">
              <w:rPr>
                <w:rFonts w:ascii="Times New Roman" w:hAnsi="Times New Roman" w:cs="Times New Roman"/>
                <w:b/>
                <w:noProof/>
                <w:sz w:val="20"/>
                <w:szCs w:val="20"/>
                <w:lang w:val="en-GB"/>
              </w:rPr>
              <w:t>Quarter</w:t>
            </w:r>
          </w:p>
        </w:tc>
        <w:tc>
          <w:tcPr>
            <w:tcW w:w="819" w:type="dxa"/>
            <w:tcBorders>
              <w:top w:val="nil"/>
              <w:left w:val="nil"/>
              <w:bottom w:val="nil"/>
              <w:right w:val="single" w:sz="4" w:space="0" w:color="auto"/>
            </w:tcBorders>
            <w:shd w:val="clear" w:color="auto" w:fill="BDD7EE"/>
            <w:vAlign w:val="center"/>
            <w:hideMark/>
          </w:tcPr>
          <w:p w14:paraId="2D914D7D" w14:textId="77777777" w:rsidR="003E0A8C" w:rsidRPr="00270B0B" w:rsidRDefault="003E0A8C">
            <w:pPr>
              <w:spacing w:after="0" w:line="240" w:lineRule="auto"/>
              <w:jc w:val="center"/>
              <w:rPr>
                <w:rFonts w:ascii="Times New Roman" w:eastAsia="Times New Roman" w:hAnsi="Times New Roman" w:cs="Times New Roman"/>
                <w:b/>
                <w:noProof/>
                <w:sz w:val="20"/>
                <w:szCs w:val="20"/>
                <w:lang w:val="en-GB"/>
              </w:rPr>
            </w:pPr>
            <w:r w:rsidRPr="00270B0B">
              <w:rPr>
                <w:rFonts w:ascii="Times New Roman" w:hAnsi="Times New Roman" w:cs="Times New Roman"/>
                <w:b/>
                <w:noProof/>
                <w:sz w:val="20"/>
                <w:szCs w:val="20"/>
                <w:lang w:val="en-GB"/>
              </w:rPr>
              <w:t>Year</w:t>
            </w:r>
          </w:p>
        </w:tc>
        <w:tc>
          <w:tcPr>
            <w:tcW w:w="3715" w:type="dxa"/>
            <w:vMerge/>
            <w:tcBorders>
              <w:top w:val="single" w:sz="4" w:space="0" w:color="auto"/>
              <w:bottom w:val="single" w:sz="4" w:space="0" w:color="auto"/>
              <w:right w:val="single" w:sz="4" w:space="0" w:color="auto"/>
            </w:tcBorders>
            <w:hideMark/>
          </w:tcPr>
          <w:p w14:paraId="3A567513" w14:textId="77777777" w:rsidR="003E0A8C" w:rsidRPr="00270B0B" w:rsidRDefault="003E0A8C">
            <w:pPr>
              <w:spacing w:after="0" w:line="240" w:lineRule="auto"/>
              <w:jc w:val="both"/>
              <w:rPr>
                <w:rFonts w:ascii="Times New Roman" w:eastAsia="Times New Roman" w:hAnsi="Times New Roman" w:cs="Times New Roman"/>
                <w:b/>
                <w:bCs/>
                <w:noProof/>
                <w:sz w:val="20"/>
                <w:szCs w:val="20"/>
                <w:lang w:val="en-GB" w:eastAsia="en-GB"/>
              </w:rPr>
            </w:pPr>
          </w:p>
        </w:tc>
      </w:tr>
      <w:tr w:rsidR="003E0A8C" w:rsidRPr="00270B0B" w14:paraId="744CFAF2" w14:textId="77777777">
        <w:tblPrEx>
          <w:tblCellMar>
            <w:left w:w="28" w:type="dxa"/>
            <w:right w:w="28" w:type="dxa"/>
          </w:tblCellMar>
        </w:tblPrEx>
        <w:trPr>
          <w:trHeight w:val="309"/>
          <w:jc w:val="center"/>
        </w:trPr>
        <w:tc>
          <w:tcPr>
            <w:tcW w:w="834" w:type="dxa"/>
            <w:gridSpan w:val="2"/>
            <w:tcBorders>
              <w:top w:val="single" w:sz="4" w:space="0" w:color="auto"/>
              <w:left w:val="single" w:sz="4" w:space="0" w:color="auto"/>
              <w:bottom w:val="single" w:sz="4" w:space="0" w:color="auto"/>
              <w:right w:val="single" w:sz="4" w:space="0" w:color="auto"/>
            </w:tcBorders>
            <w:shd w:val="clear" w:color="auto" w:fill="C6EFCE"/>
            <w:noWrap/>
            <w:hideMark/>
          </w:tcPr>
          <w:p w14:paraId="302481DD" w14:textId="77777777" w:rsidR="003E0A8C" w:rsidRPr="00270B0B" w:rsidRDefault="003E0A8C">
            <w:pPr>
              <w:spacing w:after="0" w:line="240" w:lineRule="auto"/>
              <w:jc w:val="center"/>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43</w:t>
            </w:r>
          </w:p>
        </w:tc>
        <w:tc>
          <w:tcPr>
            <w:tcW w:w="1573" w:type="dxa"/>
            <w:tcBorders>
              <w:top w:val="single" w:sz="4" w:space="0" w:color="auto"/>
              <w:left w:val="nil"/>
              <w:bottom w:val="single" w:sz="4" w:space="0" w:color="auto"/>
              <w:right w:val="single" w:sz="4" w:space="0" w:color="auto"/>
            </w:tcBorders>
            <w:shd w:val="clear" w:color="auto" w:fill="C6EFCE"/>
            <w:noWrap/>
            <w:hideMark/>
          </w:tcPr>
          <w:p w14:paraId="0396BEBA"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Reform 1 Support to waste management governance to accelerate the transition to the circular economy</w:t>
            </w:r>
          </w:p>
        </w:tc>
        <w:tc>
          <w:tcPr>
            <w:tcW w:w="1320" w:type="dxa"/>
            <w:tcBorders>
              <w:top w:val="single" w:sz="4" w:space="0" w:color="auto"/>
              <w:left w:val="nil"/>
              <w:bottom w:val="single" w:sz="4" w:space="0" w:color="auto"/>
              <w:right w:val="single" w:sz="4" w:space="0" w:color="auto"/>
            </w:tcBorders>
            <w:shd w:val="clear" w:color="auto" w:fill="C6EFCE"/>
            <w:noWrap/>
            <w:hideMark/>
          </w:tcPr>
          <w:p w14:paraId="491F84F7" w14:textId="77777777" w:rsidR="003E0A8C" w:rsidRPr="00270B0B" w:rsidRDefault="003E0A8C">
            <w:pPr>
              <w:spacing w:after="0" w:line="240" w:lineRule="auto"/>
              <w:jc w:val="center"/>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Milestone</w:t>
            </w:r>
          </w:p>
        </w:tc>
        <w:tc>
          <w:tcPr>
            <w:tcW w:w="1309" w:type="dxa"/>
            <w:tcBorders>
              <w:top w:val="single" w:sz="4" w:space="0" w:color="auto"/>
              <w:left w:val="nil"/>
              <w:bottom w:val="single" w:sz="4" w:space="0" w:color="auto"/>
              <w:right w:val="single" w:sz="4" w:space="0" w:color="auto"/>
            </w:tcBorders>
            <w:shd w:val="clear" w:color="auto" w:fill="C6EFCE"/>
            <w:noWrap/>
            <w:hideMark/>
          </w:tcPr>
          <w:p w14:paraId="593CD5B0"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The adoption of the National Circular Economy Strategy</w:t>
            </w:r>
          </w:p>
        </w:tc>
        <w:tc>
          <w:tcPr>
            <w:tcW w:w="1625" w:type="dxa"/>
            <w:tcBorders>
              <w:top w:val="single" w:sz="4" w:space="0" w:color="auto"/>
              <w:left w:val="nil"/>
              <w:bottom w:val="single" w:sz="4" w:space="0" w:color="auto"/>
              <w:right w:val="single" w:sz="4" w:space="0" w:color="auto"/>
            </w:tcBorders>
            <w:shd w:val="clear" w:color="auto" w:fill="C6EFCE"/>
            <w:noWrap/>
            <w:hideMark/>
          </w:tcPr>
          <w:p w14:paraId="0DDEB89A"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Adoption of the National Circular Economy Strategy by Government Decision</w:t>
            </w:r>
          </w:p>
        </w:tc>
        <w:tc>
          <w:tcPr>
            <w:tcW w:w="1087" w:type="dxa"/>
            <w:tcBorders>
              <w:top w:val="single" w:sz="4" w:space="0" w:color="auto"/>
              <w:left w:val="nil"/>
              <w:bottom w:val="single" w:sz="4" w:space="0" w:color="auto"/>
              <w:right w:val="single" w:sz="4" w:space="0" w:color="auto"/>
            </w:tcBorders>
            <w:shd w:val="clear" w:color="auto" w:fill="C6EFCE"/>
            <w:noWrap/>
          </w:tcPr>
          <w:p w14:paraId="345CA27F"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p>
        </w:tc>
        <w:tc>
          <w:tcPr>
            <w:tcW w:w="1357" w:type="dxa"/>
            <w:tcBorders>
              <w:top w:val="single" w:sz="4" w:space="0" w:color="auto"/>
              <w:left w:val="nil"/>
              <w:bottom w:val="single" w:sz="4" w:space="0" w:color="auto"/>
              <w:right w:val="single" w:sz="4" w:space="0" w:color="auto"/>
            </w:tcBorders>
            <w:shd w:val="clear" w:color="auto" w:fill="C6EFCE"/>
            <w:noWrap/>
          </w:tcPr>
          <w:p w14:paraId="60D29E9A"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p>
        </w:tc>
        <w:tc>
          <w:tcPr>
            <w:tcW w:w="818" w:type="dxa"/>
            <w:tcBorders>
              <w:top w:val="single" w:sz="4" w:space="0" w:color="auto"/>
              <w:left w:val="nil"/>
              <w:bottom w:val="single" w:sz="4" w:space="0" w:color="auto"/>
              <w:right w:val="single" w:sz="4" w:space="0" w:color="auto"/>
            </w:tcBorders>
            <w:shd w:val="clear" w:color="auto" w:fill="C6EFCE"/>
            <w:noWrap/>
          </w:tcPr>
          <w:p w14:paraId="0B1B6A31"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p>
        </w:tc>
        <w:tc>
          <w:tcPr>
            <w:tcW w:w="1087" w:type="dxa"/>
            <w:tcBorders>
              <w:top w:val="single" w:sz="4" w:space="0" w:color="auto"/>
              <w:left w:val="nil"/>
              <w:bottom w:val="single" w:sz="4" w:space="0" w:color="auto"/>
              <w:right w:val="single" w:sz="4" w:space="0" w:color="auto"/>
            </w:tcBorders>
            <w:shd w:val="clear" w:color="auto" w:fill="C6EFCE"/>
            <w:noWrap/>
            <w:hideMark/>
          </w:tcPr>
          <w:p w14:paraId="35C59106"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Q3</w:t>
            </w:r>
          </w:p>
        </w:tc>
        <w:tc>
          <w:tcPr>
            <w:tcW w:w="819" w:type="dxa"/>
            <w:tcBorders>
              <w:top w:val="single" w:sz="4" w:space="0" w:color="auto"/>
              <w:left w:val="nil"/>
              <w:bottom w:val="single" w:sz="4" w:space="0" w:color="auto"/>
              <w:right w:val="single" w:sz="4" w:space="0" w:color="auto"/>
            </w:tcBorders>
            <w:shd w:val="clear" w:color="auto" w:fill="C6EFCE"/>
            <w:noWrap/>
            <w:hideMark/>
          </w:tcPr>
          <w:p w14:paraId="775967FF"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2022</w:t>
            </w:r>
          </w:p>
        </w:tc>
        <w:tc>
          <w:tcPr>
            <w:tcW w:w="3715" w:type="dxa"/>
            <w:tcBorders>
              <w:top w:val="single" w:sz="4" w:space="0" w:color="auto"/>
              <w:left w:val="nil"/>
              <w:bottom w:val="single" w:sz="4" w:space="0" w:color="auto"/>
              <w:right w:val="single" w:sz="4" w:space="0" w:color="auto"/>
            </w:tcBorders>
            <w:shd w:val="clear" w:color="auto" w:fill="C6EFCE"/>
            <w:noWrap/>
          </w:tcPr>
          <w:p w14:paraId="3BF79327" w14:textId="77777777" w:rsidR="003E0A8C" w:rsidRPr="00270B0B" w:rsidRDefault="003E0A8C">
            <w:pPr>
              <w:spacing w:after="0" w:line="240" w:lineRule="auto"/>
              <w:jc w:val="both"/>
              <w:rPr>
                <w:rFonts w:ascii="Times New Roman" w:hAnsi="Times New Roman" w:cs="Times New Roman"/>
                <w:noProof/>
                <w:sz w:val="20"/>
                <w:szCs w:val="20"/>
                <w:lang w:val="en-GB"/>
              </w:rPr>
            </w:pPr>
            <w:r w:rsidRPr="00270B0B">
              <w:rPr>
                <w:rFonts w:ascii="Times New Roman" w:hAnsi="Times New Roman" w:cs="Times New Roman"/>
                <w:noProof/>
                <w:sz w:val="20"/>
                <w:szCs w:val="20"/>
                <w:lang w:val="en-GB"/>
              </w:rPr>
              <w:t>Adoption of the National Circular Economy Strategy, which shall be based on the recommendations of the ongoing Technical Support Instrument project.</w:t>
            </w:r>
          </w:p>
          <w:p w14:paraId="23D52034" w14:textId="77777777" w:rsidR="003E0A8C" w:rsidRPr="00270B0B" w:rsidRDefault="003E0A8C">
            <w:pPr>
              <w:spacing w:after="0" w:line="240" w:lineRule="auto"/>
              <w:jc w:val="both"/>
              <w:rPr>
                <w:rFonts w:ascii="Times New Roman" w:hAnsi="Times New Roman" w:cs="Times New Roman"/>
                <w:noProof/>
                <w:sz w:val="20"/>
                <w:szCs w:val="20"/>
                <w:lang w:val="en-GB"/>
              </w:rPr>
            </w:pPr>
            <w:r w:rsidRPr="00270B0B">
              <w:rPr>
                <w:rFonts w:ascii="Times New Roman" w:hAnsi="Times New Roman" w:cs="Times New Roman"/>
                <w:noProof/>
                <w:sz w:val="20"/>
                <w:szCs w:val="20"/>
                <w:lang w:val="en-GB"/>
              </w:rPr>
              <w:t>The strategy shall set out rules for the entire life cycle of products and define the following key elements:</w:t>
            </w:r>
          </w:p>
          <w:p w14:paraId="424126FC" w14:textId="77777777" w:rsidR="003E0A8C" w:rsidRPr="00270B0B" w:rsidRDefault="003E0A8C" w:rsidP="003E0A8C">
            <w:pPr>
              <w:numPr>
                <w:ilvl w:val="0"/>
                <w:numId w:val="6"/>
              </w:numPr>
              <w:spacing w:after="0" w:line="240" w:lineRule="auto"/>
              <w:ind w:left="165" w:hanging="141"/>
              <w:contextualSpacing/>
              <w:jc w:val="both"/>
              <w:rPr>
                <w:rFonts w:ascii="Times New Roman" w:hAnsi="Times New Roman" w:cs="Times New Roman"/>
                <w:noProof/>
                <w:sz w:val="20"/>
                <w:szCs w:val="20"/>
                <w:lang w:val="en-GB"/>
              </w:rPr>
            </w:pPr>
            <w:r w:rsidRPr="00270B0B">
              <w:rPr>
                <w:rFonts w:ascii="Times New Roman" w:hAnsi="Times New Roman" w:cs="Times New Roman"/>
                <w:noProof/>
                <w:sz w:val="20"/>
                <w:szCs w:val="20"/>
                <w:lang w:val="en-GB"/>
              </w:rPr>
              <w:t>regulatory, financial and information management methods and tools to support circular initiatives;</w:t>
            </w:r>
          </w:p>
          <w:p w14:paraId="58815EF2" w14:textId="77777777" w:rsidR="003E0A8C" w:rsidRPr="00270B0B" w:rsidRDefault="003E0A8C" w:rsidP="003E0A8C">
            <w:pPr>
              <w:numPr>
                <w:ilvl w:val="0"/>
                <w:numId w:val="6"/>
              </w:numPr>
              <w:spacing w:after="0" w:line="240" w:lineRule="auto"/>
              <w:ind w:left="165" w:hanging="141"/>
              <w:contextualSpacing/>
              <w:jc w:val="both"/>
              <w:rPr>
                <w:rFonts w:ascii="Times New Roman" w:hAnsi="Times New Roman" w:cs="Times New Roman"/>
                <w:noProof/>
                <w:sz w:val="20"/>
                <w:szCs w:val="20"/>
                <w:lang w:val="en-GB"/>
              </w:rPr>
            </w:pPr>
            <w:r w:rsidRPr="00270B0B">
              <w:rPr>
                <w:rFonts w:ascii="Times New Roman" w:hAnsi="Times New Roman" w:cs="Times New Roman"/>
                <w:noProof/>
                <w:sz w:val="20"/>
                <w:szCs w:val="20"/>
                <w:lang w:val="en-GB"/>
              </w:rPr>
              <w:t>identification of sectors to be covered;</w:t>
            </w:r>
          </w:p>
          <w:p w14:paraId="76245C1A" w14:textId="77777777" w:rsidR="003E0A8C" w:rsidRPr="00270B0B" w:rsidRDefault="003E0A8C" w:rsidP="003E0A8C">
            <w:pPr>
              <w:numPr>
                <w:ilvl w:val="0"/>
                <w:numId w:val="6"/>
              </w:numPr>
              <w:spacing w:after="0" w:line="240" w:lineRule="auto"/>
              <w:ind w:left="165" w:hanging="141"/>
              <w:contextualSpacing/>
              <w:jc w:val="both"/>
              <w:rPr>
                <w:rFonts w:ascii="Times New Roman" w:hAnsi="Times New Roman" w:cs="Times New Roman"/>
                <w:noProof/>
                <w:sz w:val="20"/>
                <w:szCs w:val="20"/>
                <w:lang w:val="en-GB"/>
              </w:rPr>
            </w:pPr>
            <w:r w:rsidRPr="00270B0B">
              <w:rPr>
                <w:rFonts w:ascii="Times New Roman" w:hAnsi="Times New Roman" w:cs="Times New Roman"/>
                <w:noProof/>
                <w:sz w:val="20"/>
                <w:szCs w:val="20"/>
                <w:lang w:val="en-GB"/>
              </w:rPr>
              <w:t>revision of environmental and economic incentives on waste in order to make recycling more convenient than landfilling and incineration;</w:t>
            </w:r>
          </w:p>
          <w:p w14:paraId="6BEE4AC0" w14:textId="77777777" w:rsidR="003E0A8C" w:rsidRPr="00270B0B" w:rsidRDefault="003E0A8C" w:rsidP="003E0A8C">
            <w:pPr>
              <w:numPr>
                <w:ilvl w:val="0"/>
                <w:numId w:val="6"/>
              </w:numPr>
              <w:spacing w:after="0" w:line="240" w:lineRule="auto"/>
              <w:ind w:left="165" w:hanging="141"/>
              <w:contextualSpacing/>
              <w:jc w:val="both"/>
              <w:rPr>
                <w:rFonts w:ascii="Times New Roman" w:hAnsi="Times New Roman" w:cs="Times New Roman"/>
                <w:noProof/>
                <w:sz w:val="20"/>
                <w:szCs w:val="20"/>
                <w:lang w:val="en-GB"/>
              </w:rPr>
            </w:pPr>
            <w:r w:rsidRPr="00270B0B">
              <w:rPr>
                <w:rFonts w:ascii="Times New Roman" w:hAnsi="Times New Roman" w:cs="Times New Roman"/>
                <w:noProof/>
                <w:sz w:val="20"/>
                <w:szCs w:val="20"/>
                <w:lang w:val="en-GB"/>
              </w:rPr>
              <w:t>guidelines for using the financial and management methods/tools in the respective sectors;</w:t>
            </w:r>
          </w:p>
          <w:p w14:paraId="2FB6AAF3" w14:textId="77777777" w:rsidR="003E0A8C" w:rsidRPr="00270B0B" w:rsidRDefault="003E0A8C" w:rsidP="003E0A8C">
            <w:pPr>
              <w:numPr>
                <w:ilvl w:val="0"/>
                <w:numId w:val="6"/>
              </w:numPr>
              <w:spacing w:after="0" w:line="240" w:lineRule="auto"/>
              <w:ind w:left="165" w:hanging="141"/>
              <w:contextualSpacing/>
              <w:jc w:val="both"/>
              <w:rPr>
                <w:rFonts w:ascii="Times New Roman" w:hAnsi="Times New Roman" w:cs="Times New Roman"/>
                <w:noProof/>
                <w:sz w:val="20"/>
                <w:szCs w:val="20"/>
                <w:lang w:val="en-GB"/>
              </w:rPr>
            </w:pPr>
            <w:r w:rsidRPr="00270B0B">
              <w:rPr>
                <w:rFonts w:ascii="Times New Roman" w:hAnsi="Times New Roman" w:cs="Times New Roman"/>
                <w:noProof/>
                <w:sz w:val="20"/>
                <w:szCs w:val="20"/>
                <w:lang w:val="en-GB"/>
              </w:rPr>
              <w:t xml:space="preserve">governance framework for collaboration between stakeholders (authorities, academia, the private sector, the non-profit sector and citizens). </w:t>
            </w:r>
          </w:p>
          <w:p w14:paraId="0DC90838"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The National Circular Economy Strategy shall effectively contribute to the EU targets on waste recycling, in particular in recycling of municipal waste and the reduction of the high landfilling rates.</w:t>
            </w:r>
          </w:p>
        </w:tc>
      </w:tr>
      <w:tr w:rsidR="003E0A8C" w:rsidRPr="00270B0B" w14:paraId="236C4C79" w14:textId="77777777">
        <w:tblPrEx>
          <w:tblCellMar>
            <w:left w:w="28" w:type="dxa"/>
            <w:right w:w="28" w:type="dxa"/>
          </w:tblCellMar>
        </w:tblPrEx>
        <w:trPr>
          <w:gridBefore w:val="1"/>
          <w:wBefore w:w="15" w:type="dxa"/>
          <w:trHeight w:val="309"/>
          <w:jc w:val="center"/>
        </w:trPr>
        <w:tc>
          <w:tcPr>
            <w:tcW w:w="819" w:type="dxa"/>
            <w:tcBorders>
              <w:top w:val="nil"/>
              <w:left w:val="single" w:sz="4" w:space="0" w:color="auto"/>
              <w:bottom w:val="single" w:sz="4" w:space="0" w:color="auto"/>
              <w:right w:val="single" w:sz="4" w:space="0" w:color="auto"/>
            </w:tcBorders>
            <w:shd w:val="clear" w:color="auto" w:fill="C6EFCE"/>
            <w:noWrap/>
            <w:hideMark/>
          </w:tcPr>
          <w:p w14:paraId="4844155E"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45</w:t>
            </w:r>
          </w:p>
        </w:tc>
        <w:tc>
          <w:tcPr>
            <w:tcW w:w="1573" w:type="dxa"/>
            <w:tcBorders>
              <w:top w:val="nil"/>
              <w:left w:val="nil"/>
              <w:bottom w:val="single" w:sz="4" w:space="0" w:color="auto"/>
              <w:right w:val="single" w:sz="4" w:space="0" w:color="auto"/>
            </w:tcBorders>
            <w:shd w:val="clear" w:color="auto" w:fill="C6EFCE"/>
            <w:noWrap/>
            <w:hideMark/>
          </w:tcPr>
          <w:p w14:paraId="76F48FEF" w14:textId="122DF071"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Reform 1 Support to</w:t>
            </w:r>
            <w:r w:rsidR="00D23D91" w:rsidRPr="00270B0B">
              <w:rPr>
                <w:rFonts w:ascii="Times New Roman" w:hAnsi="Times New Roman" w:cs="Times New Roman"/>
                <w:noProof/>
                <w:sz w:val="20"/>
                <w:szCs w:val="20"/>
                <w:lang w:val="en-GB"/>
              </w:rPr>
              <w:t xml:space="preserve"> </w:t>
            </w:r>
            <w:r w:rsidRPr="00270B0B">
              <w:rPr>
                <w:rFonts w:ascii="Times New Roman" w:hAnsi="Times New Roman" w:cs="Times New Roman"/>
                <w:noProof/>
                <w:sz w:val="20"/>
                <w:szCs w:val="20"/>
                <w:lang w:val="en-GB"/>
              </w:rPr>
              <w:t>waste management governance to accelerate the transition to the circular economy</w:t>
            </w:r>
          </w:p>
        </w:tc>
        <w:tc>
          <w:tcPr>
            <w:tcW w:w="1320" w:type="dxa"/>
            <w:tcBorders>
              <w:top w:val="nil"/>
              <w:left w:val="nil"/>
              <w:bottom w:val="single" w:sz="4" w:space="0" w:color="auto"/>
              <w:right w:val="single" w:sz="4" w:space="0" w:color="auto"/>
            </w:tcBorders>
            <w:shd w:val="clear" w:color="auto" w:fill="C6EFCE"/>
            <w:noWrap/>
            <w:hideMark/>
          </w:tcPr>
          <w:p w14:paraId="1F42CD65" w14:textId="77777777" w:rsidR="003E0A8C" w:rsidRPr="00270B0B" w:rsidRDefault="003E0A8C">
            <w:pPr>
              <w:spacing w:after="0" w:line="240" w:lineRule="auto"/>
              <w:jc w:val="center"/>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Milestone</w:t>
            </w:r>
          </w:p>
        </w:tc>
        <w:tc>
          <w:tcPr>
            <w:tcW w:w="1309" w:type="dxa"/>
            <w:tcBorders>
              <w:top w:val="nil"/>
              <w:left w:val="nil"/>
              <w:bottom w:val="single" w:sz="4" w:space="0" w:color="auto"/>
              <w:right w:val="single" w:sz="4" w:space="0" w:color="auto"/>
            </w:tcBorders>
            <w:shd w:val="clear" w:color="auto" w:fill="C6EFCE"/>
            <w:noWrap/>
            <w:hideMark/>
          </w:tcPr>
          <w:p w14:paraId="60CE620C"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 xml:space="preserve">Approval of the Action Plan for the National Circular Economy Strategy and execution of specific actions included therein. </w:t>
            </w:r>
          </w:p>
        </w:tc>
        <w:tc>
          <w:tcPr>
            <w:tcW w:w="1625" w:type="dxa"/>
            <w:tcBorders>
              <w:top w:val="single" w:sz="4" w:space="0" w:color="auto"/>
              <w:left w:val="single" w:sz="4" w:space="0" w:color="auto"/>
              <w:bottom w:val="single" w:sz="4" w:space="0" w:color="auto"/>
              <w:right w:val="single" w:sz="4" w:space="0" w:color="auto"/>
            </w:tcBorders>
            <w:shd w:val="clear" w:color="auto" w:fill="C6EFCE"/>
            <w:noWrap/>
            <w:hideMark/>
          </w:tcPr>
          <w:p w14:paraId="1C4E1B77" w14:textId="67EAF1F1" w:rsidR="003E0A8C" w:rsidRPr="00270B0B" w:rsidRDefault="003E0A8C" w:rsidP="00CB11E3">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 xml:space="preserve">Approval of the Action Plan for the National </w:t>
            </w:r>
            <w:r w:rsidR="00CB11E3" w:rsidRPr="00270B0B">
              <w:rPr>
                <w:rFonts w:ascii="Times New Roman" w:hAnsi="Times New Roman" w:cs="Times New Roman"/>
                <w:noProof/>
                <w:sz w:val="20"/>
                <w:szCs w:val="20"/>
                <w:lang w:val="en-GB"/>
              </w:rPr>
              <w:t xml:space="preserve"> </w:t>
            </w:r>
            <w:r w:rsidRPr="00270B0B">
              <w:rPr>
                <w:rFonts w:ascii="Times New Roman" w:hAnsi="Times New Roman" w:cs="Times New Roman"/>
                <w:noProof/>
                <w:sz w:val="20"/>
                <w:szCs w:val="20"/>
                <w:lang w:val="en-GB"/>
              </w:rPr>
              <w:t>Circular Economy Strategy by Government Decision and</w:t>
            </w:r>
            <w:r w:rsidR="00D23D91" w:rsidRPr="00270B0B">
              <w:rPr>
                <w:rFonts w:ascii="Times New Roman" w:hAnsi="Times New Roman" w:cs="Times New Roman"/>
                <w:noProof/>
                <w:sz w:val="20"/>
                <w:szCs w:val="20"/>
                <w:lang w:val="en-GB"/>
              </w:rPr>
              <w:t xml:space="preserve"> </w:t>
            </w:r>
            <w:r w:rsidRPr="00270B0B">
              <w:rPr>
                <w:rFonts w:ascii="Times New Roman" w:hAnsi="Times New Roman" w:cs="Times New Roman"/>
                <w:noProof/>
                <w:sz w:val="20"/>
                <w:szCs w:val="20"/>
                <w:lang w:val="en-GB"/>
              </w:rPr>
              <w:t>execution of</w:t>
            </w:r>
            <w:r w:rsidR="00D23D91" w:rsidRPr="00270B0B">
              <w:rPr>
                <w:rFonts w:ascii="Times New Roman" w:hAnsi="Times New Roman" w:cs="Times New Roman"/>
                <w:noProof/>
                <w:sz w:val="20"/>
                <w:szCs w:val="20"/>
                <w:lang w:val="en-GB"/>
              </w:rPr>
              <w:t xml:space="preserve"> </w:t>
            </w:r>
            <w:r w:rsidRPr="00270B0B">
              <w:rPr>
                <w:rFonts w:ascii="Times New Roman" w:hAnsi="Times New Roman" w:cs="Times New Roman"/>
                <w:noProof/>
                <w:sz w:val="20"/>
                <w:szCs w:val="20"/>
                <w:lang w:val="en-GB"/>
              </w:rPr>
              <w:t xml:space="preserve">specific actions included therein. </w:t>
            </w:r>
          </w:p>
        </w:tc>
        <w:tc>
          <w:tcPr>
            <w:tcW w:w="1087" w:type="dxa"/>
            <w:tcBorders>
              <w:top w:val="single" w:sz="4" w:space="0" w:color="auto"/>
              <w:left w:val="single" w:sz="4" w:space="0" w:color="auto"/>
              <w:bottom w:val="single" w:sz="4" w:space="0" w:color="auto"/>
              <w:right w:val="single" w:sz="4" w:space="0" w:color="auto"/>
            </w:tcBorders>
            <w:shd w:val="clear" w:color="auto" w:fill="C6EFCE"/>
            <w:noWrap/>
          </w:tcPr>
          <w:p w14:paraId="7B80779F"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p>
        </w:tc>
        <w:tc>
          <w:tcPr>
            <w:tcW w:w="1357" w:type="dxa"/>
            <w:tcBorders>
              <w:top w:val="single" w:sz="4" w:space="0" w:color="auto"/>
              <w:left w:val="single" w:sz="4" w:space="0" w:color="auto"/>
              <w:bottom w:val="single" w:sz="4" w:space="0" w:color="auto"/>
              <w:right w:val="single" w:sz="4" w:space="0" w:color="auto"/>
            </w:tcBorders>
            <w:shd w:val="clear" w:color="auto" w:fill="C6EFCE"/>
            <w:noWrap/>
          </w:tcPr>
          <w:p w14:paraId="0A7A1556"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p>
        </w:tc>
        <w:tc>
          <w:tcPr>
            <w:tcW w:w="818" w:type="dxa"/>
            <w:tcBorders>
              <w:top w:val="single" w:sz="4" w:space="0" w:color="auto"/>
              <w:left w:val="single" w:sz="4" w:space="0" w:color="auto"/>
              <w:bottom w:val="single" w:sz="4" w:space="0" w:color="auto"/>
              <w:right w:val="single" w:sz="4" w:space="0" w:color="auto"/>
            </w:tcBorders>
            <w:shd w:val="clear" w:color="auto" w:fill="C6EFCE"/>
            <w:noWrap/>
          </w:tcPr>
          <w:p w14:paraId="0891406A"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p>
        </w:tc>
        <w:tc>
          <w:tcPr>
            <w:tcW w:w="1087" w:type="dxa"/>
            <w:tcBorders>
              <w:top w:val="single" w:sz="4" w:space="0" w:color="auto"/>
              <w:left w:val="single" w:sz="4" w:space="0" w:color="auto"/>
              <w:bottom w:val="single" w:sz="4" w:space="0" w:color="auto"/>
              <w:right w:val="single" w:sz="4" w:space="0" w:color="auto"/>
            </w:tcBorders>
            <w:shd w:val="clear" w:color="auto" w:fill="C6EFCE"/>
            <w:noWrap/>
            <w:hideMark/>
          </w:tcPr>
          <w:p w14:paraId="4760D083"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Q2</w:t>
            </w:r>
          </w:p>
        </w:tc>
        <w:tc>
          <w:tcPr>
            <w:tcW w:w="819" w:type="dxa"/>
            <w:tcBorders>
              <w:top w:val="single" w:sz="4" w:space="0" w:color="auto"/>
              <w:left w:val="single" w:sz="4" w:space="0" w:color="auto"/>
              <w:bottom w:val="single" w:sz="4" w:space="0" w:color="auto"/>
              <w:right w:val="single" w:sz="4" w:space="0" w:color="auto"/>
            </w:tcBorders>
            <w:shd w:val="clear" w:color="auto" w:fill="C6EFCE"/>
            <w:noWrap/>
            <w:hideMark/>
          </w:tcPr>
          <w:p w14:paraId="682C1FA8"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2026</w:t>
            </w:r>
          </w:p>
        </w:tc>
        <w:tc>
          <w:tcPr>
            <w:tcW w:w="3715" w:type="dxa"/>
            <w:tcBorders>
              <w:top w:val="single" w:sz="4" w:space="0" w:color="auto"/>
              <w:left w:val="single" w:sz="4" w:space="0" w:color="auto"/>
              <w:bottom w:val="single" w:sz="4" w:space="0" w:color="auto"/>
              <w:right w:val="single" w:sz="4" w:space="0" w:color="auto"/>
            </w:tcBorders>
            <w:shd w:val="clear" w:color="auto" w:fill="C6EFCE"/>
            <w:noWrap/>
          </w:tcPr>
          <w:p w14:paraId="7FC769B6" w14:textId="3CE6F1EF"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r w:rsidRPr="00270B0B">
              <w:rPr>
                <w:rFonts w:ascii="Times New Roman" w:hAnsi="Times New Roman" w:cs="Times New Roman"/>
                <w:noProof/>
                <w:sz w:val="20"/>
                <w:szCs w:val="20"/>
              </w:rPr>
              <w:t>The Action Plan shall define the key steps of the Strategy for Circular Economy, the responsible authorities and the timeline for the identified actions. The Plan shall include a monitoring system and corrective tools to ensure the achievement of the planned key actions.</w:t>
            </w:r>
            <w:r w:rsidR="00D23D91" w:rsidRPr="00270B0B">
              <w:rPr>
                <w:rFonts w:ascii="Times New Roman" w:hAnsi="Times New Roman" w:cs="Times New Roman"/>
                <w:noProof/>
                <w:sz w:val="20"/>
                <w:szCs w:val="20"/>
              </w:rPr>
              <w:t xml:space="preserve"> </w:t>
            </w:r>
            <w:r w:rsidRPr="00270B0B">
              <w:rPr>
                <w:rFonts w:ascii="Times New Roman" w:hAnsi="Times New Roman" w:cs="Times New Roman"/>
                <w:noProof/>
                <w:sz w:val="20"/>
                <w:szCs w:val="20"/>
                <w:lang w:val="en-GB"/>
              </w:rPr>
              <w:t>The following actions contained in the approved Action Plan for the National Circular Economy Strategy assigned to public authorities</w:t>
            </w:r>
            <w:r w:rsidR="00D23D91" w:rsidRPr="00270B0B">
              <w:rPr>
                <w:rFonts w:ascii="Times New Roman" w:hAnsi="Times New Roman" w:cs="Times New Roman"/>
                <w:noProof/>
                <w:sz w:val="20"/>
                <w:szCs w:val="20"/>
                <w:lang w:val="en-GB"/>
              </w:rPr>
              <w:t xml:space="preserve"> </w:t>
            </w:r>
            <w:r w:rsidRPr="00270B0B">
              <w:rPr>
                <w:rFonts w:ascii="Times New Roman" w:hAnsi="Times New Roman" w:cs="Times New Roman"/>
                <w:noProof/>
                <w:sz w:val="20"/>
                <w:szCs w:val="20"/>
                <w:lang w:val="en-GB"/>
              </w:rPr>
              <w:t>have been executed:</w:t>
            </w:r>
          </w:p>
          <w:p w14:paraId="202F6AB9" w14:textId="537BBB82"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r w:rsidRPr="00270B0B">
              <w:rPr>
                <w:rFonts w:ascii="Times New Roman" w:hAnsi="Times New Roman" w:cs="Times New Roman"/>
                <w:noProof/>
                <w:sz w:val="20"/>
                <w:szCs w:val="20"/>
                <w:lang w:val="en-GB"/>
              </w:rPr>
              <w:t>Action 15: Study to identify measures which may include, but is not limited to, technical requirements, producer responsibility, economic instruments or voluntary agreements to support the increase in the separate collection of waste oils. (</w:t>
            </w:r>
            <w:r w:rsidRPr="00270B0B">
              <w:rPr>
                <w:rFonts w:ascii="Times New Roman" w:hAnsi="Times New Roman" w:cs="Times New Roman"/>
                <w:i/>
                <w:noProof/>
                <w:sz w:val="20"/>
                <w:szCs w:val="20"/>
                <w:lang w:val="en-GB"/>
              </w:rPr>
              <w:t>Studiu pentru identificarea măsurilor, cum ar fi cerințe tehnice, responsabilitatea producătorilor, instrumente economice sau acorduri voluntare pentru creșterea gradului de colectare separată a uleiurilor uzate.)</w:t>
            </w:r>
            <w:r w:rsidR="00D23D91" w:rsidRPr="00270B0B">
              <w:rPr>
                <w:rFonts w:ascii="Times New Roman" w:hAnsi="Times New Roman" w:cs="Times New Roman"/>
                <w:noProof/>
                <w:sz w:val="20"/>
                <w:szCs w:val="20"/>
                <w:lang w:val="en-GB"/>
              </w:rPr>
              <w:t xml:space="preserve"> </w:t>
            </w:r>
          </w:p>
          <w:p w14:paraId="561DFB92" w14:textId="59BC9CC5" w:rsidR="003E0A8C" w:rsidRPr="00270B0B" w:rsidRDefault="003E0A8C">
            <w:pPr>
              <w:spacing w:after="0" w:line="240" w:lineRule="auto"/>
              <w:jc w:val="both"/>
              <w:rPr>
                <w:rFonts w:ascii="Times New Roman" w:hAnsi="Times New Roman" w:cs="Times New Roman"/>
                <w:noProof/>
                <w:sz w:val="20"/>
                <w:szCs w:val="20"/>
                <w:lang w:val="en-IE"/>
              </w:rPr>
            </w:pPr>
            <w:r w:rsidRPr="00270B0B">
              <w:rPr>
                <w:rFonts w:ascii="Times New Roman" w:hAnsi="Times New Roman" w:cs="Times New Roman"/>
                <w:noProof/>
                <w:sz w:val="20"/>
                <w:szCs w:val="20"/>
                <w:lang w:val="en-GB"/>
              </w:rPr>
              <w:t xml:space="preserve">Action 16. Removing abandoned cars from the public domain </w:t>
            </w:r>
            <w:r w:rsidRPr="00270B0B">
              <w:rPr>
                <w:rFonts w:ascii="Times New Roman" w:hAnsi="Times New Roman" w:cs="Times New Roman"/>
                <w:noProof/>
                <w:sz w:val="20"/>
                <w:szCs w:val="20"/>
                <w:lang w:val="en-IE"/>
              </w:rPr>
              <w:t>(</w:t>
            </w:r>
            <w:r w:rsidRPr="00270B0B">
              <w:rPr>
                <w:rFonts w:ascii="Times New Roman" w:hAnsi="Times New Roman" w:cs="Times New Roman"/>
                <w:i/>
                <w:noProof/>
                <w:sz w:val="20"/>
                <w:szCs w:val="20"/>
                <w:lang w:val="en-IE"/>
              </w:rPr>
              <w:t>Îndepărtarea mașinilor abandonate de pe domeniul public</w:t>
            </w:r>
            <w:r w:rsidRPr="00270B0B">
              <w:rPr>
                <w:rFonts w:ascii="Times New Roman" w:hAnsi="Times New Roman" w:cs="Times New Roman"/>
                <w:noProof/>
                <w:sz w:val="20"/>
                <w:szCs w:val="20"/>
                <w:lang w:val="en-IE"/>
              </w:rPr>
              <w:t>)</w:t>
            </w:r>
            <w:r w:rsidR="00B9478C" w:rsidRPr="00270B0B">
              <w:rPr>
                <w:rFonts w:ascii="Times New Roman" w:hAnsi="Times New Roman" w:cs="Times New Roman"/>
                <w:noProof/>
                <w:sz w:val="20"/>
                <w:szCs w:val="20"/>
                <w:lang w:val="en-IE"/>
              </w:rPr>
              <w:t>.</w:t>
            </w:r>
          </w:p>
          <w:p w14:paraId="5748EB00"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r w:rsidRPr="00270B0B">
              <w:rPr>
                <w:rFonts w:ascii="Times New Roman" w:hAnsi="Times New Roman" w:cs="Times New Roman"/>
                <w:noProof/>
                <w:sz w:val="20"/>
                <w:szCs w:val="20"/>
                <w:lang w:val="en-GB"/>
              </w:rPr>
              <w:t>Action 23. Updating the legislation on food waste and updating infrastructure for collecting/donations of food</w:t>
            </w:r>
            <w:r w:rsidRPr="00270B0B" w:rsidDel="00780780">
              <w:rPr>
                <w:rFonts w:ascii="Times New Roman" w:hAnsi="Times New Roman" w:cs="Times New Roman"/>
                <w:noProof/>
                <w:sz w:val="20"/>
                <w:szCs w:val="20"/>
                <w:lang w:val="en-GB"/>
              </w:rPr>
              <w:t xml:space="preserve"> </w:t>
            </w:r>
            <w:r w:rsidRPr="00270B0B">
              <w:rPr>
                <w:rFonts w:ascii="Times New Roman" w:hAnsi="Times New Roman" w:cs="Times New Roman"/>
                <w:noProof/>
                <w:sz w:val="20"/>
                <w:szCs w:val="20"/>
                <w:lang w:val="en-GB"/>
              </w:rPr>
              <w:t>to prevent food waste</w:t>
            </w:r>
            <w:r w:rsidRPr="00270B0B" w:rsidDel="00F77059">
              <w:rPr>
                <w:rFonts w:ascii="Times New Roman" w:hAnsi="Times New Roman" w:cs="Times New Roman"/>
                <w:noProof/>
                <w:sz w:val="20"/>
                <w:szCs w:val="20"/>
                <w:lang w:val="en-GB"/>
              </w:rPr>
              <w:t>.</w:t>
            </w:r>
            <w:r w:rsidRPr="00270B0B">
              <w:rPr>
                <w:rFonts w:ascii="Times New Roman" w:hAnsi="Times New Roman" w:cs="Times New Roman"/>
                <w:noProof/>
                <w:sz w:val="20"/>
                <w:szCs w:val="20"/>
                <w:lang w:val="en-GB"/>
              </w:rPr>
              <w:t xml:space="preserve"> (</w:t>
            </w:r>
            <w:r w:rsidRPr="00270B0B">
              <w:rPr>
                <w:rFonts w:ascii="Times New Roman" w:hAnsi="Times New Roman" w:cs="Times New Roman"/>
                <w:i/>
                <w:noProof/>
                <w:sz w:val="20"/>
                <w:szCs w:val="20"/>
                <w:lang w:val="en-GB"/>
              </w:rPr>
              <w:t>Actualizarea legislației privind diminuarea risipei alimentare și îmbunătățirea infrastructurii de colectare /donare de alimente pentru a preveni generarea deșeurilor alimentare</w:t>
            </w:r>
            <w:r w:rsidRPr="00270B0B">
              <w:rPr>
                <w:rFonts w:ascii="Times New Roman" w:hAnsi="Times New Roman" w:cs="Times New Roman"/>
                <w:noProof/>
                <w:sz w:val="20"/>
                <w:szCs w:val="20"/>
                <w:lang w:val="en-GB"/>
              </w:rPr>
              <w:t>.)</w:t>
            </w:r>
          </w:p>
        </w:tc>
      </w:tr>
      <w:tr w:rsidR="003E0A8C" w:rsidRPr="00270B0B" w14:paraId="77549EF9" w14:textId="77777777" w:rsidTr="00E13B73">
        <w:tblPrEx>
          <w:tblCellMar>
            <w:left w:w="28" w:type="dxa"/>
            <w:right w:w="28" w:type="dxa"/>
          </w:tblCellMar>
        </w:tblPrEx>
        <w:trPr>
          <w:gridBefore w:val="1"/>
          <w:wBefore w:w="15" w:type="dxa"/>
          <w:trHeight w:val="5680"/>
          <w:jc w:val="center"/>
        </w:trPr>
        <w:tc>
          <w:tcPr>
            <w:tcW w:w="819" w:type="dxa"/>
            <w:tcBorders>
              <w:top w:val="nil"/>
              <w:left w:val="single" w:sz="4" w:space="0" w:color="auto"/>
              <w:bottom w:val="single" w:sz="4" w:space="0" w:color="auto"/>
              <w:right w:val="single" w:sz="4" w:space="0" w:color="auto"/>
            </w:tcBorders>
            <w:shd w:val="clear" w:color="auto" w:fill="C6EFCE"/>
            <w:noWrap/>
            <w:hideMark/>
          </w:tcPr>
          <w:p w14:paraId="0CBE7FE6"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46</w:t>
            </w:r>
          </w:p>
        </w:tc>
        <w:tc>
          <w:tcPr>
            <w:tcW w:w="1573" w:type="dxa"/>
            <w:tcBorders>
              <w:top w:val="nil"/>
              <w:left w:val="nil"/>
              <w:bottom w:val="single" w:sz="4" w:space="0" w:color="auto"/>
              <w:right w:val="single" w:sz="4" w:space="0" w:color="auto"/>
            </w:tcBorders>
            <w:shd w:val="clear" w:color="auto" w:fill="C6EFCE"/>
            <w:noWrap/>
            <w:hideMark/>
          </w:tcPr>
          <w:p w14:paraId="033D480A"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Reform 1 Support to waste management governance to accelerate the transition to the circular economy</w:t>
            </w:r>
          </w:p>
        </w:tc>
        <w:tc>
          <w:tcPr>
            <w:tcW w:w="1320" w:type="dxa"/>
            <w:tcBorders>
              <w:top w:val="nil"/>
              <w:left w:val="nil"/>
              <w:bottom w:val="single" w:sz="4" w:space="0" w:color="auto"/>
              <w:right w:val="single" w:sz="4" w:space="0" w:color="auto"/>
            </w:tcBorders>
            <w:shd w:val="clear" w:color="auto" w:fill="C6EFCE"/>
            <w:noWrap/>
            <w:hideMark/>
          </w:tcPr>
          <w:p w14:paraId="610164EC" w14:textId="77777777" w:rsidR="003E0A8C" w:rsidRPr="00270B0B" w:rsidRDefault="003E0A8C">
            <w:pPr>
              <w:spacing w:after="0" w:line="240" w:lineRule="auto"/>
              <w:jc w:val="center"/>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Milestone</w:t>
            </w:r>
          </w:p>
        </w:tc>
        <w:tc>
          <w:tcPr>
            <w:tcW w:w="1309" w:type="dxa"/>
            <w:tcBorders>
              <w:top w:val="nil"/>
              <w:left w:val="nil"/>
              <w:bottom w:val="single" w:sz="4" w:space="0" w:color="auto"/>
              <w:right w:val="single" w:sz="4" w:space="0" w:color="auto"/>
            </w:tcBorders>
            <w:shd w:val="clear" w:color="auto" w:fill="C6EFCE"/>
            <w:noWrap/>
            <w:hideMark/>
          </w:tcPr>
          <w:p w14:paraId="0D89A1E8"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Entry into force of the legislative acts necessary for an operationalisation of a unitary waste management in accordance with the National Waste Management Plan</w:t>
            </w:r>
          </w:p>
        </w:tc>
        <w:tc>
          <w:tcPr>
            <w:tcW w:w="1625" w:type="dxa"/>
            <w:tcBorders>
              <w:top w:val="single" w:sz="4" w:space="0" w:color="auto"/>
              <w:left w:val="nil"/>
              <w:bottom w:val="single" w:sz="4" w:space="0" w:color="auto"/>
              <w:right w:val="single" w:sz="4" w:space="0" w:color="auto"/>
            </w:tcBorders>
            <w:shd w:val="clear" w:color="auto" w:fill="C6EFCE"/>
            <w:noWrap/>
            <w:hideMark/>
          </w:tcPr>
          <w:p w14:paraId="74150889"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Provision in the law indicating the entry into force of the legislative acts for waste management practice</w:t>
            </w:r>
          </w:p>
        </w:tc>
        <w:tc>
          <w:tcPr>
            <w:tcW w:w="1087" w:type="dxa"/>
            <w:tcBorders>
              <w:top w:val="single" w:sz="4" w:space="0" w:color="auto"/>
              <w:left w:val="nil"/>
              <w:bottom w:val="single" w:sz="4" w:space="0" w:color="auto"/>
              <w:right w:val="single" w:sz="4" w:space="0" w:color="auto"/>
            </w:tcBorders>
            <w:shd w:val="clear" w:color="auto" w:fill="C6EFCE"/>
            <w:noWrap/>
          </w:tcPr>
          <w:p w14:paraId="65F56601"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p>
        </w:tc>
        <w:tc>
          <w:tcPr>
            <w:tcW w:w="1357" w:type="dxa"/>
            <w:tcBorders>
              <w:top w:val="single" w:sz="4" w:space="0" w:color="auto"/>
              <w:left w:val="nil"/>
              <w:bottom w:val="single" w:sz="4" w:space="0" w:color="auto"/>
              <w:right w:val="single" w:sz="4" w:space="0" w:color="auto"/>
            </w:tcBorders>
            <w:shd w:val="clear" w:color="auto" w:fill="C6EFCE"/>
            <w:noWrap/>
          </w:tcPr>
          <w:p w14:paraId="1257267B"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p>
        </w:tc>
        <w:tc>
          <w:tcPr>
            <w:tcW w:w="818" w:type="dxa"/>
            <w:tcBorders>
              <w:top w:val="single" w:sz="4" w:space="0" w:color="auto"/>
              <w:left w:val="nil"/>
              <w:bottom w:val="single" w:sz="4" w:space="0" w:color="auto"/>
              <w:right w:val="single" w:sz="4" w:space="0" w:color="auto"/>
            </w:tcBorders>
            <w:shd w:val="clear" w:color="auto" w:fill="C6EFCE"/>
            <w:noWrap/>
          </w:tcPr>
          <w:p w14:paraId="346C08A9"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p>
        </w:tc>
        <w:tc>
          <w:tcPr>
            <w:tcW w:w="1087" w:type="dxa"/>
            <w:tcBorders>
              <w:top w:val="single" w:sz="4" w:space="0" w:color="auto"/>
              <w:left w:val="nil"/>
              <w:bottom w:val="single" w:sz="4" w:space="0" w:color="auto"/>
              <w:right w:val="single" w:sz="4" w:space="0" w:color="auto"/>
            </w:tcBorders>
            <w:shd w:val="clear" w:color="auto" w:fill="C6EFCE"/>
            <w:noWrap/>
            <w:hideMark/>
          </w:tcPr>
          <w:p w14:paraId="2F951C47"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Q3</w:t>
            </w:r>
          </w:p>
        </w:tc>
        <w:tc>
          <w:tcPr>
            <w:tcW w:w="819" w:type="dxa"/>
            <w:tcBorders>
              <w:top w:val="single" w:sz="4" w:space="0" w:color="auto"/>
              <w:left w:val="nil"/>
              <w:bottom w:val="single" w:sz="4" w:space="0" w:color="auto"/>
              <w:right w:val="single" w:sz="4" w:space="0" w:color="auto"/>
            </w:tcBorders>
            <w:shd w:val="clear" w:color="auto" w:fill="C6EFCE"/>
            <w:noWrap/>
            <w:hideMark/>
          </w:tcPr>
          <w:p w14:paraId="066AA451"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2022</w:t>
            </w:r>
          </w:p>
        </w:tc>
        <w:tc>
          <w:tcPr>
            <w:tcW w:w="3715" w:type="dxa"/>
            <w:tcBorders>
              <w:top w:val="single" w:sz="4" w:space="0" w:color="auto"/>
              <w:left w:val="nil"/>
              <w:bottom w:val="single" w:sz="4" w:space="0" w:color="auto"/>
              <w:right w:val="single" w:sz="4" w:space="0" w:color="auto"/>
            </w:tcBorders>
            <w:shd w:val="clear" w:color="auto" w:fill="C6EFCE"/>
            <w:noWrap/>
          </w:tcPr>
          <w:p w14:paraId="442E66B5" w14:textId="77777777" w:rsidR="003E0A8C" w:rsidRPr="00270B0B" w:rsidRDefault="003E0A8C">
            <w:pPr>
              <w:spacing w:after="0" w:line="240" w:lineRule="auto"/>
              <w:jc w:val="both"/>
              <w:rPr>
                <w:rFonts w:ascii="Times New Roman" w:hAnsi="Times New Roman" w:cs="Times New Roman"/>
                <w:noProof/>
                <w:sz w:val="20"/>
                <w:szCs w:val="20"/>
                <w:lang w:val="en-GB"/>
              </w:rPr>
            </w:pPr>
            <w:r w:rsidRPr="00270B0B">
              <w:rPr>
                <w:rFonts w:ascii="Times New Roman" w:hAnsi="Times New Roman" w:cs="Times New Roman"/>
                <w:noProof/>
                <w:sz w:val="20"/>
                <w:szCs w:val="20"/>
                <w:lang w:val="en-GB"/>
              </w:rPr>
              <w:t xml:space="preserve">Entry into force of legislative acts necessary to consolidate compliant waste management in Romania, in particular through the governance measures on municipal waste management in the National Waste Management Plan, in order to achieve the waste management targets of the EU Waste Framework Directive. </w:t>
            </w:r>
          </w:p>
          <w:p w14:paraId="4326F8D5" w14:textId="77777777" w:rsidR="003E0A8C" w:rsidRPr="00270B0B" w:rsidRDefault="003E0A8C">
            <w:pPr>
              <w:spacing w:after="0" w:line="240" w:lineRule="auto"/>
              <w:jc w:val="both"/>
              <w:rPr>
                <w:rFonts w:ascii="Times New Roman" w:hAnsi="Times New Roman" w:cs="Times New Roman"/>
                <w:noProof/>
                <w:sz w:val="20"/>
                <w:szCs w:val="20"/>
                <w:lang w:val="en-GB"/>
              </w:rPr>
            </w:pPr>
            <w:r w:rsidRPr="00270B0B">
              <w:rPr>
                <w:rFonts w:ascii="Times New Roman" w:hAnsi="Times New Roman" w:cs="Times New Roman"/>
                <w:noProof/>
                <w:sz w:val="20"/>
                <w:szCs w:val="20"/>
                <w:lang w:val="en-GB"/>
              </w:rPr>
              <w:t>The following legislative acts will enter into force:</w:t>
            </w:r>
          </w:p>
          <w:p w14:paraId="4924DD5E"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 xml:space="preserve">1. Ordinance on waste regime, which </w:t>
            </w:r>
          </w:p>
          <w:p w14:paraId="264D3EC2" w14:textId="77777777" w:rsidR="003E0A8C" w:rsidRPr="00270B0B" w:rsidRDefault="003E0A8C">
            <w:pPr>
              <w:spacing w:after="0" w:line="240" w:lineRule="auto"/>
              <w:jc w:val="both"/>
              <w:rPr>
                <w:rFonts w:ascii="Times New Roman" w:hAnsi="Times New Roman" w:cs="Times New Roman"/>
                <w:noProof/>
                <w:sz w:val="20"/>
                <w:szCs w:val="20"/>
                <w:lang w:val="en-GB"/>
              </w:rPr>
            </w:pPr>
            <w:r w:rsidRPr="00270B0B">
              <w:rPr>
                <w:rFonts w:ascii="Times New Roman" w:hAnsi="Times New Roman" w:cs="Times New Roman"/>
                <w:noProof/>
                <w:sz w:val="20"/>
                <w:szCs w:val="20"/>
                <w:lang w:val="en-GB"/>
              </w:rPr>
              <w:t xml:space="preserve">will regulate extended producer responsibility according to the Waste Framework Directive. The Ordinance will also introduce severe penalties to discourage illegal landfilling, waste dumping and open air burning. </w:t>
            </w:r>
          </w:p>
          <w:p w14:paraId="7C6D699F" w14:textId="77777777" w:rsidR="003E0A8C" w:rsidRPr="00270B0B" w:rsidRDefault="003E0A8C">
            <w:pPr>
              <w:spacing w:after="0" w:line="240" w:lineRule="auto"/>
              <w:jc w:val="both"/>
              <w:rPr>
                <w:rFonts w:ascii="Times New Roman" w:hAnsi="Times New Roman" w:cs="Times New Roman"/>
                <w:noProof/>
                <w:sz w:val="20"/>
                <w:szCs w:val="20"/>
                <w:lang w:val="en-GB"/>
              </w:rPr>
            </w:pPr>
            <w:r w:rsidRPr="00270B0B">
              <w:rPr>
                <w:rFonts w:ascii="Times New Roman" w:hAnsi="Times New Roman" w:cs="Times New Roman"/>
                <w:noProof/>
                <w:sz w:val="20"/>
                <w:szCs w:val="20"/>
                <w:lang w:val="en-GB"/>
              </w:rPr>
              <w:t xml:space="preserve">2. Ordinance for the amendment of Law 101/2006 (The Sanitation Law). </w:t>
            </w:r>
          </w:p>
          <w:p w14:paraId="0C79EE1A" w14:textId="77777777" w:rsidR="003E0A8C" w:rsidRPr="00270B0B" w:rsidRDefault="003E0A8C">
            <w:pPr>
              <w:spacing w:after="0" w:line="240" w:lineRule="auto"/>
              <w:jc w:val="both"/>
              <w:rPr>
                <w:rFonts w:ascii="Times New Roman" w:hAnsi="Times New Roman" w:cs="Times New Roman"/>
                <w:noProof/>
                <w:sz w:val="20"/>
                <w:szCs w:val="20"/>
                <w:lang w:val="en-GB"/>
              </w:rPr>
            </w:pPr>
            <w:r w:rsidRPr="00270B0B">
              <w:rPr>
                <w:rFonts w:ascii="Times New Roman" w:hAnsi="Times New Roman" w:cs="Times New Roman"/>
                <w:noProof/>
                <w:sz w:val="20"/>
                <w:szCs w:val="20"/>
                <w:lang w:val="en-GB"/>
              </w:rPr>
              <w:t>3. Amendment of the National Regulatory Authority for Community Public Utilities Services (ANRSC) Order 109/2007 on Sanitation Tariff Methodology.</w:t>
            </w:r>
          </w:p>
          <w:p w14:paraId="3CB0204E" w14:textId="77777777" w:rsidR="003E0A8C" w:rsidRPr="00270B0B" w:rsidRDefault="003E0A8C">
            <w:pPr>
              <w:spacing w:after="0" w:line="240" w:lineRule="auto"/>
              <w:jc w:val="both"/>
              <w:rPr>
                <w:rFonts w:ascii="Times New Roman" w:hAnsi="Times New Roman" w:cs="Times New Roman"/>
                <w:noProof/>
                <w:sz w:val="20"/>
                <w:szCs w:val="20"/>
                <w:lang w:val="en-GB"/>
              </w:rPr>
            </w:pPr>
            <w:r w:rsidRPr="00270B0B">
              <w:rPr>
                <w:rFonts w:ascii="Times New Roman" w:hAnsi="Times New Roman" w:cs="Times New Roman"/>
                <w:noProof/>
                <w:sz w:val="20"/>
                <w:szCs w:val="20"/>
                <w:lang w:val="en-GB"/>
              </w:rPr>
              <w:t xml:space="preserve">The Ordinance (No. 2) and the amended ANRSC Order (No. 3) will regulate: </w:t>
            </w:r>
          </w:p>
          <w:p w14:paraId="4BD42767" w14:textId="77777777" w:rsidR="003E0A8C" w:rsidRPr="00270B0B" w:rsidRDefault="003E0A8C" w:rsidP="003E0A8C">
            <w:pPr>
              <w:numPr>
                <w:ilvl w:val="0"/>
                <w:numId w:val="94"/>
              </w:numPr>
              <w:spacing w:after="0" w:line="240" w:lineRule="auto"/>
              <w:ind w:left="165" w:hanging="141"/>
              <w:contextualSpacing/>
              <w:jc w:val="both"/>
              <w:rPr>
                <w:rFonts w:ascii="Times New Roman" w:hAnsi="Times New Roman" w:cs="Times New Roman"/>
                <w:noProof/>
                <w:sz w:val="20"/>
                <w:szCs w:val="20"/>
                <w:lang w:val="en-GB"/>
              </w:rPr>
            </w:pPr>
            <w:r w:rsidRPr="00270B0B">
              <w:rPr>
                <w:rFonts w:ascii="Times New Roman" w:hAnsi="Times New Roman" w:cs="Times New Roman"/>
                <w:noProof/>
                <w:sz w:val="20"/>
                <w:szCs w:val="20"/>
                <w:lang w:val="en-GB"/>
              </w:rPr>
              <w:t>the full operationalization of the economic instruments (pay as you throw, landfill tax and extended producer responsibility);</w:t>
            </w:r>
          </w:p>
          <w:p w14:paraId="24F876CE" w14:textId="77777777" w:rsidR="003E0A8C" w:rsidRPr="00270B0B" w:rsidRDefault="003E0A8C" w:rsidP="003E0A8C">
            <w:pPr>
              <w:numPr>
                <w:ilvl w:val="0"/>
                <w:numId w:val="94"/>
              </w:numPr>
              <w:spacing w:after="0" w:line="240" w:lineRule="auto"/>
              <w:ind w:left="165" w:hanging="141"/>
              <w:contextualSpacing/>
              <w:jc w:val="both"/>
              <w:rPr>
                <w:rFonts w:ascii="Times New Roman" w:hAnsi="Times New Roman" w:cs="Times New Roman"/>
                <w:noProof/>
                <w:sz w:val="20"/>
                <w:szCs w:val="20"/>
                <w:lang w:val="en-GB"/>
              </w:rPr>
            </w:pPr>
            <w:r w:rsidRPr="00270B0B">
              <w:rPr>
                <w:rFonts w:ascii="Times New Roman" w:hAnsi="Times New Roman" w:cs="Times New Roman"/>
                <w:noProof/>
                <w:sz w:val="20"/>
                <w:szCs w:val="20"/>
                <w:lang w:val="en-GB"/>
              </w:rPr>
              <w:t>the role of the National Regulatory Authority for Community Public Utilities Services as the national regulatory authority for municipal waste tariff policy;</w:t>
            </w:r>
          </w:p>
          <w:p w14:paraId="6AF29540" w14:textId="77777777" w:rsidR="003E0A8C" w:rsidRPr="00270B0B" w:rsidRDefault="003E0A8C" w:rsidP="003E0A8C">
            <w:pPr>
              <w:numPr>
                <w:ilvl w:val="0"/>
                <w:numId w:val="94"/>
              </w:numPr>
              <w:spacing w:after="0" w:line="240" w:lineRule="auto"/>
              <w:ind w:left="165" w:hanging="141"/>
              <w:contextualSpacing/>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the financial responsibilities of inter-community development associations with regard to the integrated waste management systems projects.</w:t>
            </w:r>
          </w:p>
        </w:tc>
      </w:tr>
      <w:tr w:rsidR="003E0A8C" w:rsidRPr="00270B0B" w14:paraId="24204B71" w14:textId="77777777">
        <w:tblPrEx>
          <w:tblCellMar>
            <w:left w:w="28" w:type="dxa"/>
            <w:right w:w="28" w:type="dxa"/>
          </w:tblCellMar>
        </w:tblPrEx>
        <w:trPr>
          <w:gridBefore w:val="1"/>
          <w:wBefore w:w="15" w:type="dxa"/>
          <w:trHeight w:val="309"/>
          <w:jc w:val="center"/>
        </w:trPr>
        <w:tc>
          <w:tcPr>
            <w:tcW w:w="819" w:type="dxa"/>
            <w:tcBorders>
              <w:top w:val="nil"/>
              <w:left w:val="single" w:sz="4" w:space="0" w:color="auto"/>
              <w:bottom w:val="single" w:sz="4" w:space="0" w:color="auto"/>
              <w:right w:val="single" w:sz="4" w:space="0" w:color="auto"/>
            </w:tcBorders>
            <w:shd w:val="clear" w:color="auto" w:fill="C6EFCE"/>
            <w:noWrap/>
            <w:hideMark/>
          </w:tcPr>
          <w:p w14:paraId="0463B7DD"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51</w:t>
            </w:r>
          </w:p>
        </w:tc>
        <w:tc>
          <w:tcPr>
            <w:tcW w:w="1573" w:type="dxa"/>
            <w:tcBorders>
              <w:top w:val="nil"/>
              <w:left w:val="nil"/>
              <w:bottom w:val="single" w:sz="4" w:space="0" w:color="auto"/>
              <w:right w:val="single" w:sz="4" w:space="0" w:color="auto"/>
            </w:tcBorders>
            <w:shd w:val="clear" w:color="auto" w:fill="C6EFCE"/>
            <w:noWrap/>
            <w:hideMark/>
          </w:tcPr>
          <w:p w14:paraId="00914114"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 xml:space="preserve">Investment 1.b Delivery of digitised eco-islands for separate collection of waste </w:t>
            </w:r>
          </w:p>
        </w:tc>
        <w:tc>
          <w:tcPr>
            <w:tcW w:w="1320" w:type="dxa"/>
            <w:tcBorders>
              <w:top w:val="nil"/>
              <w:left w:val="nil"/>
              <w:bottom w:val="single" w:sz="4" w:space="0" w:color="auto"/>
              <w:right w:val="single" w:sz="4" w:space="0" w:color="auto"/>
            </w:tcBorders>
            <w:shd w:val="clear" w:color="auto" w:fill="C6EFCE"/>
            <w:noWrap/>
            <w:hideMark/>
          </w:tcPr>
          <w:p w14:paraId="5F7A3AAF" w14:textId="77777777" w:rsidR="003E0A8C" w:rsidRPr="00270B0B" w:rsidRDefault="003E0A8C">
            <w:pPr>
              <w:spacing w:after="0" w:line="240" w:lineRule="auto"/>
              <w:jc w:val="center"/>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Target</w:t>
            </w:r>
          </w:p>
        </w:tc>
        <w:tc>
          <w:tcPr>
            <w:tcW w:w="1309" w:type="dxa"/>
            <w:tcBorders>
              <w:top w:val="nil"/>
              <w:left w:val="nil"/>
              <w:bottom w:val="single" w:sz="4" w:space="0" w:color="auto"/>
              <w:right w:val="single" w:sz="4" w:space="0" w:color="auto"/>
            </w:tcBorders>
            <w:shd w:val="clear" w:color="auto" w:fill="C6EFCE"/>
            <w:noWrap/>
            <w:hideMark/>
          </w:tcPr>
          <w:p w14:paraId="6F2A4209" w14:textId="06748D2A"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Acceptance certificates for the</w:t>
            </w:r>
            <w:r w:rsidR="00D23D91" w:rsidRPr="00270B0B">
              <w:rPr>
                <w:rFonts w:ascii="Times New Roman" w:hAnsi="Times New Roman" w:cs="Times New Roman"/>
                <w:noProof/>
                <w:sz w:val="20"/>
                <w:szCs w:val="20"/>
                <w:lang w:val="en-GB"/>
              </w:rPr>
              <w:t xml:space="preserve"> </w:t>
            </w:r>
            <w:r w:rsidRPr="00270B0B">
              <w:rPr>
                <w:rFonts w:ascii="Times New Roman" w:hAnsi="Times New Roman" w:cs="Times New Roman"/>
                <w:noProof/>
                <w:sz w:val="20"/>
                <w:szCs w:val="20"/>
                <w:lang w:val="en-GB"/>
              </w:rPr>
              <w:t xml:space="preserve">delivery of digitised eco-islands </w:t>
            </w:r>
          </w:p>
        </w:tc>
        <w:tc>
          <w:tcPr>
            <w:tcW w:w="1625" w:type="dxa"/>
            <w:tcBorders>
              <w:top w:val="nil"/>
              <w:left w:val="nil"/>
              <w:bottom w:val="single" w:sz="4" w:space="0" w:color="auto"/>
              <w:right w:val="single" w:sz="4" w:space="0" w:color="auto"/>
            </w:tcBorders>
            <w:shd w:val="clear" w:color="auto" w:fill="C6EFCE"/>
            <w:noWrap/>
          </w:tcPr>
          <w:p w14:paraId="43343F3E"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p>
        </w:tc>
        <w:tc>
          <w:tcPr>
            <w:tcW w:w="1087" w:type="dxa"/>
            <w:tcBorders>
              <w:top w:val="single" w:sz="4" w:space="0" w:color="auto"/>
              <w:left w:val="single" w:sz="4" w:space="0" w:color="auto"/>
              <w:bottom w:val="single" w:sz="4" w:space="0" w:color="auto"/>
              <w:right w:val="single" w:sz="4" w:space="0" w:color="auto"/>
            </w:tcBorders>
            <w:shd w:val="clear" w:color="auto" w:fill="C6EFCE"/>
            <w:noWrap/>
            <w:hideMark/>
          </w:tcPr>
          <w:p w14:paraId="466AFD9F"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Number</w:t>
            </w:r>
          </w:p>
        </w:tc>
        <w:tc>
          <w:tcPr>
            <w:tcW w:w="1357" w:type="dxa"/>
            <w:tcBorders>
              <w:top w:val="single" w:sz="4" w:space="0" w:color="auto"/>
              <w:left w:val="single" w:sz="4" w:space="0" w:color="auto"/>
              <w:bottom w:val="single" w:sz="4" w:space="0" w:color="auto"/>
              <w:right w:val="single" w:sz="4" w:space="0" w:color="auto"/>
            </w:tcBorders>
            <w:shd w:val="clear" w:color="auto" w:fill="C6EFCE"/>
            <w:noWrap/>
            <w:hideMark/>
          </w:tcPr>
          <w:p w14:paraId="11909D46"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0</w:t>
            </w:r>
          </w:p>
        </w:tc>
        <w:tc>
          <w:tcPr>
            <w:tcW w:w="818" w:type="dxa"/>
            <w:tcBorders>
              <w:top w:val="single" w:sz="4" w:space="0" w:color="auto"/>
              <w:left w:val="single" w:sz="4" w:space="0" w:color="auto"/>
              <w:bottom w:val="single" w:sz="4" w:space="0" w:color="auto"/>
              <w:right w:val="single" w:sz="4" w:space="0" w:color="auto"/>
            </w:tcBorders>
            <w:shd w:val="clear" w:color="auto" w:fill="C6EFCE"/>
            <w:noWrap/>
            <w:hideMark/>
          </w:tcPr>
          <w:p w14:paraId="73EE381B"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5 000</w:t>
            </w:r>
          </w:p>
        </w:tc>
        <w:tc>
          <w:tcPr>
            <w:tcW w:w="1087" w:type="dxa"/>
            <w:tcBorders>
              <w:top w:val="single" w:sz="4" w:space="0" w:color="auto"/>
              <w:left w:val="single" w:sz="4" w:space="0" w:color="auto"/>
              <w:bottom w:val="single" w:sz="4" w:space="0" w:color="auto"/>
              <w:right w:val="single" w:sz="4" w:space="0" w:color="auto"/>
            </w:tcBorders>
            <w:shd w:val="clear" w:color="auto" w:fill="C6EFCE"/>
            <w:noWrap/>
            <w:hideMark/>
          </w:tcPr>
          <w:p w14:paraId="14EB4E0F"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Q2</w:t>
            </w:r>
          </w:p>
        </w:tc>
        <w:tc>
          <w:tcPr>
            <w:tcW w:w="819" w:type="dxa"/>
            <w:tcBorders>
              <w:top w:val="single" w:sz="4" w:space="0" w:color="auto"/>
              <w:left w:val="single" w:sz="4" w:space="0" w:color="auto"/>
              <w:bottom w:val="single" w:sz="4" w:space="0" w:color="auto"/>
              <w:right w:val="single" w:sz="4" w:space="0" w:color="auto"/>
            </w:tcBorders>
            <w:shd w:val="clear" w:color="auto" w:fill="C6EFCE"/>
            <w:noWrap/>
            <w:hideMark/>
          </w:tcPr>
          <w:p w14:paraId="221E5ECE"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2026</w:t>
            </w:r>
          </w:p>
        </w:tc>
        <w:tc>
          <w:tcPr>
            <w:tcW w:w="3715" w:type="dxa"/>
            <w:tcBorders>
              <w:top w:val="nil"/>
              <w:left w:val="single" w:sz="4" w:space="0" w:color="auto"/>
              <w:bottom w:val="single" w:sz="4" w:space="0" w:color="auto"/>
              <w:right w:val="single" w:sz="4" w:space="0" w:color="auto"/>
            </w:tcBorders>
            <w:shd w:val="clear" w:color="auto" w:fill="C6EFCE"/>
            <w:noWrap/>
          </w:tcPr>
          <w:p w14:paraId="0227D803" w14:textId="77777777" w:rsidR="003E0A8C" w:rsidRPr="00270B0B" w:rsidRDefault="003E0A8C">
            <w:pPr>
              <w:spacing w:after="0" w:line="240" w:lineRule="auto"/>
              <w:contextualSpacing/>
              <w:jc w:val="both"/>
              <w:rPr>
                <w:rFonts w:ascii="Times New Roman" w:hAnsi="Times New Roman" w:cs="Times New Roman"/>
                <w:noProof/>
                <w:sz w:val="20"/>
                <w:szCs w:val="20"/>
                <w:lang w:val="en-GB"/>
              </w:rPr>
            </w:pPr>
            <w:r w:rsidRPr="00270B0B">
              <w:rPr>
                <w:rFonts w:ascii="Times New Roman" w:hAnsi="Times New Roman" w:cs="Times New Roman"/>
                <w:noProof/>
                <w:sz w:val="20"/>
                <w:szCs w:val="20"/>
                <w:lang w:val="en-GB"/>
              </w:rPr>
              <w:t>Reception certificates for the delivery of 5 000 digitised eco-islands for separate collection of waste.</w:t>
            </w:r>
          </w:p>
          <w:p w14:paraId="4D969007" w14:textId="77777777" w:rsidR="003E0A8C" w:rsidRPr="00270B0B" w:rsidRDefault="003E0A8C">
            <w:pPr>
              <w:spacing w:after="0" w:line="240" w:lineRule="auto"/>
              <w:contextualSpacing/>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 xml:space="preserve"> </w:t>
            </w:r>
          </w:p>
        </w:tc>
      </w:tr>
      <w:tr w:rsidR="003E0A8C" w:rsidRPr="00270B0B" w14:paraId="1EEFC9F7" w14:textId="77777777">
        <w:tblPrEx>
          <w:tblCellMar>
            <w:left w:w="28" w:type="dxa"/>
            <w:right w:w="28" w:type="dxa"/>
          </w:tblCellMar>
        </w:tblPrEx>
        <w:trPr>
          <w:gridBefore w:val="1"/>
          <w:wBefore w:w="15" w:type="dxa"/>
          <w:trHeight w:val="309"/>
          <w:jc w:val="center"/>
        </w:trPr>
        <w:tc>
          <w:tcPr>
            <w:tcW w:w="819" w:type="dxa"/>
            <w:tcBorders>
              <w:top w:val="nil"/>
              <w:left w:val="single" w:sz="4" w:space="0" w:color="auto"/>
              <w:bottom w:val="single" w:sz="4" w:space="0" w:color="auto"/>
              <w:right w:val="single" w:sz="4" w:space="0" w:color="auto"/>
            </w:tcBorders>
            <w:shd w:val="clear" w:color="auto" w:fill="C6EFCE"/>
            <w:noWrap/>
            <w:hideMark/>
          </w:tcPr>
          <w:p w14:paraId="05FAF1F1"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53</w:t>
            </w:r>
          </w:p>
        </w:tc>
        <w:tc>
          <w:tcPr>
            <w:tcW w:w="1573" w:type="dxa"/>
            <w:tcBorders>
              <w:top w:val="nil"/>
              <w:left w:val="nil"/>
              <w:bottom w:val="single" w:sz="4" w:space="0" w:color="auto"/>
              <w:right w:val="single" w:sz="4" w:space="0" w:color="auto"/>
            </w:tcBorders>
            <w:shd w:val="clear" w:color="auto" w:fill="C6EFCE"/>
            <w:noWrap/>
            <w:hideMark/>
          </w:tcPr>
          <w:p w14:paraId="07204D65" w14:textId="129B81C4"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Investment 1.c Construction of integrated centres</w:t>
            </w:r>
            <w:r w:rsidR="00D23D91" w:rsidRPr="00270B0B">
              <w:rPr>
                <w:rFonts w:ascii="Times New Roman" w:hAnsi="Times New Roman" w:cs="Times New Roman"/>
                <w:noProof/>
                <w:sz w:val="20"/>
                <w:szCs w:val="20"/>
                <w:lang w:val="en-GB"/>
              </w:rPr>
              <w:t xml:space="preserve"> </w:t>
            </w:r>
            <w:r w:rsidRPr="00270B0B">
              <w:rPr>
                <w:rFonts w:ascii="Times New Roman" w:hAnsi="Times New Roman" w:cs="Times New Roman"/>
                <w:noProof/>
                <w:sz w:val="20"/>
                <w:szCs w:val="20"/>
                <w:lang w:val="en-GB"/>
              </w:rPr>
              <w:t>for separate collection</w:t>
            </w:r>
          </w:p>
        </w:tc>
        <w:tc>
          <w:tcPr>
            <w:tcW w:w="1320" w:type="dxa"/>
            <w:tcBorders>
              <w:top w:val="nil"/>
              <w:left w:val="nil"/>
              <w:bottom w:val="single" w:sz="4" w:space="0" w:color="auto"/>
              <w:right w:val="single" w:sz="4" w:space="0" w:color="auto"/>
            </w:tcBorders>
            <w:shd w:val="clear" w:color="auto" w:fill="C6EFCE"/>
            <w:noWrap/>
            <w:hideMark/>
          </w:tcPr>
          <w:p w14:paraId="7D45E0EC" w14:textId="77777777" w:rsidR="003E0A8C" w:rsidRPr="00270B0B" w:rsidRDefault="003E0A8C">
            <w:pPr>
              <w:spacing w:after="0" w:line="240" w:lineRule="auto"/>
              <w:jc w:val="center"/>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 xml:space="preserve"> Target</w:t>
            </w:r>
          </w:p>
        </w:tc>
        <w:tc>
          <w:tcPr>
            <w:tcW w:w="1309" w:type="dxa"/>
            <w:tcBorders>
              <w:top w:val="nil"/>
              <w:left w:val="nil"/>
              <w:bottom w:val="single" w:sz="4" w:space="0" w:color="auto"/>
              <w:right w:val="single" w:sz="4" w:space="0" w:color="auto"/>
            </w:tcBorders>
            <w:shd w:val="clear" w:color="auto" w:fill="C6EFCE"/>
            <w:noWrap/>
            <w:hideMark/>
          </w:tcPr>
          <w:p w14:paraId="7CD2B7A4"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Integrated waste collection centres constructed</w:t>
            </w:r>
          </w:p>
        </w:tc>
        <w:tc>
          <w:tcPr>
            <w:tcW w:w="1625" w:type="dxa"/>
            <w:tcBorders>
              <w:top w:val="nil"/>
              <w:left w:val="nil"/>
              <w:bottom w:val="single" w:sz="4" w:space="0" w:color="auto"/>
              <w:right w:val="single" w:sz="4" w:space="0" w:color="auto"/>
            </w:tcBorders>
            <w:shd w:val="clear" w:color="auto" w:fill="C6EFCE"/>
            <w:noWrap/>
          </w:tcPr>
          <w:p w14:paraId="3ADBFCCC"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p>
        </w:tc>
        <w:tc>
          <w:tcPr>
            <w:tcW w:w="1087" w:type="dxa"/>
            <w:tcBorders>
              <w:top w:val="single" w:sz="4" w:space="0" w:color="auto"/>
              <w:left w:val="single" w:sz="4" w:space="0" w:color="auto"/>
              <w:bottom w:val="single" w:sz="4" w:space="0" w:color="auto"/>
              <w:right w:val="single" w:sz="4" w:space="0" w:color="auto"/>
            </w:tcBorders>
            <w:shd w:val="clear" w:color="auto" w:fill="C6EFCE"/>
            <w:noWrap/>
            <w:hideMark/>
          </w:tcPr>
          <w:p w14:paraId="247DFF71"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Number</w:t>
            </w:r>
          </w:p>
        </w:tc>
        <w:tc>
          <w:tcPr>
            <w:tcW w:w="1357" w:type="dxa"/>
            <w:tcBorders>
              <w:top w:val="single" w:sz="4" w:space="0" w:color="auto"/>
              <w:left w:val="single" w:sz="4" w:space="0" w:color="auto"/>
              <w:bottom w:val="single" w:sz="4" w:space="0" w:color="auto"/>
              <w:right w:val="single" w:sz="4" w:space="0" w:color="auto"/>
            </w:tcBorders>
            <w:shd w:val="clear" w:color="auto" w:fill="C6EFCE"/>
            <w:noWrap/>
            <w:hideMark/>
          </w:tcPr>
          <w:p w14:paraId="10BD6A05"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0</w:t>
            </w:r>
          </w:p>
        </w:tc>
        <w:tc>
          <w:tcPr>
            <w:tcW w:w="818" w:type="dxa"/>
            <w:tcBorders>
              <w:top w:val="single" w:sz="4" w:space="0" w:color="auto"/>
              <w:left w:val="single" w:sz="4" w:space="0" w:color="auto"/>
              <w:bottom w:val="single" w:sz="4" w:space="0" w:color="auto"/>
              <w:right w:val="single" w:sz="4" w:space="0" w:color="auto"/>
            </w:tcBorders>
            <w:shd w:val="clear" w:color="auto" w:fill="C6EFCE"/>
            <w:noWrap/>
            <w:hideMark/>
          </w:tcPr>
          <w:p w14:paraId="4D98FEBC"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3</w:t>
            </w:r>
          </w:p>
        </w:tc>
        <w:tc>
          <w:tcPr>
            <w:tcW w:w="1087" w:type="dxa"/>
            <w:tcBorders>
              <w:top w:val="single" w:sz="4" w:space="0" w:color="auto"/>
              <w:left w:val="single" w:sz="4" w:space="0" w:color="auto"/>
              <w:bottom w:val="single" w:sz="4" w:space="0" w:color="auto"/>
              <w:right w:val="single" w:sz="4" w:space="0" w:color="auto"/>
            </w:tcBorders>
            <w:shd w:val="clear" w:color="auto" w:fill="C6EFCE"/>
            <w:noWrap/>
            <w:hideMark/>
          </w:tcPr>
          <w:p w14:paraId="01713FA1"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Q2</w:t>
            </w:r>
          </w:p>
        </w:tc>
        <w:tc>
          <w:tcPr>
            <w:tcW w:w="819" w:type="dxa"/>
            <w:tcBorders>
              <w:top w:val="single" w:sz="4" w:space="0" w:color="auto"/>
              <w:left w:val="single" w:sz="4" w:space="0" w:color="auto"/>
              <w:bottom w:val="single" w:sz="4" w:space="0" w:color="auto"/>
              <w:right w:val="single" w:sz="4" w:space="0" w:color="auto"/>
            </w:tcBorders>
            <w:shd w:val="clear" w:color="auto" w:fill="C6EFCE"/>
            <w:noWrap/>
            <w:hideMark/>
          </w:tcPr>
          <w:p w14:paraId="70A2A1FB"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2026</w:t>
            </w:r>
          </w:p>
        </w:tc>
        <w:tc>
          <w:tcPr>
            <w:tcW w:w="3715" w:type="dxa"/>
            <w:tcBorders>
              <w:top w:val="nil"/>
              <w:left w:val="single" w:sz="4" w:space="0" w:color="auto"/>
              <w:bottom w:val="single" w:sz="4" w:space="0" w:color="auto"/>
              <w:right w:val="single" w:sz="4" w:space="0" w:color="auto"/>
            </w:tcBorders>
            <w:shd w:val="clear" w:color="auto" w:fill="C6EFCE"/>
            <w:noWrap/>
          </w:tcPr>
          <w:p w14:paraId="2A2D179E" w14:textId="631FE47B"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Work completion reception certificates for the construction</w:t>
            </w:r>
            <w:r w:rsidR="00D23D91" w:rsidRPr="00270B0B">
              <w:rPr>
                <w:rFonts w:ascii="Times New Roman" w:hAnsi="Times New Roman" w:cs="Times New Roman"/>
                <w:noProof/>
                <w:sz w:val="20"/>
                <w:szCs w:val="20"/>
                <w:lang w:val="en-GB"/>
              </w:rPr>
              <w:t xml:space="preserve"> </w:t>
            </w:r>
            <w:r w:rsidRPr="00270B0B">
              <w:rPr>
                <w:rFonts w:ascii="Times New Roman" w:hAnsi="Times New Roman" w:cs="Times New Roman"/>
                <w:noProof/>
                <w:sz w:val="20"/>
                <w:szCs w:val="20"/>
                <w:lang w:val="en-GB"/>
              </w:rPr>
              <w:t>of three integrated waste collection centres in the following municipalities: Craiova, Buzău and Cluj-Napoca</w:t>
            </w:r>
            <w:r w:rsidRPr="00270B0B" w:rsidDel="101DB71C">
              <w:rPr>
                <w:rFonts w:ascii="Times New Roman" w:hAnsi="Times New Roman" w:cs="Times New Roman"/>
                <w:noProof/>
                <w:sz w:val="20"/>
                <w:szCs w:val="20"/>
                <w:lang w:val="en-GB"/>
              </w:rPr>
              <w:t>.</w:t>
            </w:r>
            <w:r w:rsidRPr="00270B0B">
              <w:rPr>
                <w:rFonts w:ascii="Times New Roman" w:hAnsi="Times New Roman" w:cs="Times New Roman"/>
                <w:noProof/>
                <w:sz w:val="20"/>
                <w:szCs w:val="20"/>
                <w:lang w:val="en-GB"/>
              </w:rPr>
              <w:t xml:space="preserve"> </w:t>
            </w:r>
          </w:p>
        </w:tc>
      </w:tr>
      <w:tr w:rsidR="003E0A8C" w:rsidRPr="00270B0B" w14:paraId="6EBDCD45" w14:textId="77777777">
        <w:tblPrEx>
          <w:tblCellMar>
            <w:left w:w="28" w:type="dxa"/>
            <w:right w:w="28" w:type="dxa"/>
          </w:tblCellMar>
        </w:tblPrEx>
        <w:trPr>
          <w:gridBefore w:val="1"/>
          <w:wBefore w:w="15" w:type="dxa"/>
          <w:trHeight w:val="309"/>
          <w:jc w:val="center"/>
        </w:trPr>
        <w:tc>
          <w:tcPr>
            <w:tcW w:w="819" w:type="dxa"/>
            <w:tcBorders>
              <w:top w:val="nil"/>
              <w:left w:val="single" w:sz="4" w:space="0" w:color="auto"/>
              <w:bottom w:val="single" w:sz="4" w:space="0" w:color="auto"/>
              <w:right w:val="single" w:sz="4" w:space="0" w:color="auto"/>
            </w:tcBorders>
            <w:shd w:val="clear" w:color="auto" w:fill="C6EFCE"/>
            <w:noWrap/>
            <w:hideMark/>
          </w:tcPr>
          <w:p w14:paraId="7023B9BB"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54</w:t>
            </w:r>
          </w:p>
        </w:tc>
        <w:tc>
          <w:tcPr>
            <w:tcW w:w="1573" w:type="dxa"/>
            <w:tcBorders>
              <w:top w:val="nil"/>
              <w:left w:val="nil"/>
              <w:bottom w:val="single" w:sz="4" w:space="0" w:color="auto"/>
              <w:right w:val="single" w:sz="4" w:space="0" w:color="auto"/>
            </w:tcBorders>
            <w:shd w:val="clear" w:color="auto" w:fill="C6EFCE"/>
            <w:noWrap/>
            <w:hideMark/>
          </w:tcPr>
          <w:p w14:paraId="25993332"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 xml:space="preserve">Investment 1.d Construction or delivery of waste recycling facilities </w:t>
            </w:r>
          </w:p>
        </w:tc>
        <w:tc>
          <w:tcPr>
            <w:tcW w:w="1320" w:type="dxa"/>
            <w:tcBorders>
              <w:top w:val="nil"/>
              <w:left w:val="nil"/>
              <w:bottom w:val="single" w:sz="4" w:space="0" w:color="auto"/>
              <w:right w:val="single" w:sz="4" w:space="0" w:color="auto"/>
            </w:tcBorders>
            <w:shd w:val="clear" w:color="auto" w:fill="C6EFCE"/>
            <w:noWrap/>
            <w:hideMark/>
          </w:tcPr>
          <w:p w14:paraId="014DCD2D" w14:textId="77777777" w:rsidR="003E0A8C" w:rsidRPr="00270B0B" w:rsidRDefault="003E0A8C">
            <w:pPr>
              <w:spacing w:after="0" w:line="240" w:lineRule="auto"/>
              <w:jc w:val="center"/>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Target</w:t>
            </w:r>
          </w:p>
        </w:tc>
        <w:tc>
          <w:tcPr>
            <w:tcW w:w="1309" w:type="dxa"/>
            <w:tcBorders>
              <w:top w:val="nil"/>
              <w:left w:val="nil"/>
              <w:bottom w:val="single" w:sz="4" w:space="0" w:color="auto"/>
              <w:right w:val="single" w:sz="4" w:space="0" w:color="auto"/>
            </w:tcBorders>
            <w:shd w:val="clear" w:color="auto" w:fill="C6EFCE"/>
            <w:noWrap/>
            <w:hideMark/>
          </w:tcPr>
          <w:p w14:paraId="20C4D9D1"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Waste recycling facilities constructed or delivered</w:t>
            </w:r>
          </w:p>
        </w:tc>
        <w:tc>
          <w:tcPr>
            <w:tcW w:w="1625" w:type="dxa"/>
            <w:tcBorders>
              <w:top w:val="nil"/>
              <w:left w:val="nil"/>
              <w:bottom w:val="single" w:sz="4" w:space="0" w:color="auto"/>
              <w:right w:val="single" w:sz="4" w:space="0" w:color="auto"/>
            </w:tcBorders>
            <w:shd w:val="clear" w:color="auto" w:fill="C6EFCE"/>
            <w:noWrap/>
          </w:tcPr>
          <w:p w14:paraId="3AE4EFAF"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p>
        </w:tc>
        <w:tc>
          <w:tcPr>
            <w:tcW w:w="1087" w:type="dxa"/>
            <w:tcBorders>
              <w:top w:val="single" w:sz="4" w:space="0" w:color="auto"/>
              <w:left w:val="nil"/>
              <w:bottom w:val="single" w:sz="4" w:space="0" w:color="auto"/>
              <w:right w:val="single" w:sz="4" w:space="0" w:color="auto"/>
            </w:tcBorders>
            <w:shd w:val="clear" w:color="auto" w:fill="C6EFCE"/>
            <w:noWrap/>
            <w:hideMark/>
          </w:tcPr>
          <w:p w14:paraId="7BCBD9DC"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Number</w:t>
            </w:r>
          </w:p>
        </w:tc>
        <w:tc>
          <w:tcPr>
            <w:tcW w:w="1357" w:type="dxa"/>
            <w:tcBorders>
              <w:top w:val="single" w:sz="4" w:space="0" w:color="auto"/>
              <w:left w:val="nil"/>
              <w:bottom w:val="single" w:sz="4" w:space="0" w:color="auto"/>
              <w:right w:val="single" w:sz="4" w:space="0" w:color="auto"/>
            </w:tcBorders>
            <w:shd w:val="clear" w:color="auto" w:fill="C6EFCE"/>
            <w:noWrap/>
            <w:hideMark/>
          </w:tcPr>
          <w:p w14:paraId="5671C7CE"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0</w:t>
            </w:r>
          </w:p>
        </w:tc>
        <w:tc>
          <w:tcPr>
            <w:tcW w:w="818" w:type="dxa"/>
            <w:tcBorders>
              <w:top w:val="single" w:sz="4" w:space="0" w:color="auto"/>
              <w:left w:val="nil"/>
              <w:bottom w:val="single" w:sz="4" w:space="0" w:color="auto"/>
              <w:right w:val="single" w:sz="4" w:space="0" w:color="auto"/>
            </w:tcBorders>
            <w:shd w:val="clear" w:color="auto" w:fill="C6EFCE"/>
            <w:noWrap/>
            <w:hideMark/>
          </w:tcPr>
          <w:p w14:paraId="660AFF7A"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9</w:t>
            </w:r>
          </w:p>
        </w:tc>
        <w:tc>
          <w:tcPr>
            <w:tcW w:w="1087" w:type="dxa"/>
            <w:tcBorders>
              <w:top w:val="single" w:sz="4" w:space="0" w:color="auto"/>
              <w:left w:val="nil"/>
              <w:bottom w:val="single" w:sz="4" w:space="0" w:color="auto"/>
              <w:right w:val="single" w:sz="4" w:space="0" w:color="auto"/>
            </w:tcBorders>
            <w:shd w:val="clear" w:color="auto" w:fill="C6EFCE"/>
            <w:noWrap/>
            <w:hideMark/>
          </w:tcPr>
          <w:p w14:paraId="4EF7DCC3"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Q2</w:t>
            </w:r>
          </w:p>
        </w:tc>
        <w:tc>
          <w:tcPr>
            <w:tcW w:w="819" w:type="dxa"/>
            <w:tcBorders>
              <w:top w:val="single" w:sz="4" w:space="0" w:color="auto"/>
              <w:left w:val="nil"/>
              <w:bottom w:val="single" w:sz="4" w:space="0" w:color="auto"/>
              <w:right w:val="single" w:sz="4" w:space="0" w:color="auto"/>
            </w:tcBorders>
            <w:shd w:val="clear" w:color="auto" w:fill="C6EFCE"/>
            <w:noWrap/>
            <w:hideMark/>
          </w:tcPr>
          <w:p w14:paraId="15DCFED5"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2026</w:t>
            </w:r>
          </w:p>
        </w:tc>
        <w:tc>
          <w:tcPr>
            <w:tcW w:w="3715" w:type="dxa"/>
            <w:tcBorders>
              <w:top w:val="nil"/>
              <w:left w:val="nil"/>
              <w:bottom w:val="single" w:sz="4" w:space="0" w:color="auto"/>
              <w:right w:val="single" w:sz="4" w:space="0" w:color="auto"/>
            </w:tcBorders>
            <w:shd w:val="clear" w:color="auto" w:fill="C6EFCE"/>
            <w:noWrap/>
            <w:hideMark/>
          </w:tcPr>
          <w:p w14:paraId="5A28EA9F" w14:textId="6435D50E" w:rsidR="003E0A8C" w:rsidRPr="00270B0B" w:rsidRDefault="003E0A8C">
            <w:pPr>
              <w:spacing w:after="0" w:line="240" w:lineRule="auto"/>
              <w:jc w:val="both"/>
              <w:rPr>
                <w:rFonts w:ascii="Times New Roman" w:hAnsi="Times New Roman" w:cs="Times New Roman"/>
                <w:noProof/>
                <w:sz w:val="20"/>
                <w:szCs w:val="20"/>
                <w:lang w:val="en-GB"/>
              </w:rPr>
            </w:pPr>
            <w:r w:rsidRPr="00270B0B">
              <w:rPr>
                <w:rFonts w:ascii="Times New Roman" w:hAnsi="Times New Roman" w:cs="Times New Roman"/>
                <w:noProof/>
                <w:sz w:val="20"/>
                <w:szCs w:val="20"/>
                <w:lang w:val="en-GB"/>
              </w:rPr>
              <w:t>Reception certificates for the</w:t>
            </w:r>
            <w:r w:rsidR="00D23D91" w:rsidRPr="00270B0B">
              <w:rPr>
                <w:rFonts w:ascii="Times New Roman" w:hAnsi="Times New Roman" w:cs="Times New Roman"/>
                <w:noProof/>
                <w:sz w:val="20"/>
                <w:szCs w:val="20"/>
                <w:lang w:val="en-GB"/>
              </w:rPr>
              <w:t xml:space="preserve"> </w:t>
            </w:r>
            <w:r w:rsidRPr="00270B0B">
              <w:rPr>
                <w:rFonts w:ascii="Times New Roman" w:hAnsi="Times New Roman" w:cs="Times New Roman"/>
                <w:noProof/>
                <w:sz w:val="20"/>
                <w:szCs w:val="20"/>
                <w:lang w:val="en-GB"/>
              </w:rPr>
              <w:t>delivery of 9 waste recycling facilities.</w:t>
            </w:r>
            <w:r w:rsidR="00D23D91" w:rsidRPr="00270B0B">
              <w:rPr>
                <w:rFonts w:ascii="Times New Roman" w:hAnsi="Times New Roman" w:cs="Times New Roman"/>
                <w:noProof/>
                <w:sz w:val="20"/>
                <w:szCs w:val="20"/>
                <w:lang w:val="en-GB"/>
              </w:rPr>
              <w:t xml:space="preserve"> </w:t>
            </w:r>
            <w:r w:rsidRPr="00270B0B">
              <w:rPr>
                <w:rFonts w:ascii="Times New Roman" w:hAnsi="Times New Roman" w:cs="Times New Roman"/>
                <w:noProof/>
                <w:sz w:val="20"/>
                <w:szCs w:val="20"/>
                <w:lang w:val="en-GB"/>
              </w:rPr>
              <w:t>In order to ensure that the measure complies with the ‘Do no significant harm’ Technical Guidance (2021/C58/01), the vehicles purchased under this measure will be the best-available-technology from an environmental point of view.</w:t>
            </w:r>
          </w:p>
        </w:tc>
      </w:tr>
      <w:tr w:rsidR="003E0A8C" w:rsidRPr="00270B0B" w14:paraId="1606CCA8" w14:textId="77777777">
        <w:tblPrEx>
          <w:tblCellMar>
            <w:left w:w="28" w:type="dxa"/>
            <w:right w:w="28" w:type="dxa"/>
          </w:tblCellMar>
        </w:tblPrEx>
        <w:trPr>
          <w:gridBefore w:val="1"/>
          <w:wBefore w:w="15" w:type="dxa"/>
          <w:trHeight w:val="645"/>
          <w:jc w:val="center"/>
        </w:trPr>
        <w:tc>
          <w:tcPr>
            <w:tcW w:w="819" w:type="dxa"/>
            <w:tcBorders>
              <w:top w:val="nil"/>
              <w:left w:val="single" w:sz="4" w:space="0" w:color="auto"/>
              <w:bottom w:val="single" w:sz="4" w:space="0" w:color="auto"/>
              <w:right w:val="single" w:sz="4" w:space="0" w:color="auto"/>
            </w:tcBorders>
            <w:shd w:val="clear" w:color="auto" w:fill="C6EFCE"/>
            <w:noWrap/>
            <w:hideMark/>
          </w:tcPr>
          <w:p w14:paraId="0278C569"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55</w:t>
            </w:r>
          </w:p>
        </w:tc>
        <w:tc>
          <w:tcPr>
            <w:tcW w:w="1573" w:type="dxa"/>
            <w:tcBorders>
              <w:top w:val="nil"/>
              <w:left w:val="nil"/>
              <w:bottom w:val="single" w:sz="4" w:space="0" w:color="auto"/>
              <w:right w:val="single" w:sz="4" w:space="0" w:color="auto"/>
            </w:tcBorders>
            <w:shd w:val="clear" w:color="auto" w:fill="C6EFCE"/>
            <w:noWrap/>
            <w:hideMark/>
          </w:tcPr>
          <w:p w14:paraId="6E39EBA3"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Investment 2 Construction or delivery of infrastructure for manure and other compostable agricultural waste management</w:t>
            </w:r>
          </w:p>
        </w:tc>
        <w:tc>
          <w:tcPr>
            <w:tcW w:w="1320" w:type="dxa"/>
            <w:tcBorders>
              <w:top w:val="nil"/>
              <w:left w:val="nil"/>
              <w:bottom w:val="single" w:sz="4" w:space="0" w:color="auto"/>
              <w:right w:val="single" w:sz="4" w:space="0" w:color="auto"/>
            </w:tcBorders>
            <w:shd w:val="clear" w:color="auto" w:fill="C6EFCE"/>
            <w:noWrap/>
            <w:hideMark/>
          </w:tcPr>
          <w:p w14:paraId="3F11C9A6" w14:textId="77777777" w:rsidR="003E0A8C" w:rsidRPr="00270B0B" w:rsidRDefault="003E0A8C">
            <w:pPr>
              <w:spacing w:after="0" w:line="240" w:lineRule="auto"/>
              <w:jc w:val="center"/>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Target</w:t>
            </w:r>
          </w:p>
        </w:tc>
        <w:tc>
          <w:tcPr>
            <w:tcW w:w="1309" w:type="dxa"/>
            <w:tcBorders>
              <w:top w:val="nil"/>
              <w:left w:val="nil"/>
              <w:bottom w:val="single" w:sz="4" w:space="0" w:color="auto"/>
              <w:right w:val="single" w:sz="4" w:space="0" w:color="auto"/>
            </w:tcBorders>
            <w:shd w:val="clear" w:color="auto" w:fill="C6EFCE"/>
            <w:noWrap/>
            <w:hideMark/>
          </w:tcPr>
          <w:p w14:paraId="2871B268"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Construction of integrated systems for the collection of compostable agricultural waste</w:t>
            </w:r>
          </w:p>
        </w:tc>
        <w:tc>
          <w:tcPr>
            <w:tcW w:w="1625" w:type="dxa"/>
            <w:tcBorders>
              <w:top w:val="nil"/>
              <w:left w:val="nil"/>
              <w:bottom w:val="single" w:sz="4" w:space="0" w:color="auto"/>
              <w:right w:val="single" w:sz="4" w:space="0" w:color="auto"/>
            </w:tcBorders>
            <w:shd w:val="clear" w:color="auto" w:fill="C6EFCE"/>
            <w:noWrap/>
          </w:tcPr>
          <w:p w14:paraId="2CD6161A"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p>
        </w:tc>
        <w:tc>
          <w:tcPr>
            <w:tcW w:w="1087" w:type="dxa"/>
            <w:tcBorders>
              <w:top w:val="single" w:sz="4" w:space="0" w:color="auto"/>
              <w:left w:val="nil"/>
              <w:bottom w:val="single" w:sz="4" w:space="0" w:color="auto"/>
              <w:right w:val="single" w:sz="4" w:space="0" w:color="auto"/>
            </w:tcBorders>
            <w:shd w:val="clear" w:color="auto" w:fill="C6EFCE"/>
            <w:noWrap/>
            <w:hideMark/>
          </w:tcPr>
          <w:p w14:paraId="2C1AA083"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Number</w:t>
            </w:r>
          </w:p>
        </w:tc>
        <w:tc>
          <w:tcPr>
            <w:tcW w:w="1357" w:type="dxa"/>
            <w:tcBorders>
              <w:top w:val="single" w:sz="4" w:space="0" w:color="auto"/>
              <w:left w:val="single" w:sz="4" w:space="0" w:color="auto"/>
              <w:bottom w:val="single" w:sz="4" w:space="0" w:color="auto"/>
              <w:right w:val="single" w:sz="4" w:space="0" w:color="auto"/>
            </w:tcBorders>
            <w:shd w:val="clear" w:color="auto" w:fill="C6EFCE"/>
            <w:noWrap/>
            <w:hideMark/>
          </w:tcPr>
          <w:p w14:paraId="148C9CDB"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0</w:t>
            </w:r>
          </w:p>
        </w:tc>
        <w:tc>
          <w:tcPr>
            <w:tcW w:w="818" w:type="dxa"/>
            <w:tcBorders>
              <w:top w:val="single" w:sz="4" w:space="0" w:color="auto"/>
              <w:left w:val="single" w:sz="4" w:space="0" w:color="auto"/>
              <w:bottom w:val="single" w:sz="4" w:space="0" w:color="auto"/>
              <w:right w:val="single" w:sz="4" w:space="0" w:color="auto"/>
            </w:tcBorders>
            <w:shd w:val="clear" w:color="auto" w:fill="C6EFCE"/>
            <w:noWrap/>
            <w:hideMark/>
          </w:tcPr>
          <w:p w14:paraId="716A3A2C"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49</w:t>
            </w:r>
          </w:p>
        </w:tc>
        <w:tc>
          <w:tcPr>
            <w:tcW w:w="1087" w:type="dxa"/>
            <w:tcBorders>
              <w:top w:val="single" w:sz="4" w:space="0" w:color="auto"/>
              <w:left w:val="single" w:sz="4" w:space="0" w:color="auto"/>
              <w:bottom w:val="single" w:sz="4" w:space="0" w:color="auto"/>
              <w:right w:val="single" w:sz="4" w:space="0" w:color="auto"/>
            </w:tcBorders>
            <w:shd w:val="clear" w:color="auto" w:fill="C6EFCE"/>
            <w:noWrap/>
            <w:hideMark/>
          </w:tcPr>
          <w:p w14:paraId="1346A82B"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Q2</w:t>
            </w:r>
          </w:p>
        </w:tc>
        <w:tc>
          <w:tcPr>
            <w:tcW w:w="819" w:type="dxa"/>
            <w:tcBorders>
              <w:top w:val="single" w:sz="4" w:space="0" w:color="auto"/>
              <w:left w:val="single" w:sz="4" w:space="0" w:color="auto"/>
              <w:bottom w:val="single" w:sz="4" w:space="0" w:color="auto"/>
              <w:right w:val="single" w:sz="4" w:space="0" w:color="auto"/>
            </w:tcBorders>
            <w:shd w:val="clear" w:color="auto" w:fill="C6EFCE"/>
            <w:noWrap/>
            <w:hideMark/>
          </w:tcPr>
          <w:p w14:paraId="18AE289B"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rPr>
            </w:pPr>
            <w:r w:rsidRPr="00270B0B">
              <w:rPr>
                <w:rFonts w:ascii="Times New Roman" w:hAnsi="Times New Roman" w:cs="Times New Roman"/>
                <w:noProof/>
                <w:sz w:val="20"/>
                <w:szCs w:val="20"/>
                <w:lang w:val="en-GB"/>
              </w:rPr>
              <w:t>2026</w:t>
            </w:r>
          </w:p>
        </w:tc>
        <w:tc>
          <w:tcPr>
            <w:tcW w:w="3715" w:type="dxa"/>
            <w:tcBorders>
              <w:top w:val="nil"/>
              <w:left w:val="single" w:sz="4" w:space="0" w:color="auto"/>
              <w:bottom w:val="single" w:sz="4" w:space="0" w:color="auto"/>
              <w:right w:val="single" w:sz="4" w:space="0" w:color="auto"/>
            </w:tcBorders>
            <w:shd w:val="clear" w:color="auto" w:fill="C6EFCE"/>
            <w:noWrap/>
          </w:tcPr>
          <w:p w14:paraId="6C587183" w14:textId="77777777" w:rsidR="003E0A8C" w:rsidRPr="00270B0B" w:rsidRDefault="003E0A8C">
            <w:pPr>
              <w:spacing w:after="0" w:line="240" w:lineRule="auto"/>
              <w:jc w:val="both"/>
              <w:rPr>
                <w:rFonts w:ascii="Times New Roman" w:hAnsi="Times New Roman" w:cs="Times New Roman"/>
                <w:noProof/>
                <w:sz w:val="20"/>
                <w:szCs w:val="20"/>
                <w:lang w:val="en-GB"/>
              </w:rPr>
            </w:pPr>
            <w:r w:rsidRPr="00270B0B">
              <w:rPr>
                <w:rFonts w:ascii="Times New Roman" w:hAnsi="Times New Roman" w:cs="Times New Roman"/>
                <w:noProof/>
                <w:sz w:val="20"/>
                <w:szCs w:val="20"/>
                <w:lang w:val="en-GB"/>
              </w:rPr>
              <w:t>49 integrated systems for the collection of compostable agricultural waste shall be constructed or delivered, as follows:</w:t>
            </w:r>
          </w:p>
          <w:p w14:paraId="18079911" w14:textId="77777777" w:rsidR="003E0A8C" w:rsidRPr="00270B0B" w:rsidRDefault="003E0A8C" w:rsidP="003E0A8C">
            <w:pPr>
              <w:numPr>
                <w:ilvl w:val="0"/>
                <w:numId w:val="93"/>
              </w:numPr>
              <w:spacing w:after="0" w:line="240" w:lineRule="auto"/>
              <w:ind w:left="165" w:hanging="165"/>
              <w:contextualSpacing/>
              <w:jc w:val="both"/>
              <w:rPr>
                <w:rFonts w:ascii="Times New Roman" w:hAnsi="Times New Roman" w:cs="Times New Roman"/>
                <w:noProof/>
                <w:sz w:val="20"/>
                <w:szCs w:val="20"/>
                <w:lang w:val="en-GB"/>
              </w:rPr>
            </w:pPr>
            <w:r w:rsidRPr="00270B0B">
              <w:rPr>
                <w:rFonts w:ascii="Times New Roman" w:hAnsi="Times New Roman" w:cs="Times New Roman"/>
                <w:noProof/>
                <w:sz w:val="20"/>
                <w:szCs w:val="20"/>
                <w:lang w:val="en-GB"/>
              </w:rPr>
              <w:t>44 Communal integrated systems;</w:t>
            </w:r>
          </w:p>
          <w:p w14:paraId="7687D8FF" w14:textId="77777777" w:rsidR="003E0A8C" w:rsidRPr="00270B0B" w:rsidRDefault="003E0A8C" w:rsidP="003E0A8C">
            <w:pPr>
              <w:numPr>
                <w:ilvl w:val="0"/>
                <w:numId w:val="93"/>
              </w:numPr>
              <w:spacing w:after="0" w:line="240" w:lineRule="auto"/>
              <w:ind w:left="165" w:hanging="165"/>
              <w:contextualSpacing/>
              <w:jc w:val="both"/>
              <w:rPr>
                <w:rFonts w:ascii="Times New Roman" w:hAnsi="Times New Roman" w:cs="Times New Roman"/>
                <w:noProof/>
                <w:sz w:val="20"/>
                <w:szCs w:val="20"/>
                <w:lang w:val="en-GB"/>
              </w:rPr>
            </w:pPr>
            <w:r w:rsidRPr="00270B0B">
              <w:rPr>
                <w:rFonts w:ascii="Times New Roman" w:hAnsi="Times New Roman" w:cs="Times New Roman"/>
                <w:noProof/>
                <w:sz w:val="20"/>
                <w:szCs w:val="20"/>
                <w:lang w:val="en-GB"/>
              </w:rPr>
              <w:t>one Composting System;</w:t>
            </w:r>
          </w:p>
          <w:p w14:paraId="549C94D7" w14:textId="35360824" w:rsidR="003E0A8C" w:rsidRPr="00270B0B" w:rsidRDefault="003E0A8C" w:rsidP="003E0A8C">
            <w:pPr>
              <w:numPr>
                <w:ilvl w:val="0"/>
                <w:numId w:val="93"/>
              </w:numPr>
              <w:spacing w:after="0" w:line="240" w:lineRule="auto"/>
              <w:ind w:left="165" w:hanging="165"/>
              <w:contextualSpacing/>
              <w:jc w:val="both"/>
              <w:rPr>
                <w:rFonts w:ascii="Times New Roman" w:hAnsi="Times New Roman" w:cs="Times New Roman"/>
                <w:noProof/>
                <w:sz w:val="20"/>
                <w:szCs w:val="20"/>
                <w:lang w:val="en-GB"/>
              </w:rPr>
            </w:pPr>
            <w:r w:rsidRPr="00270B0B">
              <w:rPr>
                <w:rFonts w:ascii="Times New Roman" w:hAnsi="Times New Roman" w:cs="Times New Roman"/>
                <w:noProof/>
                <w:sz w:val="20"/>
                <w:szCs w:val="20"/>
                <w:lang w:val="en-GB"/>
              </w:rPr>
              <w:t xml:space="preserve">four Biogas Systems with electric capacities of at least 300KW and heat capacities of at least 300KW. The  Biogas Systems shall </w:t>
            </w:r>
            <w:r w:rsidR="00BC63E0" w:rsidRPr="00270B0B">
              <w:rPr>
                <w:rFonts w:ascii="Times New Roman" w:hAnsi="Times New Roman" w:cs="Times New Roman"/>
                <w:noProof/>
                <w:sz w:val="20"/>
                <w:szCs w:val="20"/>
                <w:lang w:val="en-GB"/>
              </w:rPr>
              <w:t>be compliant</w:t>
            </w:r>
            <w:r w:rsidRPr="00270B0B">
              <w:rPr>
                <w:rFonts w:ascii="Times New Roman" w:hAnsi="Times New Roman" w:cs="Times New Roman"/>
                <w:noProof/>
                <w:sz w:val="20"/>
                <w:szCs w:val="20"/>
                <w:lang w:val="en-GB"/>
              </w:rPr>
              <w:t xml:space="preserve"> with the sustainability and greenhouse gas emission savings criteria set out in Articles 29-31 and the rules on food and feed based biofuels set out in Article 26 of the Renewable Energy Directive 2018/2001/EU (REDII).</w:t>
            </w:r>
          </w:p>
        </w:tc>
      </w:tr>
    </w:tbl>
    <w:p w14:paraId="1C98E771" w14:textId="77777777" w:rsidR="00E13B73" w:rsidRPr="00E13B73" w:rsidRDefault="00E13B73" w:rsidP="00E13B73">
      <w:pPr>
        <w:rPr>
          <w:rFonts w:ascii="Times New Roman" w:hAnsi="Times New Roman" w:cs="Times New Roman"/>
          <w:noProof/>
          <w:lang w:val="en-GB"/>
        </w:rPr>
        <w:sectPr w:rsidR="00E13B73" w:rsidRPr="00E13B73" w:rsidSect="003E0A8C">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1B8B2BF3" w14:textId="77777777" w:rsidR="004C590F" w:rsidRPr="00291374" w:rsidRDefault="004C590F" w:rsidP="004C590F">
      <w:pPr>
        <w:keepNext/>
        <w:numPr>
          <w:ilvl w:val="0"/>
          <w:numId w:val="1"/>
        </w:numPr>
        <w:tabs>
          <w:tab w:val="left" w:pos="850"/>
        </w:tabs>
        <w:spacing w:before="360" w:after="120" w:line="240" w:lineRule="auto"/>
        <w:jc w:val="both"/>
        <w:outlineLvl w:val="0"/>
        <w:rPr>
          <w:rFonts w:ascii="Times New Roman" w:hAnsi="Times New Roman" w:cs="Times New Roman"/>
          <w:b/>
          <w:bCs/>
          <w:smallCaps/>
          <w:noProof/>
          <w:lang w:val="en-GB"/>
        </w:rPr>
      </w:pPr>
      <w:r w:rsidRPr="00291374">
        <w:rPr>
          <w:rFonts w:ascii="Times New Roman" w:hAnsi="Times New Roman" w:cs="Times New Roman"/>
          <w:b/>
          <w:bCs/>
          <w:smallCaps/>
          <w:noProof/>
          <w:lang w:val="en-GB"/>
        </w:rPr>
        <w:t>COMPONENT 4: Sustainable Transport</w:t>
      </w:r>
    </w:p>
    <w:p w14:paraId="4521D63B" w14:textId="77777777" w:rsidR="004C590F" w:rsidRPr="00291374" w:rsidRDefault="004C590F" w:rsidP="004C590F">
      <w:pPr>
        <w:spacing w:before="100" w:beforeAutospacing="1" w:after="100" w:afterAutospacing="1" w:line="240" w:lineRule="auto"/>
        <w:jc w:val="both"/>
        <w:rPr>
          <w:rFonts w:ascii="Times New Roman" w:eastAsia="Times New Roman" w:hAnsi="Times New Roman" w:cs="Times New Roman"/>
          <w:noProof/>
          <w:lang w:val="en-GB"/>
        </w:rPr>
      </w:pPr>
      <w:r w:rsidRPr="00291374">
        <w:rPr>
          <w:rFonts w:ascii="Times New Roman" w:hAnsi="Times New Roman" w:cs="Times New Roman"/>
          <w:noProof/>
          <w:lang w:val="en-GB"/>
        </w:rPr>
        <w:t>This component of the recovery and resilience plan addresses several challenges related to sustainable transport to promote smart, safe and inclusive mobility in Romania. It should be seen in connection with the component 10 “Local Fund” which includes complementary measures for sustainability mobility in urban areas.</w:t>
      </w:r>
    </w:p>
    <w:p w14:paraId="3E245DD1" w14:textId="77777777" w:rsidR="004C590F" w:rsidRPr="00291374" w:rsidRDefault="004C590F" w:rsidP="004C590F">
      <w:pPr>
        <w:spacing w:before="100" w:beforeAutospacing="1" w:after="100" w:afterAutospacing="1" w:line="240" w:lineRule="auto"/>
        <w:jc w:val="both"/>
        <w:rPr>
          <w:rFonts w:ascii="Times New Roman" w:eastAsia="Times New Roman" w:hAnsi="Times New Roman" w:cs="Times New Roman"/>
          <w:noProof/>
          <w:lang w:val="en-GB"/>
        </w:rPr>
      </w:pPr>
      <w:r w:rsidRPr="00291374">
        <w:rPr>
          <w:rFonts w:ascii="Times New Roman" w:hAnsi="Times New Roman" w:cs="Times New Roman"/>
          <w:noProof/>
          <w:lang w:val="en-GB"/>
        </w:rPr>
        <w:t>The objective of this component is to enhance the sustainability of Romanian transport sector by supporting its green and digital transition. The reforms supporting the investments include regulatory changes to incentivise zero-emission road transport, improve the governance of state-owned enterprises in transport sectors, improve road safety, promote clean public transport, promote modal shift to railways and inland waterways.</w:t>
      </w:r>
    </w:p>
    <w:p w14:paraId="142FE03D" w14:textId="77777777" w:rsidR="004C590F" w:rsidRPr="00291374" w:rsidRDefault="004C590F" w:rsidP="004C590F">
      <w:pPr>
        <w:spacing w:before="100" w:beforeAutospacing="1" w:after="100" w:afterAutospacing="1" w:line="240" w:lineRule="auto"/>
        <w:jc w:val="both"/>
        <w:rPr>
          <w:rFonts w:ascii="Times New Roman" w:eastAsia="Times New Roman" w:hAnsi="Times New Roman" w:cs="Times New Roman"/>
          <w:noProof/>
          <w:lang w:val="en-GB"/>
        </w:rPr>
      </w:pPr>
      <w:r w:rsidRPr="00291374">
        <w:rPr>
          <w:rFonts w:ascii="Times New Roman" w:hAnsi="Times New Roman" w:cs="Times New Roman"/>
          <w:noProof/>
          <w:lang w:val="en-GB"/>
        </w:rPr>
        <w:t>The reforms and investments shall contribute to addressing the country-specific recommendations conveyed to Romania in 2019 and 2020, on the need to: (i) “front-load mature public investment projects and promote private investment to foster the economic recovery” and “focus investment on the green and digital transition, in particular on sustainable transport” (country-specific recommendation 3, 2020) while “taking into account regional disparities” (country-specific recommendation 4, 2019); (ii) “improve preparation and prioritisation of large projects and accelerate their implementation (country-specific recommendation 4, 2019).</w:t>
      </w:r>
    </w:p>
    <w:p w14:paraId="0BBA3850" w14:textId="77777777" w:rsidR="004C590F" w:rsidRPr="00291374" w:rsidRDefault="004C590F" w:rsidP="004C590F">
      <w:pPr>
        <w:spacing w:before="100" w:beforeAutospacing="1" w:after="100" w:afterAutospacing="1" w:line="240" w:lineRule="auto"/>
        <w:jc w:val="both"/>
        <w:rPr>
          <w:rFonts w:ascii="Times New Roman" w:eastAsia="Times New Roman" w:hAnsi="Times New Roman" w:cs="Times New Roman"/>
          <w:noProof/>
          <w:lang w:val="en-GB"/>
        </w:rPr>
      </w:pPr>
      <w:r w:rsidRPr="00291374">
        <w:rPr>
          <w:rFonts w:ascii="Times New Roman" w:hAnsi="Times New Roman" w:cs="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Investments in road infrastructure are focused on TEN-T core network, contribute to economic and social cohesion and are accompanied by significant reforms to decarbonise the road transport, develop alternative fuels infrastructure, improve road safety and promote clean public transport and modal shift.</w:t>
      </w:r>
    </w:p>
    <w:p w14:paraId="020F18BA" w14:textId="77777777" w:rsidR="004C590F" w:rsidRPr="00291374" w:rsidRDefault="004C590F" w:rsidP="004C590F">
      <w:pPr>
        <w:keepNext/>
        <w:spacing w:before="120" w:after="120" w:line="240" w:lineRule="auto"/>
        <w:jc w:val="both"/>
        <w:outlineLvl w:val="1"/>
        <w:rPr>
          <w:rFonts w:ascii="Times New Roman" w:eastAsiaTheme="majorEastAsia" w:hAnsi="Times New Roman" w:cs="Times New Roman"/>
          <w:bCs/>
          <w:i/>
          <w:noProof/>
          <w:lang w:val="en-GB"/>
        </w:rPr>
      </w:pPr>
      <w:r w:rsidRPr="00291374">
        <w:rPr>
          <w:rFonts w:ascii="Times New Roman" w:hAnsi="Times New Roman" w:cs="Times New Roman"/>
          <w:b/>
          <w:noProof/>
          <w:lang w:val="en-GB"/>
        </w:rPr>
        <w:t xml:space="preserve">D.1. </w:t>
      </w:r>
      <w:r w:rsidRPr="00291374">
        <w:rPr>
          <w:rFonts w:ascii="Times New Roman" w:hAnsi="Times New Roman" w:cs="Times New Roman"/>
          <w:noProof/>
          <w:lang w:val="en-GB"/>
        </w:rPr>
        <w:tab/>
      </w:r>
      <w:r w:rsidRPr="00291374">
        <w:rPr>
          <w:rFonts w:ascii="Times New Roman" w:hAnsi="Times New Roman" w:cs="Times New Roman"/>
          <w:b/>
          <w:noProof/>
          <w:lang w:val="en-GB"/>
        </w:rPr>
        <w:t>Description of the reforms and investments for non-repayable financial support</w:t>
      </w:r>
    </w:p>
    <w:p w14:paraId="18344BDF" w14:textId="77777777" w:rsidR="004C590F" w:rsidRPr="00291374" w:rsidRDefault="004C590F" w:rsidP="004C590F">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Reform 1. Sustainable transport, decarbonisation and road safety</w:t>
      </w:r>
    </w:p>
    <w:p w14:paraId="294F7B9D" w14:textId="77777777" w:rsidR="004C590F" w:rsidRPr="00291374" w:rsidRDefault="004C590F" w:rsidP="004C590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the measure is to support the transition towards sustainable and smart mobility by reforming the transport system in Romania. </w:t>
      </w:r>
    </w:p>
    <w:p w14:paraId="6945F918" w14:textId="77777777" w:rsidR="004C590F" w:rsidRPr="00291374" w:rsidRDefault="004C590F" w:rsidP="004C590F">
      <w:pPr>
        <w:suppressAutoHyphens/>
        <w:autoSpaceDN w:val="0"/>
        <w:spacing w:after="0"/>
        <w:jc w:val="both"/>
        <w:textAlignment w:val="baseline"/>
        <w:rPr>
          <w:rFonts w:ascii="Times New Roman" w:hAnsi="Times New Roman" w:cs="Times New Roman"/>
          <w:noProof/>
          <w:lang w:val="en-GB"/>
        </w:rPr>
      </w:pPr>
      <w:r w:rsidRPr="00291374">
        <w:rPr>
          <w:rFonts w:ascii="Times New Roman" w:hAnsi="Times New Roman" w:cs="Times New Roman"/>
          <w:noProof/>
          <w:lang w:val="en-GB"/>
        </w:rPr>
        <w:t xml:space="preserve">The reform consists in: </w:t>
      </w:r>
    </w:p>
    <w:p w14:paraId="3C71FD5D" w14:textId="77777777" w:rsidR="004C590F" w:rsidRPr="00291374" w:rsidRDefault="004C590F" w:rsidP="004C590F">
      <w:pPr>
        <w:numPr>
          <w:ilvl w:val="0"/>
          <w:numId w:val="7"/>
        </w:numPr>
        <w:suppressAutoHyphens/>
        <w:autoSpaceDN w:val="0"/>
        <w:spacing w:after="0" w:line="259" w:lineRule="auto"/>
        <w:contextualSpacing/>
        <w:jc w:val="both"/>
        <w:textAlignment w:val="baseline"/>
        <w:rPr>
          <w:rFonts w:ascii="Times New Roman" w:eastAsia="Calibri" w:hAnsi="Times New Roman" w:cs="Times New Roman"/>
          <w:noProof/>
          <w:lang w:val="en-GB"/>
        </w:rPr>
      </w:pPr>
      <w:r w:rsidRPr="00291374">
        <w:rPr>
          <w:rFonts w:ascii="Times New Roman" w:hAnsi="Times New Roman" w:cs="Times New Roman"/>
          <w:noProof/>
          <w:lang w:val="en-GB"/>
        </w:rPr>
        <w:t>Entry into force of the legal acts for the implementation of a new distance-based charging system for heavy duty vehicles (trucks) linked to air pollution, and higher ownership taxes for most polluting passenger vehicles,</w:t>
      </w:r>
    </w:p>
    <w:p w14:paraId="7C11A4FC" w14:textId="77777777" w:rsidR="004C590F" w:rsidRPr="00291374" w:rsidRDefault="004C590F" w:rsidP="004C590F">
      <w:pPr>
        <w:numPr>
          <w:ilvl w:val="0"/>
          <w:numId w:val="7"/>
        </w:numPr>
        <w:spacing w:line="259" w:lineRule="auto"/>
        <w:contextualSpacing/>
        <w:rPr>
          <w:rFonts w:ascii="Times New Roman" w:eastAsia="Calibri" w:hAnsi="Times New Roman" w:cs="Times New Roman"/>
          <w:noProof/>
          <w:lang w:val="en-GB"/>
        </w:rPr>
      </w:pPr>
      <w:r w:rsidRPr="00291374">
        <w:rPr>
          <w:rFonts w:ascii="Times New Roman" w:eastAsia="Calibri" w:hAnsi="Times New Roman" w:cs="Times New Roman"/>
          <w:noProof/>
          <w:lang w:val="en-GB"/>
        </w:rPr>
        <w:t>Entry into force of legal act(s) to boost the use of clean vehicles and fleet renewal programmes,</w:t>
      </w:r>
    </w:p>
    <w:p w14:paraId="4BF34D55" w14:textId="77777777" w:rsidR="004C590F" w:rsidRPr="00291374" w:rsidRDefault="004C590F" w:rsidP="004C590F">
      <w:pPr>
        <w:numPr>
          <w:ilvl w:val="0"/>
          <w:numId w:val="7"/>
        </w:numPr>
        <w:suppressAutoHyphens/>
        <w:autoSpaceDN w:val="0"/>
        <w:spacing w:after="0" w:line="259" w:lineRule="auto"/>
        <w:contextualSpacing/>
        <w:jc w:val="both"/>
        <w:textAlignment w:val="baseline"/>
        <w:rPr>
          <w:rFonts w:ascii="Times New Roman" w:eastAsia="Calibri" w:hAnsi="Times New Roman" w:cs="Times New Roman"/>
          <w:noProof/>
          <w:lang w:val="en-GB"/>
        </w:rPr>
      </w:pPr>
      <w:r w:rsidRPr="00291374">
        <w:rPr>
          <w:rFonts w:ascii="Times New Roman" w:eastAsia="Calibri" w:hAnsi="Times New Roman" w:cs="Times New Roman"/>
          <w:noProof/>
          <w:lang w:val="en-GB"/>
        </w:rPr>
        <w:t>Adoption of the National Road Safety Strategy,</w:t>
      </w:r>
    </w:p>
    <w:p w14:paraId="4FEAA466" w14:textId="77777777" w:rsidR="004C590F" w:rsidRPr="00291374" w:rsidRDefault="004C590F" w:rsidP="004C590F">
      <w:pPr>
        <w:numPr>
          <w:ilvl w:val="0"/>
          <w:numId w:val="7"/>
        </w:numPr>
        <w:suppressAutoHyphens/>
        <w:autoSpaceDN w:val="0"/>
        <w:spacing w:after="0" w:line="259" w:lineRule="auto"/>
        <w:contextualSpacing/>
        <w:jc w:val="both"/>
        <w:textAlignment w:val="baseline"/>
        <w:rPr>
          <w:rFonts w:ascii="Times New Roman" w:eastAsia="Calibri" w:hAnsi="Times New Roman" w:cs="Times New Roman"/>
          <w:noProof/>
          <w:lang w:val="en-GB"/>
        </w:rPr>
      </w:pPr>
      <w:r w:rsidRPr="00291374">
        <w:rPr>
          <w:rFonts w:ascii="Times New Roman" w:eastAsia="Calibri" w:hAnsi="Times New Roman" w:cs="Times New Roman"/>
          <w:noProof/>
          <w:lang w:val="en-GB"/>
        </w:rPr>
        <w:t>Entry into force of the road safety legal act(s) on monitoring, enforcement and sanctions on road safety offences,</w:t>
      </w:r>
    </w:p>
    <w:p w14:paraId="48F8423B" w14:textId="1D83DE76" w:rsidR="004C590F" w:rsidRPr="00291374" w:rsidRDefault="004C590F" w:rsidP="004C590F">
      <w:pPr>
        <w:numPr>
          <w:ilvl w:val="0"/>
          <w:numId w:val="7"/>
        </w:numPr>
        <w:suppressAutoHyphens/>
        <w:autoSpaceDN w:val="0"/>
        <w:spacing w:after="0" w:line="259" w:lineRule="auto"/>
        <w:contextualSpacing/>
        <w:jc w:val="both"/>
        <w:textAlignment w:val="baseline"/>
        <w:rPr>
          <w:rFonts w:ascii="Times New Roman" w:hAnsi="Times New Roman" w:cs="Times New Roman"/>
          <w:noProof/>
          <w:lang w:val="en-GB"/>
        </w:rPr>
      </w:pPr>
      <w:r w:rsidRPr="00291374">
        <w:rPr>
          <w:rFonts w:ascii="Times New Roman" w:eastAsia="Calibri" w:hAnsi="Times New Roman" w:cs="Times New Roman"/>
          <w:noProof/>
          <w:lang w:val="en-GB"/>
        </w:rPr>
        <w:t>Adoption of the strategy for the development of railway infrastructure 2021-2025 and application of the action plan.</w:t>
      </w:r>
    </w:p>
    <w:p w14:paraId="7711BDB4" w14:textId="77777777" w:rsidR="004C590F" w:rsidRPr="00291374" w:rsidRDefault="004C590F" w:rsidP="004C590F">
      <w:pPr>
        <w:spacing w:before="240" w:after="0" w:line="240" w:lineRule="auto"/>
        <w:jc w:val="both"/>
        <w:rPr>
          <w:rFonts w:ascii="Times New Roman" w:eastAsiaTheme="majorEastAsia" w:hAnsi="Times New Roman" w:cs="Times New Roman"/>
          <w:noProof/>
          <w:u w:val="single"/>
          <w:lang w:val="en-GB"/>
        </w:rPr>
      </w:pPr>
      <w:r w:rsidRPr="00291374">
        <w:rPr>
          <w:rFonts w:ascii="Times New Roman" w:eastAsia="NSimSun" w:hAnsi="Times New Roman" w:cs="Times New Roman"/>
          <w:noProof/>
          <w:u w:val="single"/>
          <w:lang w:val="en-GB"/>
        </w:rPr>
        <w:t>Investment 1a. Modernisation and/or upgrading of railway infrastructure</w:t>
      </w:r>
    </w:p>
    <w:p w14:paraId="7EA78E49" w14:textId="77777777" w:rsidR="004C590F" w:rsidRPr="00291374" w:rsidRDefault="004C590F" w:rsidP="004C590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modernise the railway infrastructure. </w:t>
      </w:r>
    </w:p>
    <w:p w14:paraId="7D0A75EF" w14:textId="77777777" w:rsidR="004C590F" w:rsidRPr="00291374" w:rsidRDefault="004C590F" w:rsidP="004C590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rPr>
        <w:t>The investment consists in modernising</w:t>
      </w:r>
      <w:r w:rsidRPr="00291374">
        <w:rPr>
          <w:rFonts w:ascii="Times New Roman" w:hAnsi="Times New Roman" w:cs="Times New Roman"/>
          <w:noProof/>
          <w:lang w:val="en-GB"/>
        </w:rPr>
        <w:t xml:space="preserve"> and/or</w:t>
      </w:r>
      <w:r w:rsidRPr="00291374">
        <w:rPr>
          <w:rFonts w:ascii="Times New Roman" w:hAnsi="Times New Roman" w:cs="Times New Roman"/>
          <w:noProof/>
        </w:rPr>
        <w:t xml:space="preserve"> upgrading railway infrastructure.</w:t>
      </w:r>
    </w:p>
    <w:p w14:paraId="155B55ED" w14:textId="77777777" w:rsidR="004C590F" w:rsidRPr="00291374" w:rsidRDefault="004C590F" w:rsidP="004C590F">
      <w:pPr>
        <w:spacing w:before="240" w:after="0" w:line="240" w:lineRule="auto"/>
        <w:jc w:val="both"/>
        <w:rPr>
          <w:rFonts w:ascii="Times New Roman" w:hAnsi="Times New Roman" w:cs="Times New Roman"/>
          <w:noProof/>
          <w:lang w:val="en-GB"/>
        </w:rPr>
      </w:pPr>
      <w:r w:rsidRPr="00291374">
        <w:rPr>
          <w:rFonts w:ascii="Times New Roman" w:hAnsi="Times New Roman" w:cs="Times New Roman"/>
          <w:noProof/>
          <w:lang w:val="en-GB"/>
        </w:rPr>
        <w:t>The measure complements Investment 1 Modernisation and/or upgrading of railway infrastructure.</w:t>
      </w:r>
    </w:p>
    <w:p w14:paraId="6BFC2190" w14:textId="77777777" w:rsidR="004C590F" w:rsidRPr="00291374" w:rsidRDefault="004C590F" w:rsidP="004C590F">
      <w:pPr>
        <w:suppressAutoHyphens/>
        <w:autoSpaceDN w:val="0"/>
        <w:spacing w:before="240" w:after="0" w:line="240" w:lineRule="auto"/>
        <w:jc w:val="both"/>
        <w:textAlignment w:val="baseline"/>
        <w:rPr>
          <w:rFonts w:ascii="Times New Roman" w:eastAsia="NSimSun" w:hAnsi="Times New Roman" w:cs="Times New Roman"/>
          <w:noProof/>
          <w:kern w:val="3"/>
          <w:u w:val="single"/>
          <w:lang w:val="en-GB"/>
        </w:rPr>
      </w:pPr>
      <w:r w:rsidRPr="00291374">
        <w:rPr>
          <w:rFonts w:ascii="Times New Roman" w:eastAsia="NSimSun" w:hAnsi="Times New Roman" w:cs="Times New Roman"/>
          <w:noProof/>
          <w:kern w:val="3"/>
          <w:u w:val="single"/>
          <w:lang w:val="en-GB"/>
        </w:rPr>
        <w:t>Investment 3.a. Increasing the sustainability of road infrastructure on TEN-T network, road charging, traffic management and road safety</w:t>
      </w:r>
    </w:p>
    <w:p w14:paraId="42A0818E" w14:textId="77777777" w:rsidR="004C590F" w:rsidRPr="00291374" w:rsidRDefault="004C590F" w:rsidP="004C590F">
      <w:pPr>
        <w:spacing w:before="120" w:after="120" w:line="240" w:lineRule="auto"/>
        <w:jc w:val="both"/>
        <w:rPr>
          <w:rFonts w:ascii="Times New Roman" w:eastAsia="Calibri" w:hAnsi="Times New Roman" w:cs="Times New Roman"/>
          <w:noProof/>
          <w:lang w:val="en-GB"/>
        </w:rPr>
      </w:pPr>
      <w:r w:rsidRPr="00291374">
        <w:rPr>
          <w:rFonts w:ascii="Times New Roman" w:hAnsi="Times New Roman" w:cs="Times New Roman"/>
          <w:noProof/>
          <w:lang w:val="en-GB"/>
        </w:rPr>
        <w:t>The objective of this investment is to increase the quality and efficiency of road infrastructure. The investment consists of delivering new motorways sections and ITS systems.</w:t>
      </w:r>
    </w:p>
    <w:p w14:paraId="22970253" w14:textId="74E32830" w:rsidR="004C590F" w:rsidRPr="00291374" w:rsidRDefault="004C590F" w:rsidP="004C590F">
      <w:pPr>
        <w:suppressAutoHyphens/>
        <w:autoSpaceDN w:val="0"/>
        <w:spacing w:before="240" w:after="0" w:line="240" w:lineRule="auto"/>
        <w:jc w:val="both"/>
        <w:textAlignment w:val="baseline"/>
        <w:rPr>
          <w:rFonts w:ascii="Times New Roman" w:eastAsia="NSimSun" w:hAnsi="Times New Roman" w:cs="Times New Roman"/>
          <w:b/>
          <w:bCs/>
          <w:noProof/>
          <w:kern w:val="3"/>
          <w:u w:val="single"/>
          <w:lang w:val="en-GB"/>
        </w:rPr>
      </w:pPr>
      <w:r w:rsidRPr="00291374">
        <w:rPr>
          <w:rFonts w:ascii="Times New Roman" w:eastAsia="Calibri" w:hAnsi="Times New Roman" w:cs="Times New Roman"/>
          <w:noProof/>
          <w:lang w:val="en-GB"/>
        </w:rPr>
        <w:t>The measure is complemented by investment 3. Increasing the sustainability of road infrastructure on TEN-T network, road charging, traffic management.</w:t>
      </w:r>
      <w:r w:rsidRPr="00291374">
        <w:rPr>
          <w:rFonts w:ascii="Times New Roman" w:eastAsia="NSimSun" w:hAnsi="Times New Roman" w:cs="Times New Roman"/>
          <w:noProof/>
          <w:kern w:val="3"/>
          <w:lang w:val="en-GB"/>
        </w:rPr>
        <w:br w:type="page"/>
      </w:r>
    </w:p>
    <w:p w14:paraId="1640E68C" w14:textId="77777777" w:rsidR="004C590F" w:rsidRPr="00291374" w:rsidRDefault="004C590F" w:rsidP="004C590F">
      <w:pPr>
        <w:spacing w:before="120" w:after="120" w:line="240" w:lineRule="auto"/>
        <w:jc w:val="both"/>
        <w:rPr>
          <w:rFonts w:ascii="Times New Roman" w:hAnsi="Times New Roman" w:cs="Times New Roman"/>
          <w:b/>
          <w:noProof/>
          <w:u w:val="single"/>
          <w:lang w:val="en-GB"/>
        </w:rPr>
        <w:sectPr w:rsidR="004C590F" w:rsidRPr="00291374" w:rsidSect="004C590F">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08"/>
          <w:docGrid w:linePitch="360"/>
        </w:sectPr>
      </w:pPr>
    </w:p>
    <w:p w14:paraId="52D94BC5" w14:textId="77777777" w:rsidR="004C590F" w:rsidRPr="00291374" w:rsidRDefault="004C590F" w:rsidP="004C590F">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D.2. </w:t>
      </w:r>
      <w:r w:rsidRPr="00291374">
        <w:rPr>
          <w:rFonts w:ascii="Times New Roman" w:hAnsi="Times New Roman" w:cs="Times New Roman"/>
          <w:noProof/>
          <w:lang w:val="en-GB"/>
        </w:rPr>
        <w:tab/>
      </w:r>
      <w:r w:rsidRPr="00291374">
        <w:rPr>
          <w:rFonts w:ascii="Times New Roman" w:hAnsi="Times New Roman" w:cs="Times New Roman"/>
          <w:b/>
          <w:noProof/>
          <w:lang w:val="en-GB"/>
        </w:rPr>
        <w:t>Milestones, targets, indicators, and timetable for monitoring and implementation for non-repayable financial support</w:t>
      </w:r>
    </w:p>
    <w:tbl>
      <w:tblPr>
        <w:tblW w:w="15542" w:type="dxa"/>
        <w:jc w:val="center"/>
        <w:tblLayout w:type="fixed"/>
        <w:tblCellMar>
          <w:left w:w="28" w:type="dxa"/>
          <w:right w:w="28" w:type="dxa"/>
        </w:tblCellMar>
        <w:tblLook w:val="04A0" w:firstRow="1" w:lastRow="0" w:firstColumn="1" w:lastColumn="0" w:noHBand="0" w:noVBand="1"/>
      </w:tblPr>
      <w:tblGrid>
        <w:gridCol w:w="605"/>
        <w:gridCol w:w="1788"/>
        <w:gridCol w:w="1004"/>
        <w:gridCol w:w="1653"/>
        <w:gridCol w:w="1800"/>
        <w:gridCol w:w="1225"/>
        <w:gridCol w:w="851"/>
        <w:gridCol w:w="1275"/>
        <w:gridCol w:w="993"/>
        <w:gridCol w:w="838"/>
        <w:gridCol w:w="3510"/>
      </w:tblGrid>
      <w:tr w:rsidR="004C590F" w:rsidRPr="00BE3F16" w14:paraId="7625572B" w14:textId="77777777" w:rsidTr="00E13B73">
        <w:trPr>
          <w:trHeight w:val="300"/>
          <w:tblHeader/>
          <w:jc w:val="center"/>
        </w:trPr>
        <w:tc>
          <w:tcPr>
            <w:tcW w:w="60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53CA645" w14:textId="77777777" w:rsidR="004C590F" w:rsidRPr="00BE3F16" w:rsidRDefault="004C590F">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Seq. Num</w:t>
            </w:r>
          </w:p>
        </w:tc>
        <w:tc>
          <w:tcPr>
            <w:tcW w:w="17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C39FE0" w14:textId="77777777" w:rsidR="004C590F" w:rsidRPr="00BE3F16" w:rsidRDefault="004C590F">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Related Measure (Reform or Investment)</w:t>
            </w:r>
          </w:p>
        </w:tc>
        <w:tc>
          <w:tcPr>
            <w:tcW w:w="10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5D92321" w14:textId="77777777" w:rsidR="004C590F" w:rsidRPr="00BE3F16" w:rsidRDefault="004C590F">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Milestone/Target</w:t>
            </w:r>
          </w:p>
        </w:tc>
        <w:tc>
          <w:tcPr>
            <w:tcW w:w="165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2558CB" w14:textId="77777777" w:rsidR="004C590F" w:rsidRPr="00BE3F16" w:rsidRDefault="004C590F">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Name</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BCBCAB" w14:textId="7BF90FE8" w:rsidR="004C590F" w:rsidRPr="00BE3F16" w:rsidRDefault="004C590F" w:rsidP="00BE3F16">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Qualitative</w:t>
            </w:r>
            <w:r w:rsidR="00BE3F16">
              <w:rPr>
                <w:rFonts w:ascii="Times New Roman" w:hAnsi="Times New Roman" w:cs="Times New Roman"/>
                <w:b/>
                <w:noProof/>
                <w:sz w:val="20"/>
                <w:szCs w:val="20"/>
                <w:lang w:val="en-GB"/>
              </w:rPr>
              <w:t xml:space="preserve"> </w:t>
            </w:r>
            <w:r w:rsidRPr="00BE3F16">
              <w:rPr>
                <w:rFonts w:ascii="Times New Roman" w:hAnsi="Times New Roman" w:cs="Times New Roman"/>
                <w:b/>
                <w:noProof/>
                <w:sz w:val="20"/>
                <w:szCs w:val="20"/>
                <w:lang w:val="en-GB"/>
              </w:rPr>
              <w:t>indicators</w:t>
            </w:r>
            <w:r w:rsidRPr="00BE3F16">
              <w:rPr>
                <w:rFonts w:ascii="Times New Roman" w:hAnsi="Times New Roman" w:cs="Times New Roman"/>
                <w:noProof/>
                <w:sz w:val="20"/>
                <w:szCs w:val="20"/>
                <w:lang w:val="en-GB"/>
              </w:rPr>
              <w:t xml:space="preserve"> </w:t>
            </w:r>
            <w:r w:rsidRPr="00BE3F16">
              <w:rPr>
                <w:rFonts w:ascii="Times New Roman" w:hAnsi="Times New Roman" w:cs="Times New Roman"/>
                <w:noProof/>
                <w:sz w:val="20"/>
                <w:szCs w:val="20"/>
                <w:lang w:val="en-GB"/>
              </w:rPr>
              <w:br/>
            </w:r>
            <w:r w:rsidRPr="00BE3F16">
              <w:rPr>
                <w:rFonts w:ascii="Times New Roman" w:hAnsi="Times New Roman" w:cs="Times New Roman"/>
                <w:b/>
                <w:noProof/>
                <w:sz w:val="20"/>
                <w:szCs w:val="20"/>
                <w:lang w:val="en-GB"/>
              </w:rPr>
              <w:t>(for milestones)</w:t>
            </w:r>
          </w:p>
        </w:tc>
        <w:tc>
          <w:tcPr>
            <w:tcW w:w="335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A9F73C6" w14:textId="6A736F73" w:rsidR="004C590F" w:rsidRPr="00BE3F16" w:rsidRDefault="004C590F" w:rsidP="00BE3F16">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Quantitative</w:t>
            </w:r>
            <w:r w:rsidR="00BE3F16">
              <w:rPr>
                <w:rFonts w:ascii="Times New Roman" w:hAnsi="Times New Roman" w:cs="Times New Roman"/>
                <w:b/>
                <w:noProof/>
                <w:sz w:val="20"/>
                <w:szCs w:val="20"/>
                <w:lang w:val="en-GB"/>
              </w:rPr>
              <w:t xml:space="preserve"> </w:t>
            </w:r>
            <w:r w:rsidRPr="00BE3F16">
              <w:rPr>
                <w:rFonts w:ascii="Times New Roman" w:hAnsi="Times New Roman" w:cs="Times New Roman"/>
                <w:b/>
                <w:noProof/>
                <w:sz w:val="20"/>
                <w:szCs w:val="20"/>
                <w:lang w:val="en-GB"/>
              </w:rPr>
              <w:t xml:space="preserve">indicators </w:t>
            </w:r>
            <w:r w:rsidRPr="00BE3F16">
              <w:rPr>
                <w:rFonts w:ascii="Times New Roman" w:hAnsi="Times New Roman" w:cs="Times New Roman"/>
                <w:noProof/>
                <w:sz w:val="20"/>
                <w:szCs w:val="20"/>
                <w:lang w:val="en-GB"/>
              </w:rPr>
              <w:br/>
            </w:r>
            <w:r w:rsidRPr="00BE3F16">
              <w:rPr>
                <w:rFonts w:ascii="Times New Roman" w:hAnsi="Times New Roman" w:cs="Times New Roman"/>
                <w:b/>
                <w:noProof/>
                <w:sz w:val="20"/>
                <w:szCs w:val="20"/>
                <w:lang w:val="en-GB"/>
              </w:rPr>
              <w:t>(for targets)</w:t>
            </w:r>
          </w:p>
        </w:tc>
        <w:tc>
          <w:tcPr>
            <w:tcW w:w="1831" w:type="dxa"/>
            <w:gridSpan w:val="2"/>
            <w:tcBorders>
              <w:top w:val="single" w:sz="4" w:space="0" w:color="auto"/>
              <w:left w:val="nil"/>
              <w:bottom w:val="single" w:sz="4" w:space="0" w:color="auto"/>
              <w:right w:val="single" w:sz="4" w:space="0" w:color="auto"/>
            </w:tcBorders>
            <w:shd w:val="clear" w:color="auto" w:fill="BDD7EE"/>
            <w:vAlign w:val="center"/>
            <w:hideMark/>
          </w:tcPr>
          <w:p w14:paraId="2F73F84D" w14:textId="0FA7AED1" w:rsidR="004C590F" w:rsidRPr="00BE3F16" w:rsidRDefault="004C590F" w:rsidP="00BE3F16">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Indicative timeline</w:t>
            </w:r>
            <w:r w:rsidR="00BE3F16">
              <w:rPr>
                <w:rFonts w:ascii="Times New Roman" w:hAnsi="Times New Roman" w:cs="Times New Roman"/>
                <w:b/>
                <w:noProof/>
                <w:sz w:val="20"/>
                <w:szCs w:val="20"/>
                <w:lang w:val="en-GB"/>
              </w:rPr>
              <w:t xml:space="preserve"> </w:t>
            </w:r>
            <w:r w:rsidRPr="00BE3F16">
              <w:rPr>
                <w:rFonts w:ascii="Times New Roman" w:hAnsi="Times New Roman" w:cs="Times New Roman"/>
                <w:b/>
                <w:noProof/>
                <w:sz w:val="20"/>
                <w:szCs w:val="20"/>
                <w:lang w:val="en-GB"/>
              </w:rPr>
              <w:t xml:space="preserve">for completion </w:t>
            </w:r>
          </w:p>
        </w:tc>
        <w:tc>
          <w:tcPr>
            <w:tcW w:w="351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F0962F0" w14:textId="77777777" w:rsidR="004C590F" w:rsidRPr="00BE3F16" w:rsidRDefault="004C590F">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Description of each milestone and target</w:t>
            </w:r>
          </w:p>
        </w:tc>
      </w:tr>
      <w:tr w:rsidR="00382D78" w:rsidRPr="00BE3F16" w14:paraId="1CAB1800" w14:textId="77777777" w:rsidTr="00E13B73">
        <w:trPr>
          <w:trHeight w:val="300"/>
          <w:tblHeader/>
          <w:jc w:val="center"/>
        </w:trPr>
        <w:tc>
          <w:tcPr>
            <w:tcW w:w="605" w:type="dxa"/>
            <w:vMerge/>
            <w:tcBorders>
              <w:top w:val="single" w:sz="4" w:space="0" w:color="auto"/>
              <w:left w:val="single" w:sz="4" w:space="0" w:color="auto"/>
              <w:bottom w:val="single" w:sz="4" w:space="0" w:color="auto"/>
              <w:right w:val="single" w:sz="4" w:space="0" w:color="auto"/>
            </w:tcBorders>
            <w:hideMark/>
          </w:tcPr>
          <w:p w14:paraId="118DFF7D" w14:textId="77777777" w:rsidR="004C590F" w:rsidRPr="00BE3F16" w:rsidRDefault="004C590F">
            <w:pPr>
              <w:spacing w:after="0" w:line="240" w:lineRule="auto"/>
              <w:jc w:val="center"/>
              <w:rPr>
                <w:rFonts w:ascii="Times New Roman" w:eastAsia="Times New Roman" w:hAnsi="Times New Roman" w:cs="Times New Roman"/>
                <w:b/>
                <w:noProof/>
                <w:sz w:val="20"/>
                <w:szCs w:val="20"/>
                <w:lang w:val="en-GB" w:eastAsia="en-GB"/>
              </w:rPr>
            </w:pPr>
          </w:p>
        </w:tc>
        <w:tc>
          <w:tcPr>
            <w:tcW w:w="1788" w:type="dxa"/>
            <w:vMerge/>
            <w:tcBorders>
              <w:top w:val="single" w:sz="4" w:space="0" w:color="auto"/>
              <w:left w:val="single" w:sz="4" w:space="0" w:color="auto"/>
              <w:bottom w:val="single" w:sz="4" w:space="0" w:color="auto"/>
              <w:right w:val="single" w:sz="4" w:space="0" w:color="auto"/>
            </w:tcBorders>
            <w:hideMark/>
          </w:tcPr>
          <w:p w14:paraId="0F8F236C" w14:textId="77777777" w:rsidR="004C590F" w:rsidRPr="00BE3F16" w:rsidRDefault="004C590F">
            <w:pPr>
              <w:spacing w:after="0" w:line="240" w:lineRule="auto"/>
              <w:jc w:val="both"/>
              <w:rPr>
                <w:rFonts w:ascii="Times New Roman" w:eastAsia="Times New Roman" w:hAnsi="Times New Roman" w:cs="Times New Roman"/>
                <w:b/>
                <w:noProof/>
                <w:sz w:val="20"/>
                <w:szCs w:val="20"/>
                <w:lang w:val="en-GB" w:eastAsia="en-GB"/>
              </w:rPr>
            </w:pPr>
          </w:p>
        </w:tc>
        <w:tc>
          <w:tcPr>
            <w:tcW w:w="1004" w:type="dxa"/>
            <w:vMerge/>
            <w:tcBorders>
              <w:top w:val="single" w:sz="4" w:space="0" w:color="auto"/>
              <w:left w:val="single" w:sz="4" w:space="0" w:color="auto"/>
              <w:bottom w:val="single" w:sz="4" w:space="0" w:color="auto"/>
              <w:right w:val="single" w:sz="4" w:space="0" w:color="auto"/>
            </w:tcBorders>
            <w:hideMark/>
          </w:tcPr>
          <w:p w14:paraId="014EA4E1" w14:textId="77777777" w:rsidR="004C590F" w:rsidRPr="00BE3F16" w:rsidRDefault="004C590F">
            <w:pPr>
              <w:spacing w:after="0" w:line="240" w:lineRule="auto"/>
              <w:jc w:val="center"/>
              <w:rPr>
                <w:rFonts w:ascii="Times New Roman" w:eastAsia="Times New Roman" w:hAnsi="Times New Roman" w:cs="Times New Roman"/>
                <w:b/>
                <w:noProof/>
                <w:sz w:val="20"/>
                <w:szCs w:val="20"/>
                <w:lang w:val="en-GB" w:eastAsia="en-GB"/>
              </w:rPr>
            </w:pPr>
          </w:p>
        </w:tc>
        <w:tc>
          <w:tcPr>
            <w:tcW w:w="1653" w:type="dxa"/>
            <w:vMerge/>
            <w:tcBorders>
              <w:top w:val="single" w:sz="4" w:space="0" w:color="auto"/>
              <w:left w:val="single" w:sz="4" w:space="0" w:color="auto"/>
              <w:bottom w:val="single" w:sz="4" w:space="0" w:color="auto"/>
              <w:right w:val="single" w:sz="4" w:space="0" w:color="auto"/>
            </w:tcBorders>
            <w:hideMark/>
          </w:tcPr>
          <w:p w14:paraId="4117F985" w14:textId="77777777" w:rsidR="004C590F" w:rsidRPr="00BE3F16" w:rsidRDefault="004C590F">
            <w:pPr>
              <w:spacing w:after="0" w:line="240" w:lineRule="auto"/>
              <w:jc w:val="both"/>
              <w:rPr>
                <w:rFonts w:ascii="Times New Roman" w:eastAsia="Times New Roman" w:hAnsi="Times New Roman" w:cs="Times New Roman"/>
                <w:b/>
                <w:noProof/>
                <w:sz w:val="20"/>
                <w:szCs w:val="20"/>
                <w:lang w:val="en-GB" w:eastAsia="en-GB"/>
              </w:rPr>
            </w:pPr>
          </w:p>
        </w:tc>
        <w:tc>
          <w:tcPr>
            <w:tcW w:w="1800" w:type="dxa"/>
            <w:vMerge/>
            <w:tcBorders>
              <w:top w:val="single" w:sz="4" w:space="0" w:color="auto"/>
              <w:left w:val="single" w:sz="4" w:space="0" w:color="auto"/>
              <w:bottom w:val="single" w:sz="4" w:space="0" w:color="auto"/>
              <w:right w:val="single" w:sz="4" w:space="0" w:color="auto"/>
            </w:tcBorders>
            <w:hideMark/>
          </w:tcPr>
          <w:p w14:paraId="4FCC3C7B" w14:textId="77777777" w:rsidR="004C590F" w:rsidRPr="00BE3F16" w:rsidRDefault="004C590F">
            <w:pPr>
              <w:spacing w:after="0" w:line="240" w:lineRule="auto"/>
              <w:jc w:val="both"/>
              <w:rPr>
                <w:rFonts w:ascii="Times New Roman" w:eastAsia="Times New Roman" w:hAnsi="Times New Roman" w:cs="Times New Roman"/>
                <w:b/>
                <w:noProof/>
                <w:sz w:val="20"/>
                <w:szCs w:val="20"/>
                <w:lang w:val="en-GB" w:eastAsia="en-GB"/>
              </w:rPr>
            </w:pPr>
          </w:p>
        </w:tc>
        <w:tc>
          <w:tcPr>
            <w:tcW w:w="1225" w:type="dxa"/>
            <w:tcBorders>
              <w:top w:val="nil"/>
              <w:left w:val="single" w:sz="4" w:space="0" w:color="auto"/>
              <w:bottom w:val="single" w:sz="4" w:space="0" w:color="auto"/>
              <w:right w:val="single" w:sz="4" w:space="0" w:color="auto"/>
            </w:tcBorders>
            <w:shd w:val="clear" w:color="auto" w:fill="BDD7EE"/>
            <w:vAlign w:val="center"/>
            <w:hideMark/>
          </w:tcPr>
          <w:p w14:paraId="075024D5" w14:textId="6F02C01C" w:rsidR="004C590F" w:rsidRPr="00BE3F16" w:rsidRDefault="004C590F" w:rsidP="00BE3F16">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Unit</w:t>
            </w:r>
            <w:r w:rsidR="00BE3F16">
              <w:rPr>
                <w:rFonts w:ascii="Times New Roman" w:hAnsi="Times New Roman" w:cs="Times New Roman"/>
                <w:b/>
                <w:noProof/>
                <w:sz w:val="20"/>
                <w:szCs w:val="20"/>
                <w:lang w:val="en-GB"/>
              </w:rPr>
              <w:t xml:space="preserve"> </w:t>
            </w:r>
            <w:r w:rsidRPr="00BE3F16">
              <w:rPr>
                <w:rFonts w:ascii="Times New Roman" w:hAnsi="Times New Roman" w:cs="Times New Roman"/>
                <w:b/>
                <w:noProof/>
                <w:sz w:val="20"/>
                <w:szCs w:val="20"/>
                <w:lang w:val="en-GB"/>
              </w:rPr>
              <w:t>of</w:t>
            </w:r>
            <w:r w:rsidR="00BE3F16">
              <w:rPr>
                <w:rFonts w:ascii="Times New Roman" w:hAnsi="Times New Roman" w:cs="Times New Roman"/>
                <w:b/>
                <w:noProof/>
                <w:sz w:val="20"/>
                <w:szCs w:val="20"/>
                <w:lang w:val="en-GB"/>
              </w:rPr>
              <w:t xml:space="preserve"> </w:t>
            </w:r>
            <w:r w:rsidRPr="00BE3F16">
              <w:rPr>
                <w:rFonts w:ascii="Times New Roman" w:hAnsi="Times New Roman" w:cs="Times New Roman"/>
                <w:b/>
                <w:noProof/>
                <w:sz w:val="20"/>
                <w:szCs w:val="20"/>
                <w:lang w:val="en-GB"/>
              </w:rPr>
              <w:t>measure</w:t>
            </w:r>
          </w:p>
        </w:tc>
        <w:tc>
          <w:tcPr>
            <w:tcW w:w="851" w:type="dxa"/>
            <w:tcBorders>
              <w:top w:val="nil"/>
              <w:left w:val="nil"/>
              <w:bottom w:val="single" w:sz="4" w:space="0" w:color="auto"/>
              <w:right w:val="single" w:sz="4" w:space="0" w:color="auto"/>
            </w:tcBorders>
            <w:shd w:val="clear" w:color="auto" w:fill="BDD7EE"/>
            <w:vAlign w:val="center"/>
            <w:hideMark/>
          </w:tcPr>
          <w:p w14:paraId="28A1B10F" w14:textId="77777777" w:rsidR="004C590F" w:rsidRPr="00BE3F16" w:rsidRDefault="004C590F" w:rsidP="00E13B73">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Baseline</w:t>
            </w:r>
          </w:p>
        </w:tc>
        <w:tc>
          <w:tcPr>
            <w:tcW w:w="1275" w:type="dxa"/>
            <w:tcBorders>
              <w:top w:val="nil"/>
              <w:left w:val="nil"/>
              <w:bottom w:val="single" w:sz="4" w:space="0" w:color="auto"/>
              <w:right w:val="single" w:sz="4" w:space="0" w:color="auto"/>
            </w:tcBorders>
            <w:shd w:val="clear" w:color="auto" w:fill="BDD7EE"/>
            <w:vAlign w:val="center"/>
            <w:hideMark/>
          </w:tcPr>
          <w:p w14:paraId="5E125055" w14:textId="2DD1105A" w:rsidR="004C590F" w:rsidRPr="00BE3F16" w:rsidRDefault="004C590F" w:rsidP="00E13B73">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Goal</w:t>
            </w:r>
          </w:p>
        </w:tc>
        <w:tc>
          <w:tcPr>
            <w:tcW w:w="993" w:type="dxa"/>
            <w:tcBorders>
              <w:top w:val="nil"/>
              <w:left w:val="nil"/>
              <w:bottom w:val="single" w:sz="4" w:space="0" w:color="auto"/>
              <w:right w:val="single" w:sz="4" w:space="0" w:color="auto"/>
            </w:tcBorders>
            <w:shd w:val="clear" w:color="auto" w:fill="BDD7EE"/>
            <w:vAlign w:val="center"/>
            <w:hideMark/>
          </w:tcPr>
          <w:p w14:paraId="7FA0BC72" w14:textId="77777777" w:rsidR="004C590F" w:rsidRPr="00BE3F16" w:rsidRDefault="004C590F">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Quarter</w:t>
            </w:r>
          </w:p>
        </w:tc>
        <w:tc>
          <w:tcPr>
            <w:tcW w:w="838" w:type="dxa"/>
            <w:tcBorders>
              <w:top w:val="nil"/>
              <w:left w:val="nil"/>
              <w:bottom w:val="single" w:sz="4" w:space="0" w:color="auto"/>
              <w:right w:val="single" w:sz="4" w:space="0" w:color="auto"/>
            </w:tcBorders>
            <w:shd w:val="clear" w:color="auto" w:fill="BDD7EE"/>
            <w:vAlign w:val="center"/>
            <w:hideMark/>
          </w:tcPr>
          <w:p w14:paraId="546A4D03" w14:textId="77777777" w:rsidR="004C590F" w:rsidRPr="00BE3F16" w:rsidRDefault="004C590F">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Year</w:t>
            </w:r>
          </w:p>
        </w:tc>
        <w:tc>
          <w:tcPr>
            <w:tcW w:w="3510" w:type="dxa"/>
            <w:vMerge/>
            <w:tcBorders>
              <w:top w:val="single" w:sz="4" w:space="0" w:color="auto"/>
              <w:bottom w:val="single" w:sz="4" w:space="0" w:color="auto"/>
              <w:right w:val="single" w:sz="4" w:space="0" w:color="auto"/>
            </w:tcBorders>
            <w:hideMark/>
          </w:tcPr>
          <w:p w14:paraId="0D193FA3" w14:textId="77777777" w:rsidR="004C590F" w:rsidRPr="00BE3F16" w:rsidRDefault="004C590F">
            <w:pPr>
              <w:spacing w:after="0" w:line="240" w:lineRule="auto"/>
              <w:jc w:val="both"/>
              <w:rPr>
                <w:rFonts w:ascii="Times New Roman" w:eastAsia="Times New Roman" w:hAnsi="Times New Roman" w:cs="Times New Roman"/>
                <w:b/>
                <w:noProof/>
                <w:sz w:val="20"/>
                <w:szCs w:val="20"/>
                <w:lang w:val="en-GB" w:eastAsia="en-GB"/>
              </w:rPr>
            </w:pPr>
          </w:p>
        </w:tc>
      </w:tr>
      <w:tr w:rsidR="004C590F" w:rsidRPr="00BE3F16" w14:paraId="0EDB2E44" w14:textId="77777777" w:rsidTr="00E13B73">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6AC46BEC" w14:textId="77777777" w:rsidR="004C590F" w:rsidRPr="00BE3F16" w:rsidRDefault="004C590F">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59</w:t>
            </w:r>
          </w:p>
        </w:tc>
        <w:tc>
          <w:tcPr>
            <w:tcW w:w="1788" w:type="dxa"/>
            <w:tcBorders>
              <w:top w:val="single" w:sz="4" w:space="0" w:color="auto"/>
              <w:left w:val="nil"/>
              <w:bottom w:val="single" w:sz="4" w:space="0" w:color="auto"/>
              <w:right w:val="single" w:sz="4" w:space="0" w:color="auto"/>
            </w:tcBorders>
            <w:shd w:val="clear" w:color="auto" w:fill="C6EFCE"/>
            <w:noWrap/>
          </w:tcPr>
          <w:p w14:paraId="0C6D3838"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Reform 1. Sustainable transport, decarbonisation and road safety</w:t>
            </w:r>
          </w:p>
        </w:tc>
        <w:tc>
          <w:tcPr>
            <w:tcW w:w="1004" w:type="dxa"/>
            <w:tcBorders>
              <w:top w:val="single" w:sz="4" w:space="0" w:color="auto"/>
              <w:left w:val="nil"/>
              <w:bottom w:val="single" w:sz="4" w:space="0" w:color="auto"/>
              <w:right w:val="single" w:sz="4" w:space="0" w:color="auto"/>
            </w:tcBorders>
            <w:shd w:val="clear" w:color="auto" w:fill="C6EFCE"/>
            <w:noWrap/>
          </w:tcPr>
          <w:p w14:paraId="55127D02" w14:textId="11DFD0F6" w:rsidR="004C590F" w:rsidRPr="00BE3F16" w:rsidRDefault="008A021B">
            <w:pPr>
              <w:spacing w:after="0" w:line="240" w:lineRule="auto"/>
              <w:jc w:val="center"/>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Milestone</w:t>
            </w:r>
          </w:p>
        </w:tc>
        <w:tc>
          <w:tcPr>
            <w:tcW w:w="1653" w:type="dxa"/>
            <w:tcBorders>
              <w:top w:val="single" w:sz="4" w:space="0" w:color="auto"/>
              <w:left w:val="nil"/>
              <w:bottom w:val="single" w:sz="4" w:space="0" w:color="auto"/>
              <w:right w:val="single" w:sz="4" w:space="0" w:color="auto"/>
            </w:tcBorders>
            <w:shd w:val="clear" w:color="auto" w:fill="C6EFCE"/>
            <w:noWrap/>
          </w:tcPr>
          <w:p w14:paraId="41528633"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Entry into force of the legal act(s) for the implementation of a new distance-based charging system for heavy duty vehicles (trucks) linked to air pollution, and higher ownership taxes for most polluting passengers vehicles (cars/buses/ coaches) </w:t>
            </w:r>
          </w:p>
        </w:tc>
        <w:tc>
          <w:tcPr>
            <w:tcW w:w="1800" w:type="dxa"/>
            <w:tcBorders>
              <w:top w:val="single" w:sz="4" w:space="0" w:color="auto"/>
              <w:left w:val="nil"/>
              <w:bottom w:val="single" w:sz="4" w:space="0" w:color="auto"/>
              <w:right w:val="single" w:sz="4" w:space="0" w:color="auto"/>
            </w:tcBorders>
            <w:shd w:val="clear" w:color="auto" w:fill="C6EFCE"/>
            <w:noWrap/>
          </w:tcPr>
          <w:p w14:paraId="15F32F84"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Provision in the legal act(s) indicating the entry into force of the legal act(s) </w:t>
            </w:r>
          </w:p>
        </w:tc>
        <w:tc>
          <w:tcPr>
            <w:tcW w:w="1225" w:type="dxa"/>
            <w:tcBorders>
              <w:top w:val="single" w:sz="4" w:space="0" w:color="auto"/>
              <w:left w:val="nil"/>
              <w:bottom w:val="single" w:sz="4" w:space="0" w:color="auto"/>
              <w:right w:val="single" w:sz="4" w:space="0" w:color="auto"/>
            </w:tcBorders>
            <w:shd w:val="clear" w:color="auto" w:fill="C6EFCE"/>
            <w:noWrap/>
          </w:tcPr>
          <w:p w14:paraId="2D729E64"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851" w:type="dxa"/>
            <w:tcBorders>
              <w:top w:val="single" w:sz="4" w:space="0" w:color="auto"/>
              <w:left w:val="nil"/>
              <w:bottom w:val="single" w:sz="4" w:space="0" w:color="auto"/>
              <w:right w:val="single" w:sz="4" w:space="0" w:color="auto"/>
            </w:tcBorders>
            <w:shd w:val="clear" w:color="auto" w:fill="C6EFCE"/>
            <w:noWrap/>
          </w:tcPr>
          <w:p w14:paraId="21332817"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1275" w:type="dxa"/>
            <w:tcBorders>
              <w:top w:val="single" w:sz="4" w:space="0" w:color="auto"/>
              <w:left w:val="nil"/>
              <w:bottom w:val="single" w:sz="4" w:space="0" w:color="auto"/>
              <w:right w:val="single" w:sz="4" w:space="0" w:color="auto"/>
            </w:tcBorders>
            <w:shd w:val="clear" w:color="auto" w:fill="C6EFCE"/>
            <w:noWrap/>
          </w:tcPr>
          <w:p w14:paraId="4295B1F4"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03D8AEF1"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Q2</w:t>
            </w:r>
          </w:p>
        </w:tc>
        <w:tc>
          <w:tcPr>
            <w:tcW w:w="838" w:type="dxa"/>
            <w:tcBorders>
              <w:top w:val="single" w:sz="4" w:space="0" w:color="auto"/>
              <w:left w:val="nil"/>
              <w:bottom w:val="single" w:sz="4" w:space="0" w:color="auto"/>
              <w:right w:val="single" w:sz="4" w:space="0" w:color="auto"/>
            </w:tcBorders>
            <w:shd w:val="clear" w:color="auto" w:fill="C6EFCE"/>
            <w:noWrap/>
          </w:tcPr>
          <w:p w14:paraId="2ABC0A1A"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2023</w:t>
            </w:r>
          </w:p>
        </w:tc>
        <w:tc>
          <w:tcPr>
            <w:tcW w:w="3510" w:type="dxa"/>
            <w:tcBorders>
              <w:top w:val="single" w:sz="4" w:space="0" w:color="auto"/>
              <w:left w:val="nil"/>
              <w:bottom w:val="single" w:sz="4" w:space="0" w:color="auto"/>
              <w:right w:val="single" w:sz="4" w:space="0" w:color="auto"/>
            </w:tcBorders>
            <w:shd w:val="clear" w:color="auto" w:fill="C6EFCE"/>
            <w:noWrap/>
          </w:tcPr>
          <w:p w14:paraId="0ADC43EB" w14:textId="77777777" w:rsidR="004C590F" w:rsidRPr="00BE3F16" w:rsidRDefault="004C590F">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Legal act(s) for the implementation of a new distance-based charging system for heavy duty vehicles (trucks), which links charges to air pollution production and higher ownership taxes for most polluting passengers vehicles (cars/buses/coaches) </w:t>
            </w:r>
          </w:p>
          <w:p w14:paraId="3F2631E3" w14:textId="77777777" w:rsidR="004C590F" w:rsidRPr="00BE3F16" w:rsidRDefault="004C590F">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The new charging system for vehicles shall include:</w:t>
            </w:r>
          </w:p>
          <w:p w14:paraId="3754AF0D" w14:textId="77777777" w:rsidR="004C590F" w:rsidRPr="00BE3F16" w:rsidRDefault="004C590F" w:rsidP="004C590F">
            <w:pPr>
              <w:numPr>
                <w:ilvl w:val="0"/>
                <w:numId w:val="6"/>
              </w:numPr>
              <w:spacing w:after="0" w:line="240" w:lineRule="auto"/>
              <w:ind w:left="165" w:hanging="141"/>
              <w:contextualSpacing/>
              <w:jc w:val="both"/>
              <w:rPr>
                <w:rFonts w:ascii="Times New Roman" w:hAnsi="Times New Roman" w:cs="Times New Roman"/>
                <w:noProof/>
                <w:sz w:val="20"/>
                <w:szCs w:val="20"/>
                <w:lang w:val="en-GB" w:eastAsia="en-IE"/>
              </w:rPr>
            </w:pPr>
            <w:r w:rsidRPr="00BE3F16">
              <w:rPr>
                <w:rFonts w:ascii="Times New Roman" w:hAnsi="Times New Roman" w:cs="Times New Roman"/>
                <w:noProof/>
                <w:sz w:val="20"/>
                <w:szCs w:val="20"/>
                <w:lang w:val="en-GB" w:eastAsia="en-IE"/>
              </w:rPr>
              <w:t>specific level of distance-based charges and clear criteria linked to air pollution for charging heavy duty,</w:t>
            </w:r>
          </w:p>
          <w:p w14:paraId="46CC5A8B" w14:textId="77777777" w:rsidR="004C590F" w:rsidRPr="00BE3F16" w:rsidRDefault="004C590F" w:rsidP="004C590F">
            <w:pPr>
              <w:numPr>
                <w:ilvl w:val="0"/>
                <w:numId w:val="6"/>
              </w:numPr>
              <w:spacing w:after="0" w:line="240" w:lineRule="auto"/>
              <w:ind w:left="165" w:hanging="141"/>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using revenues to support road maintenance and new investment in sustainable transport,</w:t>
            </w:r>
          </w:p>
          <w:p w14:paraId="28BA51A7" w14:textId="77777777" w:rsidR="004C590F" w:rsidRPr="00BE3F16" w:rsidRDefault="004C590F" w:rsidP="004C590F">
            <w:pPr>
              <w:numPr>
                <w:ilvl w:val="0"/>
                <w:numId w:val="6"/>
              </w:numPr>
              <w:spacing w:after="0" w:line="240" w:lineRule="auto"/>
              <w:ind w:left="165" w:hanging="141"/>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timetable for the charging system to start collecting revenues no later than July 1, 2026.</w:t>
            </w:r>
          </w:p>
        </w:tc>
      </w:tr>
      <w:tr w:rsidR="004C590F" w:rsidRPr="00BE3F16" w14:paraId="07377D6D" w14:textId="77777777" w:rsidTr="00E13B73">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098A9BD5" w14:textId="77777777" w:rsidR="004C590F" w:rsidRPr="00BE3F16" w:rsidRDefault="004C590F">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60</w:t>
            </w:r>
          </w:p>
        </w:tc>
        <w:tc>
          <w:tcPr>
            <w:tcW w:w="1788" w:type="dxa"/>
            <w:tcBorders>
              <w:top w:val="single" w:sz="4" w:space="0" w:color="auto"/>
              <w:left w:val="nil"/>
              <w:bottom w:val="single" w:sz="4" w:space="0" w:color="auto"/>
              <w:right w:val="single" w:sz="4" w:space="0" w:color="auto"/>
            </w:tcBorders>
            <w:shd w:val="clear" w:color="auto" w:fill="C6EFCE"/>
            <w:noWrap/>
          </w:tcPr>
          <w:p w14:paraId="2588E58A"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Reform 1. Sustainable transport, decarbonisation and road safety </w:t>
            </w:r>
          </w:p>
        </w:tc>
        <w:tc>
          <w:tcPr>
            <w:tcW w:w="1004" w:type="dxa"/>
            <w:tcBorders>
              <w:top w:val="single" w:sz="4" w:space="0" w:color="auto"/>
              <w:left w:val="nil"/>
              <w:bottom w:val="single" w:sz="4" w:space="0" w:color="auto"/>
              <w:right w:val="single" w:sz="4" w:space="0" w:color="auto"/>
            </w:tcBorders>
            <w:shd w:val="clear" w:color="auto" w:fill="C6EFCE"/>
            <w:noWrap/>
          </w:tcPr>
          <w:p w14:paraId="0FDAAA97" w14:textId="4FA1B011" w:rsidR="004C590F" w:rsidRPr="00BE3F16" w:rsidRDefault="008A021B">
            <w:pPr>
              <w:spacing w:after="0" w:line="240" w:lineRule="auto"/>
              <w:jc w:val="center"/>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Milestone</w:t>
            </w:r>
          </w:p>
        </w:tc>
        <w:tc>
          <w:tcPr>
            <w:tcW w:w="1653" w:type="dxa"/>
            <w:tcBorders>
              <w:top w:val="single" w:sz="4" w:space="0" w:color="auto"/>
              <w:left w:val="nil"/>
              <w:bottom w:val="single" w:sz="4" w:space="0" w:color="auto"/>
              <w:right w:val="single" w:sz="4" w:space="0" w:color="auto"/>
            </w:tcBorders>
            <w:shd w:val="clear" w:color="auto" w:fill="C6EFCE"/>
            <w:noWrap/>
          </w:tcPr>
          <w:p w14:paraId="52CF12F5"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Entry into force of the legal act(s) to boost the use of clean vehicles and fleet renewal programmes </w:t>
            </w:r>
          </w:p>
        </w:tc>
        <w:tc>
          <w:tcPr>
            <w:tcW w:w="1800" w:type="dxa"/>
            <w:tcBorders>
              <w:top w:val="single" w:sz="4" w:space="0" w:color="auto"/>
              <w:left w:val="nil"/>
              <w:bottom w:val="single" w:sz="4" w:space="0" w:color="auto"/>
              <w:right w:val="single" w:sz="4" w:space="0" w:color="auto"/>
            </w:tcBorders>
            <w:shd w:val="clear" w:color="auto" w:fill="C6EFCE"/>
            <w:noWrap/>
          </w:tcPr>
          <w:p w14:paraId="6D17325E"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Provision in the legal act(s) indicating the entry into force of the legal act(s) to boost the use of clean vehicles and fleet renewal programmes</w:t>
            </w:r>
          </w:p>
        </w:tc>
        <w:tc>
          <w:tcPr>
            <w:tcW w:w="1225" w:type="dxa"/>
            <w:tcBorders>
              <w:top w:val="single" w:sz="4" w:space="0" w:color="auto"/>
              <w:left w:val="nil"/>
              <w:bottom w:val="single" w:sz="4" w:space="0" w:color="auto"/>
              <w:right w:val="single" w:sz="4" w:space="0" w:color="auto"/>
            </w:tcBorders>
            <w:shd w:val="clear" w:color="auto" w:fill="C6EFCE"/>
            <w:noWrap/>
          </w:tcPr>
          <w:p w14:paraId="2DF43989"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851" w:type="dxa"/>
            <w:tcBorders>
              <w:top w:val="single" w:sz="4" w:space="0" w:color="auto"/>
              <w:left w:val="nil"/>
              <w:bottom w:val="single" w:sz="4" w:space="0" w:color="auto"/>
              <w:right w:val="single" w:sz="4" w:space="0" w:color="auto"/>
            </w:tcBorders>
            <w:shd w:val="clear" w:color="auto" w:fill="C6EFCE"/>
            <w:noWrap/>
          </w:tcPr>
          <w:p w14:paraId="0D4FFA24"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1275" w:type="dxa"/>
            <w:tcBorders>
              <w:top w:val="single" w:sz="4" w:space="0" w:color="auto"/>
              <w:left w:val="nil"/>
              <w:bottom w:val="single" w:sz="4" w:space="0" w:color="auto"/>
              <w:right w:val="single" w:sz="4" w:space="0" w:color="auto"/>
            </w:tcBorders>
            <w:shd w:val="clear" w:color="auto" w:fill="C6EFCE"/>
            <w:noWrap/>
          </w:tcPr>
          <w:p w14:paraId="503BE17D"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24464AE9"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Q2</w:t>
            </w:r>
          </w:p>
        </w:tc>
        <w:tc>
          <w:tcPr>
            <w:tcW w:w="838" w:type="dxa"/>
            <w:tcBorders>
              <w:top w:val="single" w:sz="4" w:space="0" w:color="auto"/>
              <w:left w:val="nil"/>
              <w:bottom w:val="single" w:sz="4" w:space="0" w:color="auto"/>
              <w:right w:val="single" w:sz="4" w:space="0" w:color="auto"/>
            </w:tcBorders>
            <w:shd w:val="clear" w:color="auto" w:fill="C6EFCE"/>
            <w:noWrap/>
          </w:tcPr>
          <w:p w14:paraId="37B47F99"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2024</w:t>
            </w:r>
          </w:p>
        </w:tc>
        <w:tc>
          <w:tcPr>
            <w:tcW w:w="3510" w:type="dxa"/>
            <w:tcBorders>
              <w:top w:val="single" w:sz="4" w:space="0" w:color="auto"/>
              <w:left w:val="nil"/>
              <w:bottom w:val="single" w:sz="4" w:space="0" w:color="auto"/>
              <w:right w:val="single" w:sz="4" w:space="0" w:color="auto"/>
            </w:tcBorders>
            <w:shd w:val="clear" w:color="auto" w:fill="C6EFCE"/>
            <w:noWrap/>
          </w:tcPr>
          <w:p w14:paraId="228FD7D7" w14:textId="77777777" w:rsidR="004C590F" w:rsidRPr="00BE3F16" w:rsidRDefault="004C590F">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The legal act(s) shall include financial and fiscal incentives to:</w:t>
            </w:r>
          </w:p>
          <w:p w14:paraId="035822FC" w14:textId="77777777" w:rsidR="004C590F" w:rsidRPr="00BE3F16" w:rsidRDefault="004C590F" w:rsidP="004C590F">
            <w:pPr>
              <w:numPr>
                <w:ilvl w:val="0"/>
                <w:numId w:val="6"/>
              </w:numPr>
              <w:spacing w:after="0" w:line="240" w:lineRule="auto"/>
              <w:ind w:left="165" w:hanging="141"/>
              <w:contextualSpacing/>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increase the number of zero-emission vehicles;</w:t>
            </w:r>
          </w:p>
          <w:p w14:paraId="6742C2C9" w14:textId="77777777" w:rsidR="004C590F" w:rsidRPr="00BE3F16" w:rsidRDefault="004C590F" w:rsidP="004C590F">
            <w:pPr>
              <w:numPr>
                <w:ilvl w:val="0"/>
                <w:numId w:val="6"/>
              </w:numPr>
              <w:spacing w:after="0" w:line="240" w:lineRule="auto"/>
              <w:ind w:left="165" w:hanging="141"/>
              <w:contextualSpacing/>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scrap polluting vehicles (EURO 3 or below)</w:t>
            </w:r>
          </w:p>
        </w:tc>
      </w:tr>
      <w:tr w:rsidR="004C590F" w:rsidRPr="00BE3F16" w14:paraId="39CCDC33" w14:textId="77777777" w:rsidTr="00E13B73">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76D3815B" w14:textId="77777777" w:rsidR="004C590F" w:rsidRPr="00BE3F16" w:rsidRDefault="004C590F">
            <w:pPr>
              <w:tabs>
                <w:tab w:val="center" w:pos="274"/>
              </w:tabs>
              <w:spacing w:after="0" w:line="240" w:lineRule="auto"/>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ab/>
              <w:t>61</w:t>
            </w:r>
          </w:p>
        </w:tc>
        <w:tc>
          <w:tcPr>
            <w:tcW w:w="1788" w:type="dxa"/>
            <w:tcBorders>
              <w:top w:val="single" w:sz="4" w:space="0" w:color="auto"/>
              <w:left w:val="nil"/>
              <w:bottom w:val="single" w:sz="4" w:space="0" w:color="auto"/>
              <w:right w:val="single" w:sz="4" w:space="0" w:color="auto"/>
            </w:tcBorders>
            <w:shd w:val="clear" w:color="auto" w:fill="C6EFCE"/>
            <w:noWrap/>
          </w:tcPr>
          <w:p w14:paraId="2B167A31"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Reform 1. Sustainable transport, decarbonisation and road safety </w:t>
            </w:r>
          </w:p>
        </w:tc>
        <w:tc>
          <w:tcPr>
            <w:tcW w:w="1004" w:type="dxa"/>
            <w:tcBorders>
              <w:top w:val="single" w:sz="4" w:space="0" w:color="auto"/>
              <w:left w:val="nil"/>
              <w:bottom w:val="single" w:sz="4" w:space="0" w:color="auto"/>
              <w:right w:val="single" w:sz="4" w:space="0" w:color="auto"/>
            </w:tcBorders>
            <w:shd w:val="clear" w:color="auto" w:fill="C6EFCE"/>
            <w:noWrap/>
          </w:tcPr>
          <w:p w14:paraId="185A86A4" w14:textId="3E3AC384" w:rsidR="004C590F" w:rsidRPr="00BE3F16" w:rsidRDefault="00E13B73">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T</w:t>
            </w:r>
            <w:r w:rsidR="008A021B">
              <w:rPr>
                <w:rFonts w:ascii="Times New Roman" w:hAnsi="Times New Roman" w:cs="Times New Roman"/>
                <w:noProof/>
                <w:sz w:val="20"/>
                <w:szCs w:val="20"/>
                <w:lang w:val="en-GB"/>
              </w:rPr>
              <w:t>arget</w:t>
            </w:r>
          </w:p>
        </w:tc>
        <w:tc>
          <w:tcPr>
            <w:tcW w:w="1653" w:type="dxa"/>
            <w:tcBorders>
              <w:top w:val="single" w:sz="4" w:space="0" w:color="auto"/>
              <w:left w:val="nil"/>
              <w:bottom w:val="single" w:sz="4" w:space="0" w:color="auto"/>
              <w:right w:val="single" w:sz="4" w:space="0" w:color="auto"/>
            </w:tcBorders>
            <w:shd w:val="clear" w:color="auto" w:fill="C6EFCE"/>
            <w:noWrap/>
          </w:tcPr>
          <w:p w14:paraId="63EBF713" w14:textId="42EBA29A" w:rsidR="004C590F" w:rsidRPr="00BE3F16" w:rsidRDefault="004C590F">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New clean vehicles procured by contracting authorities/entities</w:t>
            </w:r>
          </w:p>
        </w:tc>
        <w:tc>
          <w:tcPr>
            <w:tcW w:w="1800" w:type="dxa"/>
            <w:tcBorders>
              <w:top w:val="single" w:sz="4" w:space="0" w:color="auto"/>
              <w:left w:val="nil"/>
              <w:bottom w:val="single" w:sz="4" w:space="0" w:color="auto"/>
              <w:right w:val="single" w:sz="4" w:space="0" w:color="auto"/>
            </w:tcBorders>
            <w:shd w:val="clear" w:color="auto" w:fill="C6EFCE"/>
            <w:noWrap/>
          </w:tcPr>
          <w:p w14:paraId="6E728843"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1225" w:type="dxa"/>
            <w:tcBorders>
              <w:top w:val="single" w:sz="4" w:space="0" w:color="auto"/>
              <w:left w:val="nil"/>
              <w:bottom w:val="single" w:sz="4" w:space="0" w:color="auto"/>
              <w:right w:val="single" w:sz="4" w:space="0" w:color="auto"/>
            </w:tcBorders>
            <w:shd w:val="clear" w:color="auto" w:fill="C6EFCE"/>
            <w:noWrap/>
          </w:tcPr>
          <w:p w14:paraId="3AE275EA" w14:textId="77777777" w:rsidR="004C590F" w:rsidRPr="00BE3F16" w:rsidRDefault="004C590F">
            <w:pPr>
              <w:spacing w:after="0" w:line="240" w:lineRule="auto"/>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Percentage (%)</w:t>
            </w:r>
          </w:p>
          <w:p w14:paraId="1CD26A5A"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851" w:type="dxa"/>
            <w:tcBorders>
              <w:top w:val="single" w:sz="4" w:space="0" w:color="auto"/>
              <w:left w:val="nil"/>
              <w:bottom w:val="single" w:sz="4" w:space="0" w:color="auto"/>
              <w:right w:val="single" w:sz="4" w:space="0" w:color="auto"/>
            </w:tcBorders>
            <w:shd w:val="clear" w:color="auto" w:fill="C6EFCE"/>
            <w:noWrap/>
          </w:tcPr>
          <w:p w14:paraId="4F46B817"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0</w:t>
            </w:r>
          </w:p>
        </w:tc>
        <w:tc>
          <w:tcPr>
            <w:tcW w:w="1275" w:type="dxa"/>
            <w:tcBorders>
              <w:top w:val="single" w:sz="4" w:space="0" w:color="auto"/>
              <w:left w:val="nil"/>
              <w:bottom w:val="single" w:sz="4" w:space="0" w:color="auto"/>
              <w:right w:val="single" w:sz="4" w:space="0" w:color="auto"/>
            </w:tcBorders>
            <w:shd w:val="clear" w:color="auto" w:fill="C6EFCE"/>
            <w:noWrap/>
          </w:tcPr>
          <w:p w14:paraId="67112970" w14:textId="77777777" w:rsidR="004C590F" w:rsidRPr="00BE3F16" w:rsidRDefault="004C590F">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21.7/</w:t>
            </w:r>
          </w:p>
          <w:p w14:paraId="186F9AC9" w14:textId="77777777" w:rsidR="004C590F" w:rsidRPr="00BE3F16" w:rsidRDefault="004C590F">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9/</w:t>
            </w:r>
          </w:p>
          <w:p w14:paraId="0C91D67B"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27</w:t>
            </w:r>
          </w:p>
        </w:tc>
        <w:tc>
          <w:tcPr>
            <w:tcW w:w="993" w:type="dxa"/>
            <w:tcBorders>
              <w:top w:val="single" w:sz="4" w:space="0" w:color="auto"/>
              <w:left w:val="nil"/>
              <w:bottom w:val="single" w:sz="4" w:space="0" w:color="auto"/>
              <w:right w:val="single" w:sz="4" w:space="0" w:color="auto"/>
            </w:tcBorders>
            <w:shd w:val="clear" w:color="auto" w:fill="C6EFCE"/>
            <w:noWrap/>
          </w:tcPr>
          <w:p w14:paraId="51DDEEC5"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Q4</w:t>
            </w:r>
          </w:p>
        </w:tc>
        <w:tc>
          <w:tcPr>
            <w:tcW w:w="838" w:type="dxa"/>
            <w:tcBorders>
              <w:top w:val="single" w:sz="4" w:space="0" w:color="auto"/>
              <w:left w:val="nil"/>
              <w:bottom w:val="single" w:sz="4" w:space="0" w:color="auto"/>
              <w:right w:val="single" w:sz="4" w:space="0" w:color="auto"/>
            </w:tcBorders>
            <w:shd w:val="clear" w:color="auto" w:fill="C6EFCE"/>
            <w:noWrap/>
          </w:tcPr>
          <w:p w14:paraId="4A1DDD59"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2025</w:t>
            </w:r>
          </w:p>
        </w:tc>
        <w:tc>
          <w:tcPr>
            <w:tcW w:w="3510" w:type="dxa"/>
            <w:tcBorders>
              <w:top w:val="single" w:sz="4" w:space="0" w:color="auto"/>
              <w:left w:val="nil"/>
              <w:bottom w:val="single" w:sz="4" w:space="0" w:color="auto"/>
              <w:right w:val="single" w:sz="4" w:space="0" w:color="auto"/>
            </w:tcBorders>
            <w:shd w:val="clear" w:color="auto" w:fill="C6EFCE"/>
            <w:noWrap/>
          </w:tcPr>
          <w:p w14:paraId="76C17ABE" w14:textId="77777777" w:rsidR="004C590F" w:rsidRPr="00BE3F16" w:rsidRDefault="004C590F">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rPr>
              <w:t xml:space="preserve">The share of clean road transport vehicles procured by 31 December 2025 following contract notices published in the OJEU as of 2 August 2021, shall be: </w:t>
            </w:r>
            <w:r w:rsidRPr="00BE3F16">
              <w:rPr>
                <w:rFonts w:ascii="Times New Roman" w:hAnsi="Times New Roman" w:cs="Times New Roman"/>
                <w:noProof/>
                <w:sz w:val="20"/>
                <w:szCs w:val="20"/>
                <w:lang w:val="en-GB"/>
              </w:rPr>
              <w:t>21.7% for light duty vehicles, 9% for trucks and 27% for buses</w:t>
            </w:r>
          </w:p>
          <w:p w14:paraId="778EBBF0"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p>
        </w:tc>
      </w:tr>
      <w:tr w:rsidR="004C590F" w:rsidRPr="00BE3F16" w14:paraId="6BFCE190" w14:textId="77777777" w:rsidTr="00E13B73">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03286DAB" w14:textId="77777777" w:rsidR="004C590F" w:rsidRPr="00BE3F16" w:rsidRDefault="004C590F">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62</w:t>
            </w:r>
          </w:p>
        </w:tc>
        <w:tc>
          <w:tcPr>
            <w:tcW w:w="1788" w:type="dxa"/>
            <w:tcBorders>
              <w:top w:val="single" w:sz="4" w:space="0" w:color="auto"/>
              <w:left w:val="nil"/>
              <w:bottom w:val="single" w:sz="4" w:space="0" w:color="auto"/>
              <w:right w:val="single" w:sz="4" w:space="0" w:color="auto"/>
            </w:tcBorders>
            <w:shd w:val="clear" w:color="auto" w:fill="C6EFCE"/>
            <w:noWrap/>
          </w:tcPr>
          <w:p w14:paraId="4103E421"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Reform 1. Sustainable transport, decarbonisation and road safety</w:t>
            </w:r>
          </w:p>
        </w:tc>
        <w:tc>
          <w:tcPr>
            <w:tcW w:w="1004" w:type="dxa"/>
            <w:tcBorders>
              <w:top w:val="single" w:sz="4" w:space="0" w:color="auto"/>
              <w:left w:val="nil"/>
              <w:bottom w:val="single" w:sz="4" w:space="0" w:color="auto"/>
              <w:right w:val="single" w:sz="4" w:space="0" w:color="auto"/>
            </w:tcBorders>
            <w:shd w:val="clear" w:color="auto" w:fill="C6EFCE"/>
            <w:noWrap/>
          </w:tcPr>
          <w:p w14:paraId="4D53A9DF" w14:textId="08989A56" w:rsidR="004C590F" w:rsidRPr="00BE3F16" w:rsidRDefault="008A021B">
            <w:pPr>
              <w:spacing w:after="0" w:line="240" w:lineRule="auto"/>
              <w:jc w:val="center"/>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Milestone</w:t>
            </w:r>
          </w:p>
        </w:tc>
        <w:tc>
          <w:tcPr>
            <w:tcW w:w="1653" w:type="dxa"/>
            <w:tcBorders>
              <w:top w:val="single" w:sz="4" w:space="0" w:color="auto"/>
              <w:left w:val="nil"/>
              <w:bottom w:val="single" w:sz="4" w:space="0" w:color="auto"/>
              <w:right w:val="single" w:sz="4" w:space="0" w:color="auto"/>
            </w:tcBorders>
            <w:shd w:val="clear" w:color="auto" w:fill="C6EFCE"/>
            <w:noWrap/>
          </w:tcPr>
          <w:p w14:paraId="1DA89F5D" w14:textId="01FADB26"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Scrapped vehicles (EURO 3 or below) and</w:t>
            </w:r>
            <w:r w:rsidR="00D23D91" w:rsidRPr="00BE3F16">
              <w:rPr>
                <w:rFonts w:ascii="Times New Roman" w:hAnsi="Times New Roman" w:cs="Times New Roman"/>
                <w:noProof/>
                <w:sz w:val="20"/>
                <w:szCs w:val="20"/>
                <w:lang w:val="en-GB"/>
              </w:rPr>
              <w:t xml:space="preserve"> </w:t>
            </w:r>
            <w:r w:rsidRPr="00BE3F16">
              <w:rPr>
                <w:rFonts w:ascii="Times New Roman" w:hAnsi="Times New Roman" w:cs="Times New Roman"/>
                <w:noProof/>
                <w:sz w:val="20"/>
                <w:szCs w:val="20"/>
                <w:lang w:val="en-GB"/>
              </w:rPr>
              <w:t>stock of zero-emission vehicles</w:t>
            </w:r>
          </w:p>
        </w:tc>
        <w:tc>
          <w:tcPr>
            <w:tcW w:w="1800" w:type="dxa"/>
            <w:tcBorders>
              <w:top w:val="single" w:sz="4" w:space="0" w:color="auto"/>
              <w:left w:val="nil"/>
              <w:bottom w:val="single" w:sz="4" w:space="0" w:color="auto"/>
              <w:right w:val="single" w:sz="4" w:space="0" w:color="auto"/>
            </w:tcBorders>
            <w:shd w:val="clear" w:color="auto" w:fill="C6EFCE"/>
            <w:noWrap/>
          </w:tcPr>
          <w:p w14:paraId="68F673F8"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r w:rsidRPr="00BE3F16">
              <w:rPr>
                <w:rFonts w:ascii="Times New Roman" w:eastAsia="Times New Roman" w:hAnsi="Times New Roman" w:cs="Times New Roman"/>
                <w:noProof/>
                <w:sz w:val="20"/>
                <w:szCs w:val="20"/>
                <w:lang w:eastAsia="en-GB"/>
              </w:rPr>
              <w:t>Vehicles scrapped, and zero-emission vehicles in Romania</w:t>
            </w:r>
          </w:p>
        </w:tc>
        <w:tc>
          <w:tcPr>
            <w:tcW w:w="1225" w:type="dxa"/>
            <w:tcBorders>
              <w:top w:val="single" w:sz="4" w:space="0" w:color="auto"/>
              <w:left w:val="nil"/>
              <w:bottom w:val="single" w:sz="4" w:space="0" w:color="auto"/>
              <w:right w:val="single" w:sz="4" w:space="0" w:color="auto"/>
            </w:tcBorders>
            <w:shd w:val="clear" w:color="auto" w:fill="C6EFCE"/>
            <w:noWrap/>
          </w:tcPr>
          <w:p w14:paraId="51CBF258"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p>
        </w:tc>
        <w:tc>
          <w:tcPr>
            <w:tcW w:w="851" w:type="dxa"/>
            <w:tcBorders>
              <w:top w:val="single" w:sz="4" w:space="0" w:color="auto"/>
              <w:left w:val="nil"/>
              <w:bottom w:val="single" w:sz="4" w:space="0" w:color="auto"/>
              <w:right w:val="single" w:sz="4" w:space="0" w:color="auto"/>
            </w:tcBorders>
            <w:shd w:val="clear" w:color="auto" w:fill="C6EFCE"/>
            <w:noWrap/>
          </w:tcPr>
          <w:p w14:paraId="181D0079"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p>
        </w:tc>
        <w:tc>
          <w:tcPr>
            <w:tcW w:w="1275" w:type="dxa"/>
            <w:tcBorders>
              <w:top w:val="single" w:sz="4" w:space="0" w:color="auto"/>
              <w:left w:val="nil"/>
              <w:bottom w:val="single" w:sz="4" w:space="0" w:color="auto"/>
              <w:right w:val="single" w:sz="4" w:space="0" w:color="auto"/>
            </w:tcBorders>
            <w:shd w:val="clear" w:color="auto" w:fill="C6EFCE"/>
            <w:noWrap/>
          </w:tcPr>
          <w:p w14:paraId="2BA7E804"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p>
        </w:tc>
        <w:tc>
          <w:tcPr>
            <w:tcW w:w="993" w:type="dxa"/>
            <w:tcBorders>
              <w:top w:val="single" w:sz="4" w:space="0" w:color="auto"/>
              <w:left w:val="nil"/>
              <w:bottom w:val="single" w:sz="4" w:space="0" w:color="auto"/>
              <w:right w:val="single" w:sz="4" w:space="0" w:color="auto"/>
            </w:tcBorders>
            <w:shd w:val="clear" w:color="auto" w:fill="C6EFCE"/>
            <w:noWrap/>
          </w:tcPr>
          <w:p w14:paraId="637CB4EC"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Q1</w:t>
            </w:r>
          </w:p>
        </w:tc>
        <w:tc>
          <w:tcPr>
            <w:tcW w:w="838" w:type="dxa"/>
            <w:tcBorders>
              <w:top w:val="single" w:sz="4" w:space="0" w:color="auto"/>
              <w:left w:val="nil"/>
              <w:bottom w:val="single" w:sz="4" w:space="0" w:color="auto"/>
              <w:right w:val="single" w:sz="4" w:space="0" w:color="auto"/>
            </w:tcBorders>
            <w:shd w:val="clear" w:color="auto" w:fill="C6EFCE"/>
            <w:noWrap/>
          </w:tcPr>
          <w:p w14:paraId="4235A8E9"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2026</w:t>
            </w:r>
          </w:p>
        </w:tc>
        <w:tc>
          <w:tcPr>
            <w:tcW w:w="3510" w:type="dxa"/>
            <w:tcBorders>
              <w:top w:val="single" w:sz="4" w:space="0" w:color="auto"/>
              <w:left w:val="nil"/>
              <w:bottom w:val="single" w:sz="4" w:space="0" w:color="auto"/>
              <w:right w:val="single" w:sz="4" w:space="0" w:color="auto"/>
            </w:tcBorders>
            <w:shd w:val="clear" w:color="auto" w:fill="C6EFCE"/>
            <w:noWrap/>
          </w:tcPr>
          <w:p w14:paraId="1F9DD10E" w14:textId="77777777" w:rsidR="004C590F" w:rsidRPr="00BE3F16" w:rsidRDefault="004C590F">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At least 250 000 vehicles with emission standards EURO 3 or below older than 15 years shall be scrapped.</w:t>
            </w:r>
          </w:p>
          <w:p w14:paraId="0469DAD5" w14:textId="52BF8A52"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eastAsia="Times New Roman" w:hAnsi="Times New Roman" w:cs="Times New Roman"/>
                <w:noProof/>
                <w:sz w:val="20"/>
                <w:szCs w:val="20"/>
                <w:lang w:val="en-GB"/>
              </w:rPr>
              <w:t>35</w:t>
            </w:r>
            <w:r w:rsidRPr="00BE3F16">
              <w:rPr>
                <w:rFonts w:ascii="Times New Roman" w:hAnsi="Times New Roman" w:cs="Times New Roman"/>
                <w:noProof/>
                <w:sz w:val="20"/>
                <w:szCs w:val="20"/>
                <w:lang w:val="en-GB"/>
              </w:rPr>
              <w:t> </w:t>
            </w:r>
            <w:r w:rsidRPr="00BE3F16">
              <w:rPr>
                <w:rFonts w:ascii="Times New Roman" w:eastAsia="Times New Roman" w:hAnsi="Times New Roman" w:cs="Times New Roman"/>
                <w:noProof/>
                <w:sz w:val="20"/>
                <w:szCs w:val="20"/>
                <w:lang w:val="en-GB"/>
              </w:rPr>
              <w:t>500 zero-emission</w:t>
            </w:r>
            <w:r w:rsidR="00D23D91" w:rsidRPr="00BE3F16">
              <w:rPr>
                <w:rFonts w:ascii="Times New Roman" w:eastAsia="Times New Roman" w:hAnsi="Times New Roman" w:cs="Times New Roman"/>
                <w:noProof/>
                <w:sz w:val="20"/>
                <w:szCs w:val="20"/>
                <w:lang w:val="en-GB"/>
              </w:rPr>
              <w:t xml:space="preserve"> </w:t>
            </w:r>
            <w:r w:rsidRPr="00BE3F16">
              <w:rPr>
                <w:rFonts w:ascii="Times New Roman" w:eastAsia="Times New Roman" w:hAnsi="Times New Roman" w:cs="Times New Roman"/>
                <w:noProof/>
                <w:sz w:val="20"/>
                <w:szCs w:val="20"/>
                <w:lang w:val="en-GB"/>
              </w:rPr>
              <w:t>vehicles in Romania shall be indicated in the 2025 Directorate for Driving Licenses and Vehicles Registration’s vehicle fleet dataset.</w:t>
            </w:r>
          </w:p>
        </w:tc>
      </w:tr>
      <w:tr w:rsidR="004C590F" w:rsidRPr="00BE3F16" w14:paraId="4D8361A7" w14:textId="77777777" w:rsidTr="00E13B73">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5F663664" w14:textId="77777777" w:rsidR="004C590F" w:rsidRPr="00BE3F16" w:rsidRDefault="004C590F">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65</w:t>
            </w:r>
          </w:p>
        </w:tc>
        <w:tc>
          <w:tcPr>
            <w:tcW w:w="1788" w:type="dxa"/>
            <w:tcBorders>
              <w:top w:val="single" w:sz="4" w:space="0" w:color="auto"/>
              <w:left w:val="nil"/>
              <w:bottom w:val="single" w:sz="4" w:space="0" w:color="auto"/>
              <w:right w:val="single" w:sz="4" w:space="0" w:color="auto"/>
            </w:tcBorders>
            <w:shd w:val="clear" w:color="auto" w:fill="C6EFCE"/>
            <w:noWrap/>
          </w:tcPr>
          <w:p w14:paraId="6F417583"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Reform 1. Sustainable transport, decarbonisation and road safety</w:t>
            </w:r>
          </w:p>
        </w:tc>
        <w:tc>
          <w:tcPr>
            <w:tcW w:w="1004" w:type="dxa"/>
            <w:tcBorders>
              <w:top w:val="single" w:sz="4" w:space="0" w:color="auto"/>
              <w:left w:val="nil"/>
              <w:bottom w:val="single" w:sz="4" w:space="0" w:color="auto"/>
              <w:right w:val="single" w:sz="4" w:space="0" w:color="auto"/>
            </w:tcBorders>
            <w:shd w:val="clear" w:color="auto" w:fill="C6EFCE"/>
            <w:noWrap/>
          </w:tcPr>
          <w:p w14:paraId="3D4624F7" w14:textId="0FA247DD" w:rsidR="004C590F" w:rsidRPr="00BE3F16" w:rsidRDefault="008A021B">
            <w:pPr>
              <w:spacing w:after="0" w:line="240" w:lineRule="auto"/>
              <w:jc w:val="center"/>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Milestone</w:t>
            </w:r>
          </w:p>
        </w:tc>
        <w:tc>
          <w:tcPr>
            <w:tcW w:w="1653" w:type="dxa"/>
            <w:tcBorders>
              <w:top w:val="single" w:sz="4" w:space="0" w:color="auto"/>
              <w:left w:val="nil"/>
              <w:bottom w:val="single" w:sz="4" w:space="0" w:color="auto"/>
              <w:right w:val="single" w:sz="4" w:space="0" w:color="auto"/>
            </w:tcBorders>
            <w:shd w:val="clear" w:color="auto" w:fill="C6EFCE"/>
            <w:noWrap/>
          </w:tcPr>
          <w:p w14:paraId="4704F3AB"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Adoption of the National Road Safety Strategy</w:t>
            </w:r>
          </w:p>
        </w:tc>
        <w:tc>
          <w:tcPr>
            <w:tcW w:w="1800" w:type="dxa"/>
            <w:tcBorders>
              <w:top w:val="single" w:sz="4" w:space="0" w:color="auto"/>
              <w:left w:val="nil"/>
              <w:bottom w:val="single" w:sz="4" w:space="0" w:color="auto"/>
              <w:right w:val="single" w:sz="4" w:space="0" w:color="auto"/>
            </w:tcBorders>
            <w:shd w:val="clear" w:color="auto" w:fill="C6EFCE"/>
            <w:noWrap/>
          </w:tcPr>
          <w:p w14:paraId="2404BC18"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Adoption of the Strategy by Government Decision (secondary legislation) and start of its implementation</w:t>
            </w:r>
          </w:p>
        </w:tc>
        <w:tc>
          <w:tcPr>
            <w:tcW w:w="1225" w:type="dxa"/>
            <w:tcBorders>
              <w:top w:val="single" w:sz="4" w:space="0" w:color="auto"/>
              <w:left w:val="nil"/>
              <w:bottom w:val="single" w:sz="4" w:space="0" w:color="auto"/>
              <w:right w:val="single" w:sz="4" w:space="0" w:color="auto"/>
            </w:tcBorders>
            <w:shd w:val="clear" w:color="auto" w:fill="C6EFCE"/>
            <w:noWrap/>
          </w:tcPr>
          <w:p w14:paraId="64B09771"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851" w:type="dxa"/>
            <w:tcBorders>
              <w:top w:val="single" w:sz="4" w:space="0" w:color="auto"/>
              <w:left w:val="nil"/>
              <w:bottom w:val="single" w:sz="4" w:space="0" w:color="auto"/>
              <w:right w:val="single" w:sz="4" w:space="0" w:color="auto"/>
            </w:tcBorders>
            <w:shd w:val="clear" w:color="auto" w:fill="C6EFCE"/>
            <w:noWrap/>
          </w:tcPr>
          <w:p w14:paraId="65AEC921"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1275" w:type="dxa"/>
            <w:tcBorders>
              <w:top w:val="single" w:sz="4" w:space="0" w:color="auto"/>
              <w:left w:val="nil"/>
              <w:bottom w:val="single" w:sz="4" w:space="0" w:color="auto"/>
              <w:right w:val="single" w:sz="4" w:space="0" w:color="auto"/>
            </w:tcBorders>
            <w:shd w:val="clear" w:color="auto" w:fill="C6EFCE"/>
            <w:noWrap/>
          </w:tcPr>
          <w:p w14:paraId="7D66D339"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6CC2228C"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Q2</w:t>
            </w:r>
          </w:p>
        </w:tc>
        <w:tc>
          <w:tcPr>
            <w:tcW w:w="838" w:type="dxa"/>
            <w:tcBorders>
              <w:top w:val="single" w:sz="4" w:space="0" w:color="auto"/>
              <w:left w:val="nil"/>
              <w:bottom w:val="single" w:sz="4" w:space="0" w:color="auto"/>
              <w:right w:val="single" w:sz="4" w:space="0" w:color="auto"/>
            </w:tcBorders>
            <w:shd w:val="clear" w:color="auto" w:fill="C6EFCE"/>
            <w:noWrap/>
          </w:tcPr>
          <w:p w14:paraId="6EB443FA"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2022</w:t>
            </w:r>
          </w:p>
        </w:tc>
        <w:tc>
          <w:tcPr>
            <w:tcW w:w="3510" w:type="dxa"/>
            <w:tcBorders>
              <w:top w:val="single" w:sz="4" w:space="0" w:color="auto"/>
              <w:left w:val="nil"/>
              <w:bottom w:val="single" w:sz="4" w:space="0" w:color="auto"/>
              <w:right w:val="single" w:sz="4" w:space="0" w:color="auto"/>
            </w:tcBorders>
            <w:shd w:val="clear" w:color="auto" w:fill="C6EFCE"/>
            <w:noWrap/>
          </w:tcPr>
          <w:p w14:paraId="14A0B60C"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The National Road Safety Strategy 2021-2030 shall implement EU rules and guidelines as set out in the EU Road Safety Policy Framework 2021-2030 and the “Vision Zero”, with the objective to reduce the number of road fatalities by 2050 to close to zero. As an intermediate target, Romania is taking on the EU target of reducing the number of victims (deaths and serious injured) by 50% from 2019 baseline to 2030.</w:t>
            </w:r>
          </w:p>
          <w:p w14:paraId="7474B74F"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The strategy shall be addressed in an integrated and multidisciplinary way to all actors involved in road safety and shall include:</w:t>
            </w:r>
          </w:p>
          <w:p w14:paraId="3CA94072"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enforcement of the rules governing compliance, higher penalties for breaches of the law;</w:t>
            </w:r>
          </w:p>
          <w:p w14:paraId="441A1ADF"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reduction of speed limits in specific areas or roads depending on accidents data/risk analysis and best practices at EU level, introduction of speed management system and mandatory safety features, revision of traffic rules including priority for vulnerable users, </w:t>
            </w:r>
          </w:p>
          <w:p w14:paraId="3885C576"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reduction of black/hot spots in both urban and inter-urban environments, including a specific investment action plan to reduce the number of black/hot spots by 129 by Q2-2026 compared to the initial 267 black/hot spots in 2021;</w:t>
            </w:r>
          </w:p>
          <w:p w14:paraId="7EF521A5"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phasing out from the national register of old/deficient vehicles, increased safety inspections and checks;</w:t>
            </w:r>
          </w:p>
          <w:p w14:paraId="1D18B8B8"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education and training, information campaigns;</w:t>
            </w:r>
          </w:p>
          <w:p w14:paraId="58733565"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integration of the legislative system and reform of the Intelligent Transport Systems (ITS).</w:t>
            </w:r>
          </w:p>
          <w:p w14:paraId="56D459A1" w14:textId="77777777" w:rsidR="004C590F" w:rsidRPr="00BE3F16" w:rsidRDefault="004C590F">
            <w:pPr>
              <w:suppressAutoHyphens/>
              <w:autoSpaceDN w:val="0"/>
              <w:spacing w:after="0" w:line="240" w:lineRule="auto"/>
              <w:jc w:val="both"/>
              <w:textAlignment w:val="baseline"/>
              <w:rPr>
                <w:rFonts w:ascii="Times New Roman" w:eastAsia="Times New Roman" w:hAnsi="Times New Roman" w:cs="Times New Roman"/>
                <w:noProof/>
                <w:kern w:val="3"/>
                <w:sz w:val="20"/>
                <w:szCs w:val="20"/>
                <w:lang w:val="en-GB"/>
              </w:rPr>
            </w:pPr>
            <w:r w:rsidRPr="00BE3F16">
              <w:rPr>
                <w:rFonts w:ascii="Times New Roman" w:hAnsi="Times New Roman" w:cs="Times New Roman"/>
                <w:noProof/>
                <w:sz w:val="20"/>
                <w:szCs w:val="20"/>
                <w:lang w:val="en-GB"/>
              </w:rPr>
              <w:t xml:space="preserve">A strategic document for Intelligent Transport Systems (ITS) shall be approved by the Romanian government. The ITS strategy shall be developed in conjunction with intermodal transport policies to serve the needs for efficient operation in multimodal nodes. </w:t>
            </w:r>
          </w:p>
          <w:p w14:paraId="2B7F4B95"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The entity responsible for the monitoring of the Road safety strategy implementation and the Key Performance Indicators shall be clearly defined and operationalised.</w:t>
            </w:r>
          </w:p>
        </w:tc>
      </w:tr>
      <w:tr w:rsidR="004C590F" w:rsidRPr="00BE3F16" w14:paraId="26208BEA" w14:textId="77777777" w:rsidTr="00E13B73">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44462B4B" w14:textId="77777777" w:rsidR="004C590F" w:rsidRPr="00BE3F16" w:rsidRDefault="004C590F">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66</w:t>
            </w:r>
          </w:p>
        </w:tc>
        <w:tc>
          <w:tcPr>
            <w:tcW w:w="1788" w:type="dxa"/>
            <w:tcBorders>
              <w:top w:val="single" w:sz="4" w:space="0" w:color="auto"/>
              <w:left w:val="nil"/>
              <w:bottom w:val="single" w:sz="4" w:space="0" w:color="auto"/>
              <w:right w:val="single" w:sz="4" w:space="0" w:color="auto"/>
            </w:tcBorders>
            <w:shd w:val="clear" w:color="auto" w:fill="C6EFCE"/>
            <w:noWrap/>
          </w:tcPr>
          <w:p w14:paraId="52F7BE1A"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Reform 1. Sustainable transport, decarbonisation and road safety</w:t>
            </w:r>
          </w:p>
        </w:tc>
        <w:tc>
          <w:tcPr>
            <w:tcW w:w="1004" w:type="dxa"/>
            <w:tcBorders>
              <w:top w:val="single" w:sz="4" w:space="0" w:color="auto"/>
              <w:left w:val="nil"/>
              <w:bottom w:val="single" w:sz="4" w:space="0" w:color="auto"/>
              <w:right w:val="single" w:sz="4" w:space="0" w:color="auto"/>
            </w:tcBorders>
            <w:shd w:val="clear" w:color="auto" w:fill="C6EFCE"/>
            <w:noWrap/>
          </w:tcPr>
          <w:p w14:paraId="0544CDD4" w14:textId="565BEE7E" w:rsidR="004C590F" w:rsidRPr="00BE3F16" w:rsidRDefault="008A021B">
            <w:pPr>
              <w:spacing w:after="0" w:line="240" w:lineRule="auto"/>
              <w:jc w:val="center"/>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Milestone</w:t>
            </w:r>
          </w:p>
        </w:tc>
        <w:tc>
          <w:tcPr>
            <w:tcW w:w="1653" w:type="dxa"/>
            <w:tcBorders>
              <w:top w:val="single" w:sz="4" w:space="0" w:color="auto"/>
              <w:left w:val="nil"/>
              <w:bottom w:val="single" w:sz="4" w:space="0" w:color="auto"/>
              <w:right w:val="single" w:sz="4" w:space="0" w:color="auto"/>
            </w:tcBorders>
            <w:shd w:val="clear" w:color="auto" w:fill="C6EFCE"/>
            <w:noWrap/>
          </w:tcPr>
          <w:p w14:paraId="3B990473"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Entry into force of the road safety – legislation - legislation on monitoring, enforcement and sanctions on road safety offences</w:t>
            </w:r>
          </w:p>
        </w:tc>
        <w:tc>
          <w:tcPr>
            <w:tcW w:w="1800" w:type="dxa"/>
            <w:tcBorders>
              <w:top w:val="single" w:sz="4" w:space="0" w:color="auto"/>
              <w:left w:val="nil"/>
              <w:bottom w:val="single" w:sz="4" w:space="0" w:color="auto"/>
              <w:right w:val="single" w:sz="4" w:space="0" w:color="auto"/>
            </w:tcBorders>
            <w:shd w:val="clear" w:color="auto" w:fill="C6EFCE"/>
            <w:noWrap/>
          </w:tcPr>
          <w:p w14:paraId="784C7FB9"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Provision in the legislation indicating the entry into force of the road safety legislation</w:t>
            </w:r>
          </w:p>
        </w:tc>
        <w:tc>
          <w:tcPr>
            <w:tcW w:w="1225" w:type="dxa"/>
            <w:tcBorders>
              <w:top w:val="single" w:sz="4" w:space="0" w:color="auto"/>
              <w:left w:val="nil"/>
              <w:bottom w:val="single" w:sz="4" w:space="0" w:color="auto"/>
              <w:right w:val="single" w:sz="4" w:space="0" w:color="auto"/>
            </w:tcBorders>
            <w:shd w:val="clear" w:color="auto" w:fill="C6EFCE"/>
            <w:noWrap/>
          </w:tcPr>
          <w:p w14:paraId="29CCD525"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851" w:type="dxa"/>
            <w:tcBorders>
              <w:top w:val="single" w:sz="4" w:space="0" w:color="auto"/>
              <w:left w:val="nil"/>
              <w:bottom w:val="single" w:sz="4" w:space="0" w:color="auto"/>
              <w:right w:val="single" w:sz="4" w:space="0" w:color="auto"/>
            </w:tcBorders>
            <w:shd w:val="clear" w:color="auto" w:fill="C6EFCE"/>
            <w:noWrap/>
          </w:tcPr>
          <w:p w14:paraId="3219A683"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1275" w:type="dxa"/>
            <w:tcBorders>
              <w:top w:val="single" w:sz="4" w:space="0" w:color="auto"/>
              <w:left w:val="nil"/>
              <w:bottom w:val="single" w:sz="4" w:space="0" w:color="auto"/>
              <w:right w:val="single" w:sz="4" w:space="0" w:color="auto"/>
            </w:tcBorders>
            <w:shd w:val="clear" w:color="auto" w:fill="C6EFCE"/>
            <w:noWrap/>
          </w:tcPr>
          <w:p w14:paraId="1D15C0AA"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668D01C3"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Q4</w:t>
            </w:r>
          </w:p>
        </w:tc>
        <w:tc>
          <w:tcPr>
            <w:tcW w:w="838" w:type="dxa"/>
            <w:tcBorders>
              <w:top w:val="single" w:sz="4" w:space="0" w:color="auto"/>
              <w:left w:val="nil"/>
              <w:bottom w:val="single" w:sz="4" w:space="0" w:color="auto"/>
              <w:right w:val="single" w:sz="4" w:space="0" w:color="auto"/>
            </w:tcBorders>
            <w:shd w:val="clear" w:color="auto" w:fill="C6EFCE"/>
            <w:noWrap/>
          </w:tcPr>
          <w:p w14:paraId="4A898508"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2022</w:t>
            </w:r>
          </w:p>
        </w:tc>
        <w:tc>
          <w:tcPr>
            <w:tcW w:w="3510" w:type="dxa"/>
            <w:tcBorders>
              <w:top w:val="single" w:sz="4" w:space="0" w:color="auto"/>
              <w:left w:val="nil"/>
              <w:bottom w:val="single" w:sz="4" w:space="0" w:color="auto"/>
              <w:right w:val="single" w:sz="4" w:space="0" w:color="auto"/>
            </w:tcBorders>
            <w:shd w:val="clear" w:color="auto" w:fill="C6EFCE"/>
            <w:noWrap/>
          </w:tcPr>
          <w:p w14:paraId="18C17307" w14:textId="77777777" w:rsidR="004C590F" w:rsidRPr="00BE3F16" w:rsidRDefault="004C590F">
            <w:pPr>
              <w:spacing w:after="0" w:line="240" w:lineRule="auto"/>
              <w:jc w:val="both"/>
              <w:rPr>
                <w:rFonts w:ascii="Times New Roman" w:hAnsi="Times New Roman" w:cs="Times New Roman"/>
                <w:noProof/>
                <w:sz w:val="20"/>
                <w:szCs w:val="20"/>
                <w:shd w:val="clear" w:color="auto" w:fill="C6EFCE"/>
                <w:lang w:val="en-GB"/>
              </w:rPr>
            </w:pPr>
            <w:r w:rsidRPr="00BE3F16">
              <w:rPr>
                <w:rFonts w:ascii="Times New Roman" w:hAnsi="Times New Roman" w:cs="Times New Roman"/>
                <w:noProof/>
                <w:sz w:val="20"/>
                <w:szCs w:val="20"/>
                <w:shd w:val="clear" w:color="auto" w:fill="C6EFCE"/>
                <w:lang w:val="en-GB"/>
              </w:rPr>
              <w:t xml:space="preserve">The following legislative changes promoting road safety shall be introduced: </w:t>
            </w:r>
          </w:p>
          <w:p w14:paraId="50669554"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enforcement of the rules governing compliance, higher penalties for breaches of the law;</w:t>
            </w:r>
          </w:p>
          <w:p w14:paraId="0A7BA3CA"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monitoring of road offences by automatic equipment (video cameras, sensors);</w:t>
            </w:r>
          </w:p>
          <w:p w14:paraId="444741EB"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reduction of speed limits in specific areas or roads depending on accidents data/risk analysis and best practices at EU level, introduction of speed management system and mandatory safety features, revision of traffic rules including priority for vulnerable users;</w:t>
            </w:r>
          </w:p>
          <w:p w14:paraId="7CB89D6C" w14:textId="77777777" w:rsidR="004C590F" w:rsidRPr="00BE3F16" w:rsidRDefault="004C590F" w:rsidP="004C590F">
            <w:pPr>
              <w:numPr>
                <w:ilvl w:val="0"/>
                <w:numId w:val="8"/>
              </w:numPr>
              <w:spacing w:after="0" w:line="240" w:lineRule="auto"/>
              <w:ind w:left="250" w:hanging="218"/>
              <w:contextualSpacing/>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phasing out from the national register of old/deficient vehicles, increased safety inspections and checks</w:t>
            </w:r>
            <w:r w:rsidRPr="00BE3F16">
              <w:rPr>
                <w:rFonts w:ascii="Times New Roman" w:hAnsi="Times New Roman" w:cs="Times New Roman"/>
                <w:noProof/>
                <w:sz w:val="20"/>
                <w:szCs w:val="20"/>
                <w:shd w:val="clear" w:color="auto" w:fill="C6EFCE"/>
                <w:lang w:val="en-GB"/>
              </w:rPr>
              <w:t>.</w:t>
            </w:r>
          </w:p>
          <w:p w14:paraId="517C3C42"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sidDel="00414C27">
              <w:rPr>
                <w:rFonts w:ascii="Times New Roman" w:hAnsi="Times New Roman" w:cs="Times New Roman"/>
                <w:noProof/>
                <w:sz w:val="20"/>
                <w:szCs w:val="20"/>
                <w:lang w:val="en-GB"/>
              </w:rPr>
              <w:t>The overall goal for road safety shall aim for a 50% reduction of fatalities in road accidents by 2030 vs 2019, in line with the EU Road Safety Policy Framework 2021-2030</w:t>
            </w:r>
            <w:r w:rsidRPr="00BE3F16" w:rsidDel="00414C27">
              <w:rPr>
                <w:rFonts w:ascii="Times New Roman" w:hAnsi="Times New Roman" w:cs="Times New Roman"/>
                <w:noProof/>
                <w:sz w:val="20"/>
                <w:szCs w:val="20"/>
                <w:shd w:val="clear" w:color="auto" w:fill="C6EFCE"/>
                <w:lang w:val="en-GB"/>
              </w:rPr>
              <w:t>.</w:t>
            </w:r>
          </w:p>
        </w:tc>
      </w:tr>
      <w:tr w:rsidR="004C590F" w:rsidRPr="00BE3F16" w14:paraId="73E1AEAA" w14:textId="77777777" w:rsidTr="00E13B73">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49A464FA" w14:textId="77777777" w:rsidR="004C590F" w:rsidRPr="00BE3F16" w:rsidRDefault="004C590F">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69</w:t>
            </w:r>
          </w:p>
        </w:tc>
        <w:tc>
          <w:tcPr>
            <w:tcW w:w="1788" w:type="dxa"/>
            <w:tcBorders>
              <w:top w:val="single" w:sz="4" w:space="0" w:color="auto"/>
              <w:left w:val="nil"/>
              <w:bottom w:val="single" w:sz="4" w:space="0" w:color="auto"/>
              <w:right w:val="single" w:sz="4" w:space="0" w:color="auto"/>
            </w:tcBorders>
            <w:shd w:val="clear" w:color="auto" w:fill="C6EFCE"/>
            <w:noWrap/>
          </w:tcPr>
          <w:p w14:paraId="42C2A3E9"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Reform 1. Sustainable transport, decarbonisation and road safety</w:t>
            </w:r>
          </w:p>
        </w:tc>
        <w:tc>
          <w:tcPr>
            <w:tcW w:w="1004" w:type="dxa"/>
            <w:tcBorders>
              <w:top w:val="single" w:sz="4" w:space="0" w:color="auto"/>
              <w:left w:val="nil"/>
              <w:bottom w:val="single" w:sz="4" w:space="0" w:color="auto"/>
              <w:right w:val="single" w:sz="4" w:space="0" w:color="auto"/>
            </w:tcBorders>
            <w:shd w:val="clear" w:color="auto" w:fill="C6EFCE"/>
            <w:noWrap/>
          </w:tcPr>
          <w:p w14:paraId="4016FA5C" w14:textId="47CD6D12" w:rsidR="004C590F" w:rsidRPr="00BE3F16" w:rsidRDefault="008A021B">
            <w:pPr>
              <w:spacing w:after="0" w:line="240" w:lineRule="auto"/>
              <w:jc w:val="center"/>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Milestone</w:t>
            </w:r>
          </w:p>
        </w:tc>
        <w:tc>
          <w:tcPr>
            <w:tcW w:w="1653" w:type="dxa"/>
            <w:tcBorders>
              <w:top w:val="single" w:sz="4" w:space="0" w:color="auto"/>
              <w:left w:val="nil"/>
              <w:bottom w:val="single" w:sz="4" w:space="0" w:color="auto"/>
              <w:right w:val="single" w:sz="4" w:space="0" w:color="auto"/>
            </w:tcBorders>
            <w:shd w:val="clear" w:color="auto" w:fill="C6EFCE"/>
            <w:noWrap/>
          </w:tcPr>
          <w:p w14:paraId="4C8F77A8"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Adoption of the strategy for the development of railway infrastructure 2021-2025 and application of the action plan</w:t>
            </w:r>
          </w:p>
        </w:tc>
        <w:tc>
          <w:tcPr>
            <w:tcW w:w="1800" w:type="dxa"/>
            <w:tcBorders>
              <w:top w:val="single" w:sz="4" w:space="0" w:color="auto"/>
              <w:left w:val="nil"/>
              <w:bottom w:val="single" w:sz="4" w:space="0" w:color="auto"/>
              <w:right w:val="single" w:sz="4" w:space="0" w:color="auto"/>
            </w:tcBorders>
            <w:shd w:val="clear" w:color="auto" w:fill="C6EFCE"/>
            <w:noWrap/>
          </w:tcPr>
          <w:p w14:paraId="36EE58E0"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Adoption of the strategy for the development of the railway infrastructure by the Government Decision no. 985/2020 (secondary legislation), adoption of the action plan and start of implementation</w:t>
            </w:r>
          </w:p>
        </w:tc>
        <w:tc>
          <w:tcPr>
            <w:tcW w:w="1225" w:type="dxa"/>
            <w:tcBorders>
              <w:top w:val="single" w:sz="4" w:space="0" w:color="auto"/>
              <w:left w:val="nil"/>
              <w:bottom w:val="single" w:sz="4" w:space="0" w:color="auto"/>
              <w:right w:val="single" w:sz="4" w:space="0" w:color="auto"/>
            </w:tcBorders>
            <w:shd w:val="clear" w:color="auto" w:fill="C6EFCE"/>
            <w:noWrap/>
          </w:tcPr>
          <w:p w14:paraId="70D451FA"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851" w:type="dxa"/>
            <w:tcBorders>
              <w:top w:val="single" w:sz="4" w:space="0" w:color="auto"/>
              <w:left w:val="nil"/>
              <w:bottom w:val="single" w:sz="4" w:space="0" w:color="auto"/>
              <w:right w:val="single" w:sz="4" w:space="0" w:color="auto"/>
            </w:tcBorders>
            <w:shd w:val="clear" w:color="auto" w:fill="C6EFCE"/>
            <w:noWrap/>
          </w:tcPr>
          <w:p w14:paraId="1C59E466"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1275" w:type="dxa"/>
            <w:tcBorders>
              <w:top w:val="single" w:sz="4" w:space="0" w:color="auto"/>
              <w:left w:val="nil"/>
              <w:bottom w:val="single" w:sz="4" w:space="0" w:color="auto"/>
              <w:right w:val="single" w:sz="4" w:space="0" w:color="auto"/>
            </w:tcBorders>
            <w:shd w:val="clear" w:color="auto" w:fill="C6EFCE"/>
            <w:noWrap/>
          </w:tcPr>
          <w:p w14:paraId="3F9BEB35"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5B9B1509"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Q4</w:t>
            </w:r>
          </w:p>
        </w:tc>
        <w:tc>
          <w:tcPr>
            <w:tcW w:w="838" w:type="dxa"/>
            <w:tcBorders>
              <w:top w:val="single" w:sz="4" w:space="0" w:color="auto"/>
              <w:left w:val="nil"/>
              <w:bottom w:val="single" w:sz="4" w:space="0" w:color="auto"/>
              <w:right w:val="single" w:sz="4" w:space="0" w:color="auto"/>
            </w:tcBorders>
            <w:shd w:val="clear" w:color="auto" w:fill="C6EFCE"/>
            <w:noWrap/>
          </w:tcPr>
          <w:p w14:paraId="6782F0BB"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2021</w:t>
            </w:r>
          </w:p>
        </w:tc>
        <w:tc>
          <w:tcPr>
            <w:tcW w:w="3510" w:type="dxa"/>
            <w:tcBorders>
              <w:top w:val="single" w:sz="4" w:space="0" w:color="auto"/>
              <w:left w:val="nil"/>
              <w:bottom w:val="single" w:sz="4" w:space="0" w:color="auto"/>
              <w:right w:val="single" w:sz="4" w:space="0" w:color="auto"/>
            </w:tcBorders>
            <w:shd w:val="clear" w:color="auto" w:fill="C6EFCE"/>
            <w:noWrap/>
          </w:tcPr>
          <w:p w14:paraId="255A1671"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The approved strategy and action plan shall identify responsible authorities/actors, deadlines for implementation, financial allocations and indicators. At the same time, the Minister of Transport and Infrastructure together with C.N.C.F. C.F.R. SA shall define a mechanism with clear indicators and criteria for prioritising rail infrastructure investments, as well as the institutional arrangements necessary for the implementation of this mechanism and the preparation of investment projects.</w:t>
            </w:r>
          </w:p>
          <w:p w14:paraId="0C1BC518"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Adoption of the action plan for the development of railway infrastructure 2021-2025 which shall include:</w:t>
            </w:r>
          </w:p>
          <w:p w14:paraId="2064ED9B"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a system with indicators for prioritising investments;</w:t>
            </w:r>
          </w:p>
          <w:p w14:paraId="5AFC1C83"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a structure responsible for project preparation;</w:t>
            </w:r>
          </w:p>
          <w:p w14:paraId="14DEB931"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measures to increase rail freight traffic by a minimum of 25% in 2026 compared to 2020;</w:t>
            </w:r>
          </w:p>
          <w:p w14:paraId="3F7339FC" w14:textId="77777777" w:rsidR="004C590F" w:rsidRPr="00BE3F16" w:rsidRDefault="004C590F" w:rsidP="004C590F">
            <w:pPr>
              <w:numPr>
                <w:ilvl w:val="0"/>
                <w:numId w:val="8"/>
              </w:numPr>
              <w:spacing w:after="0" w:line="240" w:lineRule="auto"/>
              <w:ind w:left="250" w:hanging="218"/>
              <w:contextualSpacing/>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dedicated measures in view of reaching a target of an increase in the number of railways passengers by an average of 25% compared with 2021 baseline;</w:t>
            </w:r>
          </w:p>
          <w:p w14:paraId="42844054"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measures to increase the use of newly-acquired rolling stock;</w:t>
            </w:r>
          </w:p>
          <w:p w14:paraId="66A4B0CD"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measures to shift passengers from buses/minibuses to railways on shuttle routes.</w:t>
            </w:r>
          </w:p>
          <w:p w14:paraId="571FA3F4"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The Ministry of Transport and Infrastructure shall also approve the Investment Plan for the development of transport infrastructure for the period 2020-2030, which shall prioritise rail investments and ERTMS operationalization according to the Recovery and Resilience Plan, thus updating the strategy for the development of railway infrastructure in the light of all available sources of financing.</w:t>
            </w:r>
          </w:p>
        </w:tc>
      </w:tr>
      <w:tr w:rsidR="004C590F" w:rsidRPr="00BE3F16" w14:paraId="11D1E543" w14:textId="77777777" w:rsidTr="00E13B73">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33F6A698" w14:textId="77777777" w:rsidR="004C590F" w:rsidRPr="00BE3F16" w:rsidRDefault="004C590F">
            <w:pPr>
              <w:spacing w:after="0" w:line="240" w:lineRule="auto"/>
              <w:jc w:val="cente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75b</w:t>
            </w:r>
          </w:p>
        </w:tc>
        <w:tc>
          <w:tcPr>
            <w:tcW w:w="1788" w:type="dxa"/>
            <w:tcBorders>
              <w:top w:val="single" w:sz="4" w:space="0" w:color="auto"/>
              <w:left w:val="nil"/>
              <w:bottom w:val="single" w:sz="4" w:space="0" w:color="auto"/>
              <w:right w:val="single" w:sz="4" w:space="0" w:color="auto"/>
            </w:tcBorders>
            <w:shd w:val="clear" w:color="auto" w:fill="C6EFCE"/>
            <w:noWrap/>
          </w:tcPr>
          <w:p w14:paraId="1861F25B" w14:textId="77777777" w:rsidR="004C590F" w:rsidRPr="00BE3F16" w:rsidRDefault="004C590F">
            <w:pPr>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Investment 1a. Modernisation and/or upgrading of railway infrastructure</w:t>
            </w:r>
          </w:p>
          <w:p w14:paraId="009B5E6F" w14:textId="77777777" w:rsidR="004C590F" w:rsidRPr="00BE3F16" w:rsidRDefault="004C590F">
            <w:pPr>
              <w:spacing w:after="0" w:line="240" w:lineRule="auto"/>
              <w:jc w:val="both"/>
              <w:rPr>
                <w:rFonts w:ascii="Times New Roman" w:hAnsi="Times New Roman" w:cs="Times New Roman"/>
                <w:noProof/>
                <w:sz w:val="20"/>
                <w:szCs w:val="20"/>
                <w:lang w:val="en-GB"/>
              </w:rPr>
            </w:pPr>
          </w:p>
        </w:tc>
        <w:tc>
          <w:tcPr>
            <w:tcW w:w="1004" w:type="dxa"/>
            <w:tcBorders>
              <w:top w:val="single" w:sz="4" w:space="0" w:color="auto"/>
              <w:left w:val="nil"/>
              <w:bottom w:val="single" w:sz="4" w:space="0" w:color="auto"/>
              <w:right w:val="single" w:sz="4" w:space="0" w:color="auto"/>
            </w:tcBorders>
            <w:shd w:val="clear" w:color="auto" w:fill="C6EFCE"/>
            <w:noWrap/>
          </w:tcPr>
          <w:p w14:paraId="638285D7" w14:textId="09ED2D86" w:rsidR="004C590F" w:rsidRPr="00BE3F16" w:rsidRDefault="00E13B73">
            <w:pPr>
              <w:spacing w:after="0" w:line="240" w:lineRule="auto"/>
              <w:jc w:val="cente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T</w:t>
            </w:r>
            <w:r w:rsidR="008A021B">
              <w:rPr>
                <w:rFonts w:ascii="Times New Roman" w:hAnsi="Times New Roman" w:cs="Times New Roman"/>
                <w:noProof/>
                <w:sz w:val="20"/>
                <w:szCs w:val="20"/>
                <w:lang w:val="en-GB"/>
              </w:rPr>
              <w:t>arget</w:t>
            </w:r>
          </w:p>
        </w:tc>
        <w:tc>
          <w:tcPr>
            <w:tcW w:w="1653" w:type="dxa"/>
            <w:tcBorders>
              <w:top w:val="single" w:sz="4" w:space="0" w:color="auto"/>
              <w:left w:val="nil"/>
              <w:bottom w:val="single" w:sz="4" w:space="0" w:color="auto"/>
              <w:right w:val="single" w:sz="4" w:space="0" w:color="auto"/>
            </w:tcBorders>
            <w:shd w:val="clear" w:color="auto" w:fill="C6EFCE"/>
            <w:noWrap/>
          </w:tcPr>
          <w:p w14:paraId="215567D1" w14:textId="77777777" w:rsidR="004C590F" w:rsidRPr="00BE3F16" w:rsidRDefault="004C590F">
            <w:pPr>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Modernised and/or upgraded railway infrastructure delivered</w:t>
            </w:r>
          </w:p>
          <w:p w14:paraId="647C92A4" w14:textId="77777777" w:rsidR="004C590F" w:rsidRPr="00BE3F16" w:rsidRDefault="004C590F">
            <w:pPr>
              <w:spacing w:after="0" w:line="240" w:lineRule="auto"/>
              <w:jc w:val="both"/>
              <w:rPr>
                <w:rFonts w:ascii="Times New Roman" w:hAnsi="Times New Roman" w:cs="Times New Roman"/>
                <w:noProof/>
                <w:sz w:val="20"/>
                <w:szCs w:val="20"/>
                <w:lang w:val="en-GB"/>
              </w:rPr>
            </w:pPr>
          </w:p>
        </w:tc>
        <w:tc>
          <w:tcPr>
            <w:tcW w:w="1800" w:type="dxa"/>
            <w:tcBorders>
              <w:top w:val="single" w:sz="4" w:space="0" w:color="auto"/>
              <w:left w:val="nil"/>
              <w:bottom w:val="single" w:sz="4" w:space="0" w:color="auto"/>
              <w:right w:val="single" w:sz="4" w:space="0" w:color="auto"/>
            </w:tcBorders>
            <w:shd w:val="clear" w:color="auto" w:fill="C6EFCE"/>
            <w:noWrap/>
          </w:tcPr>
          <w:p w14:paraId="1A1295FE" w14:textId="77777777" w:rsidR="004C590F" w:rsidRPr="00BE3F16" w:rsidRDefault="004C590F">
            <w:pPr>
              <w:jc w:val="both"/>
              <w:rPr>
                <w:rFonts w:ascii="Times New Roman" w:eastAsia="Times New Roman" w:hAnsi="Times New Roman" w:cs="Times New Roman"/>
                <w:noProof/>
                <w:sz w:val="20"/>
                <w:szCs w:val="20"/>
                <w:lang w:val="en-GB" w:eastAsia="en-GB"/>
              </w:rPr>
            </w:pPr>
            <w:r w:rsidRPr="00BE3F16">
              <w:rPr>
                <w:rFonts w:ascii="Times New Roman" w:hAnsi="Times New Roman" w:cs="Times New Roman"/>
                <w:noProof/>
                <w:sz w:val="20"/>
                <w:szCs w:val="20"/>
                <w:lang w:val="en-GB"/>
              </w:rPr>
              <w:t>Modernised and/or upgraded railway infrastructure delivered</w:t>
            </w:r>
          </w:p>
          <w:p w14:paraId="5610E0C7" w14:textId="77777777" w:rsidR="004C590F" w:rsidRPr="00BE3F16" w:rsidRDefault="004C590F">
            <w:pPr>
              <w:spacing w:after="0"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608C1246"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851" w:type="dxa"/>
            <w:tcBorders>
              <w:top w:val="single" w:sz="4" w:space="0" w:color="auto"/>
              <w:left w:val="nil"/>
              <w:bottom w:val="single" w:sz="4" w:space="0" w:color="auto"/>
              <w:right w:val="single" w:sz="4" w:space="0" w:color="auto"/>
            </w:tcBorders>
            <w:shd w:val="clear" w:color="auto" w:fill="C6EFCE"/>
            <w:noWrap/>
          </w:tcPr>
          <w:p w14:paraId="78A5FB6A"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r w:rsidRPr="00BE3F16">
              <w:rPr>
                <w:rFonts w:ascii="Times New Roman" w:eastAsia="Times New Roman" w:hAnsi="Times New Roman" w:cs="Times New Roman"/>
                <w:noProof/>
                <w:sz w:val="20"/>
                <w:szCs w:val="20"/>
                <w:lang w:val="en-GB" w:eastAsia="en-GB"/>
              </w:rPr>
              <w:t>0</w:t>
            </w:r>
          </w:p>
        </w:tc>
        <w:tc>
          <w:tcPr>
            <w:tcW w:w="1275" w:type="dxa"/>
            <w:tcBorders>
              <w:top w:val="single" w:sz="4" w:space="0" w:color="auto"/>
              <w:left w:val="nil"/>
              <w:bottom w:val="single" w:sz="4" w:space="0" w:color="auto"/>
              <w:right w:val="single" w:sz="4" w:space="0" w:color="auto"/>
            </w:tcBorders>
            <w:shd w:val="clear" w:color="auto" w:fill="C6EFCE"/>
            <w:noWrap/>
          </w:tcPr>
          <w:p w14:paraId="12AB189B" w14:textId="38B776E4"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r w:rsidRPr="00BE3F16">
              <w:rPr>
                <w:rFonts w:ascii="Times New Roman" w:eastAsia="Times New Roman" w:hAnsi="Times New Roman" w:cs="Times New Roman"/>
                <w:noProof/>
                <w:sz w:val="20"/>
                <w:szCs w:val="20"/>
                <w:lang w:val="en-GB" w:eastAsia="en-GB"/>
              </w:rPr>
              <w:t>561</w:t>
            </w:r>
            <w:r w:rsidR="00E13B73" w:rsidRPr="00BE3F16">
              <w:rPr>
                <w:rFonts w:ascii="Times New Roman" w:hAnsi="Times New Roman" w:cs="Times New Roman"/>
                <w:noProof/>
                <w:sz w:val="20"/>
                <w:szCs w:val="20"/>
                <w:lang w:val="en-GB"/>
              </w:rPr>
              <w:t> </w:t>
            </w:r>
            <w:r w:rsidRPr="00BE3F16">
              <w:rPr>
                <w:rFonts w:ascii="Times New Roman" w:eastAsia="Times New Roman" w:hAnsi="Times New Roman" w:cs="Times New Roman"/>
                <w:noProof/>
                <w:sz w:val="20"/>
                <w:szCs w:val="20"/>
                <w:lang w:val="en-GB" w:eastAsia="en-GB"/>
              </w:rPr>
              <w:t>870</w:t>
            </w:r>
            <w:r w:rsidR="00E13B73" w:rsidRPr="00BE3F16">
              <w:rPr>
                <w:rFonts w:ascii="Times New Roman" w:hAnsi="Times New Roman" w:cs="Times New Roman"/>
                <w:noProof/>
                <w:sz w:val="20"/>
                <w:szCs w:val="20"/>
                <w:lang w:val="en-GB"/>
              </w:rPr>
              <w:t> </w:t>
            </w:r>
            <w:r w:rsidRPr="00BE3F16">
              <w:rPr>
                <w:rFonts w:ascii="Times New Roman" w:eastAsia="Times New Roman" w:hAnsi="Times New Roman" w:cs="Times New Roman"/>
                <w:noProof/>
                <w:sz w:val="20"/>
                <w:szCs w:val="20"/>
                <w:lang w:val="en-GB" w:eastAsia="en-GB"/>
              </w:rPr>
              <w:t>000</w:t>
            </w:r>
          </w:p>
        </w:tc>
        <w:tc>
          <w:tcPr>
            <w:tcW w:w="993" w:type="dxa"/>
            <w:tcBorders>
              <w:top w:val="single" w:sz="4" w:space="0" w:color="auto"/>
              <w:left w:val="nil"/>
              <w:bottom w:val="single" w:sz="4" w:space="0" w:color="auto"/>
              <w:right w:val="single" w:sz="4" w:space="0" w:color="auto"/>
            </w:tcBorders>
            <w:shd w:val="clear" w:color="auto" w:fill="C6EFCE"/>
            <w:noWrap/>
          </w:tcPr>
          <w:p w14:paraId="48DBB8F7" w14:textId="77777777" w:rsidR="004C590F" w:rsidRPr="00BE3F16" w:rsidRDefault="004C590F">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Q2</w:t>
            </w:r>
          </w:p>
        </w:tc>
        <w:tc>
          <w:tcPr>
            <w:tcW w:w="838" w:type="dxa"/>
            <w:tcBorders>
              <w:top w:val="single" w:sz="4" w:space="0" w:color="auto"/>
              <w:left w:val="nil"/>
              <w:bottom w:val="single" w:sz="4" w:space="0" w:color="auto"/>
              <w:right w:val="single" w:sz="4" w:space="0" w:color="auto"/>
            </w:tcBorders>
            <w:shd w:val="clear" w:color="auto" w:fill="C6EFCE"/>
            <w:noWrap/>
          </w:tcPr>
          <w:p w14:paraId="3053C096" w14:textId="77777777" w:rsidR="004C590F" w:rsidRPr="00BE3F16" w:rsidRDefault="004C590F">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2026</w:t>
            </w:r>
          </w:p>
        </w:tc>
        <w:tc>
          <w:tcPr>
            <w:tcW w:w="3510" w:type="dxa"/>
            <w:tcBorders>
              <w:top w:val="single" w:sz="4" w:space="0" w:color="auto"/>
              <w:left w:val="nil"/>
              <w:bottom w:val="single" w:sz="4" w:space="0" w:color="auto"/>
              <w:right w:val="single" w:sz="4" w:space="0" w:color="auto"/>
            </w:tcBorders>
            <w:shd w:val="clear" w:color="auto" w:fill="C6EFCE"/>
            <w:noWrap/>
          </w:tcPr>
          <w:p w14:paraId="38F7B46F" w14:textId="2EEA455E" w:rsidR="004C590F" w:rsidRPr="00BE3F16" w:rsidRDefault="004C590F" w:rsidP="00BE3F16">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 Confirmation through payment certificates that a total amount of</w:t>
            </w:r>
            <w:r w:rsidR="00D23D91" w:rsidRPr="00BE3F16">
              <w:rPr>
                <w:rFonts w:ascii="Times New Roman" w:hAnsi="Times New Roman" w:cs="Times New Roman"/>
                <w:noProof/>
                <w:sz w:val="20"/>
                <w:szCs w:val="20"/>
                <w:lang w:val="en-GB"/>
              </w:rPr>
              <w:t xml:space="preserve"> </w:t>
            </w:r>
            <w:r w:rsidRPr="00BE3F16">
              <w:rPr>
                <w:rFonts w:ascii="Times New Roman" w:hAnsi="Times New Roman" w:cs="Times New Roman"/>
                <w:noProof/>
                <w:sz w:val="20"/>
                <w:szCs w:val="20"/>
                <w:lang w:val="en-GB"/>
              </w:rPr>
              <w:t>EUR 561,87 million have been certified for the</w:t>
            </w:r>
            <w:r w:rsidR="00D23D91" w:rsidRPr="00BE3F16">
              <w:rPr>
                <w:rFonts w:ascii="Times New Roman" w:hAnsi="Times New Roman" w:cs="Times New Roman"/>
                <w:noProof/>
                <w:sz w:val="20"/>
                <w:szCs w:val="20"/>
                <w:lang w:val="en-GB"/>
              </w:rPr>
              <w:t xml:space="preserve"> </w:t>
            </w:r>
            <w:r w:rsidRPr="00BE3F16">
              <w:rPr>
                <w:rFonts w:ascii="Times New Roman" w:hAnsi="Times New Roman" w:cs="Times New Roman"/>
                <w:noProof/>
                <w:sz w:val="20"/>
                <w:szCs w:val="20"/>
                <w:lang w:val="en-GB"/>
              </w:rPr>
              <w:t xml:space="preserve">Modernisation and/or upgrade of railway infrastructure for lot 1 and 2 of section </w:t>
            </w:r>
            <w:r w:rsidRPr="00BE3F16">
              <w:rPr>
                <w:rFonts w:ascii="Times New Roman" w:eastAsia="Aptos" w:hAnsi="Times New Roman" w:cs="Times New Roman"/>
                <w:noProof/>
                <w:sz w:val="20"/>
                <w:szCs w:val="20"/>
                <w:lang w:val="en-GB"/>
              </w:rPr>
              <w:t>Cluj-Napoca-Episcopia Bihor.</w:t>
            </w:r>
          </w:p>
        </w:tc>
      </w:tr>
      <w:tr w:rsidR="004C590F" w:rsidRPr="00BE3F16" w:rsidDel="009152BA" w14:paraId="05EB74F5" w14:textId="77777777" w:rsidTr="00E13B73">
        <w:trPr>
          <w:trHeight w:val="1128"/>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3C54F423" w14:textId="77777777" w:rsidR="004C590F" w:rsidRPr="00BE3F16" w:rsidDel="009152BA" w:rsidRDefault="004C590F">
            <w:pPr>
              <w:spacing w:after="0" w:line="240" w:lineRule="auto"/>
              <w:jc w:val="cente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530</w:t>
            </w:r>
          </w:p>
        </w:tc>
        <w:tc>
          <w:tcPr>
            <w:tcW w:w="1788" w:type="dxa"/>
            <w:tcBorders>
              <w:top w:val="single" w:sz="4" w:space="0" w:color="auto"/>
              <w:left w:val="nil"/>
              <w:bottom w:val="single" w:sz="4" w:space="0" w:color="auto"/>
              <w:right w:val="single" w:sz="4" w:space="0" w:color="auto"/>
            </w:tcBorders>
            <w:shd w:val="clear" w:color="auto" w:fill="C6EFCE"/>
            <w:noWrap/>
          </w:tcPr>
          <w:p w14:paraId="2226B06B" w14:textId="6860337F" w:rsidR="004C590F" w:rsidRPr="00BE3F16" w:rsidDel="009152BA" w:rsidRDefault="004C590F">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I</w:t>
            </w:r>
            <w:r w:rsidR="0002758A">
              <w:rPr>
                <w:rFonts w:ascii="Times New Roman" w:hAnsi="Times New Roman" w:cs="Times New Roman"/>
                <w:noProof/>
                <w:sz w:val="20"/>
                <w:szCs w:val="20"/>
                <w:lang w:val="en-GB"/>
              </w:rPr>
              <w:t xml:space="preserve">nvestment </w:t>
            </w:r>
            <w:r w:rsidRPr="00BE3F16">
              <w:rPr>
                <w:rFonts w:ascii="Times New Roman" w:hAnsi="Times New Roman" w:cs="Times New Roman"/>
                <w:noProof/>
                <w:sz w:val="20"/>
                <w:szCs w:val="20"/>
                <w:lang w:val="en-GB"/>
              </w:rPr>
              <w:t>3 a). Increasing the sustainability of road infrastructure on TEN-T network, road charging, traffic management and road safety</w:t>
            </w:r>
          </w:p>
        </w:tc>
        <w:tc>
          <w:tcPr>
            <w:tcW w:w="1004" w:type="dxa"/>
            <w:tcBorders>
              <w:top w:val="single" w:sz="4" w:space="0" w:color="auto"/>
              <w:left w:val="nil"/>
              <w:bottom w:val="single" w:sz="4" w:space="0" w:color="auto"/>
              <w:right w:val="single" w:sz="4" w:space="0" w:color="auto"/>
            </w:tcBorders>
            <w:shd w:val="clear" w:color="auto" w:fill="C6EFCE"/>
            <w:noWrap/>
          </w:tcPr>
          <w:p w14:paraId="414ABA35" w14:textId="77777777" w:rsidR="004C590F" w:rsidRPr="00BE3F16" w:rsidDel="009152BA" w:rsidRDefault="004C590F">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Milestone</w:t>
            </w:r>
          </w:p>
        </w:tc>
        <w:tc>
          <w:tcPr>
            <w:tcW w:w="1653" w:type="dxa"/>
            <w:tcBorders>
              <w:top w:val="single" w:sz="4" w:space="0" w:color="auto"/>
              <w:left w:val="nil"/>
              <w:bottom w:val="single" w:sz="4" w:space="0" w:color="auto"/>
              <w:right w:val="single" w:sz="4" w:space="0" w:color="auto"/>
            </w:tcBorders>
            <w:shd w:val="clear" w:color="auto" w:fill="C6EFCE"/>
            <w:noWrap/>
          </w:tcPr>
          <w:p w14:paraId="6AD66C14" w14:textId="77777777" w:rsidR="004C590F" w:rsidRPr="00BE3F16" w:rsidDel="009152BA" w:rsidRDefault="004C590F">
            <w:pPr>
              <w:spacing w:after="0" w:line="240" w:lineRule="auto"/>
              <w:jc w:val="both"/>
              <w:rPr>
                <w:rFonts w:ascii="Times New Roman" w:hAnsi="Times New Roman" w:cs="Times New Roman"/>
                <w:noProof/>
                <w:sz w:val="20"/>
                <w:szCs w:val="20"/>
              </w:rPr>
            </w:pPr>
            <w:r w:rsidRPr="00BE3F16">
              <w:rPr>
                <w:rFonts w:ascii="Times New Roman" w:hAnsi="Times New Roman" w:cs="Times New Roman"/>
                <w:noProof/>
                <w:sz w:val="20"/>
                <w:szCs w:val="20"/>
                <w:lang w:val="en-GB"/>
              </w:rPr>
              <w:t>Construction of new roads</w:t>
            </w:r>
            <w:r w:rsidRPr="00BE3F16">
              <w:rPr>
                <w:rFonts w:ascii="Times New Roman" w:hAnsi="Times New Roman" w:cs="Times New Roman"/>
                <w:noProof/>
                <w:sz w:val="20"/>
                <w:szCs w:val="20"/>
              </w:rPr>
              <w:t xml:space="preserve"> </w:t>
            </w:r>
          </w:p>
        </w:tc>
        <w:tc>
          <w:tcPr>
            <w:tcW w:w="1800" w:type="dxa"/>
            <w:tcBorders>
              <w:top w:val="single" w:sz="4" w:space="0" w:color="auto"/>
              <w:left w:val="nil"/>
              <w:bottom w:val="single" w:sz="4" w:space="0" w:color="auto"/>
              <w:right w:val="single" w:sz="4" w:space="0" w:color="auto"/>
            </w:tcBorders>
            <w:shd w:val="clear" w:color="auto" w:fill="C6EFCE"/>
            <w:noWrap/>
          </w:tcPr>
          <w:p w14:paraId="3EFD1987" w14:textId="77777777" w:rsidR="004C590F" w:rsidRPr="00BE3F16" w:rsidDel="009152BA" w:rsidRDefault="004C590F">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rPr>
              <w:t>New roads constructed</w:t>
            </w:r>
          </w:p>
        </w:tc>
        <w:tc>
          <w:tcPr>
            <w:tcW w:w="1225" w:type="dxa"/>
            <w:tcBorders>
              <w:top w:val="single" w:sz="4" w:space="0" w:color="auto"/>
              <w:left w:val="nil"/>
              <w:bottom w:val="single" w:sz="4" w:space="0" w:color="auto"/>
              <w:right w:val="single" w:sz="4" w:space="0" w:color="auto"/>
            </w:tcBorders>
            <w:shd w:val="clear" w:color="auto" w:fill="C6EFCE"/>
            <w:noWrap/>
          </w:tcPr>
          <w:p w14:paraId="0EC91701" w14:textId="77777777" w:rsidR="004C590F" w:rsidRPr="00BE3F16" w:rsidDel="009152BA" w:rsidRDefault="004C590F">
            <w:pPr>
              <w:spacing w:after="0" w:line="240" w:lineRule="auto"/>
              <w:jc w:val="both"/>
              <w:rPr>
                <w:rFonts w:ascii="Times New Roman" w:hAnsi="Times New Roman" w:cs="Times New Roman"/>
                <w:noProof/>
                <w:sz w:val="20"/>
                <w:szCs w:val="20"/>
                <w:lang w:val="en-GB"/>
              </w:rPr>
            </w:pPr>
          </w:p>
        </w:tc>
        <w:tc>
          <w:tcPr>
            <w:tcW w:w="851" w:type="dxa"/>
            <w:tcBorders>
              <w:top w:val="single" w:sz="4" w:space="0" w:color="auto"/>
              <w:left w:val="nil"/>
              <w:bottom w:val="single" w:sz="4" w:space="0" w:color="auto"/>
              <w:right w:val="single" w:sz="4" w:space="0" w:color="auto"/>
            </w:tcBorders>
            <w:shd w:val="clear" w:color="auto" w:fill="C6EFCE"/>
            <w:noWrap/>
          </w:tcPr>
          <w:p w14:paraId="5384355D" w14:textId="77777777" w:rsidR="004C590F" w:rsidRPr="00BE3F16" w:rsidDel="009152BA" w:rsidRDefault="004C590F">
            <w:pPr>
              <w:spacing w:after="0" w:line="240" w:lineRule="auto"/>
              <w:jc w:val="both"/>
              <w:rPr>
                <w:rFonts w:ascii="Times New Roman" w:hAnsi="Times New Roman" w:cs="Times New Roman"/>
                <w:noProof/>
                <w:sz w:val="20"/>
                <w:szCs w:val="20"/>
                <w:lang w:val="en-GB"/>
              </w:rPr>
            </w:pPr>
          </w:p>
        </w:tc>
        <w:tc>
          <w:tcPr>
            <w:tcW w:w="1275" w:type="dxa"/>
            <w:tcBorders>
              <w:top w:val="single" w:sz="4" w:space="0" w:color="auto"/>
              <w:left w:val="nil"/>
              <w:bottom w:val="single" w:sz="4" w:space="0" w:color="auto"/>
              <w:right w:val="single" w:sz="4" w:space="0" w:color="auto"/>
            </w:tcBorders>
            <w:shd w:val="clear" w:color="auto" w:fill="C6EFCE"/>
            <w:noWrap/>
          </w:tcPr>
          <w:p w14:paraId="12000CE0" w14:textId="77777777" w:rsidR="004C590F" w:rsidRPr="00BE3F16" w:rsidDel="009152BA" w:rsidRDefault="004C590F">
            <w:pPr>
              <w:spacing w:after="0" w:line="240" w:lineRule="auto"/>
              <w:jc w:val="both"/>
              <w:rPr>
                <w:rFonts w:ascii="Times New Roman" w:hAnsi="Times New Roman" w:cs="Times New Roman"/>
                <w:noProof/>
                <w:sz w:val="20"/>
                <w:szCs w:val="20"/>
                <w:lang w:val="en-GB"/>
              </w:rPr>
            </w:pPr>
          </w:p>
        </w:tc>
        <w:tc>
          <w:tcPr>
            <w:tcW w:w="993" w:type="dxa"/>
            <w:tcBorders>
              <w:top w:val="single" w:sz="4" w:space="0" w:color="auto"/>
              <w:left w:val="nil"/>
              <w:bottom w:val="single" w:sz="4" w:space="0" w:color="auto"/>
              <w:right w:val="single" w:sz="4" w:space="0" w:color="auto"/>
            </w:tcBorders>
            <w:shd w:val="clear" w:color="auto" w:fill="C6EFCE"/>
            <w:noWrap/>
          </w:tcPr>
          <w:p w14:paraId="26FAA9EB" w14:textId="77777777" w:rsidR="004C590F" w:rsidRPr="00BE3F16" w:rsidDel="009152BA" w:rsidRDefault="004C590F">
            <w:pPr>
              <w:spacing w:after="0" w:line="240" w:lineRule="auto"/>
              <w:jc w:val="cente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Q2</w:t>
            </w:r>
          </w:p>
        </w:tc>
        <w:tc>
          <w:tcPr>
            <w:tcW w:w="838" w:type="dxa"/>
            <w:tcBorders>
              <w:top w:val="single" w:sz="4" w:space="0" w:color="auto"/>
              <w:left w:val="nil"/>
              <w:bottom w:val="single" w:sz="4" w:space="0" w:color="auto"/>
              <w:right w:val="single" w:sz="4" w:space="0" w:color="auto"/>
            </w:tcBorders>
            <w:shd w:val="clear" w:color="auto" w:fill="C6EFCE"/>
            <w:noWrap/>
          </w:tcPr>
          <w:p w14:paraId="79556D37" w14:textId="77777777" w:rsidR="004C590F" w:rsidRPr="00BE3F16" w:rsidDel="009152BA" w:rsidRDefault="004C590F">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2026</w:t>
            </w:r>
          </w:p>
        </w:tc>
        <w:tc>
          <w:tcPr>
            <w:tcW w:w="3510" w:type="dxa"/>
            <w:tcBorders>
              <w:top w:val="single" w:sz="4" w:space="0" w:color="auto"/>
              <w:left w:val="nil"/>
              <w:bottom w:val="single" w:sz="4" w:space="0" w:color="auto"/>
              <w:right w:val="single" w:sz="4" w:space="0" w:color="auto"/>
            </w:tcBorders>
            <w:shd w:val="clear" w:color="auto" w:fill="C6EFCE"/>
            <w:noWrap/>
          </w:tcPr>
          <w:p w14:paraId="15A1DA3F" w14:textId="1BFE307D" w:rsidR="00ED6D02" w:rsidRPr="00BE3F16" w:rsidRDefault="004C590F">
            <w:pPr>
              <w:spacing w:after="0"/>
              <w:jc w:val="both"/>
              <w:rPr>
                <w:rFonts w:ascii="Times New Roman" w:hAnsi="Times New Roman" w:cs="Times New Roman"/>
                <w:noProof/>
                <w:sz w:val="20"/>
                <w:szCs w:val="20"/>
                <w:lang w:val="en-GB"/>
              </w:rPr>
            </w:pPr>
            <w:r w:rsidRPr="00BE3F16">
              <w:rPr>
                <w:rFonts w:ascii="Times New Roman" w:hAnsi="Times New Roman" w:cs="Times New Roman"/>
                <w:noProof/>
                <w:sz w:val="20"/>
                <w:szCs w:val="20"/>
              </w:rPr>
              <w:t>Work completion reception certificates</w:t>
            </w:r>
            <w:r w:rsidRPr="00BE3F16">
              <w:rPr>
                <w:rFonts w:ascii="Times New Roman" w:hAnsi="Times New Roman" w:cs="Times New Roman"/>
                <w:noProof/>
                <w:sz w:val="20"/>
                <w:szCs w:val="20"/>
                <w:lang w:val="en-GB"/>
              </w:rPr>
              <w:t xml:space="preserve"> signed by the contracting authority proving that 95,9</w:t>
            </w:r>
            <w:r w:rsidR="00D23D91" w:rsidRPr="00BE3F16">
              <w:rPr>
                <w:rFonts w:ascii="Times New Roman" w:hAnsi="Times New Roman" w:cs="Times New Roman"/>
                <w:noProof/>
                <w:sz w:val="20"/>
                <w:szCs w:val="20"/>
                <w:lang w:val="en-GB"/>
              </w:rPr>
              <w:t xml:space="preserve"> </w:t>
            </w:r>
            <w:r w:rsidRPr="00BE3F16">
              <w:rPr>
                <w:rFonts w:ascii="Times New Roman" w:hAnsi="Times New Roman" w:cs="Times New Roman"/>
                <w:noProof/>
                <w:sz w:val="20"/>
                <w:szCs w:val="20"/>
                <w:lang w:val="en-GB"/>
              </w:rPr>
              <w:t xml:space="preserve">km of road infrastructure- motorways – A7, Focsani – Bacau section - were constructed. </w:t>
            </w:r>
          </w:p>
          <w:p w14:paraId="5FB9EEF5" w14:textId="77777777" w:rsidR="00ED6D02" w:rsidRPr="00BE3F16" w:rsidRDefault="00ED6D02">
            <w:pPr>
              <w:spacing w:after="0"/>
              <w:jc w:val="both"/>
              <w:rPr>
                <w:rFonts w:ascii="Times New Roman" w:hAnsi="Times New Roman" w:cs="Times New Roman"/>
                <w:noProof/>
                <w:sz w:val="20"/>
                <w:szCs w:val="20"/>
                <w:lang w:val="en-GB"/>
              </w:rPr>
            </w:pPr>
          </w:p>
          <w:p w14:paraId="5D4BD6CF" w14:textId="39112AB0" w:rsidR="004C590F" w:rsidRPr="00BE3F16" w:rsidRDefault="004C590F">
            <w:pPr>
              <w:spacing w:after="0"/>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Intelligent Traffic System (ITS)</w:t>
            </w:r>
            <w:r w:rsidR="00ED6D02" w:rsidRPr="00BE3F16">
              <w:rPr>
                <w:rFonts w:ascii="Times New Roman" w:hAnsi="Times New Roman" w:cs="Times New Roman"/>
                <w:noProof/>
                <w:sz w:val="20"/>
                <w:szCs w:val="20"/>
                <w:lang w:val="en-GB"/>
              </w:rPr>
              <w:t>: new section of motorways equipped with the new ITS and ITS elements for the Romanian motorways network.</w:t>
            </w:r>
          </w:p>
          <w:p w14:paraId="417C988B" w14:textId="77777777" w:rsidR="004C590F" w:rsidRPr="00BE3F16" w:rsidRDefault="004C590F">
            <w:pPr>
              <w:spacing w:after="0"/>
              <w:jc w:val="both"/>
              <w:rPr>
                <w:rFonts w:ascii="Times New Roman" w:hAnsi="Times New Roman" w:cs="Times New Roman"/>
                <w:noProof/>
                <w:sz w:val="20"/>
                <w:szCs w:val="20"/>
                <w:lang w:val="en-GB"/>
              </w:rPr>
            </w:pPr>
          </w:p>
          <w:p w14:paraId="63F4E210" w14:textId="77777777" w:rsidR="004C590F" w:rsidRPr="00BE3F16" w:rsidRDefault="004C590F">
            <w:pPr>
              <w:spacing w:after="0"/>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Infrastructure for electric recharging stations.</w:t>
            </w:r>
          </w:p>
          <w:p w14:paraId="44916A49" w14:textId="77777777" w:rsidR="004C590F" w:rsidRPr="00BE3F16" w:rsidRDefault="004C590F">
            <w:pPr>
              <w:spacing w:after="0"/>
              <w:jc w:val="both"/>
              <w:rPr>
                <w:rFonts w:ascii="Times New Roman" w:hAnsi="Times New Roman" w:cs="Times New Roman"/>
                <w:noProof/>
                <w:sz w:val="20"/>
                <w:szCs w:val="20"/>
                <w:lang w:val="en-GB"/>
              </w:rPr>
            </w:pPr>
          </w:p>
          <w:p w14:paraId="19A750A2" w14:textId="17E26EBF" w:rsidR="004C590F" w:rsidRPr="00BE3F16" w:rsidDel="009152BA" w:rsidRDefault="004C590F">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Forest curtains:</w:t>
            </w:r>
            <w:r w:rsidR="00D23D91" w:rsidRPr="00BE3F16">
              <w:rPr>
                <w:rFonts w:ascii="Times New Roman" w:hAnsi="Times New Roman" w:cs="Times New Roman"/>
                <w:noProof/>
                <w:sz w:val="20"/>
                <w:szCs w:val="20"/>
                <w:lang w:val="en-GB"/>
              </w:rPr>
              <w:t xml:space="preserve"> </w:t>
            </w:r>
            <w:r w:rsidRPr="00BE3F16">
              <w:rPr>
                <w:rFonts w:ascii="Times New Roman" w:hAnsi="Times New Roman" w:cs="Times New Roman"/>
                <w:noProof/>
                <w:sz w:val="20"/>
                <w:szCs w:val="20"/>
                <w:lang w:val="en-GB"/>
              </w:rPr>
              <w:t>170,92 ha of trees.</w:t>
            </w:r>
          </w:p>
          <w:p w14:paraId="42CD0FB9" w14:textId="77777777" w:rsidR="004C590F" w:rsidRPr="00BE3F16" w:rsidRDefault="004C590F">
            <w:pPr>
              <w:spacing w:after="0" w:line="240" w:lineRule="auto"/>
              <w:jc w:val="both"/>
              <w:rPr>
                <w:rFonts w:ascii="Times New Roman" w:hAnsi="Times New Roman" w:cs="Times New Roman"/>
                <w:noProof/>
                <w:sz w:val="20"/>
                <w:szCs w:val="20"/>
                <w:lang w:val="en-GB"/>
              </w:rPr>
            </w:pPr>
          </w:p>
          <w:p w14:paraId="4FE100E0" w14:textId="77777777" w:rsidR="004C590F" w:rsidRPr="00BE3F16" w:rsidDel="009152BA" w:rsidRDefault="004C590F">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The satisfactory fulfilment of milestones 59, 60 and 69, related to the approval of the legal and strategical framework aiming to decrease the use of pollutingvehicles and to incentivise use of cleaner modes of transport is necessary to ensure compliance of investment 3 a) with DNSH requirements.</w:t>
            </w:r>
          </w:p>
        </w:tc>
      </w:tr>
    </w:tbl>
    <w:p w14:paraId="34F29DD7" w14:textId="77777777" w:rsidR="004C590F" w:rsidRPr="00291374" w:rsidRDefault="004C590F" w:rsidP="004C590F">
      <w:pPr>
        <w:spacing w:after="0" w:line="240" w:lineRule="auto"/>
        <w:jc w:val="both"/>
        <w:rPr>
          <w:rFonts w:ascii="Times New Roman" w:eastAsia="Times New Roman" w:hAnsi="Times New Roman" w:cs="Times New Roman"/>
          <w:noProof/>
          <w:lang w:val="en-GB" w:eastAsia="en-GB"/>
        </w:rPr>
        <w:sectPr w:rsidR="004C590F" w:rsidRPr="00291374" w:rsidSect="004C590F">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p>
    <w:p w14:paraId="5A9E1BD8" w14:textId="77777777" w:rsidR="004C590F" w:rsidRPr="00291374" w:rsidRDefault="004C590F" w:rsidP="004C590F">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D.3. </w:t>
      </w:r>
      <w:r w:rsidRPr="00291374">
        <w:rPr>
          <w:rFonts w:ascii="Times New Roman" w:hAnsi="Times New Roman" w:cs="Times New Roman"/>
          <w:noProof/>
          <w:lang w:val="en-GB"/>
        </w:rPr>
        <w:tab/>
      </w:r>
      <w:r w:rsidRPr="00291374">
        <w:rPr>
          <w:rFonts w:ascii="Times New Roman" w:hAnsi="Times New Roman" w:cs="Times New Roman"/>
          <w:b/>
          <w:noProof/>
          <w:lang w:val="en-GB"/>
        </w:rPr>
        <w:t xml:space="preserve">Description of the reforms and investments for the loan </w:t>
      </w:r>
    </w:p>
    <w:p w14:paraId="7E9F0608" w14:textId="77777777" w:rsidR="004C590F" w:rsidRPr="00291374" w:rsidRDefault="004C590F" w:rsidP="004C590F">
      <w:pPr>
        <w:suppressAutoHyphens/>
        <w:autoSpaceDN w:val="0"/>
        <w:spacing w:before="240" w:after="0" w:line="240" w:lineRule="auto"/>
        <w:jc w:val="both"/>
        <w:textAlignment w:val="baseline"/>
        <w:rPr>
          <w:rFonts w:ascii="Times New Roman" w:eastAsia="NSimSun" w:hAnsi="Times New Roman" w:cs="Times New Roman"/>
          <w:noProof/>
          <w:kern w:val="3"/>
          <w:u w:val="single"/>
          <w:lang w:val="en-GB"/>
        </w:rPr>
      </w:pPr>
      <w:r w:rsidRPr="00291374">
        <w:rPr>
          <w:rFonts w:ascii="Times New Roman" w:eastAsia="NSimSun" w:hAnsi="Times New Roman" w:cs="Times New Roman"/>
          <w:noProof/>
          <w:kern w:val="3"/>
          <w:u w:val="single"/>
          <w:lang w:val="en-GB"/>
        </w:rPr>
        <w:t>Reform 2. Performance-based quality management in transport - Improving institutional capacity and corporate governance</w:t>
      </w:r>
    </w:p>
    <w:p w14:paraId="35B75592" w14:textId="77777777" w:rsidR="004C590F" w:rsidRPr="00291374" w:rsidRDefault="004C590F" w:rsidP="004C590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reform is to increase the quality of transport services by reforming the corporate governance and increasing the performance of the State-Owned Enterprises (SOEs) operating in the transport sector. </w:t>
      </w:r>
    </w:p>
    <w:p w14:paraId="555A94D5" w14:textId="77777777" w:rsidR="004C590F" w:rsidRPr="00291374" w:rsidRDefault="004C590F" w:rsidP="004C590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reform consists in interventions to increase the transparency and performance of SOEs operating in the transport sector.</w:t>
      </w:r>
    </w:p>
    <w:p w14:paraId="0F0CA492" w14:textId="77777777" w:rsidR="004C590F" w:rsidRPr="00291374" w:rsidRDefault="004C590F" w:rsidP="004C590F">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Investment 1. Modernisation</w:t>
      </w:r>
      <w:r w:rsidRPr="00291374">
        <w:rPr>
          <w:rFonts w:ascii="Times New Roman" w:eastAsia="NSimSun" w:hAnsi="Times New Roman" w:cs="Times New Roman"/>
          <w:noProof/>
          <w:u w:val="single"/>
          <w:lang w:val="en-GB"/>
        </w:rPr>
        <w:t xml:space="preserve"> and/or </w:t>
      </w:r>
      <w:r w:rsidRPr="00291374">
        <w:rPr>
          <w:rFonts w:ascii="Times New Roman" w:eastAsia="NSimSun" w:hAnsi="Times New Roman" w:cs="Times New Roman"/>
          <w:noProof/>
          <w:kern w:val="3"/>
          <w:u w:val="single"/>
          <w:lang w:val="en-GB"/>
        </w:rPr>
        <w:t>upgrading of railway infrastructure</w:t>
      </w:r>
    </w:p>
    <w:p w14:paraId="73122BCF" w14:textId="77777777" w:rsidR="004C590F" w:rsidRPr="00291374" w:rsidRDefault="004C590F" w:rsidP="004C590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“modernise” the railway infrastructure. </w:t>
      </w:r>
    </w:p>
    <w:p w14:paraId="1B279BF0" w14:textId="77777777" w:rsidR="004C590F" w:rsidRPr="00291374" w:rsidRDefault="004C590F" w:rsidP="004C590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investment consists in modernising and/or upgrading railway infrastructure.</w:t>
      </w:r>
    </w:p>
    <w:p w14:paraId="599603DA" w14:textId="77777777" w:rsidR="004C590F" w:rsidRPr="00291374" w:rsidRDefault="004C590F" w:rsidP="004C590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measure complements Investment 1a. Modernisation and/or upgrading of railway infrastructure.</w:t>
      </w:r>
    </w:p>
    <w:p w14:paraId="6B1EAED7" w14:textId="77777777" w:rsidR="004C590F" w:rsidRPr="00291374" w:rsidRDefault="004C590F" w:rsidP="004C590F">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91374">
        <w:rPr>
          <w:rFonts w:ascii="Times New Roman" w:eastAsia="NSimSun" w:hAnsi="Times New Roman" w:cs="Times New Roman"/>
          <w:noProof/>
          <w:kern w:val="3"/>
          <w:u w:val="single"/>
        </w:rPr>
        <w:t>Investment 2. Railway rolling stock</w:t>
      </w:r>
    </w:p>
    <w:p w14:paraId="1326567C" w14:textId="77777777" w:rsidR="004C590F" w:rsidRPr="00291374" w:rsidRDefault="004C590F" w:rsidP="004C590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increase the quality of public passenger transport services by rail. </w:t>
      </w:r>
    </w:p>
    <w:p w14:paraId="40D08792" w14:textId="77777777" w:rsidR="004C590F" w:rsidRPr="00291374" w:rsidRDefault="004C590F" w:rsidP="004C590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measure consists in upgrading rolling stock.</w:t>
      </w:r>
    </w:p>
    <w:p w14:paraId="1AEDD28B" w14:textId="77777777" w:rsidR="004C590F" w:rsidRPr="00291374" w:rsidRDefault="004C590F" w:rsidP="004C590F">
      <w:pPr>
        <w:suppressAutoHyphens/>
        <w:autoSpaceDN w:val="0"/>
        <w:spacing w:before="240" w:after="0" w:line="240" w:lineRule="auto"/>
        <w:jc w:val="both"/>
        <w:textAlignment w:val="baseline"/>
        <w:rPr>
          <w:rFonts w:ascii="Times New Roman" w:eastAsia="NSimSun" w:hAnsi="Times New Roman" w:cs="Times New Roman"/>
          <w:noProof/>
          <w:kern w:val="3"/>
          <w:u w:val="single"/>
          <w:lang w:val="en-GB"/>
        </w:rPr>
      </w:pPr>
      <w:r w:rsidRPr="00291374">
        <w:rPr>
          <w:rFonts w:ascii="Times New Roman" w:eastAsia="NSimSun" w:hAnsi="Times New Roman" w:cs="Times New Roman"/>
          <w:noProof/>
          <w:kern w:val="3"/>
          <w:u w:val="single"/>
          <w:lang w:val="en-GB"/>
        </w:rPr>
        <w:t xml:space="preserve">Investment 3. Increasing the sustainability of road infrastructure on TEN-T network, road charging, traffic management </w:t>
      </w:r>
    </w:p>
    <w:p w14:paraId="30B2E48E" w14:textId="77777777" w:rsidR="004C590F" w:rsidRPr="00291374" w:rsidRDefault="004C590F" w:rsidP="004C590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increase the quality and efficiency of road infrastructure. </w:t>
      </w:r>
    </w:p>
    <w:p w14:paraId="59F6EF0E" w14:textId="77777777" w:rsidR="004C590F" w:rsidRPr="00291374" w:rsidRDefault="004C590F" w:rsidP="004C590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investment consists of construction of new motorways sections.</w:t>
      </w:r>
    </w:p>
    <w:p w14:paraId="6BDE8FBF" w14:textId="2F337134" w:rsidR="004C590F" w:rsidRPr="00291374" w:rsidRDefault="004C590F" w:rsidP="004C590F">
      <w:pPr>
        <w:spacing w:before="120" w:after="120" w:line="240" w:lineRule="auto"/>
        <w:jc w:val="both"/>
        <w:rPr>
          <w:rFonts w:ascii="Times New Roman" w:eastAsia="Calibri" w:hAnsi="Times New Roman" w:cs="Times New Roman"/>
          <w:noProof/>
          <w:lang w:val="en-GB"/>
        </w:rPr>
      </w:pPr>
      <w:r w:rsidRPr="00291374">
        <w:rPr>
          <w:rFonts w:ascii="Times New Roman" w:eastAsia="Calibri" w:hAnsi="Times New Roman" w:cs="Times New Roman"/>
          <w:noProof/>
          <w:lang w:val="en-GB"/>
        </w:rPr>
        <w:t>This measure complements investment 3a – Increasing the sustainability of road infrastructure on TEN-T network, road charging, traffic management and road safety.</w:t>
      </w:r>
    </w:p>
    <w:p w14:paraId="543D8D7E" w14:textId="77777777" w:rsidR="004C590F" w:rsidRPr="00291374" w:rsidRDefault="004C590F" w:rsidP="004C590F">
      <w:pPr>
        <w:spacing w:before="120" w:after="120" w:line="240" w:lineRule="auto"/>
        <w:jc w:val="both"/>
        <w:rPr>
          <w:rFonts w:ascii="Times New Roman" w:eastAsia="NSimSun" w:hAnsi="Times New Roman" w:cs="Times New Roman"/>
          <w:noProof/>
          <w:u w:val="single"/>
          <w:lang w:val="en-GB"/>
        </w:rPr>
      </w:pPr>
      <w:r w:rsidRPr="00291374">
        <w:rPr>
          <w:rFonts w:ascii="Times New Roman" w:hAnsi="Times New Roman" w:cs="Times New Roman"/>
          <w:noProof/>
          <w:u w:val="single"/>
          <w:lang w:val="en-GB"/>
        </w:rPr>
        <w:t>Investment 5. Increasing the road safety</w:t>
      </w:r>
    </w:p>
    <w:p w14:paraId="586A0565" w14:textId="77777777" w:rsidR="004C590F" w:rsidRPr="00291374" w:rsidRDefault="004C590F" w:rsidP="004C590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u w:val="single"/>
          <w:lang w:val="en-GB" w:eastAsia="en-US"/>
        </w:rPr>
        <w:t>T</w:t>
      </w:r>
      <w:r w:rsidRPr="00291374">
        <w:rPr>
          <w:rFonts w:ascii="Times New Roman" w:hAnsi="Times New Roman" w:cs="Times New Roman"/>
          <w:noProof/>
          <w:lang w:val="en-GB"/>
        </w:rPr>
        <w:t>he objective of this investment</w:t>
      </w:r>
      <w:r w:rsidRPr="00291374">
        <w:rPr>
          <w:rFonts w:ascii="Times New Roman" w:hAnsi="Times New Roman" w:cs="Times New Roman"/>
          <w:noProof/>
          <w:lang w:val="en-GB" w:eastAsia="en-US"/>
        </w:rPr>
        <w:t xml:space="preserve"> is to increase road safety.The investments consists in the removal of part of the existing black/hotspots.</w:t>
      </w:r>
    </w:p>
    <w:p w14:paraId="765DDFBC" w14:textId="77777777" w:rsidR="004C590F" w:rsidRPr="00291374" w:rsidRDefault="004C590F" w:rsidP="004C590F">
      <w:pPr>
        <w:suppressAutoHyphens/>
        <w:autoSpaceDN w:val="0"/>
        <w:spacing w:before="240" w:after="0" w:line="240" w:lineRule="auto"/>
        <w:jc w:val="both"/>
        <w:textAlignment w:val="baseline"/>
        <w:rPr>
          <w:rFonts w:ascii="Times New Roman" w:eastAsia="NSimSun" w:hAnsi="Times New Roman" w:cs="Times New Roman"/>
          <w:noProof/>
          <w:kern w:val="3"/>
          <w:u w:val="single"/>
          <w:lang w:val="en-GB"/>
        </w:rPr>
      </w:pPr>
    </w:p>
    <w:p w14:paraId="0A5D2CA8" w14:textId="3E28B8FC" w:rsidR="004C590F" w:rsidRPr="00291374" w:rsidRDefault="00676A66" w:rsidP="004C590F">
      <w:pPr>
        <w:suppressAutoHyphens/>
        <w:autoSpaceDN w:val="0"/>
        <w:spacing w:after="0"/>
        <w:jc w:val="both"/>
        <w:textAlignment w:val="baseline"/>
        <w:rPr>
          <w:rFonts w:ascii="Times New Roman" w:eastAsia="NSimSun" w:hAnsi="Times New Roman" w:cs="Times New Roman"/>
          <w:noProof/>
          <w:kern w:val="3"/>
          <w:lang w:val="en-GB"/>
        </w:rPr>
        <w:sectPr w:rsidR="004C590F" w:rsidRPr="00291374" w:rsidSect="004C590F">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60"/>
        </w:sectPr>
      </w:pPr>
      <w:r w:rsidRPr="00291374">
        <w:rPr>
          <w:rFonts w:ascii="Times New Roman" w:eastAsia="NSimSun" w:hAnsi="Times New Roman" w:cs="Times New Roman"/>
          <w:noProof/>
          <w:kern w:val="3"/>
          <w:lang w:val="en-GB"/>
        </w:rPr>
        <w:br w:type="page"/>
      </w:r>
    </w:p>
    <w:p w14:paraId="5CD31192" w14:textId="6C73FEE3" w:rsidR="00E13B73" w:rsidRPr="00E13B73" w:rsidRDefault="004C590F" w:rsidP="00BE3F16">
      <w:pPr>
        <w:keepNext/>
        <w:spacing w:before="120" w:after="120" w:line="240" w:lineRule="auto"/>
        <w:jc w:val="both"/>
        <w:outlineLvl w:val="1"/>
        <w:rPr>
          <w:rFonts w:ascii="Times New Roman" w:eastAsiaTheme="majorEastAsia" w:hAnsi="Times New Roman" w:cs="Times New Roman"/>
          <w:noProof/>
          <w:lang w:val="en-GB"/>
        </w:rPr>
      </w:pPr>
      <w:r w:rsidRPr="00291374">
        <w:rPr>
          <w:rFonts w:ascii="Times New Roman" w:hAnsi="Times New Roman" w:cs="Times New Roman"/>
          <w:b/>
          <w:noProof/>
          <w:lang w:val="en-GB"/>
        </w:rPr>
        <w:t xml:space="preserve">D.4. </w:t>
      </w:r>
      <w:r w:rsidRPr="00291374">
        <w:rPr>
          <w:rFonts w:ascii="Times New Roman" w:hAnsi="Times New Roman" w:cs="Times New Roman"/>
          <w:noProof/>
          <w:lang w:val="en-GB"/>
        </w:rPr>
        <w:tab/>
      </w:r>
      <w:r w:rsidRPr="00291374">
        <w:rPr>
          <w:rFonts w:ascii="Times New Roman" w:hAnsi="Times New Roman" w:cs="Times New Roman"/>
          <w:b/>
          <w:noProof/>
          <w:lang w:val="en-GB"/>
        </w:rPr>
        <w:t xml:space="preserve">Milestones, targets, indicators, and timetable for monitoring and implementation for the loan </w:t>
      </w:r>
      <w:r w:rsidR="00E13B73">
        <w:rPr>
          <w:rFonts w:ascii="Times New Roman" w:eastAsiaTheme="majorEastAsia" w:hAnsi="Times New Roman" w:cs="Times New Roman"/>
          <w:noProof/>
          <w:lang w:val="en-GB"/>
        </w:rPr>
        <w:tab/>
      </w:r>
    </w:p>
    <w:tbl>
      <w:tblPr>
        <w:tblStyle w:val="TableGridLight"/>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63"/>
        <w:gridCol w:w="1515"/>
        <w:gridCol w:w="1155"/>
        <w:gridCol w:w="1455"/>
        <w:gridCol w:w="1695"/>
        <w:gridCol w:w="1192"/>
        <w:gridCol w:w="1248"/>
        <w:gridCol w:w="1280"/>
        <w:gridCol w:w="921"/>
        <w:gridCol w:w="1065"/>
        <w:gridCol w:w="2832"/>
      </w:tblGrid>
      <w:tr w:rsidR="004C590F" w:rsidRPr="00BE3F16" w14:paraId="5EACB681" w14:textId="77777777" w:rsidTr="00270B0B">
        <w:trPr>
          <w:trHeight w:val="300"/>
          <w:tblHeader/>
          <w:jc w:val="center"/>
        </w:trPr>
        <w:tc>
          <w:tcPr>
            <w:tcW w:w="663" w:type="dxa"/>
            <w:vMerge w:val="restart"/>
            <w:shd w:val="clear" w:color="auto" w:fill="BDD7EE"/>
            <w:vAlign w:val="center"/>
            <w:hideMark/>
          </w:tcPr>
          <w:p w14:paraId="571F8066" w14:textId="77777777" w:rsidR="004C590F" w:rsidRPr="00BE3F16" w:rsidRDefault="004C590F" w:rsidP="00270B0B">
            <w:pPr>
              <w:jc w:val="center"/>
              <w:rPr>
                <w:rFonts w:ascii="Times New Roman" w:eastAsia="Times New Roman" w:hAnsi="Times New Roman" w:cs="Times New Roman"/>
                <w:b/>
                <w:bCs/>
                <w:noProof/>
                <w:sz w:val="20"/>
                <w:szCs w:val="20"/>
                <w:lang w:val="en-GB"/>
                <w14:ligatures w14:val="none"/>
              </w:rPr>
            </w:pPr>
            <w:r w:rsidRPr="00BE3F16">
              <w:rPr>
                <w:rFonts w:ascii="Times New Roman" w:hAnsi="Times New Roman" w:cs="Times New Roman"/>
                <w:b/>
                <w:bCs/>
                <w:noProof/>
                <w:sz w:val="20"/>
                <w:szCs w:val="20"/>
                <w:lang w:val="en-GB"/>
                <w14:ligatures w14:val="none"/>
              </w:rPr>
              <w:t>Seq. Num.</w:t>
            </w:r>
          </w:p>
        </w:tc>
        <w:tc>
          <w:tcPr>
            <w:tcW w:w="1515" w:type="dxa"/>
            <w:vMerge w:val="restart"/>
            <w:shd w:val="clear" w:color="auto" w:fill="BDD7EE"/>
            <w:vAlign w:val="center"/>
            <w:hideMark/>
          </w:tcPr>
          <w:p w14:paraId="6E8DAB48" w14:textId="77777777" w:rsidR="004C590F" w:rsidRPr="00BE3F16" w:rsidRDefault="004C590F" w:rsidP="00270B0B">
            <w:pPr>
              <w:jc w:val="center"/>
              <w:rPr>
                <w:rFonts w:ascii="Times New Roman" w:eastAsia="Times New Roman" w:hAnsi="Times New Roman" w:cs="Times New Roman"/>
                <w:b/>
                <w:bCs/>
                <w:noProof/>
                <w:sz w:val="20"/>
                <w:szCs w:val="20"/>
                <w:lang w:val="en-GB"/>
                <w14:ligatures w14:val="none"/>
              </w:rPr>
            </w:pPr>
            <w:r w:rsidRPr="00BE3F16">
              <w:rPr>
                <w:rFonts w:ascii="Times New Roman" w:hAnsi="Times New Roman" w:cs="Times New Roman"/>
                <w:b/>
                <w:bCs/>
                <w:noProof/>
                <w:sz w:val="20"/>
                <w:szCs w:val="20"/>
                <w:lang w:val="en-GB"/>
                <w14:ligatures w14:val="none"/>
              </w:rPr>
              <w:t>Related Measure (Reform or Investment)</w:t>
            </w:r>
          </w:p>
        </w:tc>
        <w:tc>
          <w:tcPr>
            <w:tcW w:w="1155" w:type="dxa"/>
            <w:vMerge w:val="restart"/>
            <w:shd w:val="clear" w:color="auto" w:fill="BDD7EE"/>
            <w:vAlign w:val="center"/>
            <w:hideMark/>
          </w:tcPr>
          <w:p w14:paraId="581F1DBD" w14:textId="77777777" w:rsidR="00BE3F16" w:rsidRDefault="004C590F" w:rsidP="00270B0B">
            <w:pPr>
              <w:jc w:val="center"/>
              <w:rPr>
                <w:rFonts w:ascii="Times New Roman" w:hAnsi="Times New Roman" w:cs="Times New Roman"/>
                <w:b/>
                <w:bCs/>
                <w:noProof/>
                <w:sz w:val="20"/>
                <w:szCs w:val="20"/>
                <w:lang w:val="en-GB"/>
                <w14:ligatures w14:val="none"/>
              </w:rPr>
            </w:pPr>
            <w:r w:rsidRPr="00BE3F16">
              <w:rPr>
                <w:rFonts w:ascii="Times New Roman" w:hAnsi="Times New Roman" w:cs="Times New Roman"/>
                <w:b/>
                <w:bCs/>
                <w:noProof/>
                <w:sz w:val="20"/>
                <w:szCs w:val="20"/>
                <w:lang w:val="en-GB"/>
                <w14:ligatures w14:val="none"/>
              </w:rPr>
              <w:t>Milestone/</w:t>
            </w:r>
          </w:p>
          <w:p w14:paraId="4BF0EE61" w14:textId="4D4B2D8B" w:rsidR="004C590F" w:rsidRPr="00BE3F16" w:rsidRDefault="004C590F" w:rsidP="00270B0B">
            <w:pPr>
              <w:jc w:val="center"/>
              <w:rPr>
                <w:rFonts w:ascii="Times New Roman" w:eastAsia="Times New Roman" w:hAnsi="Times New Roman" w:cs="Times New Roman"/>
                <w:b/>
                <w:bCs/>
                <w:noProof/>
                <w:sz w:val="20"/>
                <w:szCs w:val="20"/>
                <w:lang w:val="en-GB"/>
                <w14:ligatures w14:val="none"/>
              </w:rPr>
            </w:pPr>
            <w:r w:rsidRPr="00BE3F16">
              <w:rPr>
                <w:rFonts w:ascii="Times New Roman" w:hAnsi="Times New Roman" w:cs="Times New Roman"/>
                <w:b/>
                <w:bCs/>
                <w:noProof/>
                <w:sz w:val="20"/>
                <w:szCs w:val="20"/>
                <w:lang w:val="en-GB"/>
                <w14:ligatures w14:val="none"/>
              </w:rPr>
              <w:t>Target</w:t>
            </w:r>
          </w:p>
        </w:tc>
        <w:tc>
          <w:tcPr>
            <w:tcW w:w="1455" w:type="dxa"/>
            <w:vMerge w:val="restart"/>
            <w:shd w:val="clear" w:color="auto" w:fill="BDD7EE"/>
            <w:vAlign w:val="center"/>
            <w:hideMark/>
          </w:tcPr>
          <w:p w14:paraId="74F5D793" w14:textId="77777777" w:rsidR="004C590F" w:rsidRPr="00BE3F16" w:rsidRDefault="004C590F" w:rsidP="00270B0B">
            <w:pPr>
              <w:jc w:val="center"/>
              <w:rPr>
                <w:rFonts w:ascii="Times New Roman" w:eastAsia="Times New Roman" w:hAnsi="Times New Roman" w:cs="Times New Roman"/>
                <w:b/>
                <w:bCs/>
                <w:noProof/>
                <w:sz w:val="20"/>
                <w:szCs w:val="20"/>
                <w:lang w:val="en-GB"/>
                <w14:ligatures w14:val="none"/>
              </w:rPr>
            </w:pPr>
            <w:r w:rsidRPr="00BE3F16">
              <w:rPr>
                <w:rFonts w:ascii="Times New Roman" w:hAnsi="Times New Roman" w:cs="Times New Roman"/>
                <w:b/>
                <w:bCs/>
                <w:noProof/>
                <w:sz w:val="20"/>
                <w:szCs w:val="20"/>
                <w:lang w:val="en-GB"/>
                <w14:ligatures w14:val="none"/>
              </w:rPr>
              <w:t>Name</w:t>
            </w:r>
          </w:p>
        </w:tc>
        <w:tc>
          <w:tcPr>
            <w:tcW w:w="1695" w:type="dxa"/>
            <w:vMerge w:val="restart"/>
            <w:shd w:val="clear" w:color="auto" w:fill="BDD7EE"/>
            <w:vAlign w:val="center"/>
            <w:hideMark/>
          </w:tcPr>
          <w:p w14:paraId="688B7BE9" w14:textId="34F7C508" w:rsidR="004C590F" w:rsidRPr="00BE3F16" w:rsidRDefault="004C590F" w:rsidP="00270B0B">
            <w:pPr>
              <w:jc w:val="center"/>
              <w:rPr>
                <w:rFonts w:ascii="Times New Roman" w:eastAsia="Times New Roman" w:hAnsi="Times New Roman" w:cs="Times New Roman"/>
                <w:b/>
                <w:bCs/>
                <w:noProof/>
                <w:sz w:val="20"/>
                <w:szCs w:val="20"/>
                <w:lang w:val="en-GB"/>
                <w14:ligatures w14:val="none"/>
              </w:rPr>
            </w:pPr>
            <w:r w:rsidRPr="00BE3F16">
              <w:rPr>
                <w:rFonts w:ascii="Times New Roman" w:hAnsi="Times New Roman" w:cs="Times New Roman"/>
                <w:b/>
                <w:bCs/>
                <w:noProof/>
                <w:sz w:val="20"/>
                <w:szCs w:val="20"/>
                <w:lang w:val="en-GB"/>
                <w14:ligatures w14:val="none"/>
              </w:rPr>
              <w:t>Qualitative</w:t>
            </w:r>
            <w:r w:rsidR="00BE3F16">
              <w:rPr>
                <w:rFonts w:ascii="Times New Roman" w:hAnsi="Times New Roman" w:cs="Times New Roman"/>
                <w:b/>
                <w:bCs/>
                <w:noProof/>
                <w:sz w:val="20"/>
                <w:szCs w:val="20"/>
                <w:lang w:val="en-GB"/>
                <w14:ligatures w14:val="none"/>
              </w:rPr>
              <w:t xml:space="preserve"> </w:t>
            </w:r>
            <w:r w:rsidRPr="00BE3F16">
              <w:rPr>
                <w:rFonts w:ascii="Times New Roman" w:hAnsi="Times New Roman" w:cs="Times New Roman"/>
                <w:b/>
                <w:bCs/>
                <w:noProof/>
                <w:sz w:val="20"/>
                <w:szCs w:val="20"/>
                <w:lang w:val="en-GB"/>
                <w14:ligatures w14:val="none"/>
              </w:rPr>
              <w:t>indicators</w:t>
            </w:r>
            <w:r w:rsidRPr="00BE3F16">
              <w:rPr>
                <w:rFonts w:ascii="Times New Roman" w:hAnsi="Times New Roman" w:cs="Times New Roman"/>
                <w:noProof/>
                <w:sz w:val="20"/>
                <w:szCs w:val="20"/>
                <w:lang w:val="en-GB"/>
                <w14:ligatures w14:val="none"/>
              </w:rPr>
              <w:t xml:space="preserve"> </w:t>
            </w:r>
            <w:r w:rsidRPr="00BE3F16">
              <w:rPr>
                <w:rFonts w:ascii="Times New Roman" w:hAnsi="Times New Roman" w:cs="Times New Roman"/>
                <w:noProof/>
                <w:sz w:val="20"/>
                <w:szCs w:val="20"/>
                <w:lang w:val="en-GB"/>
                <w14:ligatures w14:val="none"/>
              </w:rPr>
              <w:br/>
            </w:r>
            <w:r w:rsidRPr="00BE3F16">
              <w:rPr>
                <w:rFonts w:ascii="Times New Roman" w:hAnsi="Times New Roman" w:cs="Times New Roman"/>
                <w:b/>
                <w:bCs/>
                <w:noProof/>
                <w:sz w:val="20"/>
                <w:szCs w:val="20"/>
                <w:lang w:val="en-GB"/>
                <w14:ligatures w14:val="none"/>
              </w:rPr>
              <w:t>(for milestones)</w:t>
            </w:r>
          </w:p>
        </w:tc>
        <w:tc>
          <w:tcPr>
            <w:tcW w:w="3720" w:type="dxa"/>
            <w:gridSpan w:val="3"/>
            <w:shd w:val="clear" w:color="auto" w:fill="BDD7EE"/>
            <w:vAlign w:val="center"/>
            <w:hideMark/>
          </w:tcPr>
          <w:p w14:paraId="6BDD946D" w14:textId="46A91270" w:rsidR="004C590F" w:rsidRPr="00BE3F16" w:rsidRDefault="004C590F" w:rsidP="00270B0B">
            <w:pPr>
              <w:jc w:val="center"/>
              <w:rPr>
                <w:rFonts w:ascii="Times New Roman" w:eastAsia="Times New Roman" w:hAnsi="Times New Roman" w:cs="Times New Roman"/>
                <w:b/>
                <w:bCs/>
                <w:noProof/>
                <w:sz w:val="20"/>
                <w:szCs w:val="20"/>
                <w:lang w:val="en-GB"/>
                <w14:ligatures w14:val="none"/>
              </w:rPr>
            </w:pPr>
            <w:r w:rsidRPr="00BE3F16">
              <w:rPr>
                <w:rFonts w:ascii="Times New Roman" w:hAnsi="Times New Roman" w:cs="Times New Roman"/>
                <w:b/>
                <w:bCs/>
                <w:noProof/>
                <w:sz w:val="20"/>
                <w:szCs w:val="20"/>
                <w:lang w:val="en-GB"/>
                <w14:ligatures w14:val="none"/>
              </w:rPr>
              <w:t>Quantitative</w:t>
            </w:r>
            <w:r w:rsidR="00BE3F16">
              <w:rPr>
                <w:rFonts w:ascii="Times New Roman" w:hAnsi="Times New Roman" w:cs="Times New Roman"/>
                <w:b/>
                <w:bCs/>
                <w:noProof/>
                <w:sz w:val="20"/>
                <w:szCs w:val="20"/>
                <w:lang w:val="en-GB"/>
                <w14:ligatures w14:val="none"/>
              </w:rPr>
              <w:t xml:space="preserve"> </w:t>
            </w:r>
            <w:r w:rsidRPr="00BE3F16">
              <w:rPr>
                <w:rFonts w:ascii="Times New Roman" w:hAnsi="Times New Roman" w:cs="Times New Roman"/>
                <w:b/>
                <w:bCs/>
                <w:noProof/>
                <w:sz w:val="20"/>
                <w:szCs w:val="20"/>
                <w:lang w:val="en-GB"/>
                <w14:ligatures w14:val="none"/>
              </w:rPr>
              <w:t xml:space="preserve">indicators </w:t>
            </w:r>
            <w:r w:rsidRPr="00BE3F16">
              <w:rPr>
                <w:rFonts w:ascii="Times New Roman" w:hAnsi="Times New Roman" w:cs="Times New Roman"/>
                <w:noProof/>
                <w:sz w:val="20"/>
                <w:szCs w:val="20"/>
                <w:lang w:val="en-GB"/>
                <w14:ligatures w14:val="none"/>
              </w:rPr>
              <w:br/>
            </w:r>
            <w:r w:rsidRPr="00BE3F16">
              <w:rPr>
                <w:rFonts w:ascii="Times New Roman" w:hAnsi="Times New Roman" w:cs="Times New Roman"/>
                <w:b/>
                <w:bCs/>
                <w:noProof/>
                <w:sz w:val="20"/>
                <w:szCs w:val="20"/>
                <w:lang w:val="en-GB"/>
                <w14:ligatures w14:val="none"/>
              </w:rPr>
              <w:t>(for targets)</w:t>
            </w:r>
          </w:p>
        </w:tc>
        <w:tc>
          <w:tcPr>
            <w:tcW w:w="1986" w:type="dxa"/>
            <w:gridSpan w:val="2"/>
            <w:shd w:val="clear" w:color="auto" w:fill="BDD7EE"/>
            <w:vAlign w:val="center"/>
            <w:hideMark/>
          </w:tcPr>
          <w:p w14:paraId="7F3C26D8" w14:textId="5BF47C23" w:rsidR="004C590F" w:rsidRPr="00BE3F16" w:rsidRDefault="004C590F" w:rsidP="00270B0B">
            <w:pPr>
              <w:jc w:val="center"/>
              <w:rPr>
                <w:rFonts w:ascii="Times New Roman" w:eastAsia="Times New Roman" w:hAnsi="Times New Roman" w:cs="Times New Roman"/>
                <w:b/>
                <w:bCs/>
                <w:noProof/>
                <w:sz w:val="20"/>
                <w:szCs w:val="20"/>
                <w:lang w:val="en-GB"/>
                <w14:ligatures w14:val="none"/>
              </w:rPr>
            </w:pPr>
            <w:r w:rsidRPr="00BE3F16">
              <w:rPr>
                <w:rFonts w:ascii="Times New Roman" w:hAnsi="Times New Roman" w:cs="Times New Roman"/>
                <w:b/>
                <w:bCs/>
                <w:noProof/>
                <w:sz w:val="20"/>
                <w:szCs w:val="20"/>
                <w:lang w:val="en-GB"/>
                <w14:ligatures w14:val="none"/>
              </w:rPr>
              <w:t>Indicative timeline</w:t>
            </w:r>
            <w:r w:rsidR="00BE3F16">
              <w:rPr>
                <w:rFonts w:ascii="Times New Roman" w:hAnsi="Times New Roman" w:cs="Times New Roman"/>
                <w:b/>
                <w:bCs/>
                <w:noProof/>
                <w:sz w:val="20"/>
                <w:szCs w:val="20"/>
                <w:lang w:val="en-GB"/>
                <w14:ligatures w14:val="none"/>
              </w:rPr>
              <w:t xml:space="preserve"> </w:t>
            </w:r>
            <w:r w:rsidRPr="00BE3F16">
              <w:rPr>
                <w:rFonts w:ascii="Times New Roman" w:hAnsi="Times New Roman" w:cs="Times New Roman"/>
                <w:b/>
                <w:bCs/>
                <w:noProof/>
                <w:sz w:val="20"/>
                <w:szCs w:val="20"/>
                <w:lang w:val="en-GB"/>
                <w14:ligatures w14:val="none"/>
              </w:rPr>
              <w:t>for completion</w:t>
            </w:r>
          </w:p>
        </w:tc>
        <w:tc>
          <w:tcPr>
            <w:tcW w:w="2832" w:type="dxa"/>
            <w:vMerge w:val="restart"/>
            <w:shd w:val="clear" w:color="auto" w:fill="BDD7EE"/>
            <w:vAlign w:val="center"/>
            <w:hideMark/>
          </w:tcPr>
          <w:p w14:paraId="41AB2B66" w14:textId="77777777" w:rsidR="004C590F" w:rsidRPr="00BE3F16" w:rsidRDefault="004C590F" w:rsidP="00270B0B">
            <w:pPr>
              <w:jc w:val="center"/>
              <w:rPr>
                <w:rFonts w:ascii="Times New Roman" w:eastAsia="Times New Roman" w:hAnsi="Times New Roman" w:cs="Times New Roman"/>
                <w:b/>
                <w:bCs/>
                <w:noProof/>
                <w:sz w:val="20"/>
                <w:szCs w:val="20"/>
                <w:lang w:val="en-GB"/>
                <w14:ligatures w14:val="none"/>
              </w:rPr>
            </w:pPr>
            <w:r w:rsidRPr="00BE3F16">
              <w:rPr>
                <w:rFonts w:ascii="Times New Roman" w:hAnsi="Times New Roman" w:cs="Times New Roman"/>
                <w:b/>
                <w:bCs/>
                <w:noProof/>
                <w:sz w:val="20"/>
                <w:szCs w:val="20"/>
                <w:lang w:val="en-GB"/>
                <w14:ligatures w14:val="none"/>
              </w:rPr>
              <w:t>Description of each milestone and target</w:t>
            </w:r>
          </w:p>
        </w:tc>
      </w:tr>
      <w:tr w:rsidR="004C590F" w:rsidRPr="00BE3F16" w14:paraId="202BF96D" w14:textId="77777777" w:rsidTr="00270B0B">
        <w:trPr>
          <w:trHeight w:val="300"/>
          <w:tblHeader/>
          <w:jc w:val="center"/>
        </w:trPr>
        <w:tc>
          <w:tcPr>
            <w:tcW w:w="663" w:type="dxa"/>
            <w:vMerge/>
            <w:hideMark/>
          </w:tcPr>
          <w:p w14:paraId="22E25386" w14:textId="77777777" w:rsidR="004C590F" w:rsidRPr="00BE3F16" w:rsidRDefault="004C590F" w:rsidP="00270B0B">
            <w:pPr>
              <w:jc w:val="center"/>
              <w:rPr>
                <w:rFonts w:ascii="Times New Roman" w:eastAsia="Times New Roman" w:hAnsi="Times New Roman" w:cs="Times New Roman"/>
                <w:b/>
                <w:noProof/>
                <w:sz w:val="20"/>
                <w:szCs w:val="20"/>
                <w:lang w:val="en-GB" w:eastAsia="en-GB"/>
                <w14:ligatures w14:val="none"/>
              </w:rPr>
            </w:pPr>
          </w:p>
        </w:tc>
        <w:tc>
          <w:tcPr>
            <w:tcW w:w="1515" w:type="dxa"/>
            <w:vMerge/>
            <w:hideMark/>
          </w:tcPr>
          <w:p w14:paraId="5FAAFB4B" w14:textId="77777777" w:rsidR="004C590F" w:rsidRPr="00BE3F16" w:rsidRDefault="004C590F" w:rsidP="00270B0B">
            <w:pPr>
              <w:jc w:val="both"/>
              <w:rPr>
                <w:rFonts w:ascii="Times New Roman" w:eastAsia="Times New Roman" w:hAnsi="Times New Roman" w:cs="Times New Roman"/>
                <w:b/>
                <w:noProof/>
                <w:sz w:val="20"/>
                <w:szCs w:val="20"/>
                <w:lang w:val="en-GB" w:eastAsia="en-GB"/>
                <w14:ligatures w14:val="none"/>
              </w:rPr>
            </w:pPr>
          </w:p>
        </w:tc>
        <w:tc>
          <w:tcPr>
            <w:tcW w:w="1155" w:type="dxa"/>
            <w:vMerge/>
            <w:hideMark/>
          </w:tcPr>
          <w:p w14:paraId="3D774E41" w14:textId="77777777" w:rsidR="004C590F" w:rsidRPr="00BE3F16" w:rsidRDefault="004C590F" w:rsidP="00270B0B">
            <w:pPr>
              <w:jc w:val="center"/>
              <w:rPr>
                <w:rFonts w:ascii="Times New Roman" w:eastAsia="Times New Roman" w:hAnsi="Times New Roman" w:cs="Times New Roman"/>
                <w:b/>
                <w:noProof/>
                <w:sz w:val="20"/>
                <w:szCs w:val="20"/>
                <w:lang w:val="en-GB" w:eastAsia="en-GB"/>
                <w14:ligatures w14:val="none"/>
              </w:rPr>
            </w:pPr>
          </w:p>
        </w:tc>
        <w:tc>
          <w:tcPr>
            <w:tcW w:w="1455" w:type="dxa"/>
            <w:vMerge/>
            <w:hideMark/>
          </w:tcPr>
          <w:p w14:paraId="2501DD92" w14:textId="77777777" w:rsidR="004C590F" w:rsidRPr="00BE3F16" w:rsidRDefault="004C590F" w:rsidP="00270B0B">
            <w:pPr>
              <w:jc w:val="both"/>
              <w:rPr>
                <w:rFonts w:ascii="Times New Roman" w:eastAsia="Times New Roman" w:hAnsi="Times New Roman" w:cs="Times New Roman"/>
                <w:b/>
                <w:noProof/>
                <w:sz w:val="20"/>
                <w:szCs w:val="20"/>
                <w:lang w:val="en-GB" w:eastAsia="en-GB"/>
                <w14:ligatures w14:val="none"/>
              </w:rPr>
            </w:pPr>
          </w:p>
        </w:tc>
        <w:tc>
          <w:tcPr>
            <w:tcW w:w="1695" w:type="dxa"/>
            <w:vMerge/>
            <w:hideMark/>
          </w:tcPr>
          <w:p w14:paraId="539DE83B" w14:textId="77777777" w:rsidR="004C590F" w:rsidRPr="00BE3F16" w:rsidRDefault="004C590F" w:rsidP="00270B0B">
            <w:pPr>
              <w:jc w:val="both"/>
              <w:rPr>
                <w:rFonts w:ascii="Times New Roman" w:eastAsia="Times New Roman" w:hAnsi="Times New Roman" w:cs="Times New Roman"/>
                <w:b/>
                <w:noProof/>
                <w:sz w:val="20"/>
                <w:szCs w:val="20"/>
                <w:lang w:val="en-GB" w:eastAsia="en-GB"/>
                <w14:ligatures w14:val="none"/>
              </w:rPr>
            </w:pPr>
          </w:p>
        </w:tc>
        <w:tc>
          <w:tcPr>
            <w:tcW w:w="1192" w:type="dxa"/>
            <w:shd w:val="clear" w:color="auto" w:fill="BDD7EE"/>
            <w:hideMark/>
          </w:tcPr>
          <w:p w14:paraId="68BE7C2C" w14:textId="2D34257F" w:rsidR="004C590F" w:rsidRPr="00BE3F16" w:rsidRDefault="004C590F" w:rsidP="00270B0B">
            <w:pPr>
              <w:jc w:val="center"/>
              <w:rPr>
                <w:rFonts w:ascii="Times New Roman" w:eastAsia="Times New Roman" w:hAnsi="Times New Roman" w:cs="Times New Roman"/>
                <w:b/>
                <w:bCs/>
                <w:noProof/>
                <w:sz w:val="20"/>
                <w:szCs w:val="20"/>
                <w:lang w:val="en-GB"/>
                <w14:ligatures w14:val="none"/>
              </w:rPr>
            </w:pPr>
            <w:r w:rsidRPr="00BE3F16">
              <w:rPr>
                <w:rFonts w:ascii="Times New Roman" w:hAnsi="Times New Roman" w:cs="Times New Roman"/>
                <w:b/>
                <w:bCs/>
                <w:noProof/>
                <w:sz w:val="20"/>
                <w:szCs w:val="20"/>
                <w:lang w:val="en-GB"/>
                <w14:ligatures w14:val="none"/>
              </w:rPr>
              <w:t>Unit</w:t>
            </w:r>
            <w:r w:rsidR="00BE3F16">
              <w:rPr>
                <w:rFonts w:ascii="Times New Roman" w:hAnsi="Times New Roman" w:cs="Times New Roman"/>
                <w:b/>
                <w:bCs/>
                <w:noProof/>
                <w:sz w:val="20"/>
                <w:szCs w:val="20"/>
                <w:lang w:val="en-GB"/>
                <w14:ligatures w14:val="none"/>
              </w:rPr>
              <w:t xml:space="preserve"> </w:t>
            </w:r>
            <w:r w:rsidRPr="00BE3F16">
              <w:rPr>
                <w:rFonts w:ascii="Times New Roman" w:hAnsi="Times New Roman" w:cs="Times New Roman"/>
                <w:b/>
                <w:bCs/>
                <w:noProof/>
                <w:sz w:val="20"/>
                <w:szCs w:val="20"/>
                <w:lang w:val="en-GB"/>
                <w14:ligatures w14:val="none"/>
              </w:rPr>
              <w:t>of</w:t>
            </w:r>
            <w:r w:rsidR="00BE3F16">
              <w:rPr>
                <w:rFonts w:ascii="Times New Roman" w:hAnsi="Times New Roman" w:cs="Times New Roman"/>
                <w:b/>
                <w:bCs/>
                <w:noProof/>
                <w:sz w:val="20"/>
                <w:szCs w:val="20"/>
                <w:lang w:val="en-GB"/>
                <w14:ligatures w14:val="none"/>
              </w:rPr>
              <w:t xml:space="preserve"> </w:t>
            </w:r>
            <w:r w:rsidRPr="00BE3F16">
              <w:rPr>
                <w:rFonts w:ascii="Times New Roman" w:hAnsi="Times New Roman" w:cs="Times New Roman"/>
                <w:b/>
                <w:bCs/>
                <w:noProof/>
                <w:sz w:val="20"/>
                <w:szCs w:val="20"/>
                <w:lang w:val="en-GB"/>
                <w14:ligatures w14:val="none"/>
              </w:rPr>
              <w:t>measure</w:t>
            </w:r>
          </w:p>
        </w:tc>
        <w:tc>
          <w:tcPr>
            <w:tcW w:w="1248" w:type="dxa"/>
            <w:shd w:val="clear" w:color="auto" w:fill="BDD7EE"/>
            <w:hideMark/>
          </w:tcPr>
          <w:p w14:paraId="6EAE914D" w14:textId="77777777" w:rsidR="004C590F" w:rsidRPr="00BE3F16" w:rsidRDefault="004C590F" w:rsidP="00270B0B">
            <w:pPr>
              <w:jc w:val="center"/>
              <w:rPr>
                <w:rFonts w:ascii="Times New Roman" w:eastAsia="Times New Roman" w:hAnsi="Times New Roman" w:cs="Times New Roman"/>
                <w:b/>
                <w:bCs/>
                <w:noProof/>
                <w:sz w:val="20"/>
                <w:szCs w:val="20"/>
                <w:lang w:val="en-GB"/>
                <w14:ligatures w14:val="none"/>
              </w:rPr>
            </w:pPr>
            <w:r w:rsidRPr="00BE3F16">
              <w:rPr>
                <w:rFonts w:ascii="Times New Roman" w:hAnsi="Times New Roman" w:cs="Times New Roman"/>
                <w:b/>
                <w:bCs/>
                <w:noProof/>
                <w:sz w:val="20"/>
                <w:szCs w:val="20"/>
                <w:lang w:val="en-GB"/>
                <w14:ligatures w14:val="none"/>
              </w:rPr>
              <w:t>Baseline</w:t>
            </w:r>
          </w:p>
        </w:tc>
        <w:tc>
          <w:tcPr>
            <w:tcW w:w="1280" w:type="dxa"/>
            <w:shd w:val="clear" w:color="auto" w:fill="BDD7EE"/>
            <w:hideMark/>
          </w:tcPr>
          <w:p w14:paraId="3A0937B3" w14:textId="77777777" w:rsidR="004C590F" w:rsidRPr="00BE3F16" w:rsidRDefault="004C590F" w:rsidP="00270B0B">
            <w:pPr>
              <w:jc w:val="center"/>
              <w:rPr>
                <w:rFonts w:ascii="Times New Roman" w:eastAsia="Times New Roman" w:hAnsi="Times New Roman" w:cs="Times New Roman"/>
                <w:b/>
                <w:bCs/>
                <w:noProof/>
                <w:sz w:val="20"/>
                <w:szCs w:val="20"/>
                <w:lang w:val="en-GB"/>
                <w14:ligatures w14:val="none"/>
              </w:rPr>
            </w:pPr>
            <w:r w:rsidRPr="00BE3F16">
              <w:rPr>
                <w:rFonts w:ascii="Times New Roman" w:hAnsi="Times New Roman" w:cs="Times New Roman"/>
                <w:b/>
                <w:bCs/>
                <w:noProof/>
                <w:sz w:val="20"/>
                <w:szCs w:val="20"/>
                <w:lang w:val="en-GB"/>
                <w14:ligatures w14:val="none"/>
              </w:rPr>
              <w:t>Goal</w:t>
            </w:r>
          </w:p>
        </w:tc>
        <w:tc>
          <w:tcPr>
            <w:tcW w:w="921" w:type="dxa"/>
            <w:shd w:val="clear" w:color="auto" w:fill="BDD7EE"/>
            <w:hideMark/>
          </w:tcPr>
          <w:p w14:paraId="0EAAAA44" w14:textId="77777777" w:rsidR="004C590F" w:rsidRPr="00BE3F16" w:rsidRDefault="004C590F" w:rsidP="00270B0B">
            <w:pPr>
              <w:rPr>
                <w:rFonts w:ascii="Times New Roman" w:eastAsia="Times New Roman" w:hAnsi="Times New Roman" w:cs="Times New Roman"/>
                <w:b/>
                <w:bCs/>
                <w:noProof/>
                <w:sz w:val="20"/>
                <w:szCs w:val="20"/>
                <w:lang w:val="en-GB"/>
                <w14:ligatures w14:val="none"/>
              </w:rPr>
            </w:pPr>
            <w:r w:rsidRPr="00BE3F16">
              <w:rPr>
                <w:rFonts w:ascii="Times New Roman" w:hAnsi="Times New Roman" w:cs="Times New Roman"/>
                <w:b/>
                <w:bCs/>
                <w:noProof/>
                <w:sz w:val="20"/>
                <w:szCs w:val="20"/>
                <w:lang w:val="en-GB"/>
                <w14:ligatures w14:val="none"/>
              </w:rPr>
              <w:t>Quarter</w:t>
            </w:r>
          </w:p>
        </w:tc>
        <w:tc>
          <w:tcPr>
            <w:tcW w:w="1065" w:type="dxa"/>
            <w:shd w:val="clear" w:color="auto" w:fill="BDD7EE"/>
            <w:hideMark/>
          </w:tcPr>
          <w:p w14:paraId="4452BD2F" w14:textId="77777777" w:rsidR="004C590F" w:rsidRPr="00BE3F16" w:rsidRDefault="004C590F" w:rsidP="00270B0B">
            <w:pPr>
              <w:rPr>
                <w:rFonts w:ascii="Times New Roman" w:eastAsia="Times New Roman" w:hAnsi="Times New Roman" w:cs="Times New Roman"/>
                <w:b/>
                <w:bCs/>
                <w:noProof/>
                <w:sz w:val="20"/>
                <w:szCs w:val="20"/>
                <w:lang w:val="en-GB"/>
                <w14:ligatures w14:val="none"/>
              </w:rPr>
            </w:pPr>
            <w:r w:rsidRPr="00BE3F16">
              <w:rPr>
                <w:rFonts w:ascii="Times New Roman" w:hAnsi="Times New Roman" w:cs="Times New Roman"/>
                <w:b/>
                <w:bCs/>
                <w:noProof/>
                <w:sz w:val="20"/>
                <w:szCs w:val="20"/>
                <w:lang w:val="en-GB"/>
                <w14:ligatures w14:val="none"/>
              </w:rPr>
              <w:t>Year</w:t>
            </w:r>
          </w:p>
        </w:tc>
        <w:tc>
          <w:tcPr>
            <w:tcW w:w="2832" w:type="dxa"/>
            <w:vMerge/>
            <w:hideMark/>
          </w:tcPr>
          <w:p w14:paraId="35307CAE" w14:textId="77777777" w:rsidR="004C590F" w:rsidRPr="00BE3F16" w:rsidRDefault="004C590F" w:rsidP="00270B0B">
            <w:pPr>
              <w:jc w:val="both"/>
              <w:rPr>
                <w:rFonts w:ascii="Times New Roman" w:eastAsia="Times New Roman" w:hAnsi="Times New Roman" w:cs="Times New Roman"/>
                <w:b/>
                <w:noProof/>
                <w:sz w:val="20"/>
                <w:szCs w:val="20"/>
                <w:lang w:val="en-GB" w:eastAsia="en-GB"/>
                <w14:ligatures w14:val="none"/>
              </w:rPr>
            </w:pPr>
          </w:p>
        </w:tc>
      </w:tr>
      <w:tr w:rsidR="004C590F" w:rsidRPr="00BE3F16" w14:paraId="29756B2E" w14:textId="77777777" w:rsidTr="00270B0B">
        <w:trPr>
          <w:trHeight w:val="563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520C98BF"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78</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484CC289" w14:textId="61A0BB23"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R</w:t>
            </w:r>
            <w:r w:rsidR="0066047F" w:rsidRPr="0066047F">
              <w:rPr>
                <w:rFonts w:ascii="Times New Roman" w:hAnsi="Times New Roman" w:cs="Times New Roman"/>
                <w:noProof/>
                <w:sz w:val="20"/>
                <w:szCs w:val="20"/>
                <w:lang w:val="en-GB"/>
                <w14:ligatures w14:val="none"/>
              </w:rPr>
              <w:t>eform</w:t>
            </w:r>
            <w:r w:rsidR="0066047F">
              <w:rPr>
                <w:rFonts w:ascii="Times New Roman" w:hAnsi="Times New Roman" w:cs="Times New Roman"/>
                <w:noProof/>
                <w:sz w:val="20"/>
                <w:szCs w:val="20"/>
                <w:lang w:val="en-GB"/>
                <w14:ligatures w14:val="none"/>
              </w:rPr>
              <w:t xml:space="preserve"> </w:t>
            </w:r>
            <w:r w:rsidRPr="00BE3F16">
              <w:rPr>
                <w:rFonts w:ascii="Times New Roman" w:hAnsi="Times New Roman" w:cs="Times New Roman"/>
                <w:noProof/>
                <w:sz w:val="20"/>
                <w:szCs w:val="20"/>
                <w:lang w:val="en-GB"/>
                <w14:ligatures w14:val="none"/>
              </w:rPr>
              <w:t>2. Performance-based quality management in transport - Improving institutional capacity and corporate governance</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43CFD1DE"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Milestone</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16B31229"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 xml:space="preserve">Entry into force of the Law no. 50/2021 for the approval of the Emergency Ordinance no. 55/2016 on the reorganization of the National Company of Highways and National Roads in Romania - S.A. (C.N.A.I.R.) and the establishment of the National Road Investment Company - S.A. (C.N.I.R.) </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6ECC6092"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Provision in the law indicating the entry into force of the Law no 50/2021</w:t>
            </w: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31A1AB4A" w14:textId="77777777" w:rsidR="004C590F" w:rsidRPr="00BE3F16" w:rsidRDefault="004C590F" w:rsidP="00270B0B">
            <w:pPr>
              <w:rPr>
                <w:rFonts w:ascii="Times New Roman" w:eastAsia="Times New Roman" w:hAnsi="Times New Roman" w:cs="Times New Roman"/>
                <w:noProof/>
                <w:sz w:val="20"/>
                <w:szCs w:val="20"/>
                <w:lang w:val="en-GB" w:eastAsia="en-GB"/>
                <w14:ligatures w14:val="none"/>
              </w:rPr>
            </w:pP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2234FF3D" w14:textId="77777777" w:rsidR="004C590F" w:rsidRPr="00BE3F16" w:rsidRDefault="004C590F" w:rsidP="00270B0B">
            <w:pPr>
              <w:rPr>
                <w:rFonts w:ascii="Times New Roman" w:eastAsia="Times New Roman" w:hAnsi="Times New Roman" w:cs="Times New Roman"/>
                <w:noProof/>
                <w:sz w:val="20"/>
                <w:szCs w:val="20"/>
                <w:lang w:val="en-GB" w:eastAsia="en-GB"/>
                <w14:ligatures w14:val="none"/>
              </w:rPr>
            </w:pP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66309A54" w14:textId="77777777" w:rsidR="004C590F" w:rsidRPr="00BE3F16" w:rsidRDefault="004C590F" w:rsidP="00270B0B">
            <w:pPr>
              <w:rPr>
                <w:rFonts w:ascii="Times New Roman" w:eastAsia="Times New Roman" w:hAnsi="Times New Roman" w:cs="Times New Roman"/>
                <w:noProof/>
                <w:sz w:val="20"/>
                <w:szCs w:val="20"/>
                <w:lang w:val="en-GB" w:eastAsia="en-GB"/>
                <w14:ligatures w14:val="none"/>
              </w:rPr>
            </w:pP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719D7A2E"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Q2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4165259B"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2021</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60607E8D"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The entry into force of the legislation on the reform of the C.N.A.I.R. and the creation of a new Road Investment Project Management Company (C.N.I.R.). The law was approved by the Parliament and entered into force in April 2021. Along with the legislation (primary and secondary), the entire regulatory package (instructions, board decisions, management contracts signed with the management teams) shall include:</w:t>
            </w:r>
          </w:p>
          <w:p w14:paraId="70E3DFDB" w14:textId="77777777" w:rsidR="004C590F" w:rsidRPr="00BE3F16" w:rsidRDefault="004C590F" w:rsidP="00270B0B">
            <w:pPr>
              <w:numPr>
                <w:ilvl w:val="0"/>
                <w:numId w:val="9"/>
              </w:numPr>
              <w:ind w:left="250" w:hanging="174"/>
              <w:contextualSpacing/>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Clear performance indicators, aligned with the Boards’ mandates and KPIs, sanctions and incentives in case of non-compliance, to assess the financial performance (revenue, profitability, involvement of State’s budget) and the performance of the service provided (e.g. via user satisfaction survey) for both companies;</w:t>
            </w:r>
          </w:p>
          <w:p w14:paraId="710FBF54" w14:textId="77777777" w:rsidR="004C590F" w:rsidRPr="00BE3F16" w:rsidRDefault="004C590F" w:rsidP="00270B0B">
            <w:pPr>
              <w:numPr>
                <w:ilvl w:val="0"/>
                <w:numId w:val="9"/>
              </w:numPr>
              <w:ind w:left="250" w:hanging="174"/>
              <w:contextualSpacing/>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Corporate governance standards in line with the O.E.C.D. framework (professional Boards selected through an open, competitive and transparent procedure).</w:t>
            </w:r>
          </w:p>
          <w:p w14:paraId="042BF394"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Primary and secondary legislation must be amended to make the company’s activities more effective and to reorient C.N.A.I.R.’s powers and institutional mechanisms.</w:t>
            </w:r>
          </w:p>
          <w:p w14:paraId="252C2432"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Specifically, C.N.A.I.R. shall retain the current tasks in terms of road maintenance as well as existing investments both at the level of major and minor projects. There shall be a transitional period of 3 years during which C.N.A.I.R. and C.N.I.R. shall run investment projects in parallel until C.N.I.R. is fully operational and all major investment projects shall be in the management of the C.N.I.R.</w:t>
            </w:r>
          </w:p>
        </w:tc>
      </w:tr>
      <w:tr w:rsidR="004C590F" w:rsidRPr="00BE3F16" w14:paraId="3FEFCEA6" w14:textId="77777777" w:rsidTr="00270B0B">
        <w:trPr>
          <w:trHeight w:val="551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189D9576"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79</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707B89DC" w14:textId="3A8BFB31"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R</w:t>
            </w:r>
            <w:r w:rsidR="0066047F">
              <w:rPr>
                <w:rFonts w:ascii="Times New Roman" w:hAnsi="Times New Roman" w:cs="Times New Roman"/>
                <w:noProof/>
                <w:sz w:val="20"/>
                <w:szCs w:val="20"/>
                <w:lang w:val="en-GB"/>
                <w14:ligatures w14:val="none"/>
              </w:rPr>
              <w:t xml:space="preserve">eform </w:t>
            </w:r>
            <w:r w:rsidRPr="00BE3F16">
              <w:rPr>
                <w:rFonts w:ascii="Times New Roman" w:hAnsi="Times New Roman" w:cs="Times New Roman"/>
                <w:noProof/>
                <w:sz w:val="20"/>
                <w:szCs w:val="20"/>
                <w:lang w:val="en-GB"/>
                <w14:ligatures w14:val="none"/>
              </w:rPr>
              <w:t xml:space="preserve">2. Performance-based quality management in transport - Improving institutional capacity and corporate governance </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4E64AD64"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Milestone</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075CA189"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Selection and appointment of members of the Board of Directors of C.N.A.I.R., C.N.I.R, C.F.R., Metrorex, C.F.R. Călători.</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07ADADD6"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 xml:space="preserve">Mandates validated by General stakeholder assembly </w:t>
            </w: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2CF28C89" w14:textId="77777777" w:rsidR="004C590F" w:rsidRPr="00BE3F16" w:rsidRDefault="004C590F" w:rsidP="00270B0B">
            <w:pPr>
              <w:rPr>
                <w:rFonts w:ascii="Times New Roman" w:eastAsia="Times New Roman" w:hAnsi="Times New Roman" w:cs="Times New Roman"/>
                <w:noProof/>
                <w:sz w:val="20"/>
                <w:szCs w:val="20"/>
                <w:lang w:val="en-GB" w:eastAsia="en-GB"/>
                <w14:ligatures w14:val="none"/>
              </w:rPr>
            </w:pP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70063A89" w14:textId="77777777" w:rsidR="004C590F" w:rsidRPr="00BE3F16" w:rsidRDefault="004C590F" w:rsidP="00270B0B">
            <w:pPr>
              <w:rPr>
                <w:rFonts w:ascii="Times New Roman" w:eastAsia="Times New Roman" w:hAnsi="Times New Roman" w:cs="Times New Roman"/>
                <w:noProof/>
                <w:sz w:val="20"/>
                <w:szCs w:val="20"/>
                <w:lang w:val="en-GB" w:eastAsia="en-GB"/>
                <w14:ligatures w14:val="none"/>
              </w:rPr>
            </w:pP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3A0080A6" w14:textId="77777777" w:rsidR="004C590F" w:rsidRPr="00BE3F16" w:rsidRDefault="004C590F" w:rsidP="00270B0B">
            <w:pPr>
              <w:rPr>
                <w:rFonts w:ascii="Times New Roman" w:eastAsia="Times New Roman" w:hAnsi="Times New Roman" w:cs="Times New Roman"/>
                <w:noProof/>
                <w:sz w:val="20"/>
                <w:szCs w:val="20"/>
                <w:lang w:val="en-GB" w:eastAsia="en-GB"/>
                <w14:ligatures w14:val="none"/>
              </w:rPr>
            </w:pP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405422EB"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Q4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76CC5734"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2022</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183A4AD2"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The selection and appointment of members of the Board of Directors of State-Owned Enterprises in the transport sector (C.N.A.I.R., C.N.I.R, C.F.R., Metrorex, C.F.R. Călători) shall be made:</w:t>
            </w:r>
          </w:p>
          <w:p w14:paraId="0F55278B" w14:textId="77777777" w:rsidR="004C590F" w:rsidRPr="00BE3F16" w:rsidRDefault="004C590F" w:rsidP="00270B0B">
            <w:pPr>
              <w:numPr>
                <w:ilvl w:val="0"/>
                <w:numId w:val="9"/>
              </w:numPr>
              <w:ind w:left="250" w:hanging="174"/>
              <w:contextualSpacing/>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 xml:space="preserve">on the basis of a transparent and competitive procedure, </w:t>
            </w:r>
          </w:p>
          <w:p w14:paraId="50DABD63" w14:textId="77777777" w:rsidR="004C590F" w:rsidRPr="00BE3F16" w:rsidRDefault="004C590F" w:rsidP="00270B0B">
            <w:pPr>
              <w:numPr>
                <w:ilvl w:val="0"/>
                <w:numId w:val="9"/>
              </w:numPr>
              <w:ind w:left="250" w:hanging="174"/>
              <w:contextualSpacing/>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with a duration of the mandate of 4 years to ensure that medium and longterm efficiency plans are implemented;</w:t>
            </w:r>
          </w:p>
          <w:p w14:paraId="72A05A26" w14:textId="77777777" w:rsidR="004C590F" w:rsidRPr="00BE3F16" w:rsidRDefault="004C590F" w:rsidP="00270B0B">
            <w:pPr>
              <w:numPr>
                <w:ilvl w:val="0"/>
                <w:numId w:val="9"/>
              </w:numPr>
              <w:ind w:left="250" w:hanging="174"/>
              <w:contextualSpacing/>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 xml:space="preserve">with remuneration of board members based on performance indicators (KPIs) linked to long-term financial sustainability (KPI relevant to the profile of each company) and performance of the service provided (e.g. on the basis of a customer satisfaction survey) by each company; </w:t>
            </w:r>
          </w:p>
          <w:p w14:paraId="0CAF662F" w14:textId="77777777" w:rsidR="004C590F" w:rsidRPr="00BE3F16" w:rsidRDefault="004C590F" w:rsidP="00270B0B">
            <w:pPr>
              <w:numPr>
                <w:ilvl w:val="0"/>
                <w:numId w:val="9"/>
              </w:numPr>
              <w:ind w:left="250" w:hanging="174"/>
              <w:contextualSpacing/>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in compliance with good governance principles in line with the reform on State-Owned-Enterprises amending Law 111/2016.</w:t>
            </w:r>
          </w:p>
        </w:tc>
      </w:tr>
      <w:tr w:rsidR="004C590F" w:rsidRPr="00BE3F16" w14:paraId="2F181DF3" w14:textId="77777777" w:rsidTr="00270B0B">
        <w:trPr>
          <w:trHeight w:val="431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6DD78B45"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81</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0106D586" w14:textId="6647B712"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R</w:t>
            </w:r>
            <w:r w:rsidR="0066047F" w:rsidRPr="0066047F">
              <w:rPr>
                <w:rFonts w:ascii="Times New Roman" w:hAnsi="Times New Roman" w:cs="Times New Roman"/>
                <w:noProof/>
                <w:sz w:val="20"/>
                <w:szCs w:val="20"/>
                <w:lang w:val="en-GB"/>
                <w14:ligatures w14:val="none"/>
              </w:rPr>
              <w:t>eform</w:t>
            </w:r>
            <w:r w:rsidR="0066047F">
              <w:rPr>
                <w:rFonts w:ascii="Times New Roman" w:hAnsi="Times New Roman" w:cs="Times New Roman"/>
                <w:noProof/>
                <w:sz w:val="20"/>
                <w:szCs w:val="20"/>
                <w:lang w:val="en-GB"/>
                <w14:ligatures w14:val="none"/>
              </w:rPr>
              <w:t xml:space="preserve"> </w:t>
            </w:r>
            <w:r w:rsidRPr="00BE3F16">
              <w:rPr>
                <w:rFonts w:ascii="Times New Roman" w:hAnsi="Times New Roman" w:cs="Times New Roman"/>
                <w:noProof/>
                <w:sz w:val="20"/>
                <w:szCs w:val="20"/>
                <w:lang w:val="en-GB"/>
                <w14:ligatures w14:val="none"/>
              </w:rPr>
              <w:t xml:space="preserve">2. Performance-based quality management in transport - Improving institutional capacity and corporate governance </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7E3A281A"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Target</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18217705"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Reducing the percentage of passenger trains that are late</w:t>
            </w:r>
            <w:r w:rsidRPr="00BE3F16">
              <w:rPr>
                <w:rFonts w:ascii="Times New Roman" w:hAnsi="Times New Roman" w:cs="Times New Roman"/>
                <w:noProof/>
                <w:sz w:val="20"/>
                <w:szCs w:val="20"/>
                <w:lang w:val="en-GB"/>
              </w:rPr>
              <w:t xml:space="preserve"> </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56DFA659" w14:textId="77777777" w:rsidR="004C590F" w:rsidRPr="00BE3F16" w:rsidRDefault="004C590F" w:rsidP="00270B0B">
            <w:pPr>
              <w:rPr>
                <w:rFonts w:ascii="Times New Roman" w:eastAsia="Times New Roman" w:hAnsi="Times New Roman" w:cs="Times New Roman"/>
                <w:noProof/>
                <w:sz w:val="20"/>
                <w:szCs w:val="20"/>
                <w:lang w:val="en-GB" w:eastAsia="en-GB"/>
                <w14:ligatures w14:val="none"/>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5CFD92A0"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Percentage (%)</w:t>
            </w:r>
          </w:p>
          <w:p w14:paraId="06EEEC5B" w14:textId="77777777" w:rsidR="004C590F" w:rsidRPr="00BE3F16" w:rsidRDefault="004C590F" w:rsidP="00270B0B">
            <w:pPr>
              <w:rPr>
                <w:rFonts w:ascii="Times New Roman" w:eastAsia="Times New Roman" w:hAnsi="Times New Roman" w:cs="Times New Roman"/>
                <w:noProof/>
                <w:sz w:val="20"/>
                <w:szCs w:val="20"/>
                <w:lang w:val="en-GB" w:eastAsia="en-GB"/>
                <w14:ligatures w14:val="none"/>
              </w:rPr>
            </w:pP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16EE0593"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0</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445899D1"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20</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1611B05C"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Q2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3FA76D33"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151504B6" w14:textId="1AFBF0B5"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rPr>
              <w:t xml:space="preserve">The percentage of passenger </w:t>
            </w:r>
            <w:r w:rsidRPr="00BE3F16">
              <w:rPr>
                <w:rFonts w:ascii="Times New Roman" w:hAnsi="Times New Roman" w:cs="Times New Roman"/>
                <w:noProof/>
                <w:sz w:val="20"/>
                <w:szCs w:val="20"/>
                <w:lang w:val="en-GB"/>
                <w14:ligatures w14:val="none"/>
              </w:rPr>
              <w:t xml:space="preserve">trains that are late </w:t>
            </w:r>
            <w:r w:rsidRPr="00BE3F16">
              <w:rPr>
                <w:rFonts w:ascii="Times New Roman" w:hAnsi="Times New Roman" w:cs="Times New Roman"/>
                <w:noProof/>
                <w:sz w:val="20"/>
                <w:szCs w:val="20"/>
                <w:lang w:val="en-GB"/>
              </w:rPr>
              <w:t xml:space="preserve">by </w:t>
            </w:r>
            <w:r w:rsidRPr="00BE3F16">
              <w:rPr>
                <w:rFonts w:ascii="Times New Roman" w:hAnsi="Times New Roman" w:cs="Times New Roman"/>
                <w:noProof/>
                <w:sz w:val="20"/>
                <w:szCs w:val="20"/>
                <w:lang w:val="en-GB"/>
                <w14:ligatures w14:val="none"/>
              </w:rPr>
              <w:t xml:space="preserve">more than 30 minutes </w:t>
            </w:r>
            <w:r w:rsidRPr="00BE3F16">
              <w:rPr>
                <w:rFonts w:ascii="Times New Roman" w:hAnsi="Times New Roman" w:cs="Times New Roman"/>
                <w:noProof/>
                <w:sz w:val="20"/>
                <w:szCs w:val="20"/>
                <w:lang w:val="en-GB"/>
              </w:rPr>
              <w:t xml:space="preserve">shall be reduced by at least 20% </w:t>
            </w:r>
            <w:r w:rsidRPr="00BE3F16">
              <w:rPr>
                <w:rFonts w:ascii="Times New Roman" w:hAnsi="Times New Roman" w:cs="Times New Roman"/>
                <w:noProof/>
                <w:sz w:val="20"/>
                <w:szCs w:val="20"/>
                <w:lang w:val="en-GB"/>
                <w14:ligatures w14:val="none"/>
              </w:rPr>
              <w:t xml:space="preserve">in the first semester of 2026 </w:t>
            </w:r>
            <w:r w:rsidRPr="00BE3F16">
              <w:rPr>
                <w:rFonts w:ascii="Times New Roman" w:hAnsi="Times New Roman" w:cs="Times New Roman"/>
                <w:noProof/>
                <w:sz w:val="20"/>
                <w:szCs w:val="20"/>
                <w:lang w:val="en-GB"/>
              </w:rPr>
              <w:t xml:space="preserve">compared </w:t>
            </w:r>
            <w:r w:rsidRPr="00BE3F16">
              <w:rPr>
                <w:rFonts w:ascii="Times New Roman" w:hAnsi="Times New Roman" w:cs="Times New Roman"/>
                <w:noProof/>
                <w:sz w:val="20"/>
                <w:szCs w:val="20"/>
                <w:lang w:val="en-GB"/>
                <w14:ligatures w14:val="none"/>
              </w:rPr>
              <w:t xml:space="preserve">to the first semester of 2020, based on official </w:t>
            </w:r>
            <w:r w:rsidRPr="00BE3F16">
              <w:rPr>
                <w:rFonts w:ascii="Times New Roman" w:hAnsi="Times New Roman" w:cs="Times New Roman"/>
                <w:noProof/>
                <w:sz w:val="20"/>
                <w:szCs w:val="20"/>
                <w:lang w:val="en-GB"/>
              </w:rPr>
              <w:t xml:space="preserve">data recorded on the national digital railway platform managed by </w:t>
            </w:r>
            <w:r w:rsidRPr="00BE3F16">
              <w:rPr>
                <w:rFonts w:ascii="Times New Roman" w:eastAsia="MS Mincho" w:hAnsi="Times New Roman" w:cs="Times New Roman"/>
                <w:noProof/>
                <w:sz w:val="20"/>
                <w:szCs w:val="20"/>
                <w:lang w:val="en-GB"/>
              </w:rPr>
              <w:t>Informatica Feroviara S.A.</w:t>
            </w:r>
            <w:r w:rsidR="00D23D91" w:rsidRPr="00BE3F16">
              <w:rPr>
                <w:rFonts w:ascii="Times New Roman" w:hAnsi="Times New Roman" w:cs="Times New Roman"/>
                <w:noProof/>
                <w:sz w:val="20"/>
                <w:szCs w:val="20"/>
                <w:lang w:val="en-GB"/>
              </w:rPr>
              <w:t xml:space="preserve"> </w:t>
            </w:r>
          </w:p>
          <w:p w14:paraId="62628305"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rPr>
              <w:t xml:space="preserve">For the purposes of the fulfilment of this target, only scheduled services operated in both the first semester of 2020 and the first semester of 2026 shall be included in the calculation. </w:t>
            </w:r>
          </w:p>
          <w:p w14:paraId="78494CE6"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rPr>
              <w:t>Delays caused by external or secondary factors that are not attributable to either the infrastructure manager or the railway undertaking, within the meaning of Law No. 202/2016, shall not be taken into account for the calculation.</w:t>
            </w:r>
          </w:p>
        </w:tc>
      </w:tr>
      <w:tr w:rsidR="004C590F" w:rsidRPr="00BE3F16" w14:paraId="558285F5" w14:textId="77777777" w:rsidTr="00270B0B">
        <w:trPr>
          <w:trHeight w:val="347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4B41B9A2"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75</w:t>
            </w:r>
            <w:r w:rsidRPr="00BE3F16">
              <w:rPr>
                <w:rFonts w:ascii="Times New Roman" w:hAnsi="Times New Roman" w:cs="Times New Roman"/>
                <w:noProof/>
                <w:sz w:val="20"/>
                <w:szCs w:val="20"/>
                <w:lang w:val="en-GB"/>
              </w:rPr>
              <w:t>a</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337B6B32"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Investment 1. Modernisation</w:t>
            </w:r>
            <w:r w:rsidRPr="00BE3F16">
              <w:rPr>
                <w:rFonts w:ascii="Times New Roman" w:hAnsi="Times New Roman" w:cs="Times New Roman"/>
                <w:noProof/>
                <w:sz w:val="20"/>
                <w:szCs w:val="20"/>
                <w:lang w:val="en-GB"/>
              </w:rPr>
              <w:t xml:space="preserve"> and/or </w:t>
            </w:r>
            <w:r w:rsidRPr="00BE3F16">
              <w:rPr>
                <w:rFonts w:ascii="Times New Roman" w:hAnsi="Times New Roman" w:cs="Times New Roman"/>
                <w:noProof/>
                <w:sz w:val="20"/>
                <w:szCs w:val="20"/>
                <w:lang w:val="en-GB"/>
                <w14:ligatures w14:val="none"/>
              </w:rPr>
              <w:t>upgrading of railway infrastructure</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20CC33DC"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rPr>
              <w:t xml:space="preserve"> Target</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54EE3877"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14:ligatures w14:val="none"/>
              </w:rPr>
              <w:t xml:space="preserve">Modernised and/or </w:t>
            </w:r>
            <w:r w:rsidRPr="00BE3F16" w:rsidDel="222FBFD4">
              <w:rPr>
                <w:rFonts w:ascii="Times New Roman" w:hAnsi="Times New Roman" w:cs="Times New Roman"/>
                <w:noProof/>
                <w:sz w:val="20"/>
                <w:szCs w:val="20"/>
                <w:lang w:val="en-GB"/>
              </w:rPr>
              <w:t>up</w:t>
            </w:r>
            <w:r w:rsidRPr="00BE3F16">
              <w:rPr>
                <w:rFonts w:ascii="Times New Roman" w:hAnsi="Times New Roman" w:cs="Times New Roman"/>
                <w:noProof/>
                <w:sz w:val="20"/>
                <w:szCs w:val="20"/>
                <w:lang w:val="en-GB"/>
              </w:rPr>
              <w:t>graded railway infrastructure delivered</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51F91A40" w14:textId="77777777" w:rsidR="004C590F" w:rsidRPr="00BE3F16" w:rsidRDefault="004C590F" w:rsidP="00270B0B">
            <w:pPr>
              <w:rPr>
                <w:rFonts w:ascii="Times New Roman" w:eastAsia="Times New Roman" w:hAnsi="Times New Roman" w:cs="Times New Roman"/>
                <w:noProof/>
                <w:sz w:val="20"/>
                <w:szCs w:val="20"/>
                <w:lang w:val="en-GB" w:eastAsia="en-GB"/>
                <w14:ligatures w14:val="none"/>
              </w:rPr>
            </w:pPr>
            <w:r w:rsidRPr="00BE3F16">
              <w:rPr>
                <w:rFonts w:ascii="Times New Roman" w:hAnsi="Times New Roman" w:cs="Times New Roman"/>
                <w:noProof/>
                <w:sz w:val="20"/>
                <w:szCs w:val="20"/>
                <w:lang w:val="en-GB"/>
                <w14:ligatures w14:val="none"/>
              </w:rPr>
              <w:t>Modernised and/ or upgraded railway infrastructure delivered</w:t>
            </w: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5C70EE1A"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rPr>
              <w:t>EUR</w:t>
            </w: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736B4803"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rPr>
              <w:t>0</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75B6A2DB" w14:textId="582A0F01"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rPr>
              <w:t>718</w:t>
            </w:r>
            <w:r w:rsidR="0061151E" w:rsidRPr="00BE3F16">
              <w:rPr>
                <w:rFonts w:ascii="Times New Roman" w:hAnsi="Times New Roman" w:cs="Times New Roman"/>
                <w:noProof/>
                <w:sz w:val="20"/>
                <w:szCs w:val="20"/>
                <w:lang w:val="en-GB"/>
              </w:rPr>
              <w:t> </w:t>
            </w:r>
            <w:r w:rsidRPr="00BE3F16">
              <w:rPr>
                <w:rFonts w:ascii="Times New Roman" w:hAnsi="Times New Roman" w:cs="Times New Roman"/>
                <w:noProof/>
                <w:sz w:val="20"/>
                <w:szCs w:val="20"/>
                <w:lang w:val="en-GB"/>
              </w:rPr>
              <w:t>012</w:t>
            </w:r>
            <w:r w:rsidR="0061151E" w:rsidRPr="00BE3F16">
              <w:rPr>
                <w:rFonts w:ascii="Times New Roman" w:hAnsi="Times New Roman" w:cs="Times New Roman"/>
                <w:noProof/>
                <w:sz w:val="20"/>
                <w:szCs w:val="20"/>
                <w:lang w:val="en-GB"/>
              </w:rPr>
              <w:t> </w:t>
            </w:r>
            <w:r w:rsidRPr="00BE3F16">
              <w:rPr>
                <w:rFonts w:ascii="Times New Roman" w:hAnsi="Times New Roman" w:cs="Times New Roman"/>
                <w:noProof/>
                <w:sz w:val="20"/>
                <w:szCs w:val="20"/>
                <w:lang w:val="en-GB"/>
              </w:rPr>
              <w:t>153</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7A92B0DA"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Q2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6897A0CA"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1C00607E" w14:textId="6DA2A5B2" w:rsidR="004C590F" w:rsidRPr="00BE3F16" w:rsidRDefault="004C590F" w:rsidP="00270B0B">
            <w:pPr>
              <w:contextualSpacing/>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rPr>
              <w:t>Confirmation through payment certificates that a total amount of EUR 718,01 million have been certified for the</w:t>
            </w:r>
            <w:r w:rsidR="00D23D91" w:rsidRPr="00BE3F16">
              <w:rPr>
                <w:rFonts w:ascii="Times New Roman" w:hAnsi="Times New Roman" w:cs="Times New Roman"/>
                <w:noProof/>
                <w:sz w:val="20"/>
                <w:szCs w:val="20"/>
                <w:lang w:val="en-GB"/>
              </w:rPr>
              <w:t xml:space="preserve"> </w:t>
            </w:r>
            <w:r w:rsidRPr="00BE3F16">
              <w:rPr>
                <w:rFonts w:ascii="Times New Roman" w:hAnsi="Times New Roman" w:cs="Times New Roman"/>
                <w:noProof/>
                <w:sz w:val="20"/>
                <w:szCs w:val="20"/>
                <w:lang w:val="en-GB"/>
              </w:rPr>
              <w:t>modernisation and/or upgrade of railway infrastructure for</w:t>
            </w:r>
            <w:r w:rsidR="00D23D91" w:rsidRPr="00BE3F16">
              <w:rPr>
                <w:rFonts w:ascii="Times New Roman" w:hAnsi="Times New Roman" w:cs="Times New Roman"/>
                <w:noProof/>
                <w:sz w:val="20"/>
                <w:szCs w:val="20"/>
                <w:lang w:val="en-GB"/>
              </w:rPr>
              <w:t xml:space="preserve"> </w:t>
            </w:r>
            <w:r w:rsidRPr="00BE3F16">
              <w:rPr>
                <w:rFonts w:ascii="Times New Roman" w:hAnsi="Times New Roman" w:cs="Times New Roman"/>
                <w:noProof/>
                <w:sz w:val="20"/>
                <w:szCs w:val="20"/>
                <w:lang w:val="en-GB"/>
              </w:rPr>
              <w:t xml:space="preserve">lot 2 of section Arad-Timișoara-Caransebeș and lot 3 and 4 of section </w:t>
            </w:r>
            <w:r w:rsidRPr="00BE3F16">
              <w:rPr>
                <w:rFonts w:ascii="Times New Roman" w:eastAsia="Aptos" w:hAnsi="Times New Roman" w:cs="Times New Roman"/>
                <w:noProof/>
                <w:sz w:val="20"/>
                <w:szCs w:val="20"/>
                <w:lang w:val="en-GB"/>
              </w:rPr>
              <w:t>Cluj-Napoca-Episcopia Bihor.</w:t>
            </w:r>
            <w:r w:rsidR="00D23D91" w:rsidRPr="00BE3F16">
              <w:rPr>
                <w:rFonts w:ascii="Times New Roman" w:eastAsia="Aptos" w:hAnsi="Times New Roman" w:cs="Times New Roman"/>
                <w:noProof/>
                <w:sz w:val="20"/>
                <w:szCs w:val="20"/>
                <w:lang w:val="en-GB"/>
              </w:rPr>
              <w:t xml:space="preserve"> </w:t>
            </w:r>
          </w:p>
        </w:tc>
      </w:tr>
      <w:tr w:rsidR="004C590F" w:rsidRPr="00BE3F16" w14:paraId="7F76C41D" w14:textId="77777777" w:rsidTr="00270B0B">
        <w:trPr>
          <w:trHeight w:val="2771"/>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0B59ED16"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76</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13E919BF"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Investment 1. Modernisation and/or upgrading of railway infrastructure</w:t>
            </w:r>
          </w:p>
          <w:p w14:paraId="708D6310" w14:textId="77777777" w:rsidR="004C590F" w:rsidRPr="00BE3F16" w:rsidRDefault="004C590F" w:rsidP="00270B0B">
            <w:pPr>
              <w:rPr>
                <w:rFonts w:ascii="Times New Roman" w:hAnsi="Times New Roman" w:cs="Times New Roman"/>
                <w:noProof/>
                <w:sz w:val="20"/>
                <w:szCs w:val="20"/>
                <w:lang w:val="en-GB"/>
              </w:rPr>
            </w:pP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7B1E633B"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Milestone</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57D1C98A"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Tracks for “quick wins” projects</w:t>
            </w:r>
          </w:p>
          <w:p w14:paraId="262D9DC2" w14:textId="77777777" w:rsidR="004C590F" w:rsidRPr="00BE3F16" w:rsidRDefault="004C590F" w:rsidP="00270B0B">
            <w:pPr>
              <w:rPr>
                <w:rFonts w:ascii="Times New Roman" w:hAnsi="Times New Roman" w:cs="Times New Roman"/>
                <w:noProof/>
                <w:sz w:val="20"/>
                <w:szCs w:val="20"/>
                <w:lang w:val="en-GB"/>
              </w:rPr>
            </w:pP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3F09E129"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Kilometers of tracks for “quick wins” projects</w:t>
            </w: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790FB8E2" w14:textId="77777777" w:rsidR="004C590F" w:rsidRPr="00BE3F16" w:rsidRDefault="004C590F" w:rsidP="00270B0B">
            <w:pPr>
              <w:rPr>
                <w:rFonts w:ascii="Times New Roman" w:hAnsi="Times New Roman" w:cs="Times New Roman"/>
                <w:noProof/>
                <w:sz w:val="20"/>
                <w:szCs w:val="20"/>
                <w:lang w:val="en-GB"/>
              </w:rPr>
            </w:pP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6B34B1E1" w14:textId="77777777" w:rsidR="004C590F" w:rsidRPr="00BE3F16" w:rsidRDefault="004C590F" w:rsidP="00270B0B">
            <w:pPr>
              <w:rPr>
                <w:rFonts w:ascii="Times New Roman" w:hAnsi="Times New Roman" w:cs="Times New Roman"/>
                <w:noProof/>
                <w:sz w:val="20"/>
                <w:szCs w:val="20"/>
                <w:lang w:val="en-GB"/>
              </w:rPr>
            </w:pP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5F9907A3" w14:textId="77777777" w:rsidR="004C590F" w:rsidRPr="00BE3F16" w:rsidRDefault="004C590F" w:rsidP="00270B0B">
            <w:pPr>
              <w:rPr>
                <w:rFonts w:ascii="Times New Roman" w:hAnsi="Times New Roman" w:cs="Times New Roman"/>
                <w:noProof/>
                <w:sz w:val="20"/>
                <w:szCs w:val="20"/>
                <w:lang w:val="en-GB"/>
              </w:rPr>
            </w:pP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0CC6DEA5"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Q2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44581F08"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5DC8E7F0" w14:textId="64D607B2"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Work completion reception certificates signed by the contracting authority proving that 1</w:t>
            </w:r>
            <w:r w:rsidR="00615AEB" w:rsidRPr="00BE3F16">
              <w:rPr>
                <w:rFonts w:ascii="Times New Roman" w:hAnsi="Times New Roman" w:cs="Times New Roman"/>
                <w:noProof/>
                <w:sz w:val="20"/>
                <w:szCs w:val="20"/>
                <w:lang w:val="en-GB"/>
              </w:rPr>
              <w:t> </w:t>
            </w:r>
            <w:r w:rsidRPr="00BE3F16">
              <w:rPr>
                <w:rFonts w:ascii="Times New Roman" w:hAnsi="Times New Roman" w:cs="Times New Roman"/>
                <w:noProof/>
                <w:sz w:val="20"/>
                <w:szCs w:val="20"/>
                <w:lang w:val="en-GB"/>
              </w:rPr>
              <w:t>527,85 kilometres of the tracks for “quick wins” projects allowing a 15% increased speed (average speed to reach min. 100km/h) have been modernised and/or upgraded.</w:t>
            </w:r>
          </w:p>
        </w:tc>
      </w:tr>
      <w:tr w:rsidR="004C590F" w:rsidRPr="00BE3F16" w14:paraId="4C8157A8" w14:textId="77777777" w:rsidTr="00270B0B">
        <w:trPr>
          <w:trHeight w:val="30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0A4E9C40"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77</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04CD05B7"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Investment 2. Railway rolling stock</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4860F560"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Milestone</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4AB2510C"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rPr>
              <w:t>U</w:t>
            </w:r>
            <w:r w:rsidRPr="00BE3F16">
              <w:rPr>
                <w:rFonts w:ascii="Times New Roman" w:hAnsi="Times New Roman" w:cs="Times New Roman"/>
                <w:noProof/>
                <w:sz w:val="20"/>
                <w:szCs w:val="20"/>
                <w:lang w:val="en-GB"/>
                <w14:ligatures w14:val="none"/>
              </w:rPr>
              <w:t>pgraded rolling stock</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35DC05CA" w14:textId="77777777" w:rsidR="004C590F" w:rsidRPr="00BE3F16" w:rsidRDefault="004C590F" w:rsidP="00270B0B">
            <w:pPr>
              <w:rPr>
                <w:rFonts w:ascii="Times New Roman" w:eastAsia="Times New Roman" w:hAnsi="Times New Roman" w:cs="Times New Roman"/>
                <w:noProof/>
                <w:sz w:val="20"/>
                <w:szCs w:val="20"/>
                <w:lang w:val="en-GB" w:eastAsia="en-GB"/>
                <w14:ligatures w14:val="none"/>
              </w:rPr>
            </w:pPr>
            <w:r w:rsidRPr="00BE3F16">
              <w:rPr>
                <w:rFonts w:ascii="Times New Roman" w:hAnsi="Times New Roman" w:cs="Times New Roman"/>
                <w:noProof/>
                <w:sz w:val="20"/>
                <w:szCs w:val="20"/>
                <w:lang w:val="en-GB"/>
              </w:rPr>
              <w:t>Acceptance of u</w:t>
            </w:r>
            <w:r w:rsidRPr="00BE3F16">
              <w:rPr>
                <w:rFonts w:ascii="Times New Roman" w:hAnsi="Times New Roman" w:cs="Times New Roman"/>
                <w:noProof/>
                <w:sz w:val="20"/>
                <w:szCs w:val="20"/>
                <w:lang w:val="en-GB"/>
                <w14:ligatures w14:val="none"/>
              </w:rPr>
              <w:t xml:space="preserve">pgraded rolling stock </w:t>
            </w: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54D6D459" w14:textId="77777777" w:rsidR="004C590F" w:rsidRPr="00BE3F16" w:rsidRDefault="004C590F" w:rsidP="00270B0B">
            <w:pPr>
              <w:rPr>
                <w:rFonts w:ascii="Times New Roman" w:hAnsi="Times New Roman" w:cs="Times New Roman"/>
                <w:noProof/>
                <w:sz w:val="20"/>
                <w:szCs w:val="20"/>
                <w:lang w:val="en-GB"/>
                <w14:ligatures w14:val="none"/>
              </w:rPr>
            </w:pP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509D3C7D" w14:textId="77777777" w:rsidR="004C590F" w:rsidRPr="00BE3F16" w:rsidRDefault="004C590F" w:rsidP="00270B0B">
            <w:pPr>
              <w:rPr>
                <w:rFonts w:ascii="Times New Roman" w:hAnsi="Times New Roman" w:cs="Times New Roman"/>
                <w:noProof/>
                <w:sz w:val="20"/>
                <w:szCs w:val="20"/>
                <w:lang w:val="en-GB"/>
                <w14:ligatures w14:val="none"/>
              </w:rPr>
            </w:pP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3B265F4D" w14:textId="77777777" w:rsidR="004C590F" w:rsidRPr="00BE3F16" w:rsidRDefault="004C590F" w:rsidP="00270B0B">
            <w:pPr>
              <w:rPr>
                <w:rFonts w:ascii="Times New Roman" w:hAnsi="Times New Roman" w:cs="Times New Roman"/>
                <w:noProof/>
                <w:sz w:val="20"/>
                <w:szCs w:val="20"/>
                <w:lang w:val="en-GB"/>
                <w14:ligatures w14:val="none"/>
              </w:rPr>
            </w:pP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4A22E949"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Q2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385C66F8"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4BE6FC94" w14:textId="77777777" w:rsidR="004C590F" w:rsidRPr="00BE3F16" w:rsidRDefault="004C590F" w:rsidP="00270B0B">
            <w:pPr>
              <w:rPr>
                <w:rFonts w:ascii="Times New Roman" w:eastAsia="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Acceptance certificates signed by the contracting entity proving the acceptance of:</w:t>
            </w:r>
          </w:p>
          <w:p w14:paraId="7774945A" w14:textId="77777777" w:rsidR="004C590F" w:rsidRPr="00BE3F16" w:rsidRDefault="004C590F" w:rsidP="00270B0B">
            <w:pPr>
              <w:numPr>
                <w:ilvl w:val="0"/>
                <w:numId w:val="10"/>
              </w:numPr>
              <w:ind w:left="250" w:hanging="218"/>
              <w:contextualSpacing/>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rPr>
              <w:t>36 upgraded electric locomotives;</w:t>
            </w:r>
          </w:p>
          <w:p w14:paraId="4E6C31B0" w14:textId="77777777" w:rsidR="004C590F" w:rsidRPr="00BE3F16" w:rsidRDefault="004C590F" w:rsidP="00270B0B">
            <w:pPr>
              <w:numPr>
                <w:ilvl w:val="0"/>
                <w:numId w:val="10"/>
              </w:numPr>
              <w:ind w:left="250" w:hanging="218"/>
              <w:contextualSpacing/>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rPr>
              <w:t>14</w:t>
            </w:r>
            <w:r w:rsidRPr="00BE3F16">
              <w:rPr>
                <w:rFonts w:ascii="Times New Roman" w:hAnsi="Times New Roman" w:cs="Times New Roman"/>
                <w:noProof/>
                <w:sz w:val="20"/>
                <w:szCs w:val="20"/>
                <w:lang w:val="en-GB"/>
                <w14:ligatures w14:val="none"/>
              </w:rPr>
              <w:t xml:space="preserve"> shunting locomotives upgraded from diesel to electric power and plugin;</w:t>
            </w:r>
          </w:p>
          <w:p w14:paraId="27BB037B" w14:textId="77777777" w:rsidR="004C590F" w:rsidRPr="00BE3F16" w:rsidRDefault="004C590F" w:rsidP="00270B0B">
            <w:pPr>
              <w:numPr>
                <w:ilvl w:val="0"/>
                <w:numId w:val="10"/>
              </w:numPr>
              <w:ind w:left="250" w:hanging="218"/>
              <w:contextualSpacing/>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rPr>
              <w:t>64</w:t>
            </w:r>
            <w:r w:rsidRPr="00BE3F16">
              <w:rPr>
                <w:rFonts w:ascii="Times New Roman" w:hAnsi="Times New Roman" w:cs="Times New Roman"/>
                <w:noProof/>
                <w:sz w:val="20"/>
                <w:szCs w:val="20"/>
                <w:lang w:val="en-GB"/>
                <w14:ligatures w14:val="none"/>
              </w:rPr>
              <w:t xml:space="preserve"> upgraded rail cars. </w:t>
            </w:r>
          </w:p>
        </w:tc>
      </w:tr>
      <w:tr w:rsidR="004C590F" w:rsidRPr="00BE3F16" w14:paraId="12EF1B67" w14:textId="77777777" w:rsidTr="00270B0B">
        <w:trPr>
          <w:trHeight w:val="30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5BE6628D" w14:textId="64C9C981"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84a</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305FB4D5"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Investment 3 Increasing the sustainability of road infrastructure on TEN-T network, road charging, traffic management </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62A921A6"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Target</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0D7CC815" w14:textId="77777777" w:rsidR="004C590F" w:rsidRPr="00BE3F16" w:rsidRDefault="004C590F" w:rsidP="00270B0B">
            <w:pPr>
              <w:rPr>
                <w:rFonts w:ascii="Times New Roman" w:eastAsia="Times New Roman" w:hAnsi="Times New Roman" w:cs="Times New Roman"/>
                <w:noProof/>
                <w:sz w:val="20"/>
                <w:szCs w:val="20"/>
                <w:lang w:val="en-GB"/>
              </w:rPr>
            </w:pPr>
            <w:r w:rsidRPr="00BE3F16">
              <w:rPr>
                <w:rFonts w:ascii="Times New Roman" w:eastAsia="Times New Roman" w:hAnsi="Times New Roman" w:cs="Times New Roman"/>
                <w:noProof/>
                <w:sz w:val="20"/>
                <w:szCs w:val="20"/>
                <w:lang w:val="en-GB"/>
              </w:rPr>
              <w:t>Construction of new road on A7 motorway, section Bacau – Pascani, lot 1</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07147AE4" w14:textId="77777777" w:rsidR="004C590F" w:rsidRPr="00BE3F16" w:rsidRDefault="004C590F" w:rsidP="00270B0B">
            <w:pPr>
              <w:rPr>
                <w:rFonts w:ascii="Times New Roman" w:hAnsi="Times New Roman" w:cs="Times New Roman"/>
                <w:noProof/>
                <w:sz w:val="20"/>
                <w:szCs w:val="20"/>
                <w:lang w:val="en-GB"/>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37BB2537"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Amount (EUR)</w:t>
            </w: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218F8526" w14:textId="77777777" w:rsidR="004C590F" w:rsidRPr="00BE3F16" w:rsidRDefault="004C590F" w:rsidP="00270B0B">
            <w:pPr>
              <w:rPr>
                <w:rFonts w:ascii="Times New Roman" w:hAnsi="Times New Roman" w:cs="Times New Roman"/>
                <w:noProof/>
                <w:sz w:val="20"/>
                <w:szCs w:val="20"/>
              </w:rPr>
            </w:pPr>
            <w:r w:rsidRPr="00BE3F16">
              <w:rPr>
                <w:rFonts w:ascii="Times New Roman" w:hAnsi="Times New Roman" w:cs="Times New Roman"/>
                <w:noProof/>
                <w:sz w:val="20"/>
                <w:szCs w:val="20"/>
              </w:rPr>
              <w:t>0</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19F3D84D" w14:textId="203D0A54" w:rsidR="004C590F" w:rsidRPr="00BE3F16" w:rsidRDefault="004C590F" w:rsidP="00270B0B">
            <w:pPr>
              <w:rPr>
                <w:rFonts w:ascii="Times New Roman" w:hAnsi="Times New Roman" w:cs="Times New Roman"/>
                <w:noProof/>
                <w:sz w:val="20"/>
                <w:szCs w:val="20"/>
              </w:rPr>
            </w:pPr>
            <w:r w:rsidRPr="00BE3F16">
              <w:rPr>
                <w:rFonts w:ascii="Times New Roman" w:hAnsi="Times New Roman" w:cs="Times New Roman"/>
                <w:noProof/>
                <w:sz w:val="20"/>
                <w:szCs w:val="20"/>
              </w:rPr>
              <w:t>294</w:t>
            </w:r>
            <w:r w:rsidR="0061151E" w:rsidRPr="00BE3F16">
              <w:rPr>
                <w:rFonts w:ascii="Times New Roman" w:hAnsi="Times New Roman" w:cs="Times New Roman"/>
                <w:noProof/>
                <w:sz w:val="20"/>
                <w:szCs w:val="20"/>
                <w:lang w:val="en-GB"/>
              </w:rPr>
              <w:t> </w:t>
            </w:r>
            <w:r w:rsidRPr="00BE3F16">
              <w:rPr>
                <w:rFonts w:ascii="Times New Roman" w:hAnsi="Times New Roman" w:cs="Times New Roman"/>
                <w:noProof/>
                <w:sz w:val="20"/>
                <w:szCs w:val="20"/>
              </w:rPr>
              <w:t>900</w:t>
            </w:r>
            <w:r w:rsidR="0061151E" w:rsidRPr="00BE3F16">
              <w:rPr>
                <w:rFonts w:ascii="Times New Roman" w:hAnsi="Times New Roman" w:cs="Times New Roman"/>
                <w:noProof/>
                <w:sz w:val="20"/>
                <w:szCs w:val="20"/>
                <w:lang w:val="en-GB"/>
              </w:rPr>
              <w:t> </w:t>
            </w:r>
            <w:r w:rsidRPr="00BE3F16">
              <w:rPr>
                <w:rFonts w:ascii="Times New Roman" w:hAnsi="Times New Roman" w:cs="Times New Roman"/>
                <w:noProof/>
                <w:sz w:val="20"/>
                <w:szCs w:val="20"/>
              </w:rPr>
              <w:t>000</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3ABDBF1D"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Q2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1C599DC5"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35064710" w14:textId="4B0501DC" w:rsidR="004C590F" w:rsidRPr="00BE3F16" w:rsidRDefault="004C590F" w:rsidP="00270B0B">
            <w:pPr>
              <w:rPr>
                <w:rFonts w:ascii="Times New Roman" w:eastAsia="Times New Roman" w:hAnsi="Times New Roman" w:cs="Times New Roman"/>
                <w:noProof/>
                <w:sz w:val="20"/>
                <w:szCs w:val="20"/>
                <w:lang w:val="en-IE"/>
              </w:rPr>
            </w:pPr>
            <w:r w:rsidRPr="00BE3F16">
              <w:rPr>
                <w:rFonts w:ascii="Times New Roman" w:eastAsia="Times New Roman" w:hAnsi="Times New Roman" w:cs="Times New Roman"/>
                <w:noProof/>
                <w:sz w:val="20"/>
                <w:szCs w:val="20"/>
                <w:lang w:val="en-IE"/>
              </w:rPr>
              <w:t>Confirmation through payment certificate</w:t>
            </w:r>
            <w:r w:rsidR="00D23D91" w:rsidRPr="00BE3F16">
              <w:rPr>
                <w:rFonts w:ascii="Times New Roman" w:eastAsia="Times New Roman" w:hAnsi="Times New Roman" w:cs="Times New Roman"/>
                <w:noProof/>
                <w:sz w:val="20"/>
                <w:szCs w:val="20"/>
                <w:lang w:val="en-IE"/>
              </w:rPr>
              <w:t xml:space="preserve"> </w:t>
            </w:r>
            <w:r w:rsidRPr="00BE3F16">
              <w:rPr>
                <w:rFonts w:ascii="Times New Roman" w:eastAsia="Times New Roman" w:hAnsi="Times New Roman" w:cs="Times New Roman"/>
                <w:noProof/>
                <w:sz w:val="20"/>
                <w:szCs w:val="20"/>
                <w:lang w:val="en-IE"/>
              </w:rPr>
              <w:t>that a total amount of EUR 294,90 million has been certified for</w:t>
            </w:r>
            <w:r w:rsidR="00D23D91" w:rsidRPr="00BE3F16">
              <w:rPr>
                <w:rFonts w:ascii="Times New Roman" w:eastAsia="Times New Roman" w:hAnsi="Times New Roman" w:cs="Times New Roman"/>
                <w:noProof/>
                <w:sz w:val="20"/>
                <w:szCs w:val="20"/>
                <w:lang w:val="en-IE"/>
              </w:rPr>
              <w:t xml:space="preserve"> </w:t>
            </w:r>
            <w:r w:rsidRPr="00BE3F16">
              <w:rPr>
                <w:rFonts w:ascii="Times New Roman" w:eastAsia="Times New Roman" w:hAnsi="Times New Roman" w:cs="Times New Roman"/>
                <w:noProof/>
                <w:sz w:val="20"/>
                <w:szCs w:val="20"/>
                <w:lang w:val="en-IE"/>
              </w:rPr>
              <w:t>the construction of A7 motorway, section Bacau - Pascani, Lot 1.</w:t>
            </w:r>
          </w:p>
          <w:p w14:paraId="4CE10901" w14:textId="77777777" w:rsidR="004C590F" w:rsidRPr="00BE3F16" w:rsidRDefault="004C590F" w:rsidP="00270B0B">
            <w:pPr>
              <w:rPr>
                <w:rFonts w:ascii="Times New Roman" w:eastAsia="Times New Roman" w:hAnsi="Times New Roman" w:cs="Times New Roman"/>
                <w:noProof/>
                <w:sz w:val="20"/>
                <w:szCs w:val="20"/>
                <w:lang w:val="en-IE"/>
              </w:rPr>
            </w:pPr>
          </w:p>
          <w:p w14:paraId="03367DD8" w14:textId="237E330E" w:rsidR="00F90B9E" w:rsidRPr="00BE3F16" w:rsidRDefault="00F90B9E" w:rsidP="00270B0B">
            <w:pPr>
              <w:rPr>
                <w:rFonts w:ascii="Times New Roman" w:eastAsia="Times New Roman" w:hAnsi="Times New Roman" w:cs="Times New Roman"/>
                <w:noProof/>
                <w:sz w:val="20"/>
                <w:szCs w:val="20"/>
                <w:lang w:val="en-IE"/>
              </w:rPr>
            </w:pPr>
            <w:r w:rsidRPr="00BE3F16">
              <w:rPr>
                <w:rFonts w:ascii="Times New Roman" w:eastAsia="Times New Roman" w:hAnsi="Times New Roman" w:cs="Times New Roman"/>
                <w:noProof/>
                <w:sz w:val="20"/>
                <w:szCs w:val="20"/>
                <w:lang w:val="en-IE"/>
              </w:rPr>
              <w:t>The contract shall contain provisions for the Beneficiary</w:t>
            </w:r>
            <w:r w:rsidR="00D23D91" w:rsidRPr="00BE3F16">
              <w:rPr>
                <w:rFonts w:ascii="Times New Roman" w:eastAsia="Times New Roman" w:hAnsi="Times New Roman" w:cs="Times New Roman"/>
                <w:noProof/>
                <w:sz w:val="20"/>
                <w:szCs w:val="20"/>
                <w:lang w:val="en-IE"/>
              </w:rPr>
              <w:t xml:space="preserve"> </w:t>
            </w:r>
            <w:r w:rsidRPr="00BE3F16">
              <w:rPr>
                <w:rFonts w:ascii="Times New Roman" w:eastAsia="Times New Roman" w:hAnsi="Times New Roman" w:cs="Times New Roman"/>
                <w:noProof/>
                <w:sz w:val="20"/>
                <w:szCs w:val="20"/>
                <w:lang w:val="en-IE"/>
              </w:rPr>
              <w:t>to plant 33.4 ha of forest curtains, to build infrastructure for electric recharging points and to install Intelligent Traffic System (ITS).</w:t>
            </w:r>
          </w:p>
          <w:p w14:paraId="018A8A74" w14:textId="77777777" w:rsidR="00F90B9E" w:rsidRPr="00BE3F16" w:rsidRDefault="00F90B9E" w:rsidP="00270B0B">
            <w:pPr>
              <w:rPr>
                <w:rFonts w:ascii="Times New Roman" w:eastAsia="Times New Roman" w:hAnsi="Times New Roman" w:cs="Times New Roman"/>
                <w:noProof/>
                <w:sz w:val="20"/>
                <w:szCs w:val="20"/>
                <w:lang w:val="en-IE"/>
              </w:rPr>
            </w:pPr>
          </w:p>
          <w:p w14:paraId="70233D2F"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The satisfactory fulfilment of milestones 59, 60 and 69, related to the approval of the legal and strategical framework aiming to decrease the use of pollutingvehicles and to incentivise use of cleaner modes of transport is necessary to ensure compliance of investment 3 with DNSH requirement</w:t>
            </w:r>
          </w:p>
        </w:tc>
      </w:tr>
      <w:tr w:rsidR="004C590F" w:rsidRPr="00BE3F16" w14:paraId="4F488246" w14:textId="77777777" w:rsidTr="00270B0B">
        <w:trPr>
          <w:trHeight w:val="30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79FB0479" w14:textId="2C4458B8"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84b</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2DE78FCB"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Investment 3 Increasing the sustainability of road infrastructure on TEN-T network, road charging, traffic management</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27841FB6"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Target</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12C14F1A" w14:textId="77777777" w:rsidR="004C590F" w:rsidRPr="00BE3F16" w:rsidRDefault="004C590F" w:rsidP="00270B0B">
            <w:pPr>
              <w:rPr>
                <w:rFonts w:ascii="Times New Roman" w:eastAsia="Times New Roman" w:hAnsi="Times New Roman" w:cs="Times New Roman"/>
                <w:noProof/>
                <w:sz w:val="20"/>
                <w:szCs w:val="20"/>
                <w:lang w:val="en-GB"/>
              </w:rPr>
            </w:pPr>
            <w:r w:rsidRPr="00BE3F16">
              <w:rPr>
                <w:rFonts w:ascii="Times New Roman" w:eastAsia="Times New Roman" w:hAnsi="Times New Roman" w:cs="Times New Roman"/>
                <w:noProof/>
                <w:sz w:val="20"/>
                <w:szCs w:val="20"/>
                <w:lang w:val="en-GB"/>
              </w:rPr>
              <w:t>Construction of new road on A7 motorway, section Bacau – Pascani, lot 2</w:t>
            </w:r>
          </w:p>
          <w:p w14:paraId="1D0464F3" w14:textId="77777777" w:rsidR="004C590F" w:rsidRPr="00BE3F16" w:rsidRDefault="004C590F" w:rsidP="00270B0B">
            <w:pPr>
              <w:rPr>
                <w:rFonts w:ascii="Times New Roman" w:eastAsia="Times New Roman" w:hAnsi="Times New Roman" w:cs="Times New Roman"/>
                <w:noProof/>
                <w:sz w:val="20"/>
                <w:szCs w:val="20"/>
                <w:lang w:val="en-GB"/>
              </w:rPr>
            </w:pP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4CA18336" w14:textId="77777777" w:rsidR="004C590F" w:rsidRPr="00BE3F16" w:rsidRDefault="004C590F" w:rsidP="00270B0B">
            <w:pPr>
              <w:rPr>
                <w:rFonts w:ascii="Times New Roman" w:eastAsia="Times New Roman" w:hAnsi="Times New Roman" w:cs="Times New Roman"/>
                <w:noProof/>
                <w:sz w:val="20"/>
                <w:szCs w:val="20"/>
                <w:lang w:val="en-GB" w:eastAsia="en-GB"/>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6B338CA6"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Amount (EUR)</w:t>
            </w: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33A7BAEF"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0</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44BB3BC4" w14:textId="1F5716F9"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230</w:t>
            </w:r>
            <w:r w:rsidR="0061151E" w:rsidRPr="00BE3F16">
              <w:rPr>
                <w:rFonts w:ascii="Times New Roman" w:hAnsi="Times New Roman" w:cs="Times New Roman"/>
                <w:noProof/>
                <w:sz w:val="20"/>
                <w:szCs w:val="20"/>
                <w:lang w:val="en-GB"/>
              </w:rPr>
              <w:t> </w:t>
            </w:r>
            <w:r w:rsidRPr="00BE3F16">
              <w:rPr>
                <w:rFonts w:ascii="Times New Roman" w:hAnsi="Times New Roman" w:cs="Times New Roman"/>
                <w:noProof/>
                <w:sz w:val="20"/>
                <w:szCs w:val="20"/>
                <w:lang w:val="en-GB"/>
              </w:rPr>
              <w:t>090</w:t>
            </w:r>
            <w:r w:rsidR="0061151E" w:rsidRPr="00BE3F16">
              <w:rPr>
                <w:rFonts w:ascii="Times New Roman" w:hAnsi="Times New Roman" w:cs="Times New Roman"/>
                <w:noProof/>
                <w:sz w:val="20"/>
                <w:szCs w:val="20"/>
                <w:lang w:val="en-GB"/>
              </w:rPr>
              <w:t> </w:t>
            </w:r>
            <w:r w:rsidRPr="00BE3F16">
              <w:rPr>
                <w:rFonts w:ascii="Times New Roman" w:hAnsi="Times New Roman" w:cs="Times New Roman"/>
                <w:noProof/>
                <w:sz w:val="20"/>
                <w:szCs w:val="20"/>
                <w:lang w:val="en-GB"/>
              </w:rPr>
              <w:t>000</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5DF098FB"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Q2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7229B9A9"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45C4787D" w14:textId="3C0584C4" w:rsidR="004C590F" w:rsidRPr="00BE3F16" w:rsidRDefault="004C590F" w:rsidP="00270B0B">
            <w:pPr>
              <w:rPr>
                <w:rFonts w:ascii="Times New Roman" w:eastAsia="Times New Roman" w:hAnsi="Times New Roman" w:cs="Times New Roman"/>
                <w:noProof/>
                <w:sz w:val="20"/>
                <w:szCs w:val="20"/>
                <w:lang w:val="en-IE"/>
              </w:rPr>
            </w:pPr>
            <w:r w:rsidRPr="00BE3F16">
              <w:rPr>
                <w:rFonts w:ascii="Times New Roman" w:eastAsia="Times New Roman" w:hAnsi="Times New Roman" w:cs="Times New Roman"/>
                <w:noProof/>
                <w:sz w:val="20"/>
                <w:szCs w:val="20"/>
                <w:lang w:val="en-IE"/>
              </w:rPr>
              <w:t>Confirmation through payment certificate that a total amount of EUR 230,09 million has been certified for</w:t>
            </w:r>
            <w:r w:rsidR="00D23D91" w:rsidRPr="00BE3F16">
              <w:rPr>
                <w:rFonts w:ascii="Times New Roman" w:eastAsia="Times New Roman" w:hAnsi="Times New Roman" w:cs="Times New Roman"/>
                <w:noProof/>
                <w:sz w:val="20"/>
                <w:szCs w:val="20"/>
                <w:lang w:val="en-IE"/>
              </w:rPr>
              <w:t xml:space="preserve"> </w:t>
            </w:r>
            <w:r w:rsidRPr="00BE3F16">
              <w:rPr>
                <w:rFonts w:ascii="Times New Roman" w:eastAsia="Times New Roman" w:hAnsi="Times New Roman" w:cs="Times New Roman"/>
                <w:noProof/>
                <w:sz w:val="20"/>
                <w:szCs w:val="20"/>
                <w:lang w:val="en-IE"/>
              </w:rPr>
              <w:t>the construction of A7 motorway, section Bacau - Pascani, Lot 2.</w:t>
            </w:r>
          </w:p>
          <w:p w14:paraId="1D4F2310" w14:textId="77777777" w:rsidR="004C590F" w:rsidRPr="00BE3F16" w:rsidRDefault="004C590F" w:rsidP="00270B0B">
            <w:pPr>
              <w:rPr>
                <w:rFonts w:ascii="Times New Roman" w:eastAsia="Times New Roman" w:hAnsi="Times New Roman" w:cs="Times New Roman"/>
                <w:noProof/>
                <w:sz w:val="20"/>
                <w:szCs w:val="20"/>
                <w:lang w:val="en-IE"/>
              </w:rPr>
            </w:pPr>
          </w:p>
          <w:p w14:paraId="09CD8B68" w14:textId="6A39CC79" w:rsidR="00EE16F3" w:rsidRPr="00BE3F16" w:rsidRDefault="00EE16F3" w:rsidP="00270B0B">
            <w:pPr>
              <w:rPr>
                <w:rFonts w:ascii="Times New Roman" w:eastAsia="Times New Roman" w:hAnsi="Times New Roman" w:cs="Times New Roman"/>
                <w:noProof/>
                <w:sz w:val="20"/>
                <w:szCs w:val="20"/>
                <w:lang w:val="en-IE"/>
              </w:rPr>
            </w:pPr>
            <w:r w:rsidRPr="00BE3F16">
              <w:rPr>
                <w:rFonts w:ascii="Times New Roman" w:eastAsia="Times New Roman" w:hAnsi="Times New Roman" w:cs="Times New Roman"/>
                <w:noProof/>
                <w:sz w:val="20"/>
                <w:szCs w:val="20"/>
                <w:lang w:val="en-IE"/>
              </w:rPr>
              <w:t>The contract shall contain provisions for the Beneficiary</w:t>
            </w:r>
            <w:r w:rsidR="00D23D91" w:rsidRPr="00BE3F16">
              <w:rPr>
                <w:rFonts w:ascii="Times New Roman" w:eastAsia="Times New Roman" w:hAnsi="Times New Roman" w:cs="Times New Roman"/>
                <w:noProof/>
                <w:sz w:val="20"/>
                <w:szCs w:val="20"/>
                <w:lang w:val="en-IE"/>
              </w:rPr>
              <w:t xml:space="preserve"> </w:t>
            </w:r>
            <w:r w:rsidRPr="00BE3F16">
              <w:rPr>
                <w:rFonts w:ascii="Times New Roman" w:eastAsia="Times New Roman" w:hAnsi="Times New Roman" w:cs="Times New Roman"/>
                <w:noProof/>
                <w:sz w:val="20"/>
                <w:szCs w:val="20"/>
                <w:lang w:val="en-IE"/>
              </w:rPr>
              <w:t>to plant 20.6 ha of forest curtains, to build infrastructure for electric recharging points and to install Intelligent Traffic System (ITS).</w:t>
            </w:r>
          </w:p>
          <w:p w14:paraId="6989727C" w14:textId="77777777" w:rsidR="00EE16F3" w:rsidRPr="00BE3F16" w:rsidRDefault="00EE16F3" w:rsidP="00270B0B">
            <w:pPr>
              <w:rPr>
                <w:rFonts w:ascii="Times New Roman" w:eastAsia="Times New Roman" w:hAnsi="Times New Roman" w:cs="Times New Roman"/>
                <w:noProof/>
                <w:sz w:val="20"/>
                <w:szCs w:val="20"/>
                <w:lang w:val="en-IE"/>
              </w:rPr>
            </w:pPr>
          </w:p>
          <w:p w14:paraId="0000D384"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The satisfactory fulfilment of milestones 59, 60 and 69, related to the approval of the legal and strategical framework aiming to decrease the use of pollutingvehicles and to incentivise use of cleaner modes of transport is necessary to ensure compliance of investment 3 with DNSH requirement</w:t>
            </w:r>
          </w:p>
          <w:p w14:paraId="3ABF12FF" w14:textId="77777777" w:rsidR="004C590F" w:rsidRPr="00BE3F16" w:rsidRDefault="004C590F" w:rsidP="00270B0B">
            <w:pPr>
              <w:rPr>
                <w:rFonts w:ascii="Times New Roman" w:eastAsia="Times New Roman" w:hAnsi="Times New Roman" w:cs="Times New Roman"/>
                <w:noProof/>
                <w:sz w:val="20"/>
                <w:szCs w:val="20"/>
                <w:lang w:val="en-IE"/>
              </w:rPr>
            </w:pPr>
          </w:p>
        </w:tc>
      </w:tr>
      <w:tr w:rsidR="004C590F" w:rsidRPr="00BE3F16" w14:paraId="38324E1F" w14:textId="77777777" w:rsidTr="00270B0B">
        <w:trPr>
          <w:trHeight w:val="30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2BBAA38E" w14:textId="550C522D"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84c</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3221362F"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Investment 3 Increasing the sustainability of road infrastructure on TEN-T network, road charging, traffic management a</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3F287A5F"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Target</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0EEB6B6D" w14:textId="77777777" w:rsidR="004C590F" w:rsidRPr="00BE3F16" w:rsidRDefault="004C590F" w:rsidP="00270B0B">
            <w:pPr>
              <w:rPr>
                <w:rFonts w:ascii="Times New Roman" w:eastAsia="Times New Roman" w:hAnsi="Times New Roman" w:cs="Times New Roman"/>
                <w:noProof/>
                <w:sz w:val="20"/>
                <w:szCs w:val="20"/>
                <w:lang w:val="en-GB"/>
              </w:rPr>
            </w:pPr>
            <w:r w:rsidRPr="00BE3F16">
              <w:rPr>
                <w:rFonts w:ascii="Times New Roman" w:eastAsia="Times New Roman" w:hAnsi="Times New Roman" w:cs="Times New Roman"/>
                <w:noProof/>
                <w:sz w:val="20"/>
                <w:szCs w:val="20"/>
                <w:lang w:val="en-GB"/>
              </w:rPr>
              <w:t>Construction of new road on A7 motorway, section Bacau – Pascani, lot 3</w:t>
            </w:r>
          </w:p>
          <w:p w14:paraId="7884F110" w14:textId="77777777" w:rsidR="004C590F" w:rsidRPr="00BE3F16" w:rsidRDefault="004C590F" w:rsidP="00270B0B">
            <w:pPr>
              <w:rPr>
                <w:rFonts w:ascii="Times New Roman" w:eastAsia="Times New Roman" w:hAnsi="Times New Roman" w:cs="Times New Roman"/>
                <w:noProof/>
                <w:sz w:val="20"/>
                <w:szCs w:val="20"/>
                <w:lang w:val="en-GB"/>
              </w:rPr>
            </w:pP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1F20E30F" w14:textId="77777777" w:rsidR="004C590F" w:rsidRPr="00BE3F16" w:rsidRDefault="004C590F" w:rsidP="00270B0B">
            <w:pPr>
              <w:rPr>
                <w:rFonts w:ascii="Times New Roman" w:eastAsia="Times New Roman" w:hAnsi="Times New Roman" w:cs="Times New Roman"/>
                <w:noProof/>
                <w:sz w:val="20"/>
                <w:szCs w:val="20"/>
                <w:lang w:val="en-GB" w:eastAsia="en-GB"/>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4BB36DD2"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Amount (EUR)</w:t>
            </w: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3D88F40C"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0</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4A073345" w14:textId="17590124"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217</w:t>
            </w:r>
            <w:r w:rsidR="0061151E" w:rsidRPr="00BE3F16">
              <w:rPr>
                <w:rFonts w:ascii="Times New Roman" w:hAnsi="Times New Roman" w:cs="Times New Roman"/>
                <w:noProof/>
                <w:sz w:val="20"/>
                <w:szCs w:val="20"/>
                <w:lang w:val="en-GB"/>
              </w:rPr>
              <w:t> </w:t>
            </w:r>
            <w:r w:rsidRPr="00BE3F16">
              <w:rPr>
                <w:rFonts w:ascii="Times New Roman" w:hAnsi="Times New Roman" w:cs="Times New Roman"/>
                <w:noProof/>
                <w:sz w:val="20"/>
                <w:szCs w:val="20"/>
                <w:lang w:val="en-GB"/>
              </w:rPr>
              <w:t>100</w:t>
            </w:r>
            <w:r w:rsidR="0061151E" w:rsidRPr="00BE3F16">
              <w:rPr>
                <w:rFonts w:ascii="Times New Roman" w:hAnsi="Times New Roman" w:cs="Times New Roman"/>
                <w:noProof/>
                <w:sz w:val="20"/>
                <w:szCs w:val="20"/>
                <w:lang w:val="en-GB"/>
              </w:rPr>
              <w:t> </w:t>
            </w:r>
            <w:r w:rsidRPr="00BE3F16">
              <w:rPr>
                <w:rFonts w:ascii="Times New Roman" w:hAnsi="Times New Roman" w:cs="Times New Roman"/>
                <w:noProof/>
                <w:sz w:val="20"/>
                <w:szCs w:val="20"/>
                <w:lang w:val="en-GB"/>
              </w:rPr>
              <w:t>000</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1146BFC7"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Q2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6237E35F"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151AA88D" w14:textId="56275938" w:rsidR="004C590F" w:rsidRPr="00BE3F16" w:rsidRDefault="004C590F" w:rsidP="00270B0B">
            <w:pPr>
              <w:rPr>
                <w:rFonts w:ascii="Times New Roman" w:eastAsia="Times New Roman" w:hAnsi="Times New Roman" w:cs="Times New Roman"/>
                <w:i/>
                <w:iCs/>
                <w:noProof/>
                <w:sz w:val="20"/>
                <w:szCs w:val="20"/>
                <w:lang w:val="en-IE"/>
              </w:rPr>
            </w:pPr>
            <w:r w:rsidRPr="00BE3F16">
              <w:rPr>
                <w:rFonts w:ascii="Times New Roman" w:eastAsia="Times New Roman" w:hAnsi="Times New Roman" w:cs="Times New Roman"/>
                <w:noProof/>
                <w:sz w:val="20"/>
                <w:szCs w:val="20"/>
                <w:lang w:val="en-IE"/>
              </w:rPr>
              <w:t>Confirmation through payment certificate , that a total amount of EUR 217,10 million has been certified for</w:t>
            </w:r>
            <w:r w:rsidR="00D23D91" w:rsidRPr="00BE3F16">
              <w:rPr>
                <w:rFonts w:ascii="Times New Roman" w:eastAsia="Times New Roman" w:hAnsi="Times New Roman" w:cs="Times New Roman"/>
                <w:noProof/>
                <w:sz w:val="20"/>
                <w:szCs w:val="20"/>
                <w:lang w:val="en-IE"/>
              </w:rPr>
              <w:t xml:space="preserve"> </w:t>
            </w:r>
            <w:r w:rsidRPr="00BE3F16">
              <w:rPr>
                <w:rFonts w:ascii="Times New Roman" w:eastAsia="Times New Roman" w:hAnsi="Times New Roman" w:cs="Times New Roman"/>
                <w:noProof/>
                <w:sz w:val="20"/>
                <w:szCs w:val="20"/>
                <w:lang w:val="en-IE"/>
              </w:rPr>
              <w:t>the construction of A7</w:t>
            </w:r>
            <w:r w:rsidRPr="00BE3F16">
              <w:rPr>
                <w:rFonts w:ascii="Times New Roman" w:eastAsia="Times New Roman" w:hAnsi="Times New Roman" w:cs="Times New Roman"/>
                <w:i/>
                <w:iCs/>
                <w:noProof/>
                <w:sz w:val="20"/>
                <w:szCs w:val="20"/>
                <w:lang w:val="en-IE"/>
              </w:rPr>
              <w:t xml:space="preserve"> </w:t>
            </w:r>
            <w:r w:rsidRPr="00BE3F16">
              <w:rPr>
                <w:rFonts w:ascii="Times New Roman" w:eastAsia="Times New Roman" w:hAnsi="Times New Roman" w:cs="Times New Roman"/>
                <w:noProof/>
                <w:sz w:val="20"/>
                <w:szCs w:val="20"/>
                <w:lang w:val="en-IE"/>
              </w:rPr>
              <w:t>motorway, section Bacau - Pascani, Lot 3.</w:t>
            </w:r>
          </w:p>
          <w:p w14:paraId="3AC0F86C" w14:textId="77777777" w:rsidR="004C590F" w:rsidRPr="00BE3F16" w:rsidRDefault="004C590F" w:rsidP="00270B0B">
            <w:pPr>
              <w:rPr>
                <w:rFonts w:ascii="Times New Roman" w:eastAsia="Times New Roman" w:hAnsi="Times New Roman" w:cs="Times New Roman"/>
                <w:noProof/>
                <w:sz w:val="20"/>
                <w:szCs w:val="20"/>
                <w:lang w:val="en-IE"/>
              </w:rPr>
            </w:pPr>
          </w:p>
          <w:p w14:paraId="6755D273" w14:textId="33B88B4E" w:rsidR="00B770B6" w:rsidRPr="00BE3F16" w:rsidRDefault="00B770B6" w:rsidP="00270B0B">
            <w:pPr>
              <w:rPr>
                <w:rFonts w:ascii="Times New Roman" w:eastAsia="Times New Roman" w:hAnsi="Times New Roman" w:cs="Times New Roman"/>
                <w:noProof/>
                <w:sz w:val="20"/>
                <w:szCs w:val="20"/>
                <w:lang w:val="en-IE"/>
              </w:rPr>
            </w:pPr>
            <w:r w:rsidRPr="00BE3F16">
              <w:rPr>
                <w:rFonts w:ascii="Times New Roman" w:eastAsia="Times New Roman" w:hAnsi="Times New Roman" w:cs="Times New Roman"/>
                <w:noProof/>
                <w:sz w:val="20"/>
                <w:szCs w:val="20"/>
                <w:lang w:val="en-IE"/>
              </w:rPr>
              <w:t>The contract shall contain provisions for the Beneficiary</w:t>
            </w:r>
            <w:r w:rsidR="00D23D91" w:rsidRPr="00BE3F16">
              <w:rPr>
                <w:rFonts w:ascii="Times New Roman" w:eastAsia="Times New Roman" w:hAnsi="Times New Roman" w:cs="Times New Roman"/>
                <w:noProof/>
                <w:sz w:val="20"/>
                <w:szCs w:val="20"/>
                <w:lang w:val="en-IE"/>
              </w:rPr>
              <w:t xml:space="preserve"> </w:t>
            </w:r>
            <w:r w:rsidRPr="00BE3F16">
              <w:rPr>
                <w:rFonts w:ascii="Times New Roman" w:eastAsia="Times New Roman" w:hAnsi="Times New Roman" w:cs="Times New Roman"/>
                <w:noProof/>
                <w:sz w:val="20"/>
                <w:szCs w:val="20"/>
                <w:lang w:val="en-IE"/>
              </w:rPr>
              <w:t>to plant 25.99 ha of forest curtains, to build infrastructure for electric recharging points and to install Intelligent Traffic System (ITS).</w:t>
            </w:r>
          </w:p>
          <w:p w14:paraId="6B489CD7" w14:textId="77777777" w:rsidR="00B770B6" w:rsidRPr="00BE3F16" w:rsidRDefault="00B770B6" w:rsidP="00270B0B">
            <w:pPr>
              <w:rPr>
                <w:rFonts w:ascii="Times New Roman" w:eastAsia="Times New Roman" w:hAnsi="Times New Roman" w:cs="Times New Roman"/>
                <w:noProof/>
                <w:sz w:val="20"/>
                <w:szCs w:val="20"/>
                <w:lang w:val="en-IE"/>
              </w:rPr>
            </w:pPr>
          </w:p>
          <w:p w14:paraId="180720DA"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The satisfactory fulfilment of milestones 59, 60 and 69, related to the approval of the legal and strategical framework aiming to decrease the use of pollutingvehicles and to incentivise use of cleaner modes of transport is necessary to ensure compliance of investment 3 with DNSH requirement</w:t>
            </w:r>
          </w:p>
          <w:p w14:paraId="648407F6" w14:textId="77777777" w:rsidR="004C590F" w:rsidRPr="00BE3F16" w:rsidRDefault="004C590F" w:rsidP="00270B0B">
            <w:pPr>
              <w:rPr>
                <w:rFonts w:ascii="Times New Roman" w:eastAsia="Times New Roman" w:hAnsi="Times New Roman" w:cs="Times New Roman"/>
                <w:noProof/>
                <w:sz w:val="20"/>
                <w:szCs w:val="20"/>
                <w:lang w:val="en-IE"/>
              </w:rPr>
            </w:pPr>
          </w:p>
        </w:tc>
      </w:tr>
      <w:tr w:rsidR="004C590F" w:rsidRPr="00BE3F16" w14:paraId="3E635F36" w14:textId="77777777" w:rsidTr="00270B0B">
        <w:trPr>
          <w:trHeight w:val="30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7CEBC85C" w14:textId="54B95F30"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84d</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7C726E19"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Investment 3 Increasing the sustainability of road infrastructure on TEN-T network, road charging, traffic management</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4CF6BEE0"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Target</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310572B7" w14:textId="77777777" w:rsidR="004C590F" w:rsidRPr="00BE3F16" w:rsidRDefault="004C590F" w:rsidP="00270B0B">
            <w:pPr>
              <w:rPr>
                <w:rFonts w:ascii="Times New Roman" w:eastAsia="Times New Roman" w:hAnsi="Times New Roman" w:cs="Times New Roman"/>
                <w:noProof/>
                <w:sz w:val="20"/>
                <w:szCs w:val="20"/>
                <w:lang w:val="en-GB"/>
              </w:rPr>
            </w:pPr>
            <w:r w:rsidRPr="00BE3F16">
              <w:rPr>
                <w:rFonts w:ascii="Times New Roman" w:eastAsia="Times New Roman" w:hAnsi="Times New Roman" w:cs="Times New Roman"/>
                <w:noProof/>
                <w:sz w:val="20"/>
                <w:szCs w:val="20"/>
                <w:lang w:val="en-GB"/>
              </w:rPr>
              <w:t>Construction of new road on A1 motorway Margina - Holdea</w:t>
            </w:r>
          </w:p>
          <w:p w14:paraId="390E9A11" w14:textId="77777777" w:rsidR="004C590F" w:rsidRPr="00BE3F16" w:rsidRDefault="004C590F" w:rsidP="00270B0B">
            <w:pPr>
              <w:rPr>
                <w:rFonts w:ascii="Times New Roman" w:eastAsia="Times New Roman" w:hAnsi="Times New Roman" w:cs="Times New Roman"/>
                <w:noProof/>
                <w:sz w:val="20"/>
                <w:szCs w:val="20"/>
                <w:lang w:val="en-GB"/>
              </w:rPr>
            </w:pP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003951E0" w14:textId="77777777" w:rsidR="004C590F" w:rsidRPr="00BE3F16" w:rsidRDefault="004C590F" w:rsidP="00270B0B">
            <w:pPr>
              <w:rPr>
                <w:rFonts w:ascii="Times New Roman" w:eastAsia="Times New Roman" w:hAnsi="Times New Roman" w:cs="Times New Roman"/>
                <w:noProof/>
                <w:sz w:val="20"/>
                <w:szCs w:val="20"/>
                <w:lang w:val="en-GB" w:eastAsia="en-GB"/>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3206ADBB"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Amount (EUR)</w:t>
            </w: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4543B0FB"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0</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50E97170" w14:textId="2E759310"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283</w:t>
            </w:r>
            <w:r w:rsidR="0061151E" w:rsidRPr="00BE3F16">
              <w:rPr>
                <w:rFonts w:ascii="Times New Roman" w:hAnsi="Times New Roman" w:cs="Times New Roman"/>
                <w:noProof/>
                <w:sz w:val="20"/>
                <w:szCs w:val="20"/>
                <w:lang w:val="en-GB"/>
              </w:rPr>
              <w:t> </w:t>
            </w:r>
            <w:r w:rsidRPr="00BE3F16">
              <w:rPr>
                <w:rFonts w:ascii="Times New Roman" w:hAnsi="Times New Roman" w:cs="Times New Roman"/>
                <w:noProof/>
                <w:sz w:val="20"/>
                <w:szCs w:val="20"/>
                <w:lang w:val="en-GB"/>
              </w:rPr>
              <w:t>920</w:t>
            </w:r>
            <w:r w:rsidR="0061151E" w:rsidRPr="00BE3F16">
              <w:rPr>
                <w:rFonts w:ascii="Times New Roman" w:hAnsi="Times New Roman" w:cs="Times New Roman"/>
                <w:noProof/>
                <w:sz w:val="20"/>
                <w:szCs w:val="20"/>
                <w:lang w:val="en-GB"/>
              </w:rPr>
              <w:t> </w:t>
            </w:r>
            <w:r w:rsidRPr="00BE3F16">
              <w:rPr>
                <w:rFonts w:ascii="Times New Roman" w:hAnsi="Times New Roman" w:cs="Times New Roman"/>
                <w:noProof/>
                <w:sz w:val="20"/>
                <w:szCs w:val="20"/>
                <w:lang w:val="en-GB"/>
              </w:rPr>
              <w:t>000</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26B1B0E1"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Q2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09DB5D64"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3F9A7AE7" w14:textId="252F09D8" w:rsidR="004C590F" w:rsidRPr="00BE3F16" w:rsidRDefault="004C590F" w:rsidP="00270B0B">
            <w:pPr>
              <w:rPr>
                <w:rFonts w:ascii="Times New Roman" w:eastAsia="Times New Roman" w:hAnsi="Times New Roman" w:cs="Times New Roman"/>
                <w:noProof/>
                <w:sz w:val="20"/>
                <w:szCs w:val="20"/>
                <w:lang w:val="en-IE"/>
              </w:rPr>
            </w:pPr>
            <w:r w:rsidRPr="00BE3F16">
              <w:rPr>
                <w:rFonts w:ascii="Times New Roman" w:eastAsia="Times New Roman" w:hAnsi="Times New Roman" w:cs="Times New Roman"/>
                <w:noProof/>
                <w:sz w:val="20"/>
                <w:szCs w:val="20"/>
                <w:lang w:val="en-IE"/>
              </w:rPr>
              <w:t>Confirmation through payment certificate , that a total amount of EUR 283,92 million has been certified for</w:t>
            </w:r>
            <w:r w:rsidR="00D23D91" w:rsidRPr="00BE3F16">
              <w:rPr>
                <w:rFonts w:ascii="Times New Roman" w:eastAsia="Times New Roman" w:hAnsi="Times New Roman" w:cs="Times New Roman"/>
                <w:noProof/>
                <w:sz w:val="20"/>
                <w:szCs w:val="20"/>
                <w:lang w:val="en-IE"/>
              </w:rPr>
              <w:t xml:space="preserve"> </w:t>
            </w:r>
            <w:r w:rsidRPr="00BE3F16">
              <w:rPr>
                <w:rFonts w:ascii="Times New Roman" w:eastAsia="Times New Roman" w:hAnsi="Times New Roman" w:cs="Times New Roman"/>
                <w:noProof/>
                <w:sz w:val="20"/>
                <w:szCs w:val="20"/>
                <w:lang w:val="en-IE"/>
              </w:rPr>
              <w:t>the construction of A1 motorway, Margina – Holdea.</w:t>
            </w:r>
          </w:p>
          <w:p w14:paraId="2469C4E3" w14:textId="77777777" w:rsidR="004C590F" w:rsidRPr="00BE3F16" w:rsidRDefault="004C590F" w:rsidP="00270B0B">
            <w:pPr>
              <w:rPr>
                <w:rFonts w:ascii="Times New Roman" w:eastAsia="Times New Roman" w:hAnsi="Times New Roman" w:cs="Times New Roman"/>
                <w:noProof/>
                <w:sz w:val="20"/>
                <w:szCs w:val="20"/>
                <w:lang w:val="en-IE"/>
              </w:rPr>
            </w:pPr>
          </w:p>
          <w:p w14:paraId="4536A510" w14:textId="4C18B11D" w:rsidR="00B770B6" w:rsidRPr="00BE3F16" w:rsidRDefault="00B770B6" w:rsidP="00270B0B">
            <w:pPr>
              <w:rPr>
                <w:rFonts w:ascii="Times New Roman" w:eastAsia="Times New Roman" w:hAnsi="Times New Roman" w:cs="Times New Roman"/>
                <w:noProof/>
                <w:sz w:val="20"/>
                <w:szCs w:val="20"/>
                <w:lang w:val="en-IE"/>
              </w:rPr>
            </w:pPr>
            <w:r w:rsidRPr="00BE3F16">
              <w:rPr>
                <w:rFonts w:ascii="Times New Roman" w:eastAsia="Times New Roman" w:hAnsi="Times New Roman" w:cs="Times New Roman"/>
                <w:noProof/>
                <w:sz w:val="20"/>
                <w:szCs w:val="20"/>
                <w:lang w:val="en-IE"/>
              </w:rPr>
              <w:t>The contract shall contain provisions for the Beneficiary to install Intelligent Traffic System (ITS).</w:t>
            </w:r>
          </w:p>
          <w:p w14:paraId="072F738B" w14:textId="77777777" w:rsidR="00B770B6" w:rsidRPr="00BE3F16" w:rsidRDefault="00B770B6" w:rsidP="00270B0B">
            <w:pPr>
              <w:rPr>
                <w:rFonts w:ascii="Times New Roman" w:eastAsia="Times New Roman" w:hAnsi="Times New Roman" w:cs="Times New Roman"/>
                <w:noProof/>
                <w:sz w:val="20"/>
                <w:szCs w:val="20"/>
                <w:lang w:val="en-IE"/>
              </w:rPr>
            </w:pPr>
          </w:p>
          <w:p w14:paraId="08B3118F"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The satisfactory fulfilment of milestones 59, 60 and 69, related to the approval of the legal and strategical framework aiming to decrease the use of pollutingvehicles and to incentivise use of cleaner modes of transport is necessary to ensure compliance of investment 3 with DNSH requirement</w:t>
            </w:r>
          </w:p>
          <w:p w14:paraId="58B54D4D" w14:textId="77777777" w:rsidR="004C590F" w:rsidRPr="00BE3F16" w:rsidRDefault="004C590F" w:rsidP="00270B0B">
            <w:pPr>
              <w:rPr>
                <w:rFonts w:ascii="Times New Roman" w:eastAsia="Times New Roman" w:hAnsi="Times New Roman" w:cs="Times New Roman"/>
                <w:noProof/>
                <w:sz w:val="20"/>
                <w:szCs w:val="20"/>
                <w:lang w:val="en-IE"/>
              </w:rPr>
            </w:pPr>
          </w:p>
        </w:tc>
      </w:tr>
      <w:tr w:rsidR="004C590F" w:rsidRPr="00BE3F16" w14:paraId="57F6E568" w14:textId="77777777" w:rsidTr="00270B0B">
        <w:trPr>
          <w:trHeight w:val="30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0548651A" w14:textId="6685A248"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85</w:t>
            </w:r>
            <w:r w:rsidRPr="00BE3F16">
              <w:rPr>
                <w:rFonts w:ascii="Times New Roman" w:hAnsi="Times New Roman" w:cs="Times New Roman"/>
                <w:noProof/>
                <w:sz w:val="20"/>
                <w:szCs w:val="20"/>
                <w:lang w:val="en-GB"/>
              </w:rPr>
              <w:t>a</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455B38B0" w14:textId="22D57A1B"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I</w:t>
            </w:r>
            <w:r w:rsidRPr="00BE3F16">
              <w:rPr>
                <w:rFonts w:ascii="Times New Roman" w:hAnsi="Times New Roman" w:cs="Times New Roman"/>
                <w:noProof/>
                <w:sz w:val="20"/>
                <w:szCs w:val="20"/>
                <w:lang w:val="en-GB"/>
              </w:rPr>
              <w:t>nvestment 5. Increasing the</w:t>
            </w:r>
            <w:r w:rsidR="00D23D91" w:rsidRPr="00BE3F16">
              <w:rPr>
                <w:rFonts w:ascii="Times New Roman" w:hAnsi="Times New Roman" w:cs="Times New Roman"/>
                <w:noProof/>
                <w:sz w:val="20"/>
                <w:szCs w:val="20"/>
                <w:lang w:val="en-GB"/>
              </w:rPr>
              <w:t xml:space="preserve"> </w:t>
            </w:r>
            <w:r w:rsidRPr="00BE3F16">
              <w:rPr>
                <w:rFonts w:ascii="Times New Roman" w:hAnsi="Times New Roman" w:cs="Times New Roman"/>
                <w:noProof/>
                <w:sz w:val="20"/>
                <w:szCs w:val="20"/>
                <w:lang w:val="en-GB"/>
              </w:rPr>
              <w:t>road safety</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579A9226"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Target</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5FE5B051" w14:textId="77777777" w:rsidR="004C590F" w:rsidRPr="00BE3F16" w:rsidRDefault="004C590F" w:rsidP="00270B0B">
            <w:pPr>
              <w:rPr>
                <w:rFonts w:ascii="Times New Roman" w:hAnsi="Times New Roman" w:cs="Times New Roman"/>
                <w:noProof/>
                <w:sz w:val="20"/>
                <w:szCs w:val="20"/>
                <w:lang w:val="en-IE"/>
                <w14:ligatures w14:val="none"/>
              </w:rPr>
            </w:pPr>
            <w:r w:rsidRPr="00BE3F16">
              <w:rPr>
                <w:rFonts w:ascii="Times New Roman" w:eastAsia="Times New Roman" w:hAnsi="Times New Roman" w:cs="Times New Roman"/>
                <w:noProof/>
                <w:sz w:val="20"/>
                <w:szCs w:val="20"/>
                <w:lang w:val="en-GB"/>
                <w14:ligatures w14:val="none"/>
              </w:rPr>
              <w:t>Road safety black/hot spots removed</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09A9FE94" w14:textId="77777777" w:rsidR="004C590F" w:rsidRPr="00BE3F16" w:rsidRDefault="004C590F" w:rsidP="00270B0B">
            <w:pPr>
              <w:rPr>
                <w:rFonts w:ascii="Times New Roman" w:eastAsia="Times New Roman" w:hAnsi="Times New Roman" w:cs="Times New Roman"/>
                <w:noProof/>
                <w:sz w:val="20"/>
                <w:szCs w:val="20"/>
                <w:lang w:val="en-GB" w:eastAsia="en-GB"/>
                <w14:ligatures w14:val="none"/>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59981D80"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Number</w:t>
            </w: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3BB09802"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0</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00C45CC6"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rPr>
              <w:t>45</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0827B575"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Q2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7668EC58" w14:textId="77777777" w:rsidR="004C590F" w:rsidRPr="00BE3F16" w:rsidRDefault="004C590F" w:rsidP="00270B0B">
            <w:pPr>
              <w:rPr>
                <w:rFonts w:ascii="Times New Roman" w:hAnsi="Times New Roman" w:cs="Times New Roman"/>
                <w:noProof/>
                <w:sz w:val="20"/>
                <w:szCs w:val="20"/>
                <w:lang w:val="en-GB"/>
                <w14:ligatures w14:val="none"/>
              </w:rPr>
            </w:pPr>
            <w:r w:rsidRPr="00BE3F16">
              <w:rPr>
                <w:rFonts w:ascii="Times New Roman" w:hAnsi="Times New Roman" w:cs="Times New Roman"/>
                <w:noProof/>
                <w:sz w:val="20"/>
                <w:szCs w:val="20"/>
                <w:lang w:val="en-GB"/>
                <w14:ligatures w14:val="none"/>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323FE312" w14:textId="77777777" w:rsidR="004C590F" w:rsidRPr="00BE3F16" w:rsidRDefault="004C590F" w:rsidP="00270B0B">
            <w:pPr>
              <w:rPr>
                <w:rFonts w:ascii="Times New Roman" w:hAnsi="Times New Roman" w:cs="Times New Roman"/>
                <w:noProof/>
                <w:sz w:val="20"/>
                <w:szCs w:val="20"/>
                <w:lang w:val="en-GB"/>
                <w14:ligatures w14:val="none"/>
              </w:rPr>
            </w:pPr>
            <w:r w:rsidRPr="00BE3F16" w:rsidDel="222FBFD4">
              <w:rPr>
                <w:rFonts w:ascii="Times New Roman" w:eastAsia="Times New Roman" w:hAnsi="Times New Roman" w:cs="Times New Roman"/>
                <w:noProof/>
                <w:sz w:val="20"/>
                <w:szCs w:val="20"/>
                <w:lang w:val="en-IE"/>
              </w:rPr>
              <w:t>45</w:t>
            </w:r>
            <w:r w:rsidRPr="00BE3F16">
              <w:rPr>
                <w:rFonts w:ascii="Times New Roman" w:eastAsia="Times New Roman" w:hAnsi="Times New Roman" w:cs="Times New Roman"/>
                <w:noProof/>
                <w:sz w:val="20"/>
                <w:szCs w:val="20"/>
                <w:lang w:val="en-IE"/>
              </w:rPr>
              <w:t xml:space="preserve"> road safety black/hot spots shall be removed.</w:t>
            </w:r>
          </w:p>
        </w:tc>
      </w:tr>
      <w:tr w:rsidR="004C590F" w:rsidRPr="00BE3F16" w14:paraId="794CDFE5" w14:textId="77777777" w:rsidTr="00270B0B">
        <w:trPr>
          <w:trHeight w:val="30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35CBA5A4" w14:textId="2FAF88F0"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85b</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3659C364" w14:textId="7CC86BB9"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Investment 5. Increasing the</w:t>
            </w:r>
            <w:r w:rsidR="00D23D91" w:rsidRPr="00BE3F16">
              <w:rPr>
                <w:rFonts w:ascii="Times New Roman" w:hAnsi="Times New Roman" w:cs="Times New Roman"/>
                <w:noProof/>
                <w:sz w:val="20"/>
                <w:szCs w:val="20"/>
                <w:lang w:val="en-GB"/>
              </w:rPr>
              <w:t xml:space="preserve"> </w:t>
            </w:r>
            <w:r w:rsidRPr="00BE3F16">
              <w:rPr>
                <w:rFonts w:ascii="Times New Roman" w:hAnsi="Times New Roman" w:cs="Times New Roman"/>
                <w:noProof/>
                <w:sz w:val="20"/>
                <w:szCs w:val="20"/>
                <w:lang w:val="en-GB"/>
              </w:rPr>
              <w:t>road safety</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2CA9944B"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Target</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32A9EEF0" w14:textId="28F7168F" w:rsidR="004C590F" w:rsidRPr="00BE3F16" w:rsidRDefault="004C590F" w:rsidP="00270B0B">
            <w:pPr>
              <w:rPr>
                <w:rFonts w:ascii="Times New Roman" w:hAnsi="Times New Roman" w:cs="Times New Roman"/>
                <w:noProof/>
                <w:sz w:val="20"/>
                <w:szCs w:val="20"/>
                <w:lang w:val="en-IE"/>
              </w:rPr>
            </w:pPr>
            <w:r w:rsidRPr="00BE3F16">
              <w:rPr>
                <w:rFonts w:ascii="Times New Roman" w:eastAsia="Times New Roman" w:hAnsi="Times New Roman" w:cs="Times New Roman"/>
                <w:noProof/>
                <w:sz w:val="20"/>
                <w:szCs w:val="20"/>
                <w:lang w:val="en-GB"/>
              </w:rPr>
              <w:t>Road safety black/hot spots removed</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3C403220" w14:textId="77777777" w:rsidR="004C590F" w:rsidRPr="00BE3F16" w:rsidRDefault="004C590F" w:rsidP="00270B0B">
            <w:pPr>
              <w:rPr>
                <w:rFonts w:ascii="Times New Roman" w:eastAsia="Times New Roman" w:hAnsi="Times New Roman" w:cs="Times New Roman"/>
                <w:noProof/>
                <w:sz w:val="20"/>
                <w:szCs w:val="20"/>
                <w:lang w:val="en-GB" w:eastAsia="en-GB"/>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05CFB8CD"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Number</w:t>
            </w: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0CF15110"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46</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20BF9C52"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91</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71DCB088"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Q2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3A6D3AD5"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0B76C6BD" w14:textId="77777777" w:rsidR="004C590F" w:rsidRPr="00BE3F16" w:rsidRDefault="004C590F" w:rsidP="00270B0B">
            <w:pPr>
              <w:rPr>
                <w:rFonts w:ascii="Times New Roman" w:hAnsi="Times New Roman" w:cs="Times New Roman"/>
                <w:noProof/>
                <w:sz w:val="20"/>
                <w:szCs w:val="20"/>
                <w:lang w:val="en-GB"/>
              </w:rPr>
            </w:pPr>
            <w:r w:rsidRPr="00BE3F16">
              <w:rPr>
                <w:rFonts w:ascii="Times New Roman" w:eastAsia="Times New Roman" w:hAnsi="Times New Roman" w:cs="Times New Roman"/>
                <w:noProof/>
                <w:sz w:val="20"/>
                <w:szCs w:val="20"/>
                <w:lang w:val="en-IE"/>
              </w:rPr>
              <w:t>46 road safety black/hot spots shall be removed.</w:t>
            </w:r>
          </w:p>
          <w:p w14:paraId="66B2ED77" w14:textId="77777777" w:rsidR="004C590F" w:rsidRPr="00BE3F16" w:rsidRDefault="004C590F" w:rsidP="00270B0B">
            <w:pPr>
              <w:rPr>
                <w:rFonts w:ascii="Times New Roman" w:eastAsia="Times New Roman" w:hAnsi="Times New Roman" w:cs="Times New Roman"/>
                <w:noProof/>
                <w:sz w:val="20"/>
                <w:szCs w:val="20"/>
                <w:lang w:val="en-IE"/>
              </w:rPr>
            </w:pPr>
          </w:p>
        </w:tc>
      </w:tr>
    </w:tbl>
    <w:p w14:paraId="57617C5A" w14:textId="77777777" w:rsidR="002C0C50" w:rsidRPr="00291374" w:rsidRDefault="002C0C50" w:rsidP="002C0C50">
      <w:pPr>
        <w:suppressAutoHyphens/>
        <w:autoSpaceDN w:val="0"/>
        <w:spacing w:after="0"/>
        <w:jc w:val="both"/>
        <w:textAlignment w:val="baseline"/>
        <w:rPr>
          <w:rFonts w:ascii="Times New Roman" w:eastAsia="NSimSun" w:hAnsi="Times New Roman" w:cs="Times New Roman"/>
          <w:noProof/>
          <w:kern w:val="3"/>
          <w:lang w:val="en-GB"/>
        </w:rPr>
        <w:sectPr w:rsidR="002C0C50" w:rsidRPr="00291374" w:rsidSect="002C0C50">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20"/>
          <w:docGrid w:linePitch="360"/>
        </w:sectPr>
      </w:pPr>
      <w:r w:rsidRPr="00291374">
        <w:rPr>
          <w:rFonts w:ascii="Times New Roman" w:eastAsia="NSimSun" w:hAnsi="Times New Roman" w:cs="Times New Roman"/>
          <w:noProof/>
          <w:kern w:val="3"/>
          <w:lang w:val="en-GB"/>
        </w:rPr>
        <w:br w:type="page"/>
      </w:r>
    </w:p>
    <w:p w14:paraId="2CA3F2FF" w14:textId="77777777" w:rsidR="000A4598" w:rsidRPr="00291374" w:rsidRDefault="000A4598" w:rsidP="000A4598">
      <w:pPr>
        <w:keepNext/>
        <w:numPr>
          <w:ilvl w:val="0"/>
          <w:numId w:val="1"/>
        </w:numPr>
        <w:tabs>
          <w:tab w:val="left" w:pos="850"/>
        </w:tabs>
        <w:spacing w:before="360" w:after="240" w:line="240" w:lineRule="auto"/>
        <w:jc w:val="both"/>
        <w:outlineLvl w:val="0"/>
        <w:rPr>
          <w:rFonts w:ascii="Times New Roman" w:hAnsi="Times New Roman" w:cs="Times New Roman"/>
          <w:b/>
          <w:bCs/>
          <w:smallCaps/>
          <w:noProof/>
          <w:lang w:val="en-GB"/>
        </w:rPr>
      </w:pPr>
      <w:r w:rsidRPr="00291374">
        <w:rPr>
          <w:rFonts w:ascii="Times New Roman" w:hAnsi="Times New Roman" w:cs="Times New Roman"/>
          <w:b/>
          <w:smallCaps/>
          <w:noProof/>
          <w:lang w:val="en-GB"/>
        </w:rPr>
        <w:t>COMPONENT 5: Renovation wave</w:t>
      </w:r>
    </w:p>
    <w:p w14:paraId="28ADE1E7" w14:textId="77777777" w:rsidR="000A4598" w:rsidRPr="00291374" w:rsidRDefault="000A4598" w:rsidP="000A4598">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In its National Long-Term Renovation Strategy, Romania estimates the need to invest EUR 12,8 billion in building renovations to achieve a reduction of 0,83 Mtoe in the final energy consumption in 2030 compared to the baseline scenario.</w:t>
      </w:r>
    </w:p>
    <w:p w14:paraId="31C0166A" w14:textId="77777777" w:rsidR="000A4598" w:rsidRPr="00291374" w:rsidRDefault="000A4598" w:rsidP="000A4598">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the component is to increase the speed and the quality of the energy renovations both in the public and in the private sector, while addressing the challenge of heritage protection. The reforms and investments in this component aim to achieve reductions of primary energy consumption and final energy consumption in line with the objectives for 2030 set out in the National Long-Term Renovation Strategy. </w:t>
      </w:r>
    </w:p>
    <w:p w14:paraId="31289C87" w14:textId="77777777" w:rsidR="000A4598" w:rsidRPr="00291374" w:rsidRDefault="000A4598" w:rsidP="000A4598">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These investments and reforms shall address Romania’s country-specific recommendations of the past two years to “focus investment-related economic policy on […] low carbon and energy efficiency” (country-specific recommendation 4, 2019) and to “focus on investments for the green […] transition, in particular on clean and efficient production and use of energy” (country-specific recommendation 3, 2020).</w:t>
      </w:r>
    </w:p>
    <w:p w14:paraId="7E09AD79" w14:textId="77777777" w:rsidR="000A4598" w:rsidRPr="00291374" w:rsidRDefault="000A4598" w:rsidP="000A4598">
      <w:pPr>
        <w:spacing w:before="120" w:after="24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5450F145" w14:textId="77777777" w:rsidR="000A4598" w:rsidRPr="00291374" w:rsidRDefault="000A4598" w:rsidP="000A4598">
      <w:pPr>
        <w:keepNext/>
        <w:spacing w:before="120" w:after="120" w:line="240" w:lineRule="auto"/>
        <w:jc w:val="both"/>
        <w:outlineLvl w:val="1"/>
        <w:rPr>
          <w:rFonts w:ascii="Times New Roman" w:hAnsi="Times New Roman" w:cs="Times New Roman"/>
          <w:b/>
          <w:bCs/>
          <w:noProof/>
        </w:rPr>
      </w:pPr>
      <w:r w:rsidRPr="00291374">
        <w:rPr>
          <w:rFonts w:ascii="Times New Roman" w:hAnsi="Times New Roman" w:cs="Times New Roman"/>
          <w:b/>
          <w:bCs/>
          <w:noProof/>
          <w:lang w:val="en-GB"/>
        </w:rPr>
        <w:t xml:space="preserve">E.1. </w:t>
      </w:r>
      <w:r w:rsidRPr="00291374">
        <w:rPr>
          <w:rFonts w:ascii="Times New Roman" w:hAnsi="Times New Roman" w:cs="Times New Roman"/>
          <w:noProof/>
          <w:lang w:val="en-GB"/>
        </w:rPr>
        <w:tab/>
      </w:r>
      <w:r w:rsidRPr="00291374">
        <w:rPr>
          <w:rFonts w:ascii="Times New Roman" w:hAnsi="Times New Roman" w:cs="Times New Roman"/>
          <w:b/>
          <w:bCs/>
          <w:noProof/>
          <w:color w:val="000000" w:themeColor="text1"/>
          <w:lang w:val="en-GB"/>
        </w:rPr>
        <w:t>Description of the reforms and investments for non-repayable financial support</w:t>
      </w:r>
    </w:p>
    <w:p w14:paraId="4044B6B6" w14:textId="77777777" w:rsidR="000A4598" w:rsidRPr="00291374" w:rsidRDefault="000A4598" w:rsidP="000A4598">
      <w:pPr>
        <w:suppressAutoHyphens/>
        <w:autoSpaceDN w:val="0"/>
        <w:spacing w:before="240" w:after="24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Investment 1.a. Establishment of a renovation wave fund to finance works to increase the energy efficiency of the existing building stock</w:t>
      </w:r>
    </w:p>
    <w:p w14:paraId="27224B5F" w14:textId="77777777" w:rsidR="000A4598" w:rsidRPr="00291374" w:rsidRDefault="000A4598" w:rsidP="000A4598">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the investment is to support the renovation of multi-family buildings and public buildings in Romania</w:t>
      </w:r>
      <w:r w:rsidRPr="00291374">
        <w:rPr>
          <w:rFonts w:ascii="Times New Roman" w:hAnsi="Times New Roman" w:cs="Times New Roman"/>
          <w:noProof/>
        </w:rPr>
        <w:t xml:space="preserve"> </w:t>
      </w:r>
      <w:r w:rsidRPr="00291374">
        <w:rPr>
          <w:rFonts w:ascii="Times New Roman" w:hAnsi="Times New Roman" w:cs="Times New Roman"/>
          <w:noProof/>
          <w:lang w:val="en-GB"/>
        </w:rPr>
        <w:t>to increase energy efficiency.</w:t>
      </w:r>
    </w:p>
    <w:p w14:paraId="69B23A86" w14:textId="77777777" w:rsidR="000A4598" w:rsidRPr="00291374" w:rsidRDefault="000A4598" w:rsidP="000A4598">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investment consists of two axes:</w:t>
      </w:r>
    </w:p>
    <w:p w14:paraId="757C1DAA" w14:textId="77777777" w:rsidR="000A4598" w:rsidRPr="00291374" w:rsidRDefault="000A4598" w:rsidP="000A4598">
      <w:pPr>
        <w:numPr>
          <w:ilvl w:val="0"/>
          <w:numId w:val="15"/>
        </w:numPr>
        <w:spacing w:before="120" w:after="120" w:line="240" w:lineRule="auto"/>
        <w:ind w:left="1080"/>
        <w:jc w:val="both"/>
        <w:rPr>
          <w:rFonts w:ascii="Times New Roman" w:hAnsi="Times New Roman" w:cs="Times New Roman"/>
          <w:noProof/>
          <w:lang w:val="en-GB"/>
        </w:rPr>
      </w:pPr>
      <w:r w:rsidRPr="00291374">
        <w:rPr>
          <w:rFonts w:ascii="Times New Roman" w:hAnsi="Times New Roman" w:cs="Times New Roman"/>
          <w:noProof/>
          <w:lang w:val="en-GB"/>
        </w:rPr>
        <w:t xml:space="preserve">Axis 1 - a national support scheme for energy efficiency renovation and integrated renovation (seismic consolidation and energy efficiency) of multi-family residential buildings. </w:t>
      </w:r>
    </w:p>
    <w:p w14:paraId="358AEDAE" w14:textId="77777777" w:rsidR="000A4598" w:rsidRPr="00291374" w:rsidRDefault="000A4598" w:rsidP="000A4598">
      <w:pPr>
        <w:numPr>
          <w:ilvl w:val="0"/>
          <w:numId w:val="15"/>
        </w:numPr>
        <w:spacing w:before="120" w:after="120" w:line="240" w:lineRule="auto"/>
        <w:ind w:left="1080"/>
        <w:jc w:val="both"/>
        <w:rPr>
          <w:rFonts w:ascii="Times New Roman" w:hAnsi="Times New Roman" w:cs="Times New Roman"/>
          <w:noProof/>
          <w:u w:val="single"/>
          <w:lang w:val="en-GB"/>
        </w:rPr>
      </w:pPr>
      <w:r w:rsidRPr="00291374">
        <w:rPr>
          <w:rFonts w:ascii="Times New Roman" w:hAnsi="Times New Roman" w:cs="Times New Roman"/>
          <w:noProof/>
          <w:lang w:val="en-GB"/>
        </w:rPr>
        <w:t xml:space="preserve">Axis 2 - a national support scheme for energy efficiency renovation and integrated renovation (seismic consolidation and energy efficiency) of public buildings. </w:t>
      </w:r>
    </w:p>
    <w:p w14:paraId="2DCD0DD8" w14:textId="77777777" w:rsidR="000A4598" w:rsidRPr="00291374" w:rsidRDefault="000A4598" w:rsidP="000A4598">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complements Investment 1. Establishment of a renovation wave fund to finance works to increase the energy efficiency of the existing building stock.</w:t>
      </w:r>
    </w:p>
    <w:p w14:paraId="2E98E4F2" w14:textId="77777777" w:rsidR="000A4598" w:rsidRPr="00291374" w:rsidRDefault="000A4598" w:rsidP="000A4598">
      <w:pPr>
        <w:suppressAutoHyphens/>
        <w:autoSpaceDN w:val="0"/>
        <w:spacing w:before="240" w:after="24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Investment 4. Circular economy and increased energy efficiency of historical buildings</w:t>
      </w:r>
    </w:p>
    <w:p w14:paraId="3A93EAB6" w14:textId="4B93107A" w:rsidR="000A4598" w:rsidRPr="00291374" w:rsidRDefault="000A4598" w:rsidP="000A4598">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this investment is to support the energy renovation of historical</w:t>
      </w:r>
      <w:r w:rsidR="00D23D91">
        <w:rPr>
          <w:rFonts w:ascii="Times New Roman" w:hAnsi="Times New Roman" w:cs="Times New Roman"/>
          <w:noProof/>
          <w:lang w:val="en-GB"/>
        </w:rPr>
        <w:t xml:space="preserve"> </w:t>
      </w:r>
      <w:r w:rsidRPr="00291374">
        <w:rPr>
          <w:rFonts w:ascii="Times New Roman" w:hAnsi="Times New Roman" w:cs="Times New Roman"/>
          <w:noProof/>
          <w:lang w:val="en-GB"/>
        </w:rPr>
        <w:t xml:space="preserve">buildings. </w:t>
      </w:r>
    </w:p>
    <w:p w14:paraId="57A016F1" w14:textId="77777777" w:rsidR="000A4598" w:rsidRPr="00291374" w:rsidRDefault="000A4598" w:rsidP="000A4598">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investment consists of: i) equipping a laboratory for testing materials and technological solutions for energy efficiency renovations of historical buildings; ii) equipping three centres: a centre for the collection and re-use of construction materials from demolition works on historical buildings, a centre for the maintenance of historical buildings, and a training centre; iii) providing trainings in energy efficiency renovations of historical buildings.</w:t>
      </w:r>
    </w:p>
    <w:p w14:paraId="339CF8B0" w14:textId="77777777" w:rsidR="000A4598" w:rsidRPr="00291374" w:rsidRDefault="000A4598" w:rsidP="000A4598">
      <w:pPr>
        <w:spacing w:before="120" w:after="120" w:line="240" w:lineRule="auto"/>
        <w:ind w:left="850"/>
        <w:jc w:val="both"/>
        <w:rPr>
          <w:rFonts w:ascii="Times New Roman" w:hAnsi="Times New Roman" w:cs="Times New Roman"/>
          <w:noProof/>
          <w:lang w:val="en-GB"/>
        </w:rPr>
      </w:pPr>
    </w:p>
    <w:p w14:paraId="26E15D5A" w14:textId="77777777" w:rsidR="000A4598" w:rsidRDefault="000A4598" w:rsidP="0061151E">
      <w:pPr>
        <w:spacing w:before="120" w:after="120" w:line="240" w:lineRule="auto"/>
        <w:ind w:left="850"/>
        <w:jc w:val="center"/>
        <w:rPr>
          <w:rFonts w:ascii="Times New Roman" w:hAnsi="Times New Roman" w:cs="Times New Roman"/>
          <w:noProof/>
          <w:lang w:val="en-GB"/>
        </w:rPr>
      </w:pPr>
    </w:p>
    <w:p w14:paraId="27AFE0D7" w14:textId="77777777" w:rsidR="0061151E" w:rsidRDefault="0061151E" w:rsidP="0061151E">
      <w:pPr>
        <w:rPr>
          <w:rFonts w:ascii="Times New Roman" w:hAnsi="Times New Roman" w:cs="Times New Roman"/>
          <w:noProof/>
          <w:lang w:val="en-GB"/>
        </w:rPr>
      </w:pPr>
    </w:p>
    <w:p w14:paraId="27FD4950" w14:textId="77777777" w:rsidR="0061151E" w:rsidRPr="0061151E" w:rsidRDefault="0061151E" w:rsidP="0061151E">
      <w:pPr>
        <w:rPr>
          <w:rFonts w:ascii="Times New Roman" w:hAnsi="Times New Roman" w:cs="Times New Roman"/>
          <w:noProof/>
          <w:lang w:val="en-GB"/>
        </w:rPr>
        <w:sectPr w:rsidR="0061151E" w:rsidRPr="0061151E" w:rsidSect="000A4598">
          <w:headerReference w:type="even" r:id="rId114"/>
          <w:headerReference w:type="default" r:id="rId115"/>
          <w:footerReference w:type="even" r:id="rId116"/>
          <w:footerReference w:type="default" r:id="rId117"/>
          <w:headerReference w:type="first" r:id="rId118"/>
          <w:footerReference w:type="first" r:id="rId119"/>
          <w:pgSz w:w="11907" w:h="16839"/>
          <w:pgMar w:top="1134" w:right="1134" w:bottom="1134" w:left="1134" w:header="567" w:footer="567" w:gutter="0"/>
          <w:cols w:space="720"/>
          <w:docGrid w:linePitch="360"/>
        </w:sectPr>
      </w:pPr>
    </w:p>
    <w:p w14:paraId="3AF23F94" w14:textId="77777777" w:rsidR="000A4598" w:rsidRPr="00291374" w:rsidRDefault="000A4598" w:rsidP="000A4598">
      <w:pPr>
        <w:keepNext/>
        <w:spacing w:before="120" w:after="120" w:line="240" w:lineRule="auto"/>
        <w:jc w:val="both"/>
        <w:outlineLvl w:val="1"/>
        <w:rPr>
          <w:rFonts w:ascii="Times New Roman" w:hAnsi="Times New Roman" w:cs="Times New Roman"/>
          <w:b/>
          <w:noProof/>
          <w:lang w:val="en-GB"/>
        </w:rPr>
      </w:pPr>
      <w:r w:rsidRPr="00291374">
        <w:rPr>
          <w:rFonts w:ascii="Times New Roman" w:hAnsi="Times New Roman" w:cs="Times New Roman"/>
          <w:b/>
          <w:noProof/>
          <w:lang w:val="en-GB"/>
        </w:rPr>
        <w:t xml:space="preserve">E.2. </w:t>
      </w:r>
      <w:r w:rsidRPr="00291374">
        <w:rPr>
          <w:rFonts w:ascii="Times New Roman" w:hAnsi="Times New Roman" w:cs="Times New Roman"/>
          <w:noProof/>
          <w:lang w:val="en-GB"/>
        </w:rPr>
        <w:tab/>
      </w:r>
      <w:r w:rsidRPr="00291374">
        <w:rPr>
          <w:rFonts w:ascii="Times New Roman" w:hAnsi="Times New Roman" w:cs="Times New Roman"/>
          <w:b/>
          <w:noProof/>
          <w:lang w:val="en-GB"/>
        </w:rPr>
        <w:t>Milestones, targets, indicators, and timetable for monitoring and implementation for</w:t>
      </w:r>
      <w:r w:rsidRPr="00291374">
        <w:rPr>
          <w:rFonts w:ascii="Times New Roman" w:hAnsi="Times New Roman" w:cs="Times New Roman"/>
          <w:noProof/>
        </w:rPr>
        <w:t xml:space="preserve"> </w:t>
      </w:r>
      <w:r w:rsidRPr="00291374">
        <w:rPr>
          <w:rFonts w:ascii="Times New Roman" w:hAnsi="Times New Roman" w:cs="Times New Roman"/>
          <w:b/>
          <w:noProof/>
          <w:lang w:val="en-GB"/>
        </w:rPr>
        <w:t>non-repayable financial support</w:t>
      </w: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8"/>
        <w:gridCol w:w="1851"/>
        <w:gridCol w:w="1266"/>
        <w:gridCol w:w="1710"/>
        <w:gridCol w:w="1418"/>
        <w:gridCol w:w="1134"/>
        <w:gridCol w:w="1134"/>
        <w:gridCol w:w="1516"/>
        <w:gridCol w:w="992"/>
        <w:gridCol w:w="752"/>
        <w:gridCol w:w="3119"/>
      </w:tblGrid>
      <w:tr w:rsidR="000A4598" w:rsidRPr="00BE3F16" w14:paraId="34BF10CA" w14:textId="77777777" w:rsidTr="00BE3F16">
        <w:trPr>
          <w:trHeight w:val="303"/>
          <w:tblHeader/>
          <w:jc w:val="center"/>
        </w:trPr>
        <w:tc>
          <w:tcPr>
            <w:tcW w:w="838" w:type="dxa"/>
            <w:vMerge w:val="restart"/>
            <w:shd w:val="clear" w:color="auto" w:fill="BDD7EE"/>
            <w:vAlign w:val="center"/>
            <w:hideMark/>
          </w:tcPr>
          <w:p w14:paraId="7A7DEF79"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Seq Num.</w:t>
            </w:r>
          </w:p>
        </w:tc>
        <w:tc>
          <w:tcPr>
            <w:tcW w:w="1851" w:type="dxa"/>
            <w:vMerge w:val="restart"/>
            <w:shd w:val="clear" w:color="auto" w:fill="BDD7EE"/>
            <w:vAlign w:val="center"/>
            <w:hideMark/>
          </w:tcPr>
          <w:p w14:paraId="4C58E593"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Related Measure (Reform or Investment)</w:t>
            </w:r>
          </w:p>
        </w:tc>
        <w:tc>
          <w:tcPr>
            <w:tcW w:w="1266" w:type="dxa"/>
            <w:vMerge w:val="restart"/>
            <w:shd w:val="clear" w:color="auto" w:fill="BDD7EE"/>
            <w:vAlign w:val="center"/>
            <w:hideMark/>
          </w:tcPr>
          <w:p w14:paraId="096C128B"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Milestone / Target</w:t>
            </w:r>
          </w:p>
        </w:tc>
        <w:tc>
          <w:tcPr>
            <w:tcW w:w="1710" w:type="dxa"/>
            <w:vMerge w:val="restart"/>
            <w:shd w:val="clear" w:color="auto" w:fill="BDD7EE"/>
            <w:vAlign w:val="center"/>
            <w:hideMark/>
          </w:tcPr>
          <w:p w14:paraId="121025AE"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Name</w:t>
            </w:r>
          </w:p>
        </w:tc>
        <w:tc>
          <w:tcPr>
            <w:tcW w:w="1418" w:type="dxa"/>
            <w:vMerge w:val="restart"/>
            <w:shd w:val="clear" w:color="auto" w:fill="BDD7EE"/>
            <w:vAlign w:val="center"/>
            <w:hideMark/>
          </w:tcPr>
          <w:p w14:paraId="10824D1F"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 xml:space="preserve">Qualitative indicators </w:t>
            </w:r>
            <w:r w:rsidRPr="00BE3F16">
              <w:rPr>
                <w:rFonts w:ascii="Times New Roman" w:hAnsi="Times New Roman" w:cs="Times New Roman"/>
                <w:noProof/>
                <w:sz w:val="20"/>
                <w:szCs w:val="20"/>
                <w:lang w:val="en-GB"/>
              </w:rPr>
              <w:br/>
            </w:r>
            <w:r w:rsidRPr="00BE3F16">
              <w:rPr>
                <w:rFonts w:ascii="Times New Roman" w:hAnsi="Times New Roman" w:cs="Times New Roman"/>
                <w:b/>
                <w:noProof/>
                <w:sz w:val="20"/>
                <w:szCs w:val="20"/>
                <w:lang w:val="en-GB"/>
              </w:rPr>
              <w:t>(for milestones)</w:t>
            </w:r>
          </w:p>
        </w:tc>
        <w:tc>
          <w:tcPr>
            <w:tcW w:w="3784" w:type="dxa"/>
            <w:gridSpan w:val="3"/>
            <w:shd w:val="clear" w:color="auto" w:fill="BDD7EE"/>
            <w:vAlign w:val="center"/>
            <w:hideMark/>
          </w:tcPr>
          <w:p w14:paraId="71D5479F"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 xml:space="preserve">Quantitative indicators </w:t>
            </w:r>
            <w:r w:rsidRPr="00BE3F16">
              <w:rPr>
                <w:rFonts w:ascii="Times New Roman" w:hAnsi="Times New Roman" w:cs="Times New Roman"/>
                <w:noProof/>
                <w:sz w:val="20"/>
                <w:szCs w:val="20"/>
                <w:lang w:val="en-GB"/>
              </w:rPr>
              <w:br/>
            </w:r>
            <w:r w:rsidRPr="00BE3F16">
              <w:rPr>
                <w:rFonts w:ascii="Times New Roman" w:hAnsi="Times New Roman" w:cs="Times New Roman"/>
                <w:b/>
                <w:noProof/>
                <w:sz w:val="20"/>
                <w:szCs w:val="20"/>
                <w:lang w:val="en-GB"/>
              </w:rPr>
              <w:t>(for targets)</w:t>
            </w:r>
          </w:p>
        </w:tc>
        <w:tc>
          <w:tcPr>
            <w:tcW w:w="1744" w:type="dxa"/>
            <w:gridSpan w:val="2"/>
            <w:shd w:val="clear" w:color="auto" w:fill="BDD7EE"/>
            <w:vAlign w:val="center"/>
            <w:hideMark/>
          </w:tcPr>
          <w:p w14:paraId="1E2982CB"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Indicative timeline for completion</w:t>
            </w:r>
          </w:p>
        </w:tc>
        <w:tc>
          <w:tcPr>
            <w:tcW w:w="3119" w:type="dxa"/>
            <w:vMerge w:val="restart"/>
            <w:shd w:val="clear" w:color="auto" w:fill="BDD7EE"/>
            <w:vAlign w:val="center"/>
            <w:hideMark/>
          </w:tcPr>
          <w:p w14:paraId="398B6C1B"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Description of each milestone and target</w:t>
            </w:r>
          </w:p>
        </w:tc>
      </w:tr>
      <w:tr w:rsidR="000A4598" w:rsidRPr="00BE3F16" w14:paraId="6DD23A43" w14:textId="77777777" w:rsidTr="00BE3F16">
        <w:trPr>
          <w:trHeight w:val="457"/>
          <w:tblHeader/>
          <w:jc w:val="center"/>
        </w:trPr>
        <w:tc>
          <w:tcPr>
            <w:tcW w:w="838" w:type="dxa"/>
            <w:vMerge/>
            <w:hideMark/>
          </w:tcPr>
          <w:p w14:paraId="20F3EC14" w14:textId="77777777" w:rsidR="000A4598" w:rsidRPr="00BE3F16" w:rsidRDefault="000A4598">
            <w:pPr>
              <w:spacing w:after="0" w:line="240" w:lineRule="auto"/>
              <w:jc w:val="center"/>
              <w:rPr>
                <w:rFonts w:ascii="Times New Roman" w:eastAsia="Times New Roman" w:hAnsi="Times New Roman" w:cs="Times New Roman"/>
                <w:b/>
                <w:bCs/>
                <w:noProof/>
                <w:sz w:val="20"/>
                <w:szCs w:val="20"/>
                <w:lang w:val="en-GB" w:eastAsia="en-GB"/>
              </w:rPr>
            </w:pPr>
          </w:p>
        </w:tc>
        <w:tc>
          <w:tcPr>
            <w:tcW w:w="1851" w:type="dxa"/>
            <w:vMerge/>
            <w:hideMark/>
          </w:tcPr>
          <w:p w14:paraId="48B474CF" w14:textId="77777777" w:rsidR="000A4598" w:rsidRPr="00BE3F16" w:rsidRDefault="000A4598">
            <w:pPr>
              <w:spacing w:after="0" w:line="240" w:lineRule="auto"/>
              <w:jc w:val="both"/>
              <w:rPr>
                <w:rFonts w:ascii="Times New Roman" w:eastAsia="Times New Roman" w:hAnsi="Times New Roman" w:cs="Times New Roman"/>
                <w:b/>
                <w:bCs/>
                <w:noProof/>
                <w:sz w:val="20"/>
                <w:szCs w:val="20"/>
                <w:lang w:val="en-GB" w:eastAsia="en-GB"/>
              </w:rPr>
            </w:pPr>
          </w:p>
        </w:tc>
        <w:tc>
          <w:tcPr>
            <w:tcW w:w="1266" w:type="dxa"/>
            <w:vMerge/>
            <w:hideMark/>
          </w:tcPr>
          <w:p w14:paraId="4DF21638" w14:textId="77777777" w:rsidR="000A4598" w:rsidRPr="00BE3F16" w:rsidRDefault="000A4598">
            <w:pPr>
              <w:spacing w:after="0" w:line="240" w:lineRule="auto"/>
              <w:jc w:val="center"/>
              <w:rPr>
                <w:rFonts w:ascii="Times New Roman" w:eastAsia="Times New Roman" w:hAnsi="Times New Roman" w:cs="Times New Roman"/>
                <w:b/>
                <w:bCs/>
                <w:noProof/>
                <w:sz w:val="20"/>
                <w:szCs w:val="20"/>
                <w:lang w:val="en-GB" w:eastAsia="en-GB"/>
              </w:rPr>
            </w:pPr>
          </w:p>
        </w:tc>
        <w:tc>
          <w:tcPr>
            <w:tcW w:w="1710" w:type="dxa"/>
            <w:vMerge/>
            <w:hideMark/>
          </w:tcPr>
          <w:p w14:paraId="5B4B4732" w14:textId="77777777" w:rsidR="000A4598" w:rsidRPr="00BE3F16" w:rsidRDefault="000A4598">
            <w:pPr>
              <w:spacing w:after="0" w:line="240" w:lineRule="auto"/>
              <w:jc w:val="both"/>
              <w:rPr>
                <w:rFonts w:ascii="Times New Roman" w:eastAsia="Times New Roman" w:hAnsi="Times New Roman" w:cs="Times New Roman"/>
                <w:b/>
                <w:bCs/>
                <w:noProof/>
                <w:sz w:val="20"/>
                <w:szCs w:val="20"/>
                <w:lang w:val="en-GB" w:eastAsia="en-GB"/>
              </w:rPr>
            </w:pPr>
          </w:p>
        </w:tc>
        <w:tc>
          <w:tcPr>
            <w:tcW w:w="1418" w:type="dxa"/>
            <w:vMerge/>
            <w:hideMark/>
          </w:tcPr>
          <w:p w14:paraId="71F735BC" w14:textId="77777777" w:rsidR="000A4598" w:rsidRPr="00BE3F16" w:rsidRDefault="000A4598">
            <w:pPr>
              <w:spacing w:after="0" w:line="240" w:lineRule="auto"/>
              <w:jc w:val="both"/>
              <w:rPr>
                <w:rFonts w:ascii="Times New Roman" w:eastAsia="Times New Roman" w:hAnsi="Times New Roman" w:cs="Times New Roman"/>
                <w:b/>
                <w:bCs/>
                <w:noProof/>
                <w:sz w:val="20"/>
                <w:szCs w:val="20"/>
                <w:lang w:val="en-GB" w:eastAsia="en-GB"/>
              </w:rPr>
            </w:pPr>
          </w:p>
        </w:tc>
        <w:tc>
          <w:tcPr>
            <w:tcW w:w="1134" w:type="dxa"/>
            <w:shd w:val="clear" w:color="auto" w:fill="BDD7EE"/>
            <w:vAlign w:val="center"/>
            <w:hideMark/>
          </w:tcPr>
          <w:p w14:paraId="33D54EB4"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Unit of measure</w:t>
            </w:r>
          </w:p>
        </w:tc>
        <w:tc>
          <w:tcPr>
            <w:tcW w:w="1134" w:type="dxa"/>
            <w:shd w:val="clear" w:color="auto" w:fill="BDD7EE"/>
            <w:vAlign w:val="center"/>
            <w:hideMark/>
          </w:tcPr>
          <w:p w14:paraId="19392E54"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Baseline</w:t>
            </w:r>
          </w:p>
        </w:tc>
        <w:tc>
          <w:tcPr>
            <w:tcW w:w="1516" w:type="dxa"/>
            <w:shd w:val="clear" w:color="auto" w:fill="BDD7EE"/>
            <w:vAlign w:val="center"/>
            <w:hideMark/>
          </w:tcPr>
          <w:p w14:paraId="41B30550"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Goal</w:t>
            </w:r>
          </w:p>
        </w:tc>
        <w:tc>
          <w:tcPr>
            <w:tcW w:w="992" w:type="dxa"/>
            <w:shd w:val="clear" w:color="auto" w:fill="BDD7EE"/>
            <w:vAlign w:val="center"/>
            <w:hideMark/>
          </w:tcPr>
          <w:p w14:paraId="0BDF9BC4"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Quarter</w:t>
            </w:r>
          </w:p>
        </w:tc>
        <w:tc>
          <w:tcPr>
            <w:tcW w:w="752" w:type="dxa"/>
            <w:shd w:val="clear" w:color="auto" w:fill="BDD7EE"/>
            <w:vAlign w:val="center"/>
            <w:hideMark/>
          </w:tcPr>
          <w:p w14:paraId="1C676F8B"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Year</w:t>
            </w:r>
          </w:p>
        </w:tc>
        <w:tc>
          <w:tcPr>
            <w:tcW w:w="3119" w:type="dxa"/>
            <w:vMerge/>
            <w:hideMark/>
          </w:tcPr>
          <w:p w14:paraId="472EE9F5" w14:textId="77777777" w:rsidR="000A4598" w:rsidRPr="00BE3F16" w:rsidRDefault="000A4598">
            <w:pPr>
              <w:spacing w:after="0" w:line="240" w:lineRule="auto"/>
              <w:jc w:val="both"/>
              <w:rPr>
                <w:rFonts w:ascii="Times New Roman" w:eastAsia="Times New Roman" w:hAnsi="Times New Roman" w:cs="Times New Roman"/>
                <w:b/>
                <w:bCs/>
                <w:noProof/>
                <w:sz w:val="20"/>
                <w:szCs w:val="20"/>
                <w:lang w:val="en-GB" w:eastAsia="en-GB"/>
              </w:rPr>
            </w:pPr>
          </w:p>
        </w:tc>
      </w:tr>
      <w:tr w:rsidR="000A4598" w:rsidRPr="00BE3F16" w14:paraId="4E6BEE57" w14:textId="77777777" w:rsidTr="00BE3F16">
        <w:trPr>
          <w:trHeight w:val="1583"/>
          <w:jc w:val="center"/>
        </w:trPr>
        <w:tc>
          <w:tcPr>
            <w:tcW w:w="838" w:type="dxa"/>
            <w:shd w:val="clear" w:color="auto" w:fill="C6EFCE"/>
            <w:noWrap/>
          </w:tcPr>
          <w:p w14:paraId="35120983" w14:textId="77777777" w:rsidR="000A4598" w:rsidRPr="00BE3F16" w:rsidRDefault="000A4598">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103a</w:t>
            </w:r>
          </w:p>
        </w:tc>
        <w:tc>
          <w:tcPr>
            <w:tcW w:w="1851" w:type="dxa"/>
            <w:shd w:val="clear" w:color="auto" w:fill="C6EFCE"/>
            <w:noWrap/>
          </w:tcPr>
          <w:p w14:paraId="1003B318"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Investment 1.a. Establishment of a renovation wave fund to finance works to increase the energy efficiency of the existing building stock</w:t>
            </w:r>
          </w:p>
        </w:tc>
        <w:tc>
          <w:tcPr>
            <w:tcW w:w="1266" w:type="dxa"/>
            <w:shd w:val="clear" w:color="auto" w:fill="C6EFCE"/>
            <w:noWrap/>
          </w:tcPr>
          <w:p w14:paraId="78FA64A6" w14:textId="77777777" w:rsidR="000A4598" w:rsidRPr="00BE3F16" w:rsidRDefault="000A4598">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Target</w:t>
            </w:r>
          </w:p>
        </w:tc>
        <w:tc>
          <w:tcPr>
            <w:tcW w:w="1710" w:type="dxa"/>
            <w:shd w:val="clear" w:color="auto" w:fill="C6EFCE"/>
            <w:noWrap/>
          </w:tcPr>
          <w:p w14:paraId="38F438B4"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Energy renovation of multi-family residential buildings </w:t>
            </w:r>
          </w:p>
        </w:tc>
        <w:tc>
          <w:tcPr>
            <w:tcW w:w="1418" w:type="dxa"/>
            <w:shd w:val="clear" w:color="auto" w:fill="C6EFCE"/>
            <w:noWrap/>
          </w:tcPr>
          <w:p w14:paraId="0C3029BC"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134" w:type="dxa"/>
            <w:shd w:val="clear" w:color="auto" w:fill="C6EFCE"/>
            <w:noWrap/>
          </w:tcPr>
          <w:p w14:paraId="2EBDCAB1"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Number (m</w:t>
            </w:r>
            <w:r w:rsidRPr="00BE3F16">
              <w:rPr>
                <w:rFonts w:ascii="Times New Roman" w:hAnsi="Times New Roman" w:cs="Times New Roman"/>
                <w:noProof/>
                <w:sz w:val="20"/>
                <w:szCs w:val="20"/>
                <w:vertAlign w:val="superscript"/>
                <w:lang w:val="en-GB"/>
              </w:rPr>
              <w:t>2</w:t>
            </w:r>
            <w:r w:rsidRPr="00BE3F16">
              <w:rPr>
                <w:rFonts w:ascii="Times New Roman" w:hAnsi="Times New Roman" w:cs="Times New Roman"/>
                <w:noProof/>
                <w:sz w:val="20"/>
                <w:szCs w:val="20"/>
                <w:lang w:val="en-GB"/>
              </w:rPr>
              <w:t>)</w:t>
            </w:r>
          </w:p>
        </w:tc>
        <w:tc>
          <w:tcPr>
            <w:tcW w:w="1134" w:type="dxa"/>
            <w:shd w:val="clear" w:color="auto" w:fill="C6EFCE"/>
            <w:noWrap/>
          </w:tcPr>
          <w:p w14:paraId="4215C763"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 0</w:t>
            </w:r>
          </w:p>
        </w:tc>
        <w:tc>
          <w:tcPr>
            <w:tcW w:w="1516" w:type="dxa"/>
            <w:shd w:val="clear" w:color="auto" w:fill="C6EFCE"/>
            <w:noWrap/>
          </w:tcPr>
          <w:p w14:paraId="588EE7B2"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2 209 612</w:t>
            </w:r>
          </w:p>
        </w:tc>
        <w:tc>
          <w:tcPr>
            <w:tcW w:w="992" w:type="dxa"/>
            <w:shd w:val="clear" w:color="auto" w:fill="C6EFCE"/>
            <w:noWrap/>
          </w:tcPr>
          <w:p w14:paraId="7D5B837C"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Q2</w:t>
            </w:r>
          </w:p>
        </w:tc>
        <w:tc>
          <w:tcPr>
            <w:tcW w:w="752" w:type="dxa"/>
            <w:shd w:val="clear" w:color="auto" w:fill="C6EFCE"/>
            <w:noWrap/>
          </w:tcPr>
          <w:p w14:paraId="3AD0147F"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2026</w:t>
            </w:r>
          </w:p>
        </w:tc>
        <w:tc>
          <w:tcPr>
            <w:tcW w:w="3119" w:type="dxa"/>
            <w:shd w:val="clear" w:color="auto" w:fill="C6EFCE"/>
            <w:noWrap/>
          </w:tcPr>
          <w:p w14:paraId="5BAF2E11" w14:textId="77777777" w:rsidR="000A4598" w:rsidRPr="00BE3F16" w:rsidRDefault="000A4598">
            <w:pPr>
              <w:spacing w:after="0" w:line="240" w:lineRule="auto"/>
              <w:jc w:val="both"/>
              <w:rPr>
                <w:rFonts w:ascii="Times New Roman" w:eastAsia="Aptos" w:hAnsi="Times New Roman" w:cs="Times New Roman"/>
                <w:noProof/>
                <w:sz w:val="20"/>
                <w:szCs w:val="20"/>
                <w:lang w:val="en-GB"/>
              </w:rPr>
            </w:pPr>
            <w:r w:rsidRPr="00BE3F16">
              <w:rPr>
                <w:rFonts w:ascii="Times New Roman" w:eastAsia="Aptos" w:hAnsi="Times New Roman" w:cs="Times New Roman"/>
                <w:noProof/>
                <w:sz w:val="20"/>
                <w:szCs w:val="20"/>
                <w:lang w:val="en-GB"/>
              </w:rPr>
              <w:t>The energy renovation of multi-family residential buildings shall cover:</w:t>
            </w:r>
          </w:p>
          <w:p w14:paraId="6A872B86" w14:textId="36262444" w:rsidR="000A4598" w:rsidRPr="00BE3F16" w:rsidRDefault="000A4598" w:rsidP="000A4598">
            <w:pPr>
              <w:pStyle w:val="ListParagraph"/>
              <w:numPr>
                <w:ilvl w:val="0"/>
                <w:numId w:val="14"/>
              </w:numPr>
              <w:spacing w:after="0" w:line="240" w:lineRule="auto"/>
              <w:jc w:val="both"/>
              <w:rPr>
                <w:rFonts w:ascii="Times New Roman" w:eastAsia="Times New Roman" w:hAnsi="Times New Roman" w:cs="Times New Roman"/>
                <w:noProof/>
                <w:sz w:val="20"/>
                <w:szCs w:val="20"/>
                <w:lang w:val="en-GB"/>
              </w:rPr>
            </w:pPr>
            <w:r w:rsidRPr="00BE3F16">
              <w:rPr>
                <w:rFonts w:ascii="Times New Roman" w:eastAsia="Times New Roman" w:hAnsi="Times New Roman" w:cs="Times New Roman"/>
                <w:noProof/>
                <w:sz w:val="20"/>
                <w:szCs w:val="20"/>
                <w:lang w:val="en-GB"/>
              </w:rPr>
              <w:t>60</w:t>
            </w:r>
            <w:r w:rsidR="0061151E" w:rsidRPr="00BE3F16">
              <w:rPr>
                <w:rFonts w:ascii="Times New Roman" w:hAnsi="Times New Roman" w:cs="Times New Roman"/>
                <w:noProof/>
                <w:sz w:val="20"/>
                <w:szCs w:val="20"/>
                <w:lang w:val="en-GB"/>
              </w:rPr>
              <w:t> </w:t>
            </w:r>
            <w:r w:rsidRPr="00BE3F16">
              <w:rPr>
                <w:rFonts w:ascii="Times New Roman" w:eastAsia="Times New Roman" w:hAnsi="Times New Roman" w:cs="Times New Roman"/>
                <w:noProof/>
                <w:sz w:val="20"/>
                <w:szCs w:val="20"/>
                <w:lang w:val="en-GB"/>
              </w:rPr>
              <w:t xml:space="preserve">000 m2 of integrated projects with a </w:t>
            </w:r>
            <w:r w:rsidRPr="00BE3F16">
              <w:rPr>
                <w:rFonts w:ascii="Times New Roman" w:eastAsia="Aptos" w:hAnsi="Times New Roman" w:cs="Times New Roman"/>
                <w:noProof/>
                <w:sz w:val="20"/>
                <w:szCs w:val="20"/>
                <w:lang w:val="en-GB"/>
              </w:rPr>
              <w:t>minimum of 30% of primary energy demand savings,</w:t>
            </w:r>
          </w:p>
          <w:p w14:paraId="5E9D9C5A" w14:textId="652F0640" w:rsidR="000A4598" w:rsidRPr="00BE3F16" w:rsidRDefault="000A4598" w:rsidP="000A4598">
            <w:pPr>
              <w:numPr>
                <w:ilvl w:val="0"/>
                <w:numId w:val="14"/>
              </w:numPr>
              <w:spacing w:after="0" w:line="240" w:lineRule="auto"/>
              <w:jc w:val="both"/>
              <w:rPr>
                <w:rFonts w:ascii="Times New Roman" w:eastAsia="Times New Roman" w:hAnsi="Times New Roman" w:cs="Times New Roman"/>
                <w:noProof/>
                <w:sz w:val="20"/>
                <w:szCs w:val="20"/>
                <w:lang w:val="en-GB"/>
              </w:rPr>
            </w:pPr>
            <w:r w:rsidRPr="00BE3F16">
              <w:rPr>
                <w:rFonts w:ascii="Times New Roman" w:eastAsia="Times New Roman" w:hAnsi="Times New Roman" w:cs="Times New Roman"/>
                <w:noProof/>
                <w:sz w:val="20"/>
                <w:szCs w:val="20"/>
                <w:lang w:val="en-GB"/>
              </w:rPr>
              <w:t>1</w:t>
            </w:r>
            <w:r w:rsidR="0061151E" w:rsidRPr="00BE3F16">
              <w:rPr>
                <w:rFonts w:ascii="Times New Roman" w:hAnsi="Times New Roman" w:cs="Times New Roman"/>
                <w:noProof/>
                <w:sz w:val="20"/>
                <w:szCs w:val="20"/>
                <w:lang w:val="en-GB"/>
              </w:rPr>
              <w:t> </w:t>
            </w:r>
            <w:r w:rsidRPr="00BE3F16">
              <w:rPr>
                <w:rFonts w:ascii="Times New Roman" w:eastAsia="Times New Roman" w:hAnsi="Times New Roman" w:cs="Times New Roman"/>
                <w:noProof/>
                <w:sz w:val="20"/>
                <w:szCs w:val="20"/>
                <w:lang w:val="en-GB"/>
              </w:rPr>
              <w:t>999</w:t>
            </w:r>
            <w:r w:rsidR="0061151E" w:rsidRPr="00BE3F16">
              <w:rPr>
                <w:rFonts w:ascii="Times New Roman" w:hAnsi="Times New Roman" w:cs="Times New Roman"/>
                <w:noProof/>
                <w:sz w:val="20"/>
                <w:szCs w:val="20"/>
                <w:lang w:val="en-GB"/>
              </w:rPr>
              <w:t> </w:t>
            </w:r>
            <w:r w:rsidRPr="00BE3F16">
              <w:rPr>
                <w:rFonts w:ascii="Times New Roman" w:eastAsia="Times New Roman" w:hAnsi="Times New Roman" w:cs="Times New Roman"/>
                <w:noProof/>
                <w:sz w:val="20"/>
                <w:szCs w:val="20"/>
                <w:lang w:val="en-GB"/>
              </w:rPr>
              <w:t xml:space="preserve">612 m2 moderate renovation (which means a renovation with a </w:t>
            </w:r>
            <w:r w:rsidRPr="00BE3F16">
              <w:rPr>
                <w:rFonts w:ascii="Times New Roman" w:eastAsia="Aptos" w:hAnsi="Times New Roman" w:cs="Times New Roman"/>
                <w:noProof/>
                <w:sz w:val="20"/>
                <w:szCs w:val="20"/>
                <w:lang w:val="en-GB"/>
              </w:rPr>
              <w:t>minimum of 30% of primary energy demand savings)</w:t>
            </w:r>
            <w:r w:rsidRPr="00BE3F16">
              <w:rPr>
                <w:rFonts w:ascii="Times New Roman" w:eastAsia="Times New Roman" w:hAnsi="Times New Roman" w:cs="Times New Roman"/>
                <w:noProof/>
                <w:sz w:val="20"/>
                <w:szCs w:val="20"/>
                <w:lang w:val="en-GB"/>
              </w:rPr>
              <w:t xml:space="preserve">, </w:t>
            </w:r>
          </w:p>
          <w:p w14:paraId="5F841F61" w14:textId="6EB81496" w:rsidR="000A4598" w:rsidRPr="00BE3F16" w:rsidRDefault="000A4598" w:rsidP="000A4598">
            <w:pPr>
              <w:pStyle w:val="ListParagraph"/>
              <w:numPr>
                <w:ilvl w:val="0"/>
                <w:numId w:val="14"/>
              </w:numPr>
              <w:spacing w:after="0" w:line="240" w:lineRule="auto"/>
              <w:jc w:val="both"/>
              <w:rPr>
                <w:rFonts w:ascii="Times New Roman" w:hAnsi="Times New Roman" w:cs="Times New Roman"/>
                <w:noProof/>
                <w:sz w:val="20"/>
                <w:szCs w:val="20"/>
                <w:lang w:val="en-GB"/>
              </w:rPr>
            </w:pPr>
            <w:r w:rsidRPr="00BE3F16">
              <w:rPr>
                <w:rFonts w:ascii="Times New Roman" w:eastAsia="Times New Roman" w:hAnsi="Times New Roman" w:cs="Times New Roman"/>
                <w:noProof/>
                <w:sz w:val="20"/>
                <w:szCs w:val="20"/>
                <w:lang w:val="en-GB"/>
              </w:rPr>
              <w:t>150</w:t>
            </w:r>
            <w:r w:rsidR="0061151E" w:rsidRPr="00BE3F16">
              <w:rPr>
                <w:rFonts w:ascii="Times New Roman" w:hAnsi="Times New Roman" w:cs="Times New Roman"/>
                <w:noProof/>
                <w:sz w:val="20"/>
                <w:szCs w:val="20"/>
                <w:lang w:val="en-GB"/>
              </w:rPr>
              <w:t> </w:t>
            </w:r>
            <w:r w:rsidRPr="00BE3F16">
              <w:rPr>
                <w:rFonts w:ascii="Times New Roman" w:eastAsia="Times New Roman" w:hAnsi="Times New Roman" w:cs="Times New Roman"/>
                <w:noProof/>
                <w:sz w:val="20"/>
                <w:szCs w:val="20"/>
                <w:lang w:val="en-GB"/>
              </w:rPr>
              <w:t xml:space="preserve">000 m2 deep renovation (which means a renovation with a </w:t>
            </w:r>
            <w:r w:rsidRPr="00BE3F16">
              <w:rPr>
                <w:rFonts w:ascii="Times New Roman" w:eastAsia="Aptos" w:hAnsi="Times New Roman" w:cs="Times New Roman"/>
                <w:noProof/>
                <w:sz w:val="20"/>
                <w:szCs w:val="20"/>
                <w:lang w:val="en-GB"/>
              </w:rPr>
              <w:t>minimum of 60% of primary energy demand savings).</w:t>
            </w:r>
          </w:p>
          <w:p w14:paraId="6AB4C1A6" w14:textId="6F39EF1B"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eastAsia="Times New Roman" w:hAnsi="Times New Roman" w:cs="Times New Roman"/>
                <w:noProof/>
                <w:sz w:val="20"/>
                <w:szCs w:val="20"/>
                <w:lang w:val="en-GB"/>
              </w:rPr>
              <w:t xml:space="preserve">The energy renovations shall result in a </w:t>
            </w:r>
            <w:r w:rsidRPr="00BE3F16">
              <w:rPr>
                <w:rFonts w:ascii="Times New Roman" w:hAnsi="Times New Roman" w:cs="Times New Roman"/>
                <w:noProof/>
                <w:sz w:val="20"/>
                <w:szCs w:val="20"/>
                <w:lang w:val="en-GB"/>
              </w:rPr>
              <w:t>minimum reduction of energy consumption by at least 50% compared to the annual energy consumption for heating prior to the renovation for each building (except for buildings which have the status of</w:t>
            </w:r>
            <w:r w:rsidR="00D23D91" w:rsidRPr="00BE3F16">
              <w:rPr>
                <w:rFonts w:ascii="Times New Roman" w:hAnsi="Times New Roman" w:cs="Times New Roman"/>
                <w:noProof/>
                <w:sz w:val="20"/>
                <w:szCs w:val="20"/>
                <w:lang w:val="en-GB"/>
              </w:rPr>
              <w:t xml:space="preserve"> </w:t>
            </w:r>
            <w:r w:rsidRPr="00BE3F16">
              <w:rPr>
                <w:rFonts w:ascii="Times New Roman" w:hAnsi="Times New Roman" w:cs="Times New Roman"/>
                <w:noProof/>
                <w:sz w:val="20"/>
                <w:szCs w:val="20"/>
                <w:lang w:val="en-GB"/>
              </w:rPr>
              <w:t>cultural good).</w:t>
            </w:r>
          </w:p>
          <w:p w14:paraId="3375EF59"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The works completion reception certificate, the ex-ante energy audit report and the ex-post Energy Performance Certificate shall be provided as evidence for the achievement of the target.</w:t>
            </w:r>
          </w:p>
        </w:tc>
      </w:tr>
      <w:tr w:rsidR="000A4598" w:rsidRPr="00BE3F16" w14:paraId="4AECEF18" w14:textId="77777777" w:rsidTr="00BE3F16">
        <w:trPr>
          <w:trHeight w:val="309"/>
          <w:jc w:val="center"/>
        </w:trPr>
        <w:tc>
          <w:tcPr>
            <w:tcW w:w="838" w:type="dxa"/>
            <w:shd w:val="clear" w:color="auto" w:fill="C6EFCE"/>
            <w:noWrap/>
          </w:tcPr>
          <w:p w14:paraId="1DA3649C" w14:textId="77777777" w:rsidR="000A4598" w:rsidRPr="00BE3F16" w:rsidRDefault="000A4598">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106a</w:t>
            </w:r>
          </w:p>
        </w:tc>
        <w:tc>
          <w:tcPr>
            <w:tcW w:w="1851" w:type="dxa"/>
            <w:shd w:val="clear" w:color="auto" w:fill="C6EFCE"/>
            <w:noWrap/>
          </w:tcPr>
          <w:p w14:paraId="205788D2"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Investment 1.a.</w:t>
            </w:r>
          </w:p>
          <w:p w14:paraId="59289317" w14:textId="0742FF2C"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Establishment of a renovation wave fund to finance works to increase the energy efficiency of the existing building stock</w:t>
            </w:r>
            <w:r w:rsidR="00BE3F16" w:rsidRPr="00BE3F16">
              <w:rPr>
                <w:rFonts w:ascii="Times New Roman" w:hAnsi="Times New Roman" w:cs="Times New Roman"/>
                <w:noProof/>
                <w:sz w:val="20"/>
                <w:szCs w:val="20"/>
                <w:lang w:val="en-GB"/>
              </w:rPr>
              <w:t xml:space="preserve"> </w:t>
            </w:r>
          </w:p>
        </w:tc>
        <w:tc>
          <w:tcPr>
            <w:tcW w:w="1266" w:type="dxa"/>
            <w:shd w:val="clear" w:color="auto" w:fill="C6EFCE"/>
            <w:noWrap/>
          </w:tcPr>
          <w:p w14:paraId="049FB90B" w14:textId="77777777" w:rsidR="000A4598" w:rsidRPr="00BE3F16" w:rsidRDefault="000A4598">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Target</w:t>
            </w:r>
          </w:p>
        </w:tc>
        <w:tc>
          <w:tcPr>
            <w:tcW w:w="1710" w:type="dxa"/>
            <w:shd w:val="clear" w:color="auto" w:fill="C6EFCE"/>
            <w:noWrap/>
          </w:tcPr>
          <w:p w14:paraId="7E8A8CBF"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Energy renovation of public buildings </w:t>
            </w:r>
          </w:p>
        </w:tc>
        <w:tc>
          <w:tcPr>
            <w:tcW w:w="1418" w:type="dxa"/>
            <w:shd w:val="clear" w:color="auto" w:fill="C6EFCE"/>
            <w:noWrap/>
          </w:tcPr>
          <w:p w14:paraId="24466C9B"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134" w:type="dxa"/>
            <w:shd w:val="clear" w:color="auto" w:fill="C6EFCE"/>
            <w:noWrap/>
          </w:tcPr>
          <w:p w14:paraId="3CC13B78"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Number (m</w:t>
            </w:r>
            <w:r w:rsidRPr="00BE3F16">
              <w:rPr>
                <w:rFonts w:ascii="Times New Roman" w:hAnsi="Times New Roman" w:cs="Times New Roman"/>
                <w:noProof/>
                <w:sz w:val="20"/>
                <w:szCs w:val="20"/>
                <w:vertAlign w:val="superscript"/>
                <w:lang w:val="en-GB"/>
              </w:rPr>
              <w:t>2</w:t>
            </w:r>
            <w:r w:rsidRPr="00BE3F16">
              <w:rPr>
                <w:rFonts w:ascii="Times New Roman" w:hAnsi="Times New Roman" w:cs="Times New Roman"/>
                <w:noProof/>
                <w:sz w:val="20"/>
                <w:szCs w:val="20"/>
                <w:lang w:val="en-GB"/>
              </w:rPr>
              <w:t>)</w:t>
            </w:r>
          </w:p>
        </w:tc>
        <w:tc>
          <w:tcPr>
            <w:tcW w:w="1134" w:type="dxa"/>
            <w:shd w:val="clear" w:color="auto" w:fill="C6EFCE"/>
            <w:noWrap/>
          </w:tcPr>
          <w:p w14:paraId="5C13372B"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 0</w:t>
            </w:r>
          </w:p>
        </w:tc>
        <w:tc>
          <w:tcPr>
            <w:tcW w:w="1516" w:type="dxa"/>
            <w:shd w:val="clear" w:color="auto" w:fill="C6EFCE"/>
            <w:noWrap/>
          </w:tcPr>
          <w:p w14:paraId="68385EE2"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r w:rsidRPr="00BE3F16">
              <w:rPr>
                <w:rFonts w:ascii="Times New Roman" w:hAnsi="Times New Roman" w:cs="Times New Roman"/>
                <w:noProof/>
                <w:sz w:val="20"/>
                <w:szCs w:val="20"/>
                <w:lang w:val="en-GB"/>
              </w:rPr>
              <w:t xml:space="preserve">1 088 522 </w:t>
            </w:r>
          </w:p>
        </w:tc>
        <w:tc>
          <w:tcPr>
            <w:tcW w:w="992" w:type="dxa"/>
            <w:shd w:val="clear" w:color="auto" w:fill="C6EFCE"/>
            <w:noWrap/>
          </w:tcPr>
          <w:p w14:paraId="559D0461"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Q2</w:t>
            </w:r>
          </w:p>
        </w:tc>
        <w:tc>
          <w:tcPr>
            <w:tcW w:w="752" w:type="dxa"/>
            <w:shd w:val="clear" w:color="auto" w:fill="C6EFCE"/>
            <w:noWrap/>
          </w:tcPr>
          <w:p w14:paraId="03BDD5E2"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2026</w:t>
            </w:r>
          </w:p>
        </w:tc>
        <w:tc>
          <w:tcPr>
            <w:tcW w:w="3119" w:type="dxa"/>
            <w:shd w:val="clear" w:color="auto" w:fill="C6EFCE"/>
            <w:noWrap/>
          </w:tcPr>
          <w:p w14:paraId="24C2EE02"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The energy renovation of public buildings shall cover: </w:t>
            </w:r>
          </w:p>
          <w:p w14:paraId="65319153" w14:textId="2D671EC5" w:rsidR="000A4598" w:rsidRPr="00BE3F16" w:rsidRDefault="000A4598" w:rsidP="000A4598">
            <w:pPr>
              <w:pStyle w:val="ListParagraph"/>
              <w:numPr>
                <w:ilvl w:val="0"/>
                <w:numId w:val="13"/>
              </w:num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113</w:t>
            </w:r>
            <w:r w:rsidR="0061151E" w:rsidRPr="00BE3F16">
              <w:rPr>
                <w:rFonts w:ascii="Times New Roman" w:hAnsi="Times New Roman" w:cs="Times New Roman"/>
                <w:noProof/>
                <w:sz w:val="20"/>
                <w:szCs w:val="20"/>
                <w:lang w:val="en-GB"/>
              </w:rPr>
              <w:t> </w:t>
            </w:r>
            <w:r w:rsidRPr="00BE3F16">
              <w:rPr>
                <w:rFonts w:ascii="Times New Roman" w:hAnsi="Times New Roman" w:cs="Times New Roman"/>
                <w:noProof/>
                <w:sz w:val="20"/>
                <w:szCs w:val="20"/>
                <w:lang w:val="en-GB"/>
              </w:rPr>
              <w:t xml:space="preserve">000 m2 integrated projects </w:t>
            </w:r>
            <w:r w:rsidRPr="00BE3F16">
              <w:rPr>
                <w:rFonts w:ascii="Times New Roman" w:eastAsia="Times New Roman" w:hAnsi="Times New Roman" w:cs="Times New Roman"/>
                <w:noProof/>
                <w:sz w:val="20"/>
                <w:szCs w:val="20"/>
                <w:lang w:val="en-GB"/>
              </w:rPr>
              <w:t xml:space="preserve">with a </w:t>
            </w:r>
            <w:r w:rsidRPr="00BE3F16">
              <w:rPr>
                <w:rFonts w:ascii="Times New Roman" w:eastAsia="Aptos" w:hAnsi="Times New Roman" w:cs="Times New Roman"/>
                <w:noProof/>
                <w:sz w:val="20"/>
                <w:szCs w:val="20"/>
                <w:lang w:val="en-GB"/>
              </w:rPr>
              <w:t>minimum of 30% of primary energy demand savings</w:t>
            </w:r>
            <w:r w:rsidRPr="00BE3F16">
              <w:rPr>
                <w:rFonts w:ascii="Times New Roman" w:hAnsi="Times New Roman" w:cs="Times New Roman"/>
                <w:noProof/>
                <w:sz w:val="20"/>
                <w:szCs w:val="20"/>
                <w:lang w:val="en-GB"/>
              </w:rPr>
              <w:t>,</w:t>
            </w:r>
            <w:r w:rsidR="00D23D91" w:rsidRPr="00BE3F16">
              <w:rPr>
                <w:rFonts w:ascii="Times New Roman" w:hAnsi="Times New Roman" w:cs="Times New Roman"/>
                <w:noProof/>
                <w:sz w:val="20"/>
                <w:szCs w:val="20"/>
                <w:lang w:val="en-GB"/>
              </w:rPr>
              <w:t xml:space="preserve"> </w:t>
            </w:r>
          </w:p>
          <w:p w14:paraId="39A10BBF" w14:textId="536C8955" w:rsidR="000A4598" w:rsidRPr="00BE3F16" w:rsidRDefault="000A4598" w:rsidP="000A4598">
            <w:pPr>
              <w:pStyle w:val="ListParagraph"/>
              <w:numPr>
                <w:ilvl w:val="0"/>
                <w:numId w:val="13"/>
              </w:num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797</w:t>
            </w:r>
            <w:r w:rsidR="0061151E" w:rsidRPr="00BE3F16">
              <w:rPr>
                <w:rFonts w:ascii="Times New Roman" w:hAnsi="Times New Roman" w:cs="Times New Roman"/>
                <w:noProof/>
                <w:sz w:val="20"/>
                <w:szCs w:val="20"/>
                <w:lang w:val="en-GB"/>
              </w:rPr>
              <w:t> </w:t>
            </w:r>
            <w:r w:rsidRPr="00BE3F16">
              <w:rPr>
                <w:rFonts w:ascii="Times New Roman" w:hAnsi="Times New Roman" w:cs="Times New Roman"/>
                <w:noProof/>
                <w:sz w:val="20"/>
                <w:szCs w:val="20"/>
                <w:lang w:val="en-GB"/>
              </w:rPr>
              <w:t xml:space="preserve">522 m2 moderate renovation (which means a </w:t>
            </w:r>
            <w:r w:rsidRPr="00BE3F16">
              <w:rPr>
                <w:rFonts w:ascii="Times New Roman" w:eastAsia="Times New Roman" w:hAnsi="Times New Roman" w:cs="Times New Roman"/>
                <w:noProof/>
                <w:sz w:val="20"/>
                <w:szCs w:val="20"/>
                <w:lang w:val="en-GB"/>
              </w:rPr>
              <w:t xml:space="preserve">renovation with a </w:t>
            </w:r>
            <w:r w:rsidRPr="00BE3F16">
              <w:rPr>
                <w:rFonts w:ascii="Times New Roman" w:hAnsi="Times New Roman" w:cs="Times New Roman"/>
                <w:noProof/>
                <w:sz w:val="20"/>
                <w:szCs w:val="20"/>
                <w:lang w:val="en-GB"/>
              </w:rPr>
              <w:t>minimum of 30% of primary energy demand savings,</w:t>
            </w:r>
            <w:r w:rsidR="00D23D91" w:rsidRPr="00BE3F16">
              <w:rPr>
                <w:rFonts w:ascii="Times New Roman" w:hAnsi="Times New Roman" w:cs="Times New Roman"/>
                <w:noProof/>
                <w:sz w:val="20"/>
                <w:szCs w:val="20"/>
                <w:lang w:val="en-GB"/>
              </w:rPr>
              <w:t xml:space="preserve"> </w:t>
            </w:r>
          </w:p>
          <w:p w14:paraId="724C7C1F" w14:textId="37D78098" w:rsidR="000A4598" w:rsidRPr="00BE3F16" w:rsidRDefault="000A4598" w:rsidP="000A4598">
            <w:pPr>
              <w:pStyle w:val="ListParagraph"/>
              <w:numPr>
                <w:ilvl w:val="0"/>
                <w:numId w:val="13"/>
              </w:num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178</w:t>
            </w:r>
            <w:r w:rsidR="0061151E" w:rsidRPr="00BE3F16">
              <w:rPr>
                <w:rFonts w:ascii="Times New Roman" w:hAnsi="Times New Roman" w:cs="Times New Roman"/>
                <w:noProof/>
                <w:sz w:val="20"/>
                <w:szCs w:val="20"/>
                <w:lang w:val="en-GB"/>
              </w:rPr>
              <w:t> </w:t>
            </w:r>
            <w:r w:rsidRPr="00BE3F16">
              <w:rPr>
                <w:rFonts w:ascii="Times New Roman" w:hAnsi="Times New Roman" w:cs="Times New Roman"/>
                <w:noProof/>
                <w:sz w:val="20"/>
                <w:szCs w:val="20"/>
                <w:lang w:val="en-GB"/>
              </w:rPr>
              <w:t xml:space="preserve">000 m2 deep renovation (which means a </w:t>
            </w:r>
            <w:r w:rsidRPr="00BE3F16">
              <w:rPr>
                <w:rFonts w:ascii="Times New Roman" w:eastAsia="Times New Roman" w:hAnsi="Times New Roman" w:cs="Times New Roman"/>
                <w:noProof/>
                <w:sz w:val="20"/>
                <w:szCs w:val="20"/>
                <w:lang w:val="en-GB"/>
              </w:rPr>
              <w:t xml:space="preserve">renovation with a </w:t>
            </w:r>
            <w:r w:rsidRPr="00BE3F16">
              <w:rPr>
                <w:rFonts w:ascii="Times New Roman" w:hAnsi="Times New Roman" w:cs="Times New Roman"/>
                <w:noProof/>
                <w:sz w:val="20"/>
                <w:szCs w:val="20"/>
                <w:lang w:val="en-GB"/>
              </w:rPr>
              <w:t>minimum of 60% of primary energy demand savings).</w:t>
            </w:r>
          </w:p>
          <w:p w14:paraId="7B429404" w14:textId="77777777" w:rsidR="000A4598" w:rsidRPr="00BE3F16" w:rsidRDefault="000A4598">
            <w:pPr>
              <w:spacing w:after="0" w:line="240" w:lineRule="auto"/>
              <w:jc w:val="both"/>
              <w:rPr>
                <w:rFonts w:ascii="Times New Roman" w:hAnsi="Times New Roman" w:cs="Times New Roman"/>
                <w:noProof/>
                <w:sz w:val="20"/>
                <w:szCs w:val="20"/>
              </w:rPr>
            </w:pPr>
            <w:r w:rsidRPr="00BE3F16">
              <w:rPr>
                <w:rFonts w:ascii="Times New Roman" w:hAnsi="Times New Roman" w:cs="Times New Roman"/>
                <w:noProof/>
                <w:sz w:val="20"/>
                <w:szCs w:val="20"/>
                <w:lang w:val="en-GB"/>
              </w:rPr>
              <w:t>The investment shall result in a minimum reduction of energy consumption by at least 50% compared to the annual energy consumption for heating prior to the renovation for each building (except for buildings which have the status of cultural good).</w:t>
            </w:r>
          </w:p>
          <w:p w14:paraId="443546E1"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The works completion reception certificate, the ex-ante energy audit report and the ex-post Energy Performance Certificate shall be provided as evidence for the achievement of the target.</w:t>
            </w:r>
          </w:p>
        </w:tc>
      </w:tr>
      <w:tr w:rsidR="000A4598" w:rsidRPr="00BE3F16" w14:paraId="58A524CA" w14:textId="77777777" w:rsidTr="00BE3F16">
        <w:trPr>
          <w:trHeight w:val="309"/>
          <w:jc w:val="center"/>
        </w:trPr>
        <w:tc>
          <w:tcPr>
            <w:tcW w:w="838" w:type="dxa"/>
            <w:shd w:val="clear" w:color="auto" w:fill="C6EFCE"/>
            <w:noWrap/>
          </w:tcPr>
          <w:p w14:paraId="7E9D3EE3" w14:textId="77777777" w:rsidR="000A4598" w:rsidRPr="00BE3F16" w:rsidRDefault="000A4598">
            <w:pPr>
              <w:spacing w:after="0" w:line="240" w:lineRule="auto"/>
              <w:jc w:val="cente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110</w:t>
            </w:r>
          </w:p>
        </w:tc>
        <w:tc>
          <w:tcPr>
            <w:tcW w:w="1851" w:type="dxa"/>
            <w:shd w:val="clear" w:color="auto" w:fill="C6EFCE"/>
            <w:noWrap/>
          </w:tcPr>
          <w:p w14:paraId="71827C21"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Investment 4. Circular economy and increased energy efficiency of historical buildings</w:t>
            </w:r>
          </w:p>
        </w:tc>
        <w:tc>
          <w:tcPr>
            <w:tcW w:w="1266" w:type="dxa"/>
            <w:shd w:val="clear" w:color="auto" w:fill="C6EFCE"/>
            <w:noWrap/>
          </w:tcPr>
          <w:p w14:paraId="35E0ECF5" w14:textId="4DB21AF8" w:rsidR="000A4598" w:rsidRPr="00BE3F16" w:rsidRDefault="008A021B">
            <w:pPr>
              <w:spacing w:after="0" w:line="240" w:lineRule="auto"/>
              <w:jc w:val="center"/>
              <w:rPr>
                <w:rFonts w:ascii="Times New Roman" w:hAnsi="Times New Roman" w:cs="Times New Roman"/>
                <w:noProof/>
                <w:sz w:val="20"/>
                <w:szCs w:val="20"/>
                <w:lang w:val="en-GB"/>
              </w:rPr>
            </w:pPr>
            <w:r>
              <w:rPr>
                <w:rFonts w:ascii="Times New Roman" w:hAnsi="Times New Roman" w:cs="Times New Roman"/>
                <w:noProof/>
                <w:sz w:val="20"/>
                <w:szCs w:val="20"/>
                <w:lang w:val="en-GB"/>
              </w:rPr>
              <w:t>Milestone</w:t>
            </w:r>
          </w:p>
        </w:tc>
        <w:tc>
          <w:tcPr>
            <w:tcW w:w="1710" w:type="dxa"/>
            <w:shd w:val="clear" w:color="auto" w:fill="C6EFCE"/>
            <w:noWrap/>
          </w:tcPr>
          <w:p w14:paraId="10EF4D4C"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Structures for energy-efficient renovation of historical buildings</w:t>
            </w:r>
            <w:r w:rsidRPr="00BE3F16" w:rsidDel="004860F8">
              <w:rPr>
                <w:rFonts w:ascii="Times New Roman" w:hAnsi="Times New Roman" w:cs="Times New Roman"/>
                <w:noProof/>
                <w:sz w:val="20"/>
                <w:szCs w:val="20"/>
                <w:lang w:val="en-GB"/>
              </w:rPr>
              <w:t xml:space="preserve"> </w:t>
            </w:r>
          </w:p>
        </w:tc>
        <w:tc>
          <w:tcPr>
            <w:tcW w:w="1418" w:type="dxa"/>
            <w:shd w:val="clear" w:color="auto" w:fill="C6EFCE"/>
            <w:noWrap/>
          </w:tcPr>
          <w:p w14:paraId="47750B5D"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r w:rsidRPr="00BE3F16">
              <w:rPr>
                <w:rFonts w:ascii="Times New Roman" w:hAnsi="Times New Roman" w:cs="Times New Roman"/>
                <w:noProof/>
                <w:sz w:val="20"/>
                <w:szCs w:val="20"/>
                <w:lang w:val="en-GB"/>
              </w:rPr>
              <w:t xml:space="preserve">A laboratory and three centres for energy-efficient renovation of historical buildings are equipped </w:t>
            </w:r>
          </w:p>
        </w:tc>
        <w:tc>
          <w:tcPr>
            <w:tcW w:w="1134" w:type="dxa"/>
            <w:shd w:val="clear" w:color="auto" w:fill="C6EFCE"/>
            <w:noWrap/>
          </w:tcPr>
          <w:p w14:paraId="7041D5CF" w14:textId="77777777" w:rsidR="000A4598" w:rsidRPr="00BE3F16" w:rsidRDefault="000A4598">
            <w:pPr>
              <w:spacing w:after="0" w:line="240" w:lineRule="auto"/>
              <w:jc w:val="both"/>
              <w:rPr>
                <w:rFonts w:ascii="Times New Roman" w:hAnsi="Times New Roman" w:cs="Times New Roman"/>
                <w:noProof/>
                <w:sz w:val="20"/>
                <w:szCs w:val="20"/>
                <w:lang w:val="en-GB"/>
              </w:rPr>
            </w:pPr>
          </w:p>
        </w:tc>
        <w:tc>
          <w:tcPr>
            <w:tcW w:w="1134" w:type="dxa"/>
            <w:shd w:val="clear" w:color="auto" w:fill="C6EFCE"/>
            <w:noWrap/>
          </w:tcPr>
          <w:p w14:paraId="28B45D0A" w14:textId="77777777" w:rsidR="000A4598" w:rsidRPr="00BE3F16" w:rsidRDefault="000A4598">
            <w:pPr>
              <w:spacing w:after="0" w:line="240" w:lineRule="auto"/>
              <w:jc w:val="both"/>
              <w:rPr>
                <w:rFonts w:ascii="Times New Roman" w:hAnsi="Times New Roman" w:cs="Times New Roman"/>
                <w:noProof/>
                <w:sz w:val="20"/>
                <w:szCs w:val="20"/>
                <w:lang w:val="en-GB"/>
              </w:rPr>
            </w:pPr>
          </w:p>
        </w:tc>
        <w:tc>
          <w:tcPr>
            <w:tcW w:w="1516" w:type="dxa"/>
            <w:shd w:val="clear" w:color="auto" w:fill="C6EFCE"/>
            <w:noWrap/>
          </w:tcPr>
          <w:p w14:paraId="2A61FF68" w14:textId="77777777" w:rsidR="000A4598" w:rsidRPr="00BE3F16" w:rsidRDefault="000A4598">
            <w:pPr>
              <w:spacing w:after="0" w:line="240" w:lineRule="auto"/>
              <w:jc w:val="both"/>
              <w:rPr>
                <w:rFonts w:ascii="Times New Roman" w:hAnsi="Times New Roman" w:cs="Times New Roman"/>
                <w:noProof/>
                <w:sz w:val="20"/>
                <w:szCs w:val="20"/>
                <w:lang w:val="en-GB"/>
              </w:rPr>
            </w:pPr>
          </w:p>
        </w:tc>
        <w:tc>
          <w:tcPr>
            <w:tcW w:w="992" w:type="dxa"/>
            <w:shd w:val="clear" w:color="auto" w:fill="C6EFCE"/>
            <w:noWrap/>
          </w:tcPr>
          <w:p w14:paraId="0C900A28"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Q2</w:t>
            </w:r>
          </w:p>
        </w:tc>
        <w:tc>
          <w:tcPr>
            <w:tcW w:w="752" w:type="dxa"/>
            <w:shd w:val="clear" w:color="auto" w:fill="C6EFCE"/>
            <w:noWrap/>
          </w:tcPr>
          <w:p w14:paraId="0CE25E0D"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2026</w:t>
            </w:r>
          </w:p>
        </w:tc>
        <w:tc>
          <w:tcPr>
            <w:tcW w:w="3119" w:type="dxa"/>
            <w:shd w:val="clear" w:color="auto" w:fill="C6EFCE"/>
            <w:noWrap/>
          </w:tcPr>
          <w:p w14:paraId="633ED111"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A laboratory and three centres for energy-efficient renovation of historical buildings are equipped as follows: </w:t>
            </w:r>
          </w:p>
          <w:p w14:paraId="7BE769CA"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 a laboratory for scientifically testing materials and technological solutions for historical buildings; </w:t>
            </w:r>
          </w:p>
          <w:p w14:paraId="77D26ACF"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 a centre for dismantling, collecting, sorting, repairing and re-using construction materials from historical buildings; </w:t>
            </w:r>
          </w:p>
          <w:p w14:paraId="5E586DED"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 a centre for the maintenance of historical buildings; and </w:t>
            </w:r>
          </w:p>
          <w:p w14:paraId="017DF824" w14:textId="77777777" w:rsidR="000A4598" w:rsidRPr="00BE3F16" w:rsidDel="00D32DD3"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 a centre to support the training of professional skills in energy efficiency renovation of historical buildings. </w:t>
            </w:r>
          </w:p>
        </w:tc>
      </w:tr>
      <w:tr w:rsidR="000A4598" w:rsidRPr="00BE3F16" w14:paraId="30B01011" w14:textId="77777777" w:rsidTr="00BE3F16">
        <w:trPr>
          <w:trHeight w:val="309"/>
          <w:jc w:val="center"/>
        </w:trPr>
        <w:tc>
          <w:tcPr>
            <w:tcW w:w="838" w:type="dxa"/>
            <w:shd w:val="clear" w:color="auto" w:fill="C6EFCE"/>
            <w:noWrap/>
          </w:tcPr>
          <w:p w14:paraId="52813D90" w14:textId="77777777" w:rsidR="000A4598" w:rsidRPr="00BE3F16" w:rsidRDefault="000A4598">
            <w:pPr>
              <w:spacing w:after="0" w:line="240" w:lineRule="auto"/>
              <w:jc w:val="cente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112</w:t>
            </w:r>
          </w:p>
        </w:tc>
        <w:tc>
          <w:tcPr>
            <w:tcW w:w="1851" w:type="dxa"/>
            <w:shd w:val="clear" w:color="auto" w:fill="C6EFCE"/>
            <w:noWrap/>
          </w:tcPr>
          <w:p w14:paraId="43239CFF"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Investment 4. Circular economy and increased energy efficiency of historical buildings</w:t>
            </w:r>
          </w:p>
        </w:tc>
        <w:tc>
          <w:tcPr>
            <w:tcW w:w="1266" w:type="dxa"/>
            <w:shd w:val="clear" w:color="auto" w:fill="C6EFCE"/>
            <w:noWrap/>
          </w:tcPr>
          <w:p w14:paraId="484ABAC1" w14:textId="77777777" w:rsidR="000A4598" w:rsidRPr="00BE3F16" w:rsidRDefault="000A4598">
            <w:pPr>
              <w:spacing w:after="0" w:line="240" w:lineRule="auto"/>
              <w:jc w:val="cente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Target</w:t>
            </w:r>
          </w:p>
        </w:tc>
        <w:tc>
          <w:tcPr>
            <w:tcW w:w="1710" w:type="dxa"/>
            <w:shd w:val="clear" w:color="auto" w:fill="C6EFCE"/>
            <w:noWrap/>
          </w:tcPr>
          <w:p w14:paraId="75EB48F7"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At least 200 professionals trained in energy efficiency renovations of historical buildings</w:t>
            </w:r>
          </w:p>
        </w:tc>
        <w:tc>
          <w:tcPr>
            <w:tcW w:w="1418" w:type="dxa"/>
            <w:shd w:val="clear" w:color="auto" w:fill="C6EFCE"/>
            <w:noWrap/>
          </w:tcPr>
          <w:p w14:paraId="5E5B172D"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134" w:type="dxa"/>
            <w:shd w:val="clear" w:color="auto" w:fill="C6EFCE"/>
            <w:noWrap/>
          </w:tcPr>
          <w:p w14:paraId="67950578"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Number</w:t>
            </w:r>
          </w:p>
        </w:tc>
        <w:tc>
          <w:tcPr>
            <w:tcW w:w="1134" w:type="dxa"/>
            <w:shd w:val="clear" w:color="auto" w:fill="C6EFCE"/>
            <w:noWrap/>
          </w:tcPr>
          <w:p w14:paraId="5AFFAA8D"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0</w:t>
            </w:r>
          </w:p>
        </w:tc>
        <w:tc>
          <w:tcPr>
            <w:tcW w:w="1516" w:type="dxa"/>
            <w:shd w:val="clear" w:color="auto" w:fill="C6EFCE"/>
            <w:noWrap/>
          </w:tcPr>
          <w:p w14:paraId="1D3EDAE3"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200</w:t>
            </w:r>
          </w:p>
        </w:tc>
        <w:tc>
          <w:tcPr>
            <w:tcW w:w="992" w:type="dxa"/>
            <w:shd w:val="clear" w:color="auto" w:fill="C6EFCE"/>
            <w:noWrap/>
          </w:tcPr>
          <w:p w14:paraId="0F5FED04"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Q2</w:t>
            </w:r>
          </w:p>
          <w:p w14:paraId="6E146EEB" w14:textId="77777777" w:rsidR="000A4598" w:rsidRPr="00BE3F16" w:rsidRDefault="000A4598">
            <w:pPr>
              <w:spacing w:after="0" w:line="240" w:lineRule="auto"/>
              <w:jc w:val="both"/>
              <w:rPr>
                <w:rFonts w:ascii="Times New Roman" w:hAnsi="Times New Roman" w:cs="Times New Roman"/>
                <w:noProof/>
                <w:sz w:val="20"/>
                <w:szCs w:val="20"/>
                <w:lang w:val="en-GB"/>
              </w:rPr>
            </w:pPr>
          </w:p>
        </w:tc>
        <w:tc>
          <w:tcPr>
            <w:tcW w:w="752" w:type="dxa"/>
            <w:shd w:val="clear" w:color="auto" w:fill="C6EFCE"/>
            <w:noWrap/>
          </w:tcPr>
          <w:p w14:paraId="20F01D9E"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2026</w:t>
            </w:r>
          </w:p>
        </w:tc>
        <w:tc>
          <w:tcPr>
            <w:tcW w:w="3119" w:type="dxa"/>
            <w:shd w:val="clear" w:color="auto" w:fill="C6EFCE"/>
            <w:noWrap/>
          </w:tcPr>
          <w:p w14:paraId="36ACEDC5"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At least 200 professionals shall have been trained in energy efficiency renovations of historical buildings. </w:t>
            </w:r>
          </w:p>
          <w:p w14:paraId="232A8153" w14:textId="77777777" w:rsidR="000A4598" w:rsidRPr="00BE3F16" w:rsidDel="00D32DD3"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The training certificate shall be issued by the National Heritage Institute.</w:t>
            </w:r>
          </w:p>
        </w:tc>
      </w:tr>
    </w:tbl>
    <w:p w14:paraId="6D651784" w14:textId="77777777" w:rsidR="000A4598" w:rsidRPr="00291374" w:rsidRDefault="000A4598" w:rsidP="000A4598">
      <w:pPr>
        <w:keepNext/>
        <w:spacing w:before="120" w:after="120" w:line="240" w:lineRule="auto"/>
        <w:jc w:val="both"/>
        <w:outlineLvl w:val="1"/>
        <w:rPr>
          <w:rFonts w:ascii="Times New Roman" w:hAnsi="Times New Roman" w:cs="Times New Roman"/>
          <w:b/>
          <w:noProof/>
        </w:rPr>
        <w:sectPr w:rsidR="000A4598" w:rsidRPr="00291374" w:rsidSect="000A4598">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60"/>
        </w:sectPr>
      </w:pPr>
    </w:p>
    <w:p w14:paraId="5A441DC2" w14:textId="77777777" w:rsidR="000A4598" w:rsidRPr="00291374" w:rsidRDefault="000A4598" w:rsidP="000A4598">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E.3.</w:t>
      </w:r>
      <w:r w:rsidRPr="00291374">
        <w:rPr>
          <w:rFonts w:ascii="Times New Roman" w:hAnsi="Times New Roman" w:cs="Times New Roman"/>
          <w:noProof/>
          <w:lang w:val="en-GB"/>
        </w:rPr>
        <w:t xml:space="preserve"> </w:t>
      </w:r>
      <w:r w:rsidRPr="00291374">
        <w:rPr>
          <w:rFonts w:ascii="Times New Roman" w:hAnsi="Times New Roman" w:cs="Times New Roman"/>
          <w:b/>
          <w:noProof/>
          <w:lang w:val="en-GB"/>
        </w:rPr>
        <w:t>Description of the reforms and investments for the loan</w:t>
      </w:r>
    </w:p>
    <w:p w14:paraId="02369098" w14:textId="77777777" w:rsidR="000A4598" w:rsidRPr="00291374" w:rsidRDefault="000A4598" w:rsidP="000A4598">
      <w:pPr>
        <w:suppressAutoHyphens/>
        <w:autoSpaceDN w:val="0"/>
        <w:spacing w:before="240" w:after="24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 xml:space="preserve">Reform 1. </w:t>
      </w:r>
      <w:r w:rsidRPr="00291374">
        <w:rPr>
          <w:rFonts w:ascii="Times New Roman" w:eastAsia="NSimSun" w:hAnsi="Times New Roman" w:cs="Times New Roman"/>
          <w:noProof/>
          <w:u w:val="single"/>
          <w:lang w:val="en-GB"/>
        </w:rPr>
        <w:t>Updated legal and regulatory framework to support energy efficiency renovations of buildings</w:t>
      </w:r>
    </w:p>
    <w:p w14:paraId="0255C707" w14:textId="77777777" w:rsidR="000A4598" w:rsidRPr="00291374" w:rsidRDefault="000A4598" w:rsidP="000A4598">
      <w:pPr>
        <w:spacing w:before="120" w:after="120" w:line="240" w:lineRule="auto"/>
        <w:jc w:val="both"/>
        <w:rPr>
          <w:rFonts w:ascii="Times New Roman" w:eastAsia="Calibri" w:hAnsi="Times New Roman" w:cs="Times New Roman"/>
          <w:noProof/>
          <w:lang w:val="en-GB"/>
        </w:rPr>
      </w:pPr>
      <w:r w:rsidRPr="00291374">
        <w:rPr>
          <w:rFonts w:ascii="Times New Roman" w:hAnsi="Times New Roman" w:cs="Times New Roman"/>
          <w:noProof/>
          <w:lang w:val="en-GB"/>
        </w:rPr>
        <w:t>The objective of the reform is to amend the legal and regulatory framework concerning building renovations. The reform consists of:</w:t>
      </w:r>
    </w:p>
    <w:p w14:paraId="2FC106AD" w14:textId="77777777" w:rsidR="000A4598" w:rsidRPr="00291374" w:rsidRDefault="000A4598" w:rsidP="000A4598">
      <w:pPr>
        <w:numPr>
          <w:ilvl w:val="0"/>
          <w:numId w:val="16"/>
        </w:numPr>
        <w:spacing w:before="120" w:after="120" w:line="240" w:lineRule="auto"/>
        <w:ind w:left="425" w:hanging="357"/>
        <w:jc w:val="both"/>
        <w:rPr>
          <w:rFonts w:ascii="Times New Roman" w:eastAsia="Calibri" w:hAnsi="Times New Roman" w:cs="Times New Roman"/>
          <w:noProof/>
          <w:lang w:val="en-GB"/>
        </w:rPr>
      </w:pPr>
      <w:r w:rsidRPr="00291374">
        <w:rPr>
          <w:rFonts w:ascii="Times New Roman" w:hAnsi="Times New Roman" w:cs="Times New Roman"/>
          <w:noProof/>
          <w:lang w:val="en-GB"/>
        </w:rPr>
        <w:t xml:space="preserve">R1.a. Reducing the time required for the issuance of building permits. </w:t>
      </w:r>
    </w:p>
    <w:p w14:paraId="1B29EEFD" w14:textId="77777777" w:rsidR="000A4598" w:rsidRPr="00291374" w:rsidRDefault="000A4598" w:rsidP="000A4598">
      <w:pPr>
        <w:numPr>
          <w:ilvl w:val="0"/>
          <w:numId w:val="16"/>
        </w:numPr>
        <w:spacing w:before="120" w:after="240" w:line="240" w:lineRule="auto"/>
        <w:ind w:left="425" w:hanging="357"/>
        <w:jc w:val="both"/>
        <w:rPr>
          <w:rFonts w:ascii="Times New Roman" w:eastAsia="Calibri" w:hAnsi="Times New Roman" w:cs="Times New Roman"/>
          <w:noProof/>
          <w:lang w:val="en-GB"/>
        </w:rPr>
      </w:pPr>
      <w:r w:rsidRPr="00291374">
        <w:rPr>
          <w:rFonts w:ascii="Times New Roman" w:hAnsi="Times New Roman" w:cs="Times New Roman"/>
          <w:noProof/>
          <w:lang w:val="en-GB"/>
        </w:rPr>
        <w:t xml:space="preserve">R1.b. Amending the legal and regulatory framework to </w:t>
      </w:r>
      <w:r w:rsidRPr="00291374" w:rsidDel="008764F2">
        <w:rPr>
          <w:rFonts w:ascii="Times New Roman" w:hAnsi="Times New Roman" w:cs="Times New Roman"/>
          <w:noProof/>
          <w:lang w:val="en-GB"/>
        </w:rPr>
        <w:t>increase the level of ambition of energy renovations for residential buildings</w:t>
      </w:r>
      <w:r w:rsidRPr="00291374">
        <w:rPr>
          <w:rFonts w:ascii="Times New Roman" w:hAnsi="Times New Roman" w:cs="Times New Roman"/>
          <w:noProof/>
          <w:lang w:val="en-GB"/>
        </w:rPr>
        <w:t xml:space="preserve"> and adopt new guidelines to support energy efficiency renovations of historical buildings</w:t>
      </w:r>
      <w:r w:rsidRPr="00291374" w:rsidDel="00271EF8">
        <w:rPr>
          <w:rFonts w:ascii="Times New Roman" w:hAnsi="Times New Roman" w:cs="Times New Roman"/>
          <w:noProof/>
          <w:lang w:val="en-GB"/>
        </w:rPr>
        <w:t>.</w:t>
      </w:r>
      <w:r w:rsidRPr="00291374" w:rsidDel="008764F2">
        <w:rPr>
          <w:rFonts w:ascii="Times New Roman" w:hAnsi="Times New Roman" w:cs="Times New Roman"/>
          <w:noProof/>
          <w:lang w:val="en-GB"/>
        </w:rPr>
        <w:t xml:space="preserve"> </w:t>
      </w:r>
    </w:p>
    <w:p w14:paraId="32C2316F" w14:textId="77777777" w:rsidR="000A4598" w:rsidRPr="00291374" w:rsidRDefault="000A4598" w:rsidP="000A4598">
      <w:pPr>
        <w:suppressAutoHyphens/>
        <w:autoSpaceDN w:val="0"/>
        <w:spacing w:before="240" w:after="24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 xml:space="preserve">Reform 2. Strategic, legislative and procedural framework to support seismic resilience of the buildings stock </w:t>
      </w:r>
    </w:p>
    <w:p w14:paraId="5EEF3AC7" w14:textId="77777777" w:rsidR="000A4598" w:rsidRPr="00291374" w:rsidRDefault="000A4598" w:rsidP="000A4598">
      <w:pPr>
        <w:spacing w:before="120" w:after="120" w:line="240" w:lineRule="auto"/>
        <w:jc w:val="both"/>
        <w:rPr>
          <w:rFonts w:ascii="Times New Roman" w:eastAsia="Calibri" w:hAnsi="Times New Roman" w:cs="Times New Roman"/>
          <w:noProof/>
          <w:lang w:val="en-GB"/>
        </w:rPr>
      </w:pPr>
      <w:r w:rsidRPr="00291374">
        <w:rPr>
          <w:rFonts w:ascii="Times New Roman" w:hAnsi="Times New Roman" w:cs="Times New Roman"/>
          <w:noProof/>
          <w:lang w:val="en-GB"/>
        </w:rPr>
        <w:t>The reform shall cover the following sub-reforms:</w:t>
      </w:r>
    </w:p>
    <w:p w14:paraId="1AAEBAC3" w14:textId="77777777" w:rsidR="000A4598" w:rsidRPr="00291374" w:rsidRDefault="000A4598" w:rsidP="000A4598">
      <w:pPr>
        <w:numPr>
          <w:ilvl w:val="0"/>
          <w:numId w:val="17"/>
        </w:numPr>
        <w:spacing w:before="120" w:after="120" w:line="240" w:lineRule="auto"/>
        <w:ind w:left="425" w:hanging="357"/>
        <w:jc w:val="both"/>
        <w:rPr>
          <w:rFonts w:ascii="Times New Roman" w:eastAsia="Calibri" w:hAnsi="Times New Roman" w:cs="Times New Roman"/>
          <w:noProof/>
          <w:lang w:val="en-GB"/>
        </w:rPr>
      </w:pPr>
      <w:r w:rsidRPr="00291374">
        <w:rPr>
          <w:rFonts w:ascii="Times New Roman" w:hAnsi="Times New Roman" w:cs="Times New Roman"/>
          <w:noProof/>
          <w:lang w:val="en-GB"/>
        </w:rPr>
        <w:t>R2.a. The adoption of a National Seismic Risk Reduction Strategy. The Strategy shall include an action plan with specific objectives to reduce the seismic risk in the short, medium and long term (2030, 2040 and 2050) for the different types of vulnerable buildings, including raising public awareness and strengthening the institutional capacity of seismic management. The reform shall ensure an integrated and consistent approach between energy and seismic renovations planning and shall reduce from several years to several months the time needed to effectively complete the prioritisation of the building stock interventions. This reform element shall be implemented through the adoption of the Strategy by the Government and shall be completed by 31 December 2022.</w:t>
      </w:r>
    </w:p>
    <w:p w14:paraId="3C3F95D8" w14:textId="77777777" w:rsidR="000A4598" w:rsidRPr="00291374" w:rsidRDefault="000A4598" w:rsidP="000A4598">
      <w:pPr>
        <w:numPr>
          <w:ilvl w:val="0"/>
          <w:numId w:val="17"/>
        </w:numPr>
        <w:spacing w:before="120" w:after="240" w:line="240" w:lineRule="auto"/>
        <w:ind w:left="425" w:hanging="357"/>
        <w:jc w:val="both"/>
        <w:rPr>
          <w:rFonts w:ascii="Times New Roman" w:eastAsia="Calibri" w:hAnsi="Times New Roman" w:cs="Times New Roman"/>
          <w:noProof/>
          <w:lang w:val="en-GB"/>
        </w:rPr>
      </w:pPr>
      <w:r w:rsidRPr="00291374">
        <w:rPr>
          <w:rFonts w:ascii="Times New Roman" w:hAnsi="Times New Roman" w:cs="Times New Roman"/>
          <w:noProof/>
          <w:lang w:val="en-GB"/>
        </w:rPr>
        <w:t>R2.b. Optimising the legislative framework for seismic risk reduction of existing buildings. The objective of the sub-reform is to improve the existing programme for retrofitting the existing building stock, which in the past did not have an integrated approach to seismic and energy renovations. The sub-reform shall change the programme into a multiannual programme, it shall introduce in the list of eligible expenses the works necessary to increase energy performance, it shall extend it to public buildings and not only private buildings, and also introduce the seismic risk class RSII among the eligible criteria. This reform element shall be implemented through the entry into force of the new law on seismic risk reduction of buildings and its implementation shall be completed by 31 December 2022.</w:t>
      </w:r>
    </w:p>
    <w:p w14:paraId="6E64527D" w14:textId="77777777" w:rsidR="000A4598" w:rsidRPr="00291374" w:rsidRDefault="000A4598" w:rsidP="000A4598">
      <w:pPr>
        <w:suppressAutoHyphens/>
        <w:autoSpaceDN w:val="0"/>
        <w:spacing w:before="240" w:after="24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Investment 1. Establishment of a renovation wave fund to finance works to increase the energy efficiency of the existing building stock</w:t>
      </w:r>
    </w:p>
    <w:p w14:paraId="19BD6924" w14:textId="77777777" w:rsidR="000A4598" w:rsidRPr="00291374" w:rsidRDefault="000A4598" w:rsidP="000A4598">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the investment is to support renovation of multi-family buildings and public buildings in Romania to increase energy efficiency. </w:t>
      </w:r>
    </w:p>
    <w:p w14:paraId="12775AEE" w14:textId="77777777" w:rsidR="000A4598" w:rsidRPr="00291374" w:rsidRDefault="000A4598" w:rsidP="000A4598">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investment consist of:</w:t>
      </w:r>
    </w:p>
    <w:p w14:paraId="07E80F91" w14:textId="77777777" w:rsidR="000A4598" w:rsidRPr="00291374" w:rsidRDefault="000A4598" w:rsidP="000A4598">
      <w:pPr>
        <w:numPr>
          <w:ilvl w:val="0"/>
          <w:numId w:val="15"/>
        </w:numPr>
        <w:spacing w:before="120" w:after="120" w:line="240" w:lineRule="auto"/>
        <w:ind w:left="1080"/>
        <w:jc w:val="both"/>
        <w:rPr>
          <w:rFonts w:ascii="Times New Roman" w:hAnsi="Times New Roman" w:cs="Times New Roman"/>
          <w:noProof/>
          <w:lang w:val="en-GB"/>
        </w:rPr>
      </w:pPr>
      <w:r w:rsidRPr="00291374">
        <w:rPr>
          <w:rFonts w:ascii="Times New Roman" w:hAnsi="Times New Roman" w:cs="Times New Roman"/>
          <w:noProof/>
          <w:lang w:val="en-GB"/>
        </w:rPr>
        <w:t xml:space="preserve">Axis 1 - a national support scheme for energy efficiency renovation and integrated renovation (seismic consolidation and energy efficiency) of multi-family residential buildings. </w:t>
      </w:r>
    </w:p>
    <w:p w14:paraId="6CA9DC81" w14:textId="77777777" w:rsidR="000A4598" w:rsidRPr="00291374" w:rsidRDefault="000A4598" w:rsidP="000A4598">
      <w:pPr>
        <w:numPr>
          <w:ilvl w:val="0"/>
          <w:numId w:val="15"/>
        </w:numPr>
        <w:spacing w:before="120" w:after="240" w:line="240" w:lineRule="auto"/>
        <w:ind w:left="1077" w:hanging="357"/>
        <w:jc w:val="both"/>
        <w:rPr>
          <w:rFonts w:ascii="Times New Roman" w:hAnsi="Times New Roman" w:cs="Times New Roman"/>
          <w:noProof/>
          <w:lang w:val="en-GB"/>
        </w:rPr>
      </w:pPr>
      <w:r w:rsidRPr="00291374">
        <w:rPr>
          <w:rFonts w:ascii="Times New Roman" w:hAnsi="Times New Roman" w:cs="Times New Roman"/>
          <w:noProof/>
          <w:lang w:val="en-GB"/>
        </w:rPr>
        <w:t xml:space="preserve">Axis 2 - a national support scheme for energy efficiency renovation and integrated renovation (seismic consolidation and energy efficiency) of public buildings. </w:t>
      </w:r>
    </w:p>
    <w:p w14:paraId="1C7B7A47" w14:textId="77777777" w:rsidR="000A4598" w:rsidRPr="00291374" w:rsidRDefault="000A4598" w:rsidP="000A4598">
      <w:pPr>
        <w:spacing w:before="120" w:after="120" w:line="240" w:lineRule="auto"/>
        <w:jc w:val="both"/>
        <w:rPr>
          <w:rFonts w:ascii="Times New Roman" w:hAnsi="Times New Roman" w:cs="Times New Roman"/>
          <w:noProof/>
        </w:rPr>
      </w:pPr>
      <w:r w:rsidRPr="00291374">
        <w:rPr>
          <w:rFonts w:ascii="Times New Roman" w:hAnsi="Times New Roman" w:cs="Times New Roman"/>
          <w:noProof/>
          <w:lang w:val="en-GB"/>
        </w:rPr>
        <w:t>This measure complements Investment 1a. Establishment of a renovation wave fund to finance works to increase the energy efficiency of the existing building stock.</w:t>
      </w:r>
    </w:p>
    <w:p w14:paraId="480EACCA" w14:textId="77777777" w:rsidR="000A4598" w:rsidRPr="00291374" w:rsidRDefault="000A4598" w:rsidP="000A4598">
      <w:pPr>
        <w:suppressAutoHyphens/>
        <w:autoSpaceDN w:val="0"/>
        <w:spacing w:before="240" w:after="24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 xml:space="preserve">Investment 2. Publication of the National Digital Building Register </w:t>
      </w:r>
    </w:p>
    <w:p w14:paraId="7607A7A8" w14:textId="16C9E264" w:rsidR="000A4598" w:rsidRPr="00291374" w:rsidRDefault="000A4598" w:rsidP="000A4598">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the investment is to monitor progress in energy efficiency renovations of the building stock. The measure consists of a National Digital Buildings Register, which is an IT system.</w:t>
      </w:r>
      <w:r w:rsidR="00D23D91">
        <w:rPr>
          <w:rFonts w:ascii="Times New Roman" w:hAnsi="Times New Roman" w:cs="Times New Roman"/>
          <w:noProof/>
          <w:lang w:val="en-GB"/>
        </w:rPr>
        <w:t xml:space="preserve"> </w:t>
      </w:r>
    </w:p>
    <w:p w14:paraId="1EB7D5EA" w14:textId="77777777" w:rsidR="000A4598" w:rsidRPr="00291374" w:rsidRDefault="000A4598" w:rsidP="000A4598">
      <w:pPr>
        <w:spacing w:before="120" w:after="120" w:line="240" w:lineRule="auto"/>
        <w:jc w:val="both"/>
        <w:rPr>
          <w:rFonts w:ascii="Times New Roman" w:hAnsi="Times New Roman" w:cs="Times New Roman"/>
          <w:b/>
          <w:noProof/>
          <w:lang w:val="en-GB"/>
        </w:rPr>
        <w:sectPr w:rsidR="000A4598" w:rsidRPr="00291374" w:rsidSect="000A4598">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60"/>
        </w:sectPr>
      </w:pPr>
    </w:p>
    <w:p w14:paraId="0D962B7B" w14:textId="77777777" w:rsidR="000A4598" w:rsidRPr="00291374" w:rsidRDefault="000A4598" w:rsidP="000A4598">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E.4. </w:t>
      </w:r>
      <w:r w:rsidRPr="00291374">
        <w:rPr>
          <w:rFonts w:ascii="Times New Roman" w:hAnsi="Times New Roman" w:cs="Times New Roman"/>
          <w:noProof/>
          <w:lang w:val="en-GB"/>
        </w:rPr>
        <w:tab/>
      </w:r>
      <w:r w:rsidRPr="00291374">
        <w:rPr>
          <w:rFonts w:ascii="Times New Roman" w:hAnsi="Times New Roman" w:cs="Times New Roman"/>
          <w:b/>
          <w:noProof/>
          <w:lang w:val="en-GB"/>
        </w:rPr>
        <w:t>Milestones, targets, indicators, and timetable for monitoring and implementation for the loan</w:t>
      </w: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
        <w:gridCol w:w="1496"/>
        <w:gridCol w:w="1320"/>
        <w:gridCol w:w="1645"/>
        <w:gridCol w:w="1701"/>
        <w:gridCol w:w="1276"/>
        <w:gridCol w:w="1018"/>
        <w:gridCol w:w="1560"/>
        <w:gridCol w:w="960"/>
        <w:gridCol w:w="714"/>
        <w:gridCol w:w="3261"/>
      </w:tblGrid>
      <w:tr w:rsidR="000A4598" w:rsidRPr="00BE3F16" w14:paraId="00B42842" w14:textId="77777777" w:rsidTr="008A021B">
        <w:trPr>
          <w:trHeight w:val="303"/>
          <w:tblHeader/>
          <w:jc w:val="center"/>
        </w:trPr>
        <w:tc>
          <w:tcPr>
            <w:tcW w:w="779" w:type="dxa"/>
            <w:vMerge w:val="restart"/>
            <w:shd w:val="clear" w:color="auto" w:fill="BDD7EE"/>
            <w:vAlign w:val="center"/>
            <w:hideMark/>
          </w:tcPr>
          <w:p w14:paraId="550ECD5F" w14:textId="602F52F0" w:rsidR="000A4598" w:rsidRPr="00BE3F16" w:rsidRDefault="000A4598">
            <w:pPr>
              <w:spacing w:after="0" w:line="240" w:lineRule="auto"/>
              <w:jc w:val="center"/>
              <w:rPr>
                <w:rFonts w:ascii="Times New Roman" w:eastAsia="Times New Roman" w:hAnsi="Times New Roman" w:cs="Times New Roman"/>
                <w:b/>
                <w:noProof/>
                <w:sz w:val="20"/>
                <w:szCs w:val="20"/>
                <w:lang w:val="en-GB"/>
              </w:rPr>
            </w:pPr>
            <w:bookmarkStart w:id="4" w:name="_Hlk201770638"/>
            <w:r w:rsidRPr="00BE3F16">
              <w:rPr>
                <w:rFonts w:ascii="Times New Roman" w:hAnsi="Times New Roman" w:cs="Times New Roman"/>
                <w:b/>
                <w:noProof/>
                <w:sz w:val="20"/>
                <w:szCs w:val="20"/>
                <w:lang w:val="en-GB"/>
              </w:rPr>
              <w:t>Seq Num</w:t>
            </w:r>
            <w:r w:rsidR="008A021B">
              <w:rPr>
                <w:rFonts w:ascii="Times New Roman" w:hAnsi="Times New Roman" w:cs="Times New Roman"/>
                <w:b/>
                <w:noProof/>
                <w:sz w:val="20"/>
                <w:szCs w:val="20"/>
                <w:lang w:val="en-GB"/>
              </w:rPr>
              <w:t>.</w:t>
            </w:r>
          </w:p>
        </w:tc>
        <w:tc>
          <w:tcPr>
            <w:tcW w:w="1496" w:type="dxa"/>
            <w:vMerge w:val="restart"/>
            <w:shd w:val="clear" w:color="auto" w:fill="BDD7EE"/>
            <w:vAlign w:val="center"/>
            <w:hideMark/>
          </w:tcPr>
          <w:p w14:paraId="33E99E7D"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Related Measure (Reform or Investment)</w:t>
            </w:r>
          </w:p>
        </w:tc>
        <w:tc>
          <w:tcPr>
            <w:tcW w:w="1320" w:type="dxa"/>
            <w:vMerge w:val="restart"/>
            <w:shd w:val="clear" w:color="auto" w:fill="BDD7EE"/>
            <w:vAlign w:val="center"/>
            <w:hideMark/>
          </w:tcPr>
          <w:p w14:paraId="2471E73F" w14:textId="2927CA21" w:rsidR="000A4598" w:rsidRPr="008A021B" w:rsidRDefault="008A021B">
            <w:pPr>
              <w:spacing w:after="0" w:line="240" w:lineRule="auto"/>
              <w:jc w:val="center"/>
              <w:rPr>
                <w:rFonts w:ascii="Times New Roman" w:eastAsia="Times New Roman" w:hAnsi="Times New Roman" w:cs="Times New Roman"/>
                <w:b/>
                <w:bCs/>
                <w:noProof/>
                <w:sz w:val="20"/>
                <w:szCs w:val="20"/>
                <w:lang w:val="en-GB"/>
              </w:rPr>
            </w:pPr>
            <w:r w:rsidRPr="008A021B">
              <w:rPr>
                <w:rFonts w:ascii="Times New Roman" w:hAnsi="Times New Roman" w:cs="Times New Roman"/>
                <w:b/>
                <w:bCs/>
                <w:noProof/>
                <w:sz w:val="20"/>
                <w:szCs w:val="20"/>
                <w:lang w:val="en-GB"/>
              </w:rPr>
              <w:t>Milestone</w:t>
            </w:r>
            <w:r w:rsidR="000A4598" w:rsidRPr="008A021B">
              <w:rPr>
                <w:rFonts w:ascii="Times New Roman" w:hAnsi="Times New Roman" w:cs="Times New Roman"/>
                <w:b/>
                <w:bCs/>
                <w:noProof/>
                <w:sz w:val="20"/>
                <w:szCs w:val="20"/>
                <w:lang w:val="en-GB"/>
              </w:rPr>
              <w:t xml:space="preserve">/ </w:t>
            </w:r>
            <w:r w:rsidR="0061151E" w:rsidRPr="008A021B">
              <w:rPr>
                <w:rFonts w:ascii="Times New Roman" w:hAnsi="Times New Roman" w:cs="Times New Roman"/>
                <w:b/>
                <w:bCs/>
                <w:noProof/>
                <w:sz w:val="20"/>
                <w:szCs w:val="20"/>
                <w:lang w:val="en-GB"/>
              </w:rPr>
              <w:t>T</w:t>
            </w:r>
            <w:r w:rsidRPr="008A021B">
              <w:rPr>
                <w:rFonts w:ascii="Times New Roman" w:hAnsi="Times New Roman" w:cs="Times New Roman"/>
                <w:b/>
                <w:bCs/>
                <w:noProof/>
                <w:sz w:val="20"/>
                <w:szCs w:val="20"/>
                <w:lang w:val="en-GB"/>
              </w:rPr>
              <w:t>arget</w:t>
            </w:r>
          </w:p>
        </w:tc>
        <w:tc>
          <w:tcPr>
            <w:tcW w:w="1645" w:type="dxa"/>
            <w:vMerge w:val="restart"/>
            <w:shd w:val="clear" w:color="auto" w:fill="BDD7EE"/>
            <w:vAlign w:val="center"/>
            <w:hideMark/>
          </w:tcPr>
          <w:p w14:paraId="40C11A74"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Name</w:t>
            </w:r>
          </w:p>
        </w:tc>
        <w:tc>
          <w:tcPr>
            <w:tcW w:w="1701" w:type="dxa"/>
            <w:vMerge w:val="restart"/>
            <w:shd w:val="clear" w:color="auto" w:fill="BDD7EE"/>
            <w:vAlign w:val="center"/>
            <w:hideMark/>
          </w:tcPr>
          <w:p w14:paraId="4B20A151"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 xml:space="preserve">Qualitative indicators </w:t>
            </w:r>
            <w:r w:rsidRPr="00BE3F16">
              <w:rPr>
                <w:rFonts w:ascii="Times New Roman" w:hAnsi="Times New Roman" w:cs="Times New Roman"/>
                <w:noProof/>
                <w:sz w:val="20"/>
                <w:szCs w:val="20"/>
                <w:lang w:val="en-GB"/>
              </w:rPr>
              <w:br/>
            </w:r>
            <w:r w:rsidRPr="00BE3F16">
              <w:rPr>
                <w:rFonts w:ascii="Times New Roman" w:hAnsi="Times New Roman" w:cs="Times New Roman"/>
                <w:b/>
                <w:noProof/>
                <w:sz w:val="20"/>
                <w:szCs w:val="20"/>
                <w:lang w:val="en-GB"/>
              </w:rPr>
              <w:t>(for milestones)</w:t>
            </w:r>
          </w:p>
        </w:tc>
        <w:tc>
          <w:tcPr>
            <w:tcW w:w="3854" w:type="dxa"/>
            <w:gridSpan w:val="3"/>
            <w:shd w:val="clear" w:color="auto" w:fill="BDD7EE"/>
            <w:vAlign w:val="center"/>
            <w:hideMark/>
          </w:tcPr>
          <w:p w14:paraId="3DD97DB6"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 xml:space="preserve">Quantitative indicators </w:t>
            </w:r>
            <w:r w:rsidRPr="00BE3F16">
              <w:rPr>
                <w:rFonts w:ascii="Times New Roman" w:hAnsi="Times New Roman" w:cs="Times New Roman"/>
                <w:noProof/>
                <w:sz w:val="20"/>
                <w:szCs w:val="20"/>
                <w:lang w:val="en-GB"/>
              </w:rPr>
              <w:br/>
            </w:r>
            <w:r w:rsidRPr="00BE3F16">
              <w:rPr>
                <w:rFonts w:ascii="Times New Roman" w:hAnsi="Times New Roman" w:cs="Times New Roman"/>
                <w:b/>
                <w:noProof/>
                <w:sz w:val="20"/>
                <w:szCs w:val="20"/>
                <w:lang w:val="en-GB"/>
              </w:rPr>
              <w:t>(for targets)</w:t>
            </w:r>
          </w:p>
        </w:tc>
        <w:tc>
          <w:tcPr>
            <w:tcW w:w="1674" w:type="dxa"/>
            <w:gridSpan w:val="2"/>
            <w:shd w:val="clear" w:color="auto" w:fill="BDD7EE"/>
            <w:vAlign w:val="center"/>
            <w:hideMark/>
          </w:tcPr>
          <w:p w14:paraId="5BB88E6D"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Indicative timeline for completion</w:t>
            </w:r>
          </w:p>
        </w:tc>
        <w:tc>
          <w:tcPr>
            <w:tcW w:w="3261" w:type="dxa"/>
            <w:vMerge w:val="restart"/>
            <w:shd w:val="clear" w:color="auto" w:fill="BDD7EE"/>
            <w:vAlign w:val="center"/>
            <w:hideMark/>
          </w:tcPr>
          <w:p w14:paraId="523CC73C"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Description of each milestone and target</w:t>
            </w:r>
          </w:p>
        </w:tc>
      </w:tr>
      <w:tr w:rsidR="000A4598" w:rsidRPr="00BE3F16" w14:paraId="55DE54FC" w14:textId="77777777" w:rsidTr="008A021B">
        <w:trPr>
          <w:trHeight w:val="457"/>
          <w:tblHeader/>
          <w:jc w:val="center"/>
        </w:trPr>
        <w:tc>
          <w:tcPr>
            <w:tcW w:w="779" w:type="dxa"/>
            <w:vMerge/>
            <w:hideMark/>
          </w:tcPr>
          <w:p w14:paraId="1A792F31" w14:textId="77777777" w:rsidR="000A4598" w:rsidRPr="00BE3F16" w:rsidRDefault="000A4598">
            <w:pPr>
              <w:spacing w:after="0" w:line="240" w:lineRule="auto"/>
              <w:jc w:val="center"/>
              <w:rPr>
                <w:rFonts w:ascii="Times New Roman" w:eastAsia="Times New Roman" w:hAnsi="Times New Roman" w:cs="Times New Roman"/>
                <w:b/>
                <w:bCs/>
                <w:noProof/>
                <w:sz w:val="20"/>
                <w:szCs w:val="20"/>
                <w:lang w:val="en-GB" w:eastAsia="en-GB"/>
              </w:rPr>
            </w:pPr>
          </w:p>
        </w:tc>
        <w:tc>
          <w:tcPr>
            <w:tcW w:w="1496" w:type="dxa"/>
            <w:vMerge/>
            <w:hideMark/>
          </w:tcPr>
          <w:p w14:paraId="36141BA8" w14:textId="77777777" w:rsidR="000A4598" w:rsidRPr="00BE3F16" w:rsidRDefault="000A4598">
            <w:pPr>
              <w:spacing w:after="0" w:line="240" w:lineRule="auto"/>
              <w:jc w:val="both"/>
              <w:rPr>
                <w:rFonts w:ascii="Times New Roman" w:eastAsia="Times New Roman" w:hAnsi="Times New Roman" w:cs="Times New Roman"/>
                <w:b/>
                <w:bCs/>
                <w:noProof/>
                <w:sz w:val="20"/>
                <w:szCs w:val="20"/>
                <w:lang w:val="en-GB" w:eastAsia="en-GB"/>
              </w:rPr>
            </w:pPr>
          </w:p>
        </w:tc>
        <w:tc>
          <w:tcPr>
            <w:tcW w:w="1320" w:type="dxa"/>
            <w:vMerge/>
            <w:hideMark/>
          </w:tcPr>
          <w:p w14:paraId="3C75CB7E" w14:textId="77777777" w:rsidR="000A4598" w:rsidRPr="00BE3F16" w:rsidRDefault="000A4598">
            <w:pPr>
              <w:spacing w:after="0" w:line="240" w:lineRule="auto"/>
              <w:jc w:val="center"/>
              <w:rPr>
                <w:rFonts w:ascii="Times New Roman" w:eastAsia="Times New Roman" w:hAnsi="Times New Roman" w:cs="Times New Roman"/>
                <w:b/>
                <w:bCs/>
                <w:noProof/>
                <w:sz w:val="20"/>
                <w:szCs w:val="20"/>
                <w:lang w:val="en-GB" w:eastAsia="en-GB"/>
              </w:rPr>
            </w:pPr>
          </w:p>
        </w:tc>
        <w:tc>
          <w:tcPr>
            <w:tcW w:w="1645" w:type="dxa"/>
            <w:vMerge/>
            <w:hideMark/>
          </w:tcPr>
          <w:p w14:paraId="0E0C7FA3" w14:textId="77777777" w:rsidR="000A4598" w:rsidRPr="00BE3F16" w:rsidRDefault="000A4598">
            <w:pPr>
              <w:spacing w:after="0" w:line="240" w:lineRule="auto"/>
              <w:jc w:val="both"/>
              <w:rPr>
                <w:rFonts w:ascii="Times New Roman" w:eastAsia="Times New Roman" w:hAnsi="Times New Roman" w:cs="Times New Roman"/>
                <w:b/>
                <w:bCs/>
                <w:noProof/>
                <w:sz w:val="20"/>
                <w:szCs w:val="20"/>
                <w:lang w:val="en-GB" w:eastAsia="en-GB"/>
              </w:rPr>
            </w:pPr>
          </w:p>
        </w:tc>
        <w:tc>
          <w:tcPr>
            <w:tcW w:w="1701" w:type="dxa"/>
            <w:vMerge/>
            <w:hideMark/>
          </w:tcPr>
          <w:p w14:paraId="1089420C" w14:textId="77777777" w:rsidR="000A4598" w:rsidRPr="00BE3F16" w:rsidRDefault="000A4598">
            <w:pPr>
              <w:spacing w:after="0" w:line="240" w:lineRule="auto"/>
              <w:jc w:val="both"/>
              <w:rPr>
                <w:rFonts w:ascii="Times New Roman" w:eastAsia="Times New Roman" w:hAnsi="Times New Roman" w:cs="Times New Roman"/>
                <w:b/>
                <w:bCs/>
                <w:noProof/>
                <w:sz w:val="20"/>
                <w:szCs w:val="20"/>
                <w:lang w:val="en-GB" w:eastAsia="en-GB"/>
              </w:rPr>
            </w:pPr>
          </w:p>
        </w:tc>
        <w:tc>
          <w:tcPr>
            <w:tcW w:w="1276" w:type="dxa"/>
            <w:shd w:val="clear" w:color="auto" w:fill="BDD7EE"/>
            <w:vAlign w:val="center"/>
            <w:hideMark/>
          </w:tcPr>
          <w:p w14:paraId="7CB771D0"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Unit of measure</w:t>
            </w:r>
          </w:p>
        </w:tc>
        <w:tc>
          <w:tcPr>
            <w:tcW w:w="1018" w:type="dxa"/>
            <w:shd w:val="clear" w:color="auto" w:fill="BDD7EE"/>
            <w:vAlign w:val="center"/>
            <w:hideMark/>
          </w:tcPr>
          <w:p w14:paraId="24964641"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Baseline</w:t>
            </w:r>
          </w:p>
        </w:tc>
        <w:tc>
          <w:tcPr>
            <w:tcW w:w="1560" w:type="dxa"/>
            <w:shd w:val="clear" w:color="auto" w:fill="BDD7EE"/>
            <w:vAlign w:val="center"/>
            <w:hideMark/>
          </w:tcPr>
          <w:p w14:paraId="3411F1AC"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Goal</w:t>
            </w:r>
          </w:p>
        </w:tc>
        <w:tc>
          <w:tcPr>
            <w:tcW w:w="960" w:type="dxa"/>
            <w:shd w:val="clear" w:color="auto" w:fill="BDD7EE"/>
            <w:vAlign w:val="center"/>
            <w:hideMark/>
          </w:tcPr>
          <w:p w14:paraId="2F7126F5"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Quarter</w:t>
            </w:r>
          </w:p>
        </w:tc>
        <w:tc>
          <w:tcPr>
            <w:tcW w:w="714" w:type="dxa"/>
            <w:shd w:val="clear" w:color="auto" w:fill="BDD7EE"/>
            <w:vAlign w:val="center"/>
            <w:hideMark/>
          </w:tcPr>
          <w:p w14:paraId="22F045D2" w14:textId="77777777" w:rsidR="000A4598" w:rsidRPr="00BE3F16" w:rsidRDefault="000A4598">
            <w:pPr>
              <w:spacing w:after="0" w:line="240" w:lineRule="auto"/>
              <w:jc w:val="center"/>
              <w:rPr>
                <w:rFonts w:ascii="Times New Roman" w:eastAsia="Times New Roman" w:hAnsi="Times New Roman" w:cs="Times New Roman"/>
                <w:b/>
                <w:noProof/>
                <w:sz w:val="20"/>
                <w:szCs w:val="20"/>
                <w:lang w:val="en-GB"/>
              </w:rPr>
            </w:pPr>
            <w:r w:rsidRPr="00BE3F16">
              <w:rPr>
                <w:rFonts w:ascii="Times New Roman" w:hAnsi="Times New Roman" w:cs="Times New Roman"/>
                <w:b/>
                <w:noProof/>
                <w:sz w:val="20"/>
                <w:szCs w:val="20"/>
                <w:lang w:val="en-GB"/>
              </w:rPr>
              <w:t>Year</w:t>
            </w:r>
          </w:p>
        </w:tc>
        <w:tc>
          <w:tcPr>
            <w:tcW w:w="3261" w:type="dxa"/>
            <w:vMerge/>
            <w:hideMark/>
          </w:tcPr>
          <w:p w14:paraId="76B34155" w14:textId="77777777" w:rsidR="000A4598" w:rsidRPr="00BE3F16" w:rsidRDefault="000A4598">
            <w:pPr>
              <w:spacing w:after="0" w:line="240" w:lineRule="auto"/>
              <w:jc w:val="both"/>
              <w:rPr>
                <w:rFonts w:ascii="Times New Roman" w:eastAsia="Times New Roman" w:hAnsi="Times New Roman" w:cs="Times New Roman"/>
                <w:b/>
                <w:bCs/>
                <w:noProof/>
                <w:sz w:val="20"/>
                <w:szCs w:val="20"/>
                <w:lang w:val="en-GB" w:eastAsia="en-GB"/>
              </w:rPr>
            </w:pPr>
          </w:p>
        </w:tc>
      </w:tr>
      <w:tr w:rsidR="000A4598" w:rsidRPr="00BE3F16" w14:paraId="4173CBC8" w14:textId="77777777" w:rsidTr="008A021B">
        <w:trPr>
          <w:trHeight w:val="3150"/>
          <w:jc w:val="center"/>
        </w:trPr>
        <w:tc>
          <w:tcPr>
            <w:tcW w:w="779" w:type="dxa"/>
            <w:shd w:val="clear" w:color="auto" w:fill="C6EFCE"/>
            <w:noWrap/>
            <w:hideMark/>
          </w:tcPr>
          <w:p w14:paraId="4D6F322B" w14:textId="77777777" w:rsidR="000A4598" w:rsidRPr="00BE3F16" w:rsidRDefault="000A4598">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90</w:t>
            </w:r>
          </w:p>
        </w:tc>
        <w:tc>
          <w:tcPr>
            <w:tcW w:w="1496" w:type="dxa"/>
            <w:shd w:val="clear" w:color="auto" w:fill="C6EFCE"/>
            <w:noWrap/>
            <w:hideMark/>
          </w:tcPr>
          <w:p w14:paraId="3DE487AB" w14:textId="2087BEE1"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Reform 1. Simplified and updated legal and</w:t>
            </w:r>
            <w:r w:rsidR="00D23D91" w:rsidRPr="00BE3F16">
              <w:rPr>
                <w:rFonts w:ascii="Times New Roman" w:hAnsi="Times New Roman" w:cs="Times New Roman"/>
                <w:noProof/>
                <w:sz w:val="20"/>
                <w:szCs w:val="20"/>
                <w:lang w:val="en-GB"/>
              </w:rPr>
              <w:t xml:space="preserve"> </w:t>
            </w:r>
            <w:r w:rsidRPr="00BE3F16">
              <w:rPr>
                <w:rFonts w:ascii="Times New Roman" w:hAnsi="Times New Roman" w:cs="Times New Roman"/>
                <w:noProof/>
                <w:sz w:val="20"/>
                <w:szCs w:val="20"/>
                <w:lang w:val="en-GB"/>
              </w:rPr>
              <w:t xml:space="preserve">regulatory framework to support energy efficiency renovations of buildings </w:t>
            </w:r>
          </w:p>
        </w:tc>
        <w:tc>
          <w:tcPr>
            <w:tcW w:w="1320" w:type="dxa"/>
            <w:shd w:val="clear" w:color="auto" w:fill="C6EFCE"/>
            <w:noWrap/>
            <w:hideMark/>
          </w:tcPr>
          <w:p w14:paraId="0335821E" w14:textId="529BA0C3" w:rsidR="000A4598" w:rsidRPr="00BE3F16" w:rsidRDefault="008A021B">
            <w:pPr>
              <w:spacing w:after="0" w:line="240" w:lineRule="auto"/>
              <w:jc w:val="center"/>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Milestone</w:t>
            </w:r>
          </w:p>
        </w:tc>
        <w:tc>
          <w:tcPr>
            <w:tcW w:w="1645" w:type="dxa"/>
            <w:shd w:val="clear" w:color="auto" w:fill="C6EFCE"/>
            <w:noWrap/>
            <w:hideMark/>
          </w:tcPr>
          <w:p w14:paraId="36CD67F4"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Entry into force of the amendments to the existing legislative framework on the multiannual national programme for improving the energy performance of residential buildings (Government Emergency Ordonnance No 18/2009) </w:t>
            </w:r>
            <w:r w:rsidRPr="00BE3F16">
              <w:rPr>
                <w:rFonts w:ascii="Times New Roman" w:hAnsi="Times New Roman" w:cs="Times New Roman"/>
                <w:noProof/>
                <w:sz w:val="20"/>
                <w:szCs w:val="20"/>
                <w:lang w:val="en-GB"/>
              </w:rPr>
              <w:br/>
            </w:r>
          </w:p>
        </w:tc>
        <w:tc>
          <w:tcPr>
            <w:tcW w:w="1701" w:type="dxa"/>
            <w:shd w:val="clear" w:color="auto" w:fill="C6EFCE"/>
            <w:noWrap/>
            <w:hideMark/>
          </w:tcPr>
          <w:p w14:paraId="0119D82F"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Provision in the law indicating the entry into force of the amendments to the Government Emergency Ordonnance No 18/2009</w:t>
            </w:r>
          </w:p>
          <w:p w14:paraId="578733B4" w14:textId="77777777" w:rsidR="000A4598" w:rsidRPr="00BE3F16" w:rsidRDefault="000A4598">
            <w:pPr>
              <w:spacing w:after="0" w:line="240" w:lineRule="auto"/>
              <w:jc w:val="both"/>
              <w:rPr>
                <w:rFonts w:ascii="Times New Roman" w:eastAsia="Times New Roman" w:hAnsi="Times New Roman" w:cs="Times New Roman"/>
                <w:strike/>
                <w:noProof/>
                <w:sz w:val="20"/>
                <w:szCs w:val="20"/>
                <w:lang w:val="en-GB" w:eastAsia="en-GB"/>
              </w:rPr>
            </w:pPr>
          </w:p>
        </w:tc>
        <w:tc>
          <w:tcPr>
            <w:tcW w:w="1276" w:type="dxa"/>
            <w:shd w:val="clear" w:color="auto" w:fill="C6EFCE"/>
            <w:noWrap/>
            <w:hideMark/>
          </w:tcPr>
          <w:p w14:paraId="78D755CF"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018" w:type="dxa"/>
            <w:shd w:val="clear" w:color="auto" w:fill="C6EFCE"/>
            <w:noWrap/>
            <w:hideMark/>
          </w:tcPr>
          <w:p w14:paraId="7803CE32"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560" w:type="dxa"/>
            <w:shd w:val="clear" w:color="auto" w:fill="C6EFCE"/>
            <w:noWrap/>
            <w:hideMark/>
          </w:tcPr>
          <w:p w14:paraId="450A58DD"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960" w:type="dxa"/>
            <w:shd w:val="clear" w:color="auto" w:fill="C6EFCE"/>
            <w:noWrap/>
            <w:hideMark/>
          </w:tcPr>
          <w:p w14:paraId="38FFE423"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Q4</w:t>
            </w:r>
          </w:p>
        </w:tc>
        <w:tc>
          <w:tcPr>
            <w:tcW w:w="714" w:type="dxa"/>
            <w:shd w:val="clear" w:color="auto" w:fill="C6EFCE"/>
            <w:noWrap/>
            <w:hideMark/>
          </w:tcPr>
          <w:p w14:paraId="4BDFE1FD"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2022</w:t>
            </w:r>
          </w:p>
        </w:tc>
        <w:tc>
          <w:tcPr>
            <w:tcW w:w="3261" w:type="dxa"/>
            <w:shd w:val="clear" w:color="auto" w:fill="C6EFCE"/>
            <w:noWrap/>
            <w:hideMark/>
          </w:tcPr>
          <w:p w14:paraId="66ED877E"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The amendments to the multiannual national programme for improving the energy performance of residential buildings shall increase the level of ambition of energy renovations to at least 30 % primary energy savings up to 60 % primary energy savings for residential building by establishing an updated list of expenditure for moderate or deep renovation that shall be eligible for support and by increasing the ambition of the performance indicators for projects submitted under the programme.</w:t>
            </w:r>
          </w:p>
        </w:tc>
      </w:tr>
      <w:tr w:rsidR="000A4598" w:rsidRPr="00BE3F16" w14:paraId="75FC523B" w14:textId="77777777" w:rsidTr="008A021B">
        <w:trPr>
          <w:trHeight w:val="309"/>
          <w:jc w:val="center"/>
        </w:trPr>
        <w:tc>
          <w:tcPr>
            <w:tcW w:w="779" w:type="dxa"/>
            <w:shd w:val="clear" w:color="auto" w:fill="C6EFCE"/>
            <w:noWrap/>
          </w:tcPr>
          <w:p w14:paraId="125D9DC9" w14:textId="77777777" w:rsidR="000A4598" w:rsidRPr="00BE3F16" w:rsidRDefault="000A4598">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91</w:t>
            </w:r>
          </w:p>
        </w:tc>
        <w:tc>
          <w:tcPr>
            <w:tcW w:w="1496" w:type="dxa"/>
            <w:shd w:val="clear" w:color="auto" w:fill="C6EFCE"/>
            <w:noWrap/>
          </w:tcPr>
          <w:p w14:paraId="2C7AF19A"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Reform 1. Simplified and updated legal and regulatory framework to support energy efficiency renovations of buildings</w:t>
            </w:r>
          </w:p>
        </w:tc>
        <w:tc>
          <w:tcPr>
            <w:tcW w:w="1320" w:type="dxa"/>
            <w:shd w:val="clear" w:color="auto" w:fill="C6EFCE"/>
            <w:noWrap/>
          </w:tcPr>
          <w:p w14:paraId="039362A9" w14:textId="5A5D8405" w:rsidR="000A4598" w:rsidRPr="00BE3F16" w:rsidRDefault="008A021B">
            <w:pPr>
              <w:spacing w:after="0" w:line="240" w:lineRule="auto"/>
              <w:jc w:val="center"/>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Milestone</w:t>
            </w:r>
          </w:p>
        </w:tc>
        <w:tc>
          <w:tcPr>
            <w:tcW w:w="1645" w:type="dxa"/>
            <w:shd w:val="clear" w:color="auto" w:fill="C6EFCE"/>
            <w:noWrap/>
          </w:tcPr>
          <w:p w14:paraId="483CAC56"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The technical regulatory framework on investments for the transition to green and digital buildings is operational</w:t>
            </w:r>
          </w:p>
        </w:tc>
        <w:tc>
          <w:tcPr>
            <w:tcW w:w="1701" w:type="dxa"/>
            <w:shd w:val="clear" w:color="auto" w:fill="C6EFCE"/>
            <w:noWrap/>
          </w:tcPr>
          <w:p w14:paraId="5AAC28E5"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Publication in the Official Gazette</w:t>
            </w:r>
          </w:p>
        </w:tc>
        <w:tc>
          <w:tcPr>
            <w:tcW w:w="1276" w:type="dxa"/>
            <w:shd w:val="clear" w:color="auto" w:fill="C6EFCE"/>
            <w:noWrap/>
          </w:tcPr>
          <w:p w14:paraId="19A9C83D"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018" w:type="dxa"/>
            <w:shd w:val="clear" w:color="auto" w:fill="C6EFCE"/>
            <w:noWrap/>
          </w:tcPr>
          <w:p w14:paraId="217386FB"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560" w:type="dxa"/>
            <w:shd w:val="clear" w:color="auto" w:fill="C6EFCE"/>
            <w:noWrap/>
          </w:tcPr>
          <w:p w14:paraId="680E1536"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960" w:type="dxa"/>
            <w:shd w:val="clear" w:color="auto" w:fill="C6EFCE"/>
            <w:noWrap/>
          </w:tcPr>
          <w:p w14:paraId="7F50A423"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Q4</w:t>
            </w:r>
          </w:p>
        </w:tc>
        <w:tc>
          <w:tcPr>
            <w:tcW w:w="714" w:type="dxa"/>
            <w:shd w:val="clear" w:color="auto" w:fill="C6EFCE"/>
            <w:noWrap/>
          </w:tcPr>
          <w:p w14:paraId="53B5C5A7"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2022</w:t>
            </w:r>
          </w:p>
        </w:tc>
        <w:tc>
          <w:tcPr>
            <w:tcW w:w="3261" w:type="dxa"/>
            <w:shd w:val="clear" w:color="auto" w:fill="C6EFCE"/>
            <w:noWrap/>
          </w:tcPr>
          <w:p w14:paraId="7F6C8A14"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The technical regulatory framework shall include the following guidelines adopted and operational: </w:t>
            </w:r>
            <w:r w:rsidRPr="00BE3F16">
              <w:rPr>
                <w:rFonts w:ascii="Times New Roman" w:hAnsi="Times New Roman" w:cs="Times New Roman"/>
                <w:noProof/>
                <w:sz w:val="20"/>
                <w:szCs w:val="20"/>
                <w:lang w:val="en-GB"/>
              </w:rPr>
              <w:br/>
              <w:t xml:space="preserve">1. “The Nearly Zero Energy Building (NZEB) guidelines” shall provide guidance on the technical implementation of NZEB requirements, to support the central public administration authorities responsible for the monitoring of the implementation of the NZEB requirements. The guidelines shall include the relevant indicators and the mechanisms for their collection and monitoring. </w:t>
            </w:r>
          </w:p>
          <w:p w14:paraId="01FA2F7C"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2.”The methodology for non-invasive approach of energy efficiency on historical buildings” shall establish standards to achieve energy and resource efficiency savings for historical buildings without affecting their architectural and historical value. </w:t>
            </w:r>
          </w:p>
        </w:tc>
      </w:tr>
      <w:tr w:rsidR="000A4598" w:rsidRPr="00BE3F16" w14:paraId="56FC0B94" w14:textId="77777777" w:rsidTr="008A021B">
        <w:trPr>
          <w:trHeight w:val="309"/>
          <w:jc w:val="center"/>
        </w:trPr>
        <w:tc>
          <w:tcPr>
            <w:tcW w:w="779" w:type="dxa"/>
            <w:shd w:val="clear" w:color="auto" w:fill="C6EFCE"/>
            <w:noWrap/>
          </w:tcPr>
          <w:p w14:paraId="6BEB8563" w14:textId="77777777" w:rsidR="000A4598" w:rsidRPr="00BE3F16" w:rsidRDefault="000A4598">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92</w:t>
            </w:r>
          </w:p>
        </w:tc>
        <w:tc>
          <w:tcPr>
            <w:tcW w:w="1496" w:type="dxa"/>
            <w:shd w:val="clear" w:color="auto" w:fill="C6EFCE"/>
            <w:noWrap/>
          </w:tcPr>
          <w:p w14:paraId="456923B8" w14:textId="63C4F01B"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Reform 1. Simplified and updated legal and</w:t>
            </w:r>
            <w:r w:rsidR="00D23D91" w:rsidRPr="00BE3F16">
              <w:rPr>
                <w:rFonts w:ascii="Times New Roman" w:hAnsi="Times New Roman" w:cs="Times New Roman"/>
                <w:noProof/>
                <w:sz w:val="20"/>
                <w:szCs w:val="20"/>
                <w:lang w:val="en-GB"/>
              </w:rPr>
              <w:t xml:space="preserve"> </w:t>
            </w:r>
            <w:r w:rsidRPr="00BE3F16">
              <w:rPr>
                <w:rFonts w:ascii="Times New Roman" w:hAnsi="Times New Roman" w:cs="Times New Roman"/>
                <w:noProof/>
                <w:sz w:val="20"/>
                <w:szCs w:val="20"/>
                <w:lang w:val="en-GB"/>
              </w:rPr>
              <w:t>regulatory framework to support energy efficiency renovations of buildings</w:t>
            </w:r>
          </w:p>
        </w:tc>
        <w:tc>
          <w:tcPr>
            <w:tcW w:w="1320" w:type="dxa"/>
            <w:shd w:val="clear" w:color="auto" w:fill="C6EFCE"/>
            <w:noWrap/>
          </w:tcPr>
          <w:p w14:paraId="6D8C3450" w14:textId="0E784816" w:rsidR="000A4598" w:rsidRPr="00BE3F16" w:rsidRDefault="0061151E">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T</w:t>
            </w:r>
            <w:r w:rsidR="008A021B">
              <w:rPr>
                <w:rFonts w:ascii="Times New Roman" w:hAnsi="Times New Roman" w:cs="Times New Roman"/>
                <w:noProof/>
                <w:sz w:val="20"/>
                <w:szCs w:val="20"/>
                <w:lang w:val="en-GB"/>
              </w:rPr>
              <w:t>arget</w:t>
            </w:r>
          </w:p>
        </w:tc>
        <w:tc>
          <w:tcPr>
            <w:tcW w:w="1645" w:type="dxa"/>
            <w:shd w:val="clear" w:color="auto" w:fill="C6EFCE"/>
            <w:noWrap/>
          </w:tcPr>
          <w:p w14:paraId="36BFE589"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Reducing the time required for the issuance of building permits</w:t>
            </w:r>
          </w:p>
        </w:tc>
        <w:tc>
          <w:tcPr>
            <w:tcW w:w="1701" w:type="dxa"/>
            <w:shd w:val="clear" w:color="auto" w:fill="C6EFCE"/>
            <w:noWrap/>
          </w:tcPr>
          <w:p w14:paraId="7AD59800"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276" w:type="dxa"/>
            <w:shd w:val="clear" w:color="auto" w:fill="C6EFCE"/>
            <w:noWrap/>
          </w:tcPr>
          <w:p w14:paraId="6F353308" w14:textId="77777777" w:rsidR="000A4598" w:rsidRPr="00BE3F16" w:rsidRDefault="000A4598">
            <w:pPr>
              <w:spacing w:after="0" w:line="240" w:lineRule="auto"/>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Percentage (%)</w:t>
            </w:r>
          </w:p>
          <w:p w14:paraId="66F39DA2"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018" w:type="dxa"/>
            <w:shd w:val="clear" w:color="auto" w:fill="C6EFCE"/>
            <w:noWrap/>
          </w:tcPr>
          <w:p w14:paraId="2AF34710"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0</w:t>
            </w:r>
          </w:p>
        </w:tc>
        <w:tc>
          <w:tcPr>
            <w:tcW w:w="1560" w:type="dxa"/>
            <w:shd w:val="clear" w:color="auto" w:fill="C6EFCE"/>
            <w:noWrap/>
          </w:tcPr>
          <w:p w14:paraId="51FA0A47"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50</w:t>
            </w:r>
          </w:p>
        </w:tc>
        <w:tc>
          <w:tcPr>
            <w:tcW w:w="960" w:type="dxa"/>
            <w:shd w:val="clear" w:color="auto" w:fill="C6EFCE"/>
            <w:noWrap/>
          </w:tcPr>
          <w:p w14:paraId="00691AFE"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Q2</w:t>
            </w:r>
          </w:p>
        </w:tc>
        <w:tc>
          <w:tcPr>
            <w:tcW w:w="714" w:type="dxa"/>
            <w:shd w:val="clear" w:color="auto" w:fill="C6EFCE"/>
            <w:noWrap/>
          </w:tcPr>
          <w:p w14:paraId="5B3D238A"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2025</w:t>
            </w:r>
          </w:p>
        </w:tc>
        <w:tc>
          <w:tcPr>
            <w:tcW w:w="3261" w:type="dxa"/>
            <w:shd w:val="clear" w:color="auto" w:fill="C6EFCE"/>
            <w:noWrap/>
          </w:tcPr>
          <w:p w14:paraId="538957D9"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Reduction by at least 50 % of the time required to issue building permits compared to 2020, from 270 days to 135 days. </w:t>
            </w:r>
          </w:p>
        </w:tc>
      </w:tr>
      <w:tr w:rsidR="000A4598" w:rsidRPr="00BE3F16" w14:paraId="79E7BC3A" w14:textId="77777777" w:rsidTr="008A021B">
        <w:trPr>
          <w:trHeight w:val="309"/>
          <w:jc w:val="center"/>
        </w:trPr>
        <w:tc>
          <w:tcPr>
            <w:tcW w:w="779" w:type="dxa"/>
            <w:shd w:val="clear" w:color="auto" w:fill="C6EFCE"/>
            <w:noWrap/>
            <w:hideMark/>
          </w:tcPr>
          <w:p w14:paraId="1E550E40" w14:textId="77777777" w:rsidR="000A4598" w:rsidRPr="00BE3F16" w:rsidRDefault="000A4598">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93</w:t>
            </w:r>
          </w:p>
        </w:tc>
        <w:tc>
          <w:tcPr>
            <w:tcW w:w="1496" w:type="dxa"/>
            <w:shd w:val="clear" w:color="auto" w:fill="C6EFCE"/>
            <w:noWrap/>
            <w:hideMark/>
          </w:tcPr>
          <w:p w14:paraId="40106CCA"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Reform 2. Strategic, legislative and procedural framework to support seismic resilience of the buildings stock</w:t>
            </w:r>
          </w:p>
        </w:tc>
        <w:tc>
          <w:tcPr>
            <w:tcW w:w="1320" w:type="dxa"/>
            <w:shd w:val="clear" w:color="auto" w:fill="C6EFCE"/>
            <w:noWrap/>
            <w:hideMark/>
          </w:tcPr>
          <w:p w14:paraId="512A5C6C" w14:textId="32862B13" w:rsidR="000A4598" w:rsidRPr="00BE3F16" w:rsidRDefault="008A021B">
            <w:pPr>
              <w:spacing w:after="0" w:line="240" w:lineRule="auto"/>
              <w:jc w:val="center"/>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Milestone</w:t>
            </w:r>
          </w:p>
        </w:tc>
        <w:tc>
          <w:tcPr>
            <w:tcW w:w="1645" w:type="dxa"/>
            <w:shd w:val="clear" w:color="auto" w:fill="C6EFCE"/>
            <w:noWrap/>
            <w:hideMark/>
          </w:tcPr>
          <w:p w14:paraId="6128694F"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Adoption and implementation of the National Seismic Risk Reduction strategy for the seismic retrofitting the existing building stock</w:t>
            </w:r>
            <w:r w:rsidRPr="00BE3F16">
              <w:rPr>
                <w:rFonts w:ascii="Times New Roman" w:hAnsi="Times New Roman" w:cs="Times New Roman"/>
                <w:noProof/>
                <w:sz w:val="20"/>
                <w:szCs w:val="20"/>
                <w:lang w:val="en-GB"/>
              </w:rPr>
              <w:br/>
              <w:t xml:space="preserve"> </w:t>
            </w:r>
            <w:r w:rsidRPr="00BE3F16">
              <w:rPr>
                <w:rFonts w:ascii="Times New Roman" w:hAnsi="Times New Roman" w:cs="Times New Roman"/>
                <w:noProof/>
                <w:sz w:val="20"/>
                <w:szCs w:val="20"/>
                <w:lang w:val="en-GB"/>
              </w:rPr>
              <w:br/>
            </w:r>
          </w:p>
        </w:tc>
        <w:tc>
          <w:tcPr>
            <w:tcW w:w="1701" w:type="dxa"/>
            <w:shd w:val="clear" w:color="auto" w:fill="C6EFCE"/>
            <w:noWrap/>
            <w:hideMark/>
          </w:tcPr>
          <w:p w14:paraId="665CDFE0" w14:textId="761FE6C5" w:rsidR="00932F41" w:rsidRPr="00BE3F16" w:rsidRDefault="000A4598" w:rsidP="00932F41">
            <w:pPr>
              <w:spacing w:after="0" w:line="240" w:lineRule="auto"/>
              <w:jc w:val="both"/>
              <w:rPr>
                <w:rFonts w:ascii="Times New Roman" w:eastAsia="Times New Roman" w:hAnsi="Times New Roman" w:cs="Times New Roman"/>
                <w:strike/>
                <w:noProof/>
                <w:sz w:val="20"/>
                <w:szCs w:val="20"/>
                <w:lang w:val="en-GB"/>
              </w:rPr>
            </w:pPr>
            <w:r w:rsidRPr="00BE3F16">
              <w:rPr>
                <w:rFonts w:ascii="Times New Roman" w:hAnsi="Times New Roman" w:cs="Times New Roman"/>
                <w:noProof/>
                <w:sz w:val="20"/>
                <w:szCs w:val="20"/>
                <w:lang w:val="en-GB"/>
              </w:rPr>
              <w:t>Adoption of the National Seismic Risk Reduction Strategy by the government.</w:t>
            </w:r>
          </w:p>
          <w:p w14:paraId="1CB27348" w14:textId="0F9FD357" w:rsidR="000A4598" w:rsidRPr="00BE3F16" w:rsidRDefault="000A4598">
            <w:pPr>
              <w:spacing w:after="0" w:line="240" w:lineRule="auto"/>
              <w:jc w:val="both"/>
              <w:rPr>
                <w:rFonts w:ascii="Times New Roman" w:eastAsia="Times New Roman" w:hAnsi="Times New Roman" w:cs="Times New Roman"/>
                <w:strike/>
                <w:noProof/>
                <w:sz w:val="20"/>
                <w:szCs w:val="20"/>
                <w:lang w:val="en-GB"/>
              </w:rPr>
            </w:pPr>
          </w:p>
        </w:tc>
        <w:tc>
          <w:tcPr>
            <w:tcW w:w="1276" w:type="dxa"/>
            <w:shd w:val="clear" w:color="auto" w:fill="C6EFCE"/>
            <w:noWrap/>
            <w:hideMark/>
          </w:tcPr>
          <w:p w14:paraId="04FD434A"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 </w:t>
            </w:r>
          </w:p>
        </w:tc>
        <w:tc>
          <w:tcPr>
            <w:tcW w:w="1018" w:type="dxa"/>
            <w:shd w:val="clear" w:color="auto" w:fill="C6EFCE"/>
            <w:noWrap/>
            <w:hideMark/>
          </w:tcPr>
          <w:p w14:paraId="030B0EDB"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 </w:t>
            </w:r>
          </w:p>
        </w:tc>
        <w:tc>
          <w:tcPr>
            <w:tcW w:w="1560" w:type="dxa"/>
            <w:shd w:val="clear" w:color="auto" w:fill="C6EFCE"/>
            <w:noWrap/>
            <w:hideMark/>
          </w:tcPr>
          <w:p w14:paraId="5A459809"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 </w:t>
            </w:r>
          </w:p>
        </w:tc>
        <w:tc>
          <w:tcPr>
            <w:tcW w:w="960" w:type="dxa"/>
            <w:shd w:val="clear" w:color="auto" w:fill="C6EFCE"/>
            <w:noWrap/>
            <w:hideMark/>
          </w:tcPr>
          <w:p w14:paraId="3AE67F1E"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Q4</w:t>
            </w:r>
          </w:p>
        </w:tc>
        <w:tc>
          <w:tcPr>
            <w:tcW w:w="714" w:type="dxa"/>
            <w:shd w:val="clear" w:color="auto" w:fill="C6EFCE"/>
            <w:noWrap/>
            <w:hideMark/>
          </w:tcPr>
          <w:p w14:paraId="37A77751"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2022</w:t>
            </w:r>
          </w:p>
        </w:tc>
        <w:tc>
          <w:tcPr>
            <w:tcW w:w="3261" w:type="dxa"/>
            <w:shd w:val="clear" w:color="auto" w:fill="C6EFCE"/>
            <w:noWrap/>
            <w:hideMark/>
          </w:tcPr>
          <w:p w14:paraId="2E993AF7"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The strategy shall define the criteria for prioritising investments in the reduction of seismic risk for the existing building stock based on the level of seismic risk for buildings and communities and the benefits of risk reduction actions. </w:t>
            </w:r>
            <w:bookmarkStart w:id="5" w:name="_Hlk77254549"/>
          </w:p>
          <w:bookmarkEnd w:id="5"/>
          <w:p w14:paraId="4777D5B8"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The introduction of rapid visual assessment methodology for second level of seismic risk assessment shall contribute to reducing the time needed to effectively complete the prioritisation of the building stock interventions based on vulnerability data from several years to several months. </w:t>
            </w:r>
          </w:p>
          <w:p w14:paraId="5B4ED254"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It shall take into account the measures proposed by the Long-Term Renovation Strategy through the development of a mandatory integrated intervention guide. </w:t>
            </w:r>
          </w:p>
        </w:tc>
      </w:tr>
      <w:tr w:rsidR="000A4598" w:rsidRPr="00BE3F16" w14:paraId="05AD6786" w14:textId="77777777" w:rsidTr="008A021B">
        <w:trPr>
          <w:trHeight w:val="309"/>
          <w:jc w:val="center"/>
        </w:trPr>
        <w:tc>
          <w:tcPr>
            <w:tcW w:w="779" w:type="dxa"/>
            <w:shd w:val="clear" w:color="auto" w:fill="C6EFCE"/>
            <w:noWrap/>
            <w:hideMark/>
          </w:tcPr>
          <w:p w14:paraId="4A2CE37F" w14:textId="77777777" w:rsidR="000A4598" w:rsidRPr="00BE3F16" w:rsidRDefault="000A4598">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94</w:t>
            </w:r>
          </w:p>
        </w:tc>
        <w:tc>
          <w:tcPr>
            <w:tcW w:w="1496" w:type="dxa"/>
            <w:shd w:val="clear" w:color="auto" w:fill="C6EFCE"/>
            <w:noWrap/>
          </w:tcPr>
          <w:p w14:paraId="372064AA"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Reform 2. Strategic, legislative and procedural framework to support seismic resilience of the buildings stock </w:t>
            </w:r>
          </w:p>
        </w:tc>
        <w:tc>
          <w:tcPr>
            <w:tcW w:w="1320" w:type="dxa"/>
            <w:shd w:val="clear" w:color="auto" w:fill="C6EFCE"/>
            <w:noWrap/>
          </w:tcPr>
          <w:p w14:paraId="70C2AC51" w14:textId="617D9F4D" w:rsidR="000A4598" w:rsidRPr="00BE3F16" w:rsidRDefault="008A021B">
            <w:pPr>
              <w:spacing w:after="0" w:line="240" w:lineRule="auto"/>
              <w:jc w:val="center"/>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Milestone</w:t>
            </w:r>
          </w:p>
        </w:tc>
        <w:tc>
          <w:tcPr>
            <w:tcW w:w="1645" w:type="dxa"/>
            <w:shd w:val="clear" w:color="auto" w:fill="C6EFCE"/>
            <w:noWrap/>
          </w:tcPr>
          <w:p w14:paraId="7759821A"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Entry into force of the new law on seismic risk reduction of buildings </w:t>
            </w:r>
            <w:r w:rsidRPr="00BE3F16">
              <w:rPr>
                <w:rFonts w:ascii="Times New Roman" w:hAnsi="Times New Roman" w:cs="Times New Roman"/>
                <w:noProof/>
                <w:sz w:val="20"/>
                <w:szCs w:val="20"/>
                <w:lang w:val="en-GB"/>
              </w:rPr>
              <w:br/>
            </w:r>
          </w:p>
        </w:tc>
        <w:tc>
          <w:tcPr>
            <w:tcW w:w="1701" w:type="dxa"/>
            <w:shd w:val="clear" w:color="auto" w:fill="C6EFCE"/>
            <w:noWrap/>
          </w:tcPr>
          <w:p w14:paraId="3FE12831"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Provision in the law indicating the entry into force of the new law on seismic risk reduction of buildings </w:t>
            </w:r>
            <w:r w:rsidRPr="00BE3F16">
              <w:rPr>
                <w:rFonts w:ascii="Times New Roman" w:hAnsi="Times New Roman" w:cs="Times New Roman"/>
                <w:noProof/>
                <w:sz w:val="20"/>
                <w:szCs w:val="20"/>
                <w:lang w:val="en-GB"/>
              </w:rPr>
              <w:br/>
            </w:r>
          </w:p>
        </w:tc>
        <w:tc>
          <w:tcPr>
            <w:tcW w:w="1276" w:type="dxa"/>
            <w:shd w:val="clear" w:color="auto" w:fill="C6EFCE"/>
            <w:noWrap/>
          </w:tcPr>
          <w:p w14:paraId="3BCFA64F"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018" w:type="dxa"/>
            <w:shd w:val="clear" w:color="auto" w:fill="C6EFCE"/>
            <w:noWrap/>
          </w:tcPr>
          <w:p w14:paraId="282BFB9E"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560" w:type="dxa"/>
            <w:shd w:val="clear" w:color="auto" w:fill="C6EFCE"/>
            <w:noWrap/>
          </w:tcPr>
          <w:p w14:paraId="3A60AAD9"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960" w:type="dxa"/>
            <w:shd w:val="clear" w:color="auto" w:fill="C6EFCE"/>
            <w:noWrap/>
          </w:tcPr>
          <w:p w14:paraId="2987277E"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Q4</w:t>
            </w:r>
          </w:p>
        </w:tc>
        <w:tc>
          <w:tcPr>
            <w:tcW w:w="714" w:type="dxa"/>
            <w:shd w:val="clear" w:color="auto" w:fill="C6EFCE"/>
            <w:noWrap/>
          </w:tcPr>
          <w:p w14:paraId="4102CC63"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2022</w:t>
            </w:r>
          </w:p>
        </w:tc>
        <w:tc>
          <w:tcPr>
            <w:tcW w:w="3261" w:type="dxa"/>
            <w:shd w:val="clear" w:color="auto" w:fill="C6EFCE"/>
            <w:noWrap/>
            <w:hideMark/>
          </w:tcPr>
          <w:p w14:paraId="2367D3F9"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Entry into force of the new law on seismic risk reduction of buildings. The law shall cover the following actions: </w:t>
            </w:r>
          </w:p>
          <w:p w14:paraId="613BC169"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include a multi-annual approach for retrofitting the existing building stock</w:t>
            </w:r>
          </w:p>
          <w:p w14:paraId="4C77BDB3"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introduce in the list of eligible; expenses the different eligible types of works necessary to increase energy performance;</w:t>
            </w:r>
          </w:p>
          <w:p w14:paraId="28B54CBA"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extend the program to public buildings alongside with multi-family residential buildings;</w:t>
            </w:r>
          </w:p>
          <w:p w14:paraId="4E4D4719"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introduce the RsII seismic class among the eligible criteria, alongside with RsI seismic class.</w:t>
            </w:r>
          </w:p>
        </w:tc>
      </w:tr>
      <w:tr w:rsidR="000A4598" w:rsidRPr="00BE3F16" w14:paraId="577D43C1" w14:textId="77777777" w:rsidTr="008A021B">
        <w:trPr>
          <w:trHeight w:val="309"/>
          <w:jc w:val="center"/>
        </w:trPr>
        <w:tc>
          <w:tcPr>
            <w:tcW w:w="779" w:type="dxa"/>
            <w:shd w:val="clear" w:color="auto" w:fill="C6EFCE"/>
            <w:noWrap/>
            <w:hideMark/>
          </w:tcPr>
          <w:p w14:paraId="68692032" w14:textId="77777777" w:rsidR="000A4598" w:rsidRPr="00BE3F16" w:rsidRDefault="000A4598">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95</w:t>
            </w:r>
          </w:p>
        </w:tc>
        <w:tc>
          <w:tcPr>
            <w:tcW w:w="1496" w:type="dxa"/>
            <w:shd w:val="clear" w:color="auto" w:fill="C6EFCE"/>
            <w:noWrap/>
            <w:hideMark/>
          </w:tcPr>
          <w:p w14:paraId="240517ED"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Investment 1. Establishment of a renovation wave fund to finance works to increase the energy efficiency of the existing building stock</w:t>
            </w:r>
          </w:p>
        </w:tc>
        <w:tc>
          <w:tcPr>
            <w:tcW w:w="1320" w:type="dxa"/>
            <w:shd w:val="clear" w:color="auto" w:fill="C6EFCE"/>
            <w:noWrap/>
            <w:hideMark/>
          </w:tcPr>
          <w:p w14:paraId="727398F1" w14:textId="01A6F2B9" w:rsidR="000A4598" w:rsidRPr="00BE3F16" w:rsidRDefault="008A021B">
            <w:pPr>
              <w:spacing w:after="0" w:line="240" w:lineRule="auto"/>
              <w:jc w:val="center"/>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Milestone</w:t>
            </w:r>
          </w:p>
        </w:tc>
        <w:tc>
          <w:tcPr>
            <w:tcW w:w="1645" w:type="dxa"/>
            <w:shd w:val="clear" w:color="auto" w:fill="C6EFCE"/>
            <w:noWrap/>
            <w:hideMark/>
          </w:tcPr>
          <w:p w14:paraId="57BF3815"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Establishing a national support scheme for energy and efficiency renovation and integrated renovation (seismic consolidation and energy efficiency) of multi-family residential buildings </w:t>
            </w:r>
            <w:r w:rsidRPr="00BE3F16">
              <w:rPr>
                <w:rFonts w:ascii="Times New Roman" w:hAnsi="Times New Roman" w:cs="Times New Roman"/>
                <w:noProof/>
                <w:sz w:val="20"/>
                <w:szCs w:val="20"/>
                <w:lang w:val="en-GB"/>
              </w:rPr>
              <w:br/>
            </w:r>
          </w:p>
        </w:tc>
        <w:tc>
          <w:tcPr>
            <w:tcW w:w="1701" w:type="dxa"/>
            <w:shd w:val="clear" w:color="auto" w:fill="C6EFCE"/>
            <w:noWrap/>
            <w:hideMark/>
          </w:tcPr>
          <w:p w14:paraId="5DD75212"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Publication of the ministerial order establishing the financing scheme </w:t>
            </w:r>
          </w:p>
        </w:tc>
        <w:tc>
          <w:tcPr>
            <w:tcW w:w="1276" w:type="dxa"/>
            <w:shd w:val="clear" w:color="auto" w:fill="C6EFCE"/>
            <w:noWrap/>
            <w:hideMark/>
          </w:tcPr>
          <w:p w14:paraId="28747194"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 </w:t>
            </w:r>
          </w:p>
        </w:tc>
        <w:tc>
          <w:tcPr>
            <w:tcW w:w="1018" w:type="dxa"/>
            <w:shd w:val="clear" w:color="auto" w:fill="C6EFCE"/>
            <w:noWrap/>
            <w:hideMark/>
          </w:tcPr>
          <w:p w14:paraId="163609F8"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 </w:t>
            </w:r>
          </w:p>
        </w:tc>
        <w:tc>
          <w:tcPr>
            <w:tcW w:w="1560" w:type="dxa"/>
            <w:shd w:val="clear" w:color="auto" w:fill="C6EFCE"/>
            <w:noWrap/>
            <w:hideMark/>
          </w:tcPr>
          <w:p w14:paraId="32292259"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 </w:t>
            </w:r>
          </w:p>
        </w:tc>
        <w:tc>
          <w:tcPr>
            <w:tcW w:w="960" w:type="dxa"/>
            <w:shd w:val="clear" w:color="auto" w:fill="C6EFCE"/>
            <w:noWrap/>
            <w:hideMark/>
          </w:tcPr>
          <w:p w14:paraId="6F176D19"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Q1</w:t>
            </w:r>
          </w:p>
        </w:tc>
        <w:tc>
          <w:tcPr>
            <w:tcW w:w="714" w:type="dxa"/>
            <w:shd w:val="clear" w:color="auto" w:fill="C6EFCE"/>
            <w:noWrap/>
            <w:hideMark/>
          </w:tcPr>
          <w:p w14:paraId="70C13DD5"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2022</w:t>
            </w:r>
          </w:p>
        </w:tc>
        <w:tc>
          <w:tcPr>
            <w:tcW w:w="3261" w:type="dxa"/>
            <w:shd w:val="clear" w:color="auto" w:fill="C6EFCE"/>
            <w:noWrap/>
            <w:hideMark/>
          </w:tcPr>
          <w:p w14:paraId="406E07FE"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The scheme shall finance the energy renovation of at least 3,2 million m² of residential buildings. </w:t>
            </w:r>
          </w:p>
          <w:p w14:paraId="58357F9A"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The scheme shall finance the following types of projects:</w:t>
            </w:r>
          </w:p>
          <w:p w14:paraId="176D191B"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integrated projects (seismic consolidation and energy efficiency); </w:t>
            </w:r>
          </w:p>
          <w:p w14:paraId="4F68D256"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energy renovation projects. </w:t>
            </w:r>
          </w:p>
          <w:p w14:paraId="035A098F"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The financing scheme shall ensure that at least 90 % from the total allocation shall be used for energy efficiency works and not more than 10 % of the allocation shall be used for seismic consolidation and other complementary works (such as fire safety, accessibility.) </w:t>
            </w:r>
          </w:p>
          <w:p w14:paraId="302D5E09"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bookmarkStart w:id="6" w:name="_Hlk79745330"/>
            <w:r w:rsidRPr="00BE3F16">
              <w:rPr>
                <w:rFonts w:ascii="Times New Roman" w:hAnsi="Times New Roman" w:cs="Times New Roman"/>
                <w:noProof/>
                <w:sz w:val="20"/>
                <w:szCs w:val="20"/>
                <w:lang w:val="en-GB"/>
              </w:rPr>
              <w:t>The entire scheme shall ensure that all contracts achieve the relevant energy efficiency requirement of a minimum reduction of energy consumption by at least 50 % compared to the annual energy consumption for heating prior to the renovation for each building (except for building with a status of a cultural good), which shall deliver a minimum of 30 % (moderate renovation) and of 60 % (deep renovation) of primary energy demand savings compared to pre-renovation state and complying with the “do no significant harm” Technical Guidance (2021/C58/01).</w:t>
            </w:r>
            <w:bookmarkEnd w:id="6"/>
          </w:p>
        </w:tc>
      </w:tr>
      <w:tr w:rsidR="000A4598" w:rsidRPr="00BE3F16" w14:paraId="7DD3480E" w14:textId="77777777" w:rsidTr="008A021B">
        <w:trPr>
          <w:trHeight w:val="309"/>
          <w:jc w:val="center"/>
        </w:trPr>
        <w:tc>
          <w:tcPr>
            <w:tcW w:w="779" w:type="dxa"/>
            <w:shd w:val="clear" w:color="auto" w:fill="C6EFCE"/>
            <w:noWrap/>
            <w:hideMark/>
          </w:tcPr>
          <w:p w14:paraId="7B9D1DB3" w14:textId="77777777" w:rsidR="000A4598" w:rsidRPr="00BE3F16" w:rsidRDefault="000A4598">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96</w:t>
            </w:r>
          </w:p>
        </w:tc>
        <w:tc>
          <w:tcPr>
            <w:tcW w:w="1496" w:type="dxa"/>
            <w:shd w:val="clear" w:color="auto" w:fill="C6EFCE"/>
            <w:noWrap/>
            <w:hideMark/>
          </w:tcPr>
          <w:p w14:paraId="55894D05"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Investment 1. Establishment of a renovation wave fund to finance works to increase the energy efficiency of the existing building stock</w:t>
            </w:r>
          </w:p>
        </w:tc>
        <w:tc>
          <w:tcPr>
            <w:tcW w:w="1320" w:type="dxa"/>
            <w:shd w:val="clear" w:color="auto" w:fill="C6EFCE"/>
            <w:noWrap/>
            <w:hideMark/>
          </w:tcPr>
          <w:p w14:paraId="0F5C8F5D" w14:textId="13DE6647" w:rsidR="000A4598" w:rsidRPr="00BE3F16" w:rsidRDefault="008A021B">
            <w:pPr>
              <w:spacing w:after="0" w:line="240" w:lineRule="auto"/>
              <w:jc w:val="center"/>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Milestone</w:t>
            </w:r>
          </w:p>
        </w:tc>
        <w:tc>
          <w:tcPr>
            <w:tcW w:w="1645" w:type="dxa"/>
            <w:shd w:val="clear" w:color="auto" w:fill="C6EFCE"/>
            <w:noWrap/>
            <w:hideMark/>
          </w:tcPr>
          <w:p w14:paraId="6CF48E64"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Establishing a national support scheme for energy efficiency renovation and integrated renovation (seismic consolidation and energy efficiency) for public buildings</w:t>
            </w:r>
            <w:r w:rsidRPr="00BE3F16">
              <w:rPr>
                <w:rFonts w:ascii="Times New Roman" w:hAnsi="Times New Roman" w:cs="Times New Roman"/>
                <w:noProof/>
                <w:sz w:val="20"/>
                <w:szCs w:val="20"/>
                <w:lang w:val="en-GB"/>
              </w:rPr>
              <w:br/>
            </w:r>
          </w:p>
        </w:tc>
        <w:tc>
          <w:tcPr>
            <w:tcW w:w="1701" w:type="dxa"/>
            <w:shd w:val="clear" w:color="auto" w:fill="C6EFCE"/>
            <w:noWrap/>
            <w:hideMark/>
          </w:tcPr>
          <w:p w14:paraId="7D078796"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Publication of the order establishing the scheme </w:t>
            </w:r>
          </w:p>
        </w:tc>
        <w:tc>
          <w:tcPr>
            <w:tcW w:w="1276" w:type="dxa"/>
            <w:shd w:val="clear" w:color="auto" w:fill="C6EFCE"/>
            <w:noWrap/>
            <w:hideMark/>
          </w:tcPr>
          <w:p w14:paraId="24E99009"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 </w:t>
            </w:r>
          </w:p>
        </w:tc>
        <w:tc>
          <w:tcPr>
            <w:tcW w:w="1018" w:type="dxa"/>
            <w:shd w:val="clear" w:color="auto" w:fill="C6EFCE"/>
            <w:noWrap/>
            <w:hideMark/>
          </w:tcPr>
          <w:p w14:paraId="2F477D91"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 </w:t>
            </w:r>
          </w:p>
        </w:tc>
        <w:tc>
          <w:tcPr>
            <w:tcW w:w="1560" w:type="dxa"/>
            <w:shd w:val="clear" w:color="auto" w:fill="C6EFCE"/>
            <w:noWrap/>
            <w:hideMark/>
          </w:tcPr>
          <w:p w14:paraId="64A8E469"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 </w:t>
            </w:r>
          </w:p>
        </w:tc>
        <w:tc>
          <w:tcPr>
            <w:tcW w:w="960" w:type="dxa"/>
            <w:shd w:val="clear" w:color="auto" w:fill="C6EFCE"/>
            <w:noWrap/>
            <w:hideMark/>
          </w:tcPr>
          <w:p w14:paraId="3E4F8DF3"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Q1</w:t>
            </w:r>
          </w:p>
        </w:tc>
        <w:tc>
          <w:tcPr>
            <w:tcW w:w="714" w:type="dxa"/>
            <w:shd w:val="clear" w:color="auto" w:fill="C6EFCE"/>
            <w:noWrap/>
            <w:hideMark/>
          </w:tcPr>
          <w:p w14:paraId="0D057C25"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2022</w:t>
            </w:r>
          </w:p>
        </w:tc>
        <w:tc>
          <w:tcPr>
            <w:tcW w:w="3261" w:type="dxa"/>
            <w:shd w:val="clear" w:color="auto" w:fill="C6EFCE"/>
            <w:noWrap/>
            <w:hideMark/>
          </w:tcPr>
          <w:p w14:paraId="26785B41"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The scheme shall finance the energy renovation of at least 1,8 million m² of public buildings. The scheme shall ensure the following types of projects:</w:t>
            </w:r>
          </w:p>
          <w:p w14:paraId="72518ED9"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integrated projects (seismic consolidation and energy efficiency) </w:t>
            </w:r>
          </w:p>
          <w:p w14:paraId="3DE20A8D"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energy renovation projects.</w:t>
            </w:r>
          </w:p>
          <w:p w14:paraId="23BB9678"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The financing scheme shall ensure that at least 90 % from total allocation shall be used for energy efficiency works and not more than 10 % of the allocation shall be used for seismic consolidation and other complementary works (such as fire safety, accessibility).</w:t>
            </w:r>
          </w:p>
          <w:p w14:paraId="6E884BDD"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bookmarkStart w:id="7" w:name="_Hlk79753549"/>
            <w:r w:rsidRPr="00BE3F16">
              <w:rPr>
                <w:rFonts w:ascii="Times New Roman" w:hAnsi="Times New Roman" w:cs="Times New Roman"/>
                <w:noProof/>
                <w:sz w:val="20"/>
                <w:szCs w:val="20"/>
                <w:lang w:val="en-GB"/>
              </w:rPr>
              <w:t>The entire scheme shall ensure that all contracts shall achieve the relevant energy efficiency requirement of a minimum reduction of energy consumption by at least 50 % compared to the annual energy consumption for heating prior to the renovation for each building (except for building with a status of a cultural good), which shall deliver a minimum of 30 % (moderate renovation) and of 60 % (deep renovation) of primary energy demand savings compared to pre-renovation state and complying with the “do no significant harm” Technical Guidance (2021/C58/01).</w:t>
            </w:r>
            <w:bookmarkEnd w:id="7"/>
          </w:p>
        </w:tc>
      </w:tr>
      <w:tr w:rsidR="000A4598" w:rsidRPr="00BE3F16" w14:paraId="78A66474" w14:textId="77777777" w:rsidTr="008A021B">
        <w:trPr>
          <w:trHeight w:val="309"/>
          <w:jc w:val="center"/>
        </w:trPr>
        <w:tc>
          <w:tcPr>
            <w:tcW w:w="779" w:type="dxa"/>
            <w:shd w:val="clear" w:color="auto" w:fill="C6EFCE"/>
            <w:noWrap/>
            <w:hideMark/>
          </w:tcPr>
          <w:p w14:paraId="2D803B25" w14:textId="77777777" w:rsidR="000A4598" w:rsidRPr="00BE3F16" w:rsidRDefault="000A4598">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97</w:t>
            </w:r>
          </w:p>
        </w:tc>
        <w:tc>
          <w:tcPr>
            <w:tcW w:w="1496" w:type="dxa"/>
            <w:shd w:val="clear" w:color="auto" w:fill="C6EFCE"/>
            <w:noWrap/>
            <w:hideMark/>
          </w:tcPr>
          <w:p w14:paraId="2B69D03C"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Investment 1. Establishment of a renovation wave fund to finance works to increase the energy efficiency of the existing building stock</w:t>
            </w:r>
          </w:p>
        </w:tc>
        <w:tc>
          <w:tcPr>
            <w:tcW w:w="1320" w:type="dxa"/>
            <w:shd w:val="clear" w:color="auto" w:fill="C6EFCE"/>
            <w:noWrap/>
            <w:hideMark/>
          </w:tcPr>
          <w:p w14:paraId="156666D1" w14:textId="4D5F65A3" w:rsidR="000A4598" w:rsidRPr="00BE3F16" w:rsidRDefault="008A021B">
            <w:pPr>
              <w:spacing w:after="0" w:line="240" w:lineRule="auto"/>
              <w:jc w:val="center"/>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Milestone</w:t>
            </w:r>
          </w:p>
        </w:tc>
        <w:tc>
          <w:tcPr>
            <w:tcW w:w="1645" w:type="dxa"/>
            <w:shd w:val="clear" w:color="auto" w:fill="C6EFCE"/>
            <w:noWrap/>
            <w:hideMark/>
          </w:tcPr>
          <w:p w14:paraId="14830B50"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Calls for proposals for the energy efficiency renovation and integrated renovation (seismic consolidation and energy efficiency) for residential buildings</w:t>
            </w:r>
          </w:p>
        </w:tc>
        <w:tc>
          <w:tcPr>
            <w:tcW w:w="1701" w:type="dxa"/>
            <w:shd w:val="clear" w:color="auto" w:fill="C6EFCE"/>
            <w:noWrap/>
            <w:hideMark/>
          </w:tcPr>
          <w:p w14:paraId="0255B610"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Publication of call specifica-tions</w:t>
            </w:r>
          </w:p>
        </w:tc>
        <w:tc>
          <w:tcPr>
            <w:tcW w:w="1276" w:type="dxa"/>
            <w:shd w:val="clear" w:color="auto" w:fill="C6EFCE"/>
            <w:noWrap/>
            <w:hideMark/>
          </w:tcPr>
          <w:p w14:paraId="2D36278E"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018" w:type="dxa"/>
            <w:shd w:val="clear" w:color="auto" w:fill="C6EFCE"/>
            <w:noWrap/>
            <w:hideMark/>
          </w:tcPr>
          <w:p w14:paraId="11983EB8"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560" w:type="dxa"/>
            <w:shd w:val="clear" w:color="auto" w:fill="C6EFCE"/>
            <w:noWrap/>
            <w:hideMark/>
          </w:tcPr>
          <w:p w14:paraId="18AAD1F1"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960" w:type="dxa"/>
            <w:shd w:val="clear" w:color="auto" w:fill="C6EFCE"/>
            <w:noWrap/>
            <w:hideMark/>
          </w:tcPr>
          <w:p w14:paraId="6C44CDC2"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Q2</w:t>
            </w:r>
          </w:p>
        </w:tc>
        <w:tc>
          <w:tcPr>
            <w:tcW w:w="714" w:type="dxa"/>
            <w:shd w:val="clear" w:color="auto" w:fill="C6EFCE"/>
            <w:noWrap/>
            <w:hideMark/>
          </w:tcPr>
          <w:p w14:paraId="2696890F"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2022</w:t>
            </w:r>
          </w:p>
        </w:tc>
        <w:tc>
          <w:tcPr>
            <w:tcW w:w="3261" w:type="dxa"/>
            <w:shd w:val="clear" w:color="auto" w:fill="C6EFCE"/>
            <w:noWrap/>
            <w:hideMark/>
          </w:tcPr>
          <w:p w14:paraId="7814C868"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The following three calls for proposals shall be published by the Ministry of Development, Public works and Administration for the energy efficiency renovation and integrated renovation (seismic consolidation and energy efficiency) of residential buildings: </w:t>
            </w:r>
          </w:p>
          <w:p w14:paraId="50593451"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call for integrated projects where seismic consolidation interventions shall be carried out in an integrated manner with those dedicated to increasing energy efficiency. The call shall be dedicated to local administrative units located in areas where the peak value of the ground acceleration for earthquake design a(g), according to the zoning map of the Romanian territory in the Code of seismic design P100-1 is greater than or equal to 0,2g for IMR=225 years. The specification of the call shall require priority to be given to communities at risk of poverty and social exclusion.</w:t>
            </w:r>
          </w:p>
          <w:p w14:paraId="0938EF0E"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call for energy efficiency renovation projects dedicated to communities at risk of poverty and social exclusion with a budget of at least 20% of the allocation for Investment 1, Axis 1 corresponding to energy efficiency. </w:t>
            </w:r>
          </w:p>
          <w:p w14:paraId="6837A794"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call for territorial energy efficiency renovation projects open to all the Local Administrative Units including the six sectors of Bucharest per county according to the number of multi-family residential buildings and the population of the county. </w:t>
            </w:r>
          </w:p>
          <w:p w14:paraId="3A24BB26"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Buildings that are classified in seismic risk classes RsI and RsII shall be excluded for energy efficiency contracts awarded in the second and third calls.</w:t>
            </w:r>
          </w:p>
          <w:p w14:paraId="2E2C673D"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All three call for proposals shall include selection criteria stipulating that all contracts shall state the relevant energy efficiency requirement of a minimum reduction of energy consumption for heating by at least 50 % compared to the annual energy consumption for heating prior to the renovation for each building (except for building with a status of a cultural good), which shall deliver at least 30% primary energy savings compared to pre-renovation state (moderate renovation). The third call shall require 10 % of the budget to be spent for projects delivering at least 60 % primary energy savings (deep renovation) compared to pre-renovation state. </w:t>
            </w:r>
          </w:p>
          <w:p w14:paraId="78815F1B"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The investment shall not cover the replacement of gas boilers. </w:t>
            </w:r>
          </w:p>
          <w:p w14:paraId="162A87BF"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If any funds remained uncontracted after the first round, the remaining funds shall be made available at the same conditions to all the local administrative units on a first come, first served basis.</w:t>
            </w:r>
          </w:p>
        </w:tc>
      </w:tr>
      <w:tr w:rsidR="000A4598" w:rsidRPr="00BE3F16" w14:paraId="380D2D69" w14:textId="77777777" w:rsidTr="008A021B">
        <w:trPr>
          <w:trHeight w:val="309"/>
          <w:jc w:val="center"/>
        </w:trPr>
        <w:tc>
          <w:tcPr>
            <w:tcW w:w="779" w:type="dxa"/>
            <w:shd w:val="clear" w:color="auto" w:fill="C6EFCE"/>
            <w:noWrap/>
          </w:tcPr>
          <w:p w14:paraId="2268AD94" w14:textId="77777777" w:rsidR="000A4598" w:rsidRPr="00BE3F16" w:rsidRDefault="000A4598">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98</w:t>
            </w:r>
          </w:p>
        </w:tc>
        <w:tc>
          <w:tcPr>
            <w:tcW w:w="1496" w:type="dxa"/>
            <w:shd w:val="clear" w:color="auto" w:fill="C6EFCE"/>
            <w:noWrap/>
          </w:tcPr>
          <w:p w14:paraId="24D7CEEC"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Investment 1. Establishment of a renovation wave fund to finance works to increase the energy efficiency of the existing building stock</w:t>
            </w:r>
          </w:p>
        </w:tc>
        <w:tc>
          <w:tcPr>
            <w:tcW w:w="1320" w:type="dxa"/>
            <w:shd w:val="clear" w:color="auto" w:fill="C6EFCE"/>
            <w:noWrap/>
          </w:tcPr>
          <w:p w14:paraId="062A0A81" w14:textId="07DD4B4C" w:rsidR="000A4598" w:rsidRPr="00BE3F16" w:rsidRDefault="008A021B">
            <w:pPr>
              <w:spacing w:after="0" w:line="240" w:lineRule="auto"/>
              <w:jc w:val="center"/>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Milestone</w:t>
            </w:r>
          </w:p>
        </w:tc>
        <w:tc>
          <w:tcPr>
            <w:tcW w:w="1645" w:type="dxa"/>
            <w:shd w:val="clear" w:color="auto" w:fill="C6EFCE"/>
            <w:noWrap/>
          </w:tcPr>
          <w:p w14:paraId="15E1B761"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Call for proposals for the energy efficiency renovation and integrated renovation (seismic consolidation and energy efficiency) (public buildings)</w:t>
            </w:r>
          </w:p>
        </w:tc>
        <w:tc>
          <w:tcPr>
            <w:tcW w:w="1701" w:type="dxa"/>
            <w:shd w:val="clear" w:color="auto" w:fill="C6EFCE"/>
            <w:noWrap/>
          </w:tcPr>
          <w:p w14:paraId="0F44C6C7"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Publication of call specifications</w:t>
            </w:r>
          </w:p>
        </w:tc>
        <w:tc>
          <w:tcPr>
            <w:tcW w:w="1276" w:type="dxa"/>
            <w:shd w:val="clear" w:color="auto" w:fill="C6EFCE"/>
            <w:noWrap/>
          </w:tcPr>
          <w:p w14:paraId="5C8A7F28"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018" w:type="dxa"/>
            <w:shd w:val="clear" w:color="auto" w:fill="C6EFCE"/>
            <w:noWrap/>
          </w:tcPr>
          <w:p w14:paraId="483D0A95"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560" w:type="dxa"/>
            <w:shd w:val="clear" w:color="auto" w:fill="C6EFCE"/>
            <w:noWrap/>
          </w:tcPr>
          <w:p w14:paraId="68CBC2EE"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960" w:type="dxa"/>
            <w:shd w:val="clear" w:color="auto" w:fill="C6EFCE"/>
            <w:noWrap/>
          </w:tcPr>
          <w:p w14:paraId="6C020544"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Q2</w:t>
            </w:r>
          </w:p>
        </w:tc>
        <w:tc>
          <w:tcPr>
            <w:tcW w:w="714" w:type="dxa"/>
            <w:shd w:val="clear" w:color="auto" w:fill="C6EFCE"/>
            <w:noWrap/>
          </w:tcPr>
          <w:p w14:paraId="2490F59F"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2022</w:t>
            </w:r>
          </w:p>
        </w:tc>
        <w:tc>
          <w:tcPr>
            <w:tcW w:w="3261" w:type="dxa"/>
            <w:shd w:val="clear" w:color="auto" w:fill="C6EFCE"/>
            <w:noWrap/>
          </w:tcPr>
          <w:p w14:paraId="682B883C"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Calls for proposals published by the Ministry of Development, Public works and Administration for the energy efficiency renovation and integrated renovation (seismic consolidation and energy efficiency) of public buildings for green and resilient transition:</w:t>
            </w:r>
          </w:p>
          <w:p w14:paraId="69165DD4"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call for integrated projects where seismic consolidation interventions shall be carried out in an integrated way with those dedicated to increasing energy efficiency. The call shall be dedicated to local administrative units located in areas where the peak value of the ground acceleration for earthquake design a(g), according to the zoning map of the Romanian territory in the Code of seismic design P100-1 is greater than or equal to 0,2g for IMR=225 years. </w:t>
            </w:r>
          </w:p>
          <w:p w14:paraId="1A1A8DC5"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call for moderate (80%) and deep (20%) energy renovations energy renovation projects, dedicated to central public authorities, county councils, county seat municipalities and other municipalities, including the six sectors of Bucharest. </w:t>
            </w:r>
          </w:p>
          <w:p w14:paraId="07BD8CCC"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Buildings classified in RsI and RsII seismic risk classes shall be excluded from contracts awarded in the second call.</w:t>
            </w:r>
          </w:p>
          <w:p w14:paraId="0DCF1381"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The two calls for proposals shall include selection criteria stipulating that all contracts shall state the relevant energy efficiency requirement of a minimum reduction of energy consumption for heating by at least 50% compared to the annual energy consumption for heating prior to the renovation for each building (except for building with a status of a cultural good), which shall deliver at least 30% primary energy savings (moderate renovation) compared to pre-renovation state. The second call shall require 20% of the budget to be spent for projects delivering at least 60% primary energy savings (deep renovation) compared to pre-renovation state.</w:t>
            </w:r>
          </w:p>
          <w:p w14:paraId="5C2BE17A"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Investments shall not cover the replacement of gas boilers.</w:t>
            </w:r>
          </w:p>
          <w:p w14:paraId="1A75E635" w14:textId="77777777" w:rsidR="000A4598" w:rsidRPr="00BE3F16" w:rsidRDefault="000A4598">
            <w:pPr>
              <w:spacing w:before="120"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If any funds remained uncontracted after the first round, the remaining funds shall be made available at the same conditions to all municipalities on a first come, first served principle.</w:t>
            </w:r>
          </w:p>
        </w:tc>
      </w:tr>
      <w:tr w:rsidR="000A4598" w:rsidRPr="00BE3F16" w14:paraId="63205889" w14:textId="77777777" w:rsidTr="008A021B">
        <w:trPr>
          <w:trHeight w:val="309"/>
          <w:jc w:val="center"/>
        </w:trPr>
        <w:tc>
          <w:tcPr>
            <w:tcW w:w="779" w:type="dxa"/>
            <w:shd w:val="clear" w:color="auto" w:fill="C6EFCE"/>
            <w:noWrap/>
          </w:tcPr>
          <w:p w14:paraId="6C93EAC9" w14:textId="77777777" w:rsidR="000A4598" w:rsidRPr="00BE3F16" w:rsidRDefault="000A4598">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99</w:t>
            </w:r>
          </w:p>
        </w:tc>
        <w:tc>
          <w:tcPr>
            <w:tcW w:w="1496" w:type="dxa"/>
            <w:shd w:val="clear" w:color="auto" w:fill="C6EFCE"/>
            <w:noWrap/>
          </w:tcPr>
          <w:p w14:paraId="01A31277"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Investment 1. Establishment of a renovation wave fund to finance works to increase the energy efficiency of the existing building stock</w:t>
            </w:r>
          </w:p>
        </w:tc>
        <w:tc>
          <w:tcPr>
            <w:tcW w:w="1320" w:type="dxa"/>
            <w:shd w:val="clear" w:color="auto" w:fill="C6EFCE"/>
            <w:noWrap/>
          </w:tcPr>
          <w:p w14:paraId="68081301" w14:textId="08CC567F" w:rsidR="000A4598" w:rsidRPr="00BE3F16" w:rsidRDefault="008A021B">
            <w:pPr>
              <w:spacing w:after="0" w:line="240" w:lineRule="auto"/>
              <w:jc w:val="center"/>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Milestone</w:t>
            </w:r>
          </w:p>
        </w:tc>
        <w:tc>
          <w:tcPr>
            <w:tcW w:w="1645" w:type="dxa"/>
            <w:shd w:val="clear" w:color="auto" w:fill="C6EFCE"/>
            <w:noWrap/>
          </w:tcPr>
          <w:p w14:paraId="18CDFAEA"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Signature of contracts for the energy efficiency renovation and integrated renovation (seismic consolidation and energy efficiency) for residential buildings</w:t>
            </w:r>
          </w:p>
        </w:tc>
        <w:tc>
          <w:tcPr>
            <w:tcW w:w="1701" w:type="dxa"/>
            <w:shd w:val="clear" w:color="auto" w:fill="C6EFCE"/>
            <w:noWrap/>
          </w:tcPr>
          <w:p w14:paraId="311F9104"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Signature of contracts</w:t>
            </w:r>
          </w:p>
        </w:tc>
        <w:tc>
          <w:tcPr>
            <w:tcW w:w="1276" w:type="dxa"/>
            <w:shd w:val="clear" w:color="auto" w:fill="C6EFCE"/>
            <w:noWrap/>
          </w:tcPr>
          <w:p w14:paraId="230B0E29"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018" w:type="dxa"/>
            <w:shd w:val="clear" w:color="auto" w:fill="C6EFCE"/>
            <w:noWrap/>
          </w:tcPr>
          <w:p w14:paraId="7A2B0E36"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560" w:type="dxa"/>
            <w:shd w:val="clear" w:color="auto" w:fill="C6EFCE"/>
            <w:noWrap/>
          </w:tcPr>
          <w:p w14:paraId="60CD2D38"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960" w:type="dxa"/>
            <w:shd w:val="clear" w:color="auto" w:fill="C6EFCE"/>
            <w:noWrap/>
          </w:tcPr>
          <w:p w14:paraId="3A4CA412"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Q4</w:t>
            </w:r>
          </w:p>
        </w:tc>
        <w:tc>
          <w:tcPr>
            <w:tcW w:w="714" w:type="dxa"/>
            <w:shd w:val="clear" w:color="auto" w:fill="C6EFCE"/>
            <w:noWrap/>
          </w:tcPr>
          <w:p w14:paraId="293F2181"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2022</w:t>
            </w:r>
          </w:p>
        </w:tc>
        <w:tc>
          <w:tcPr>
            <w:tcW w:w="3261" w:type="dxa"/>
            <w:shd w:val="clear" w:color="auto" w:fill="C6EFCE"/>
            <w:noWrap/>
          </w:tcPr>
          <w:p w14:paraId="75F518F8"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Signature of contracts for the energy efficiency renovation and integrated renovation (seismic consolidation and energy efficiency) for the transition to green and resilient buildings (residential buildings), shall be made in line with the conditions of milestones 95 and 97.</w:t>
            </w:r>
          </w:p>
          <w:p w14:paraId="56CBCA65"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r>
      <w:tr w:rsidR="000A4598" w:rsidRPr="00BE3F16" w14:paraId="757910F4" w14:textId="77777777" w:rsidTr="008A021B">
        <w:trPr>
          <w:trHeight w:val="309"/>
          <w:jc w:val="center"/>
        </w:trPr>
        <w:tc>
          <w:tcPr>
            <w:tcW w:w="779" w:type="dxa"/>
            <w:shd w:val="clear" w:color="auto" w:fill="C6EFCE"/>
            <w:noWrap/>
          </w:tcPr>
          <w:p w14:paraId="6AF1636C" w14:textId="77777777" w:rsidR="000A4598" w:rsidRPr="00BE3F16" w:rsidRDefault="000A4598">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100</w:t>
            </w:r>
          </w:p>
        </w:tc>
        <w:tc>
          <w:tcPr>
            <w:tcW w:w="1496" w:type="dxa"/>
            <w:shd w:val="clear" w:color="auto" w:fill="C6EFCE"/>
            <w:noWrap/>
          </w:tcPr>
          <w:p w14:paraId="49801667"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Investment 1. Establishment of a renovation wave fund to finance works to increase the energy efficiency of the existing building stock</w:t>
            </w:r>
          </w:p>
        </w:tc>
        <w:tc>
          <w:tcPr>
            <w:tcW w:w="1320" w:type="dxa"/>
            <w:shd w:val="clear" w:color="auto" w:fill="C6EFCE"/>
            <w:noWrap/>
          </w:tcPr>
          <w:p w14:paraId="51E8441C" w14:textId="1794A225" w:rsidR="000A4598" w:rsidRPr="00BE3F16" w:rsidRDefault="008A021B">
            <w:pPr>
              <w:spacing w:after="0" w:line="240" w:lineRule="auto"/>
              <w:jc w:val="center"/>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Milestone</w:t>
            </w:r>
          </w:p>
        </w:tc>
        <w:tc>
          <w:tcPr>
            <w:tcW w:w="1645" w:type="dxa"/>
            <w:shd w:val="clear" w:color="auto" w:fill="C6EFCE"/>
            <w:noWrap/>
          </w:tcPr>
          <w:p w14:paraId="5689C614"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Signature of contracts for the energy efficiency renovation and integrated renovation (seismic consolidation and energy efficiency) for public buildings</w:t>
            </w:r>
          </w:p>
        </w:tc>
        <w:tc>
          <w:tcPr>
            <w:tcW w:w="1701" w:type="dxa"/>
            <w:shd w:val="clear" w:color="auto" w:fill="C6EFCE"/>
            <w:noWrap/>
          </w:tcPr>
          <w:p w14:paraId="7E80DA48"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Signature of contracts</w:t>
            </w:r>
          </w:p>
        </w:tc>
        <w:tc>
          <w:tcPr>
            <w:tcW w:w="1276" w:type="dxa"/>
            <w:shd w:val="clear" w:color="auto" w:fill="C6EFCE"/>
            <w:noWrap/>
          </w:tcPr>
          <w:p w14:paraId="30430760"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018" w:type="dxa"/>
            <w:shd w:val="clear" w:color="auto" w:fill="C6EFCE"/>
            <w:noWrap/>
          </w:tcPr>
          <w:p w14:paraId="167EB43C"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560" w:type="dxa"/>
            <w:shd w:val="clear" w:color="auto" w:fill="C6EFCE"/>
            <w:noWrap/>
          </w:tcPr>
          <w:p w14:paraId="15D52AC8"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960" w:type="dxa"/>
            <w:shd w:val="clear" w:color="auto" w:fill="C6EFCE"/>
            <w:noWrap/>
          </w:tcPr>
          <w:p w14:paraId="2DD6EAFD"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Q4</w:t>
            </w:r>
          </w:p>
        </w:tc>
        <w:tc>
          <w:tcPr>
            <w:tcW w:w="714" w:type="dxa"/>
            <w:shd w:val="clear" w:color="auto" w:fill="C6EFCE"/>
            <w:noWrap/>
          </w:tcPr>
          <w:p w14:paraId="2901A575"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2022</w:t>
            </w:r>
          </w:p>
        </w:tc>
        <w:tc>
          <w:tcPr>
            <w:tcW w:w="3261" w:type="dxa"/>
            <w:shd w:val="clear" w:color="auto" w:fill="C6EFCE"/>
            <w:noWrap/>
          </w:tcPr>
          <w:p w14:paraId="3F354029"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Signature of contracts for the energy efficiency renovation and integrated renovation (seismic consolidation and energy efficiency) for the transition to green and resilient buildings (public buildings) shall be made in line with the conditions of milestones 96 and 98.</w:t>
            </w:r>
          </w:p>
          <w:p w14:paraId="78EB49BF"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r>
      <w:tr w:rsidR="000A4598" w:rsidRPr="00BE3F16" w14:paraId="75158518" w14:textId="77777777" w:rsidTr="008A021B">
        <w:trPr>
          <w:trHeight w:val="309"/>
          <w:jc w:val="center"/>
        </w:trPr>
        <w:tc>
          <w:tcPr>
            <w:tcW w:w="779" w:type="dxa"/>
            <w:shd w:val="clear" w:color="auto" w:fill="C6EFCE"/>
            <w:noWrap/>
          </w:tcPr>
          <w:p w14:paraId="408C687C" w14:textId="77777777" w:rsidR="000A4598" w:rsidRPr="00BE3F16" w:rsidRDefault="000A4598">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103</w:t>
            </w:r>
          </w:p>
        </w:tc>
        <w:tc>
          <w:tcPr>
            <w:tcW w:w="1496" w:type="dxa"/>
            <w:shd w:val="clear" w:color="auto" w:fill="C6EFCE"/>
            <w:noWrap/>
          </w:tcPr>
          <w:p w14:paraId="65914306"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Investment 1. Establishment of a renovation wave fund to finance works to increase the energy efficiency of the existing building stock</w:t>
            </w:r>
          </w:p>
        </w:tc>
        <w:tc>
          <w:tcPr>
            <w:tcW w:w="1320" w:type="dxa"/>
            <w:shd w:val="clear" w:color="auto" w:fill="C6EFCE"/>
            <w:noWrap/>
          </w:tcPr>
          <w:p w14:paraId="10C51F30" w14:textId="7F6B602B" w:rsidR="000A4598" w:rsidRPr="00BE3F16" w:rsidRDefault="0061151E">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T</w:t>
            </w:r>
            <w:r w:rsidR="008A021B">
              <w:rPr>
                <w:rFonts w:ascii="Times New Roman" w:hAnsi="Times New Roman" w:cs="Times New Roman"/>
                <w:noProof/>
                <w:sz w:val="20"/>
                <w:szCs w:val="20"/>
                <w:lang w:val="en-GB"/>
              </w:rPr>
              <w:t>arget</w:t>
            </w:r>
          </w:p>
        </w:tc>
        <w:tc>
          <w:tcPr>
            <w:tcW w:w="1645" w:type="dxa"/>
            <w:shd w:val="clear" w:color="auto" w:fill="C6EFCE"/>
            <w:noWrap/>
          </w:tcPr>
          <w:p w14:paraId="754A3E64"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Energy renovation of multi-family residential buildings </w:t>
            </w:r>
          </w:p>
        </w:tc>
        <w:tc>
          <w:tcPr>
            <w:tcW w:w="1701" w:type="dxa"/>
            <w:shd w:val="clear" w:color="auto" w:fill="C6EFCE"/>
            <w:noWrap/>
          </w:tcPr>
          <w:p w14:paraId="3C4866E2"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276" w:type="dxa"/>
            <w:shd w:val="clear" w:color="auto" w:fill="C6EFCE"/>
            <w:noWrap/>
          </w:tcPr>
          <w:p w14:paraId="409FBCF3"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Number (m</w:t>
            </w:r>
            <w:r w:rsidRPr="00BE3F16">
              <w:rPr>
                <w:rFonts w:ascii="Times New Roman" w:hAnsi="Times New Roman" w:cs="Times New Roman"/>
                <w:noProof/>
                <w:sz w:val="20"/>
                <w:szCs w:val="20"/>
                <w:vertAlign w:val="superscript"/>
                <w:lang w:val="en-GB"/>
              </w:rPr>
              <w:t>2</w:t>
            </w:r>
            <w:r w:rsidRPr="00BE3F16">
              <w:rPr>
                <w:rFonts w:ascii="Times New Roman" w:hAnsi="Times New Roman" w:cs="Times New Roman"/>
                <w:noProof/>
                <w:sz w:val="20"/>
                <w:szCs w:val="20"/>
                <w:lang w:val="en-GB"/>
              </w:rPr>
              <w:t>)</w:t>
            </w:r>
          </w:p>
        </w:tc>
        <w:tc>
          <w:tcPr>
            <w:tcW w:w="1018" w:type="dxa"/>
            <w:shd w:val="clear" w:color="auto" w:fill="C6EFCE"/>
            <w:noWrap/>
          </w:tcPr>
          <w:p w14:paraId="4B208FBE" w14:textId="77777777" w:rsidR="000A4598" w:rsidRPr="00BE3F16" w:rsidRDefault="000A4598">
            <w:pPr>
              <w:spacing w:after="0" w:line="240" w:lineRule="auto"/>
              <w:jc w:val="both"/>
              <w:rPr>
                <w:rFonts w:ascii="Times New Roman" w:eastAsia="Times New Roman" w:hAnsi="Times New Roman" w:cs="Times New Roman"/>
                <w:noProof/>
                <w:sz w:val="20"/>
                <w:szCs w:val="20"/>
                <w:highlight w:val="yellow"/>
                <w:lang w:val="en-GB"/>
              </w:rPr>
            </w:pPr>
            <w:r w:rsidRPr="00BE3F16">
              <w:rPr>
                <w:rFonts w:ascii="Times New Roman" w:hAnsi="Times New Roman" w:cs="Times New Roman"/>
                <w:noProof/>
                <w:sz w:val="20"/>
                <w:szCs w:val="20"/>
                <w:lang w:val="en-GB"/>
              </w:rPr>
              <w:t>0</w:t>
            </w:r>
          </w:p>
        </w:tc>
        <w:tc>
          <w:tcPr>
            <w:tcW w:w="1560" w:type="dxa"/>
            <w:shd w:val="clear" w:color="auto" w:fill="C6EFCE"/>
            <w:noWrap/>
          </w:tcPr>
          <w:p w14:paraId="3B374138"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1 051 792</w:t>
            </w:r>
          </w:p>
        </w:tc>
        <w:tc>
          <w:tcPr>
            <w:tcW w:w="960" w:type="dxa"/>
            <w:shd w:val="clear" w:color="auto" w:fill="C6EFCE"/>
            <w:noWrap/>
          </w:tcPr>
          <w:p w14:paraId="51CDC8F9"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Q2</w:t>
            </w:r>
          </w:p>
        </w:tc>
        <w:tc>
          <w:tcPr>
            <w:tcW w:w="714" w:type="dxa"/>
            <w:shd w:val="clear" w:color="auto" w:fill="C6EFCE"/>
            <w:noWrap/>
          </w:tcPr>
          <w:p w14:paraId="5EA3EB2C"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2026</w:t>
            </w:r>
          </w:p>
        </w:tc>
        <w:tc>
          <w:tcPr>
            <w:tcW w:w="3261" w:type="dxa"/>
            <w:shd w:val="clear" w:color="auto" w:fill="C6EFCE"/>
            <w:noWrap/>
          </w:tcPr>
          <w:p w14:paraId="5181D458"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The energy renovation of multi-family residential buildings shall cover: </w:t>
            </w:r>
          </w:p>
          <w:p w14:paraId="7CBC1A3E" w14:textId="10D482DA" w:rsidR="000A4598" w:rsidRPr="00BE3F16" w:rsidRDefault="000A4598" w:rsidP="000A4598">
            <w:pPr>
              <w:numPr>
                <w:ilvl w:val="0"/>
                <w:numId w:val="11"/>
              </w:num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981 792</w:t>
            </w:r>
            <w:r w:rsidR="00D23D91" w:rsidRPr="00BE3F16">
              <w:rPr>
                <w:rFonts w:ascii="Times New Roman" w:hAnsi="Times New Roman" w:cs="Times New Roman"/>
                <w:noProof/>
                <w:sz w:val="20"/>
                <w:szCs w:val="20"/>
                <w:lang w:val="en-GB"/>
              </w:rPr>
              <w:t xml:space="preserve"> </w:t>
            </w:r>
            <w:r w:rsidRPr="00BE3F16">
              <w:rPr>
                <w:rFonts w:ascii="Times New Roman" w:hAnsi="Times New Roman" w:cs="Times New Roman"/>
                <w:noProof/>
                <w:sz w:val="20"/>
                <w:szCs w:val="20"/>
                <w:lang w:val="en-GB"/>
              </w:rPr>
              <w:t xml:space="preserve">m2 moderate renovation (which means a </w:t>
            </w:r>
            <w:r w:rsidRPr="00BE3F16">
              <w:rPr>
                <w:rFonts w:ascii="Times New Roman" w:eastAsia="Times New Roman" w:hAnsi="Times New Roman" w:cs="Times New Roman"/>
                <w:noProof/>
                <w:sz w:val="20"/>
                <w:szCs w:val="20"/>
                <w:lang w:val="en-GB"/>
              </w:rPr>
              <w:t xml:space="preserve">renovation with a </w:t>
            </w:r>
            <w:r w:rsidRPr="00BE3F16">
              <w:rPr>
                <w:rFonts w:ascii="Times New Roman" w:hAnsi="Times New Roman" w:cs="Times New Roman"/>
                <w:noProof/>
                <w:sz w:val="20"/>
                <w:szCs w:val="20"/>
                <w:lang w:val="en-GB"/>
              </w:rPr>
              <w:t>minimum of 30% of primary energy demand savings,</w:t>
            </w:r>
            <w:r w:rsidR="00D23D91" w:rsidRPr="00BE3F16">
              <w:rPr>
                <w:rFonts w:ascii="Times New Roman" w:hAnsi="Times New Roman" w:cs="Times New Roman"/>
                <w:noProof/>
                <w:sz w:val="20"/>
                <w:szCs w:val="20"/>
                <w:lang w:val="en-GB"/>
              </w:rPr>
              <w:t xml:space="preserve"> </w:t>
            </w:r>
          </w:p>
          <w:p w14:paraId="5747BA67" w14:textId="77777777" w:rsidR="000A4598" w:rsidRPr="00BE3F16" w:rsidRDefault="000A4598" w:rsidP="000A4598">
            <w:pPr>
              <w:pStyle w:val="ListParagraph"/>
              <w:numPr>
                <w:ilvl w:val="0"/>
                <w:numId w:val="11"/>
              </w:num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70 000 m2 deep renovation (which means a </w:t>
            </w:r>
            <w:r w:rsidRPr="00BE3F16">
              <w:rPr>
                <w:rFonts w:ascii="Times New Roman" w:eastAsia="Times New Roman" w:hAnsi="Times New Roman" w:cs="Times New Roman"/>
                <w:noProof/>
                <w:sz w:val="20"/>
                <w:szCs w:val="20"/>
                <w:lang w:val="en-GB"/>
              </w:rPr>
              <w:t xml:space="preserve">renovation with a </w:t>
            </w:r>
            <w:r w:rsidRPr="00BE3F16">
              <w:rPr>
                <w:rFonts w:ascii="Times New Roman" w:hAnsi="Times New Roman" w:cs="Times New Roman"/>
                <w:noProof/>
                <w:sz w:val="20"/>
                <w:szCs w:val="20"/>
                <w:lang w:val="en-GB"/>
              </w:rPr>
              <w:t>minimum of 60% of primary energy demand savings).</w:t>
            </w:r>
          </w:p>
          <w:p w14:paraId="75C6E140" w14:textId="4EF3F575" w:rsidR="000A4598" w:rsidRPr="00BE3F16" w:rsidRDefault="000A4598">
            <w:pPr>
              <w:spacing w:after="0" w:line="240" w:lineRule="auto"/>
              <w:jc w:val="both"/>
              <w:rPr>
                <w:rFonts w:ascii="Times New Roman" w:hAnsi="Times New Roman" w:cs="Times New Roman"/>
                <w:noProof/>
                <w:sz w:val="20"/>
                <w:szCs w:val="20"/>
              </w:rPr>
            </w:pPr>
            <w:r w:rsidRPr="00BE3F16">
              <w:rPr>
                <w:rFonts w:ascii="Times New Roman" w:hAnsi="Times New Roman" w:cs="Times New Roman"/>
                <w:noProof/>
                <w:sz w:val="20"/>
                <w:szCs w:val="20"/>
                <w:lang w:val="en-GB"/>
              </w:rPr>
              <w:t>The energy renovation</w:t>
            </w:r>
            <w:r w:rsidRPr="00BE3F16" w:rsidDel="00646E82">
              <w:rPr>
                <w:rFonts w:ascii="Times New Roman" w:hAnsi="Times New Roman" w:cs="Times New Roman"/>
                <w:noProof/>
                <w:sz w:val="20"/>
                <w:szCs w:val="20"/>
                <w:lang w:val="en-GB"/>
              </w:rPr>
              <w:t xml:space="preserve"> </w:t>
            </w:r>
            <w:r w:rsidRPr="00BE3F16">
              <w:rPr>
                <w:rFonts w:ascii="Times New Roman" w:hAnsi="Times New Roman" w:cs="Times New Roman"/>
                <w:noProof/>
                <w:sz w:val="20"/>
                <w:szCs w:val="20"/>
                <w:lang w:val="en-GB"/>
              </w:rPr>
              <w:t>shall result in a minimum reduction of energy consumption by at least 50% compared to the annual energy consumption for heating prior to the renovation for each building (except for buildins which have the status of</w:t>
            </w:r>
            <w:r w:rsidR="00D23D91" w:rsidRPr="00BE3F16">
              <w:rPr>
                <w:rFonts w:ascii="Times New Roman" w:hAnsi="Times New Roman" w:cs="Times New Roman"/>
                <w:noProof/>
                <w:sz w:val="20"/>
                <w:szCs w:val="20"/>
                <w:lang w:val="en-GB"/>
              </w:rPr>
              <w:t xml:space="preserve"> </w:t>
            </w:r>
            <w:r w:rsidRPr="00BE3F16">
              <w:rPr>
                <w:rFonts w:ascii="Times New Roman" w:hAnsi="Times New Roman" w:cs="Times New Roman"/>
                <w:noProof/>
                <w:sz w:val="20"/>
                <w:szCs w:val="20"/>
                <w:lang w:val="en-GB"/>
              </w:rPr>
              <w:t>cultural good).</w:t>
            </w:r>
          </w:p>
          <w:p w14:paraId="69BC3A4D"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The works completion reception certificate, the ex-ante energy audit report and the ex-post Energy Performance shall be provided as evidence for the achievement of the target.</w:t>
            </w:r>
          </w:p>
        </w:tc>
      </w:tr>
      <w:tr w:rsidR="000A4598" w:rsidRPr="00BE3F16" w14:paraId="2F95D327" w14:textId="77777777" w:rsidTr="008A021B">
        <w:trPr>
          <w:trHeight w:val="309"/>
          <w:jc w:val="center"/>
        </w:trPr>
        <w:tc>
          <w:tcPr>
            <w:tcW w:w="779" w:type="dxa"/>
            <w:shd w:val="clear" w:color="auto" w:fill="C6EFCE"/>
            <w:noWrap/>
          </w:tcPr>
          <w:p w14:paraId="559FE3DA" w14:textId="77777777" w:rsidR="000A4598" w:rsidRPr="00BE3F16" w:rsidRDefault="000A4598">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106</w:t>
            </w:r>
          </w:p>
        </w:tc>
        <w:tc>
          <w:tcPr>
            <w:tcW w:w="1496" w:type="dxa"/>
            <w:shd w:val="clear" w:color="auto" w:fill="C6EFCE"/>
            <w:noWrap/>
          </w:tcPr>
          <w:p w14:paraId="71F4FF07"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Investment 1.</w:t>
            </w:r>
          </w:p>
          <w:p w14:paraId="5EE8B1C4"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Establishment of a renovation wave fund to finance works to increase the energy efficiency of the existing building stock</w:t>
            </w:r>
          </w:p>
        </w:tc>
        <w:tc>
          <w:tcPr>
            <w:tcW w:w="1320" w:type="dxa"/>
            <w:shd w:val="clear" w:color="auto" w:fill="C6EFCE"/>
            <w:noWrap/>
          </w:tcPr>
          <w:p w14:paraId="1FF8A0B8" w14:textId="77777777" w:rsidR="000A4598" w:rsidRPr="00BE3F16" w:rsidRDefault="000A4598">
            <w:pPr>
              <w:spacing w:after="0" w:line="240" w:lineRule="auto"/>
              <w:jc w:val="center"/>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Target</w:t>
            </w:r>
          </w:p>
        </w:tc>
        <w:tc>
          <w:tcPr>
            <w:tcW w:w="1645" w:type="dxa"/>
            <w:shd w:val="clear" w:color="auto" w:fill="C6EFCE"/>
            <w:noWrap/>
          </w:tcPr>
          <w:p w14:paraId="203A77A1"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Energy renovation of public buildings </w:t>
            </w:r>
          </w:p>
        </w:tc>
        <w:tc>
          <w:tcPr>
            <w:tcW w:w="1701" w:type="dxa"/>
            <w:shd w:val="clear" w:color="auto" w:fill="C6EFCE"/>
            <w:noWrap/>
          </w:tcPr>
          <w:p w14:paraId="7E0C2B95"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276" w:type="dxa"/>
            <w:shd w:val="clear" w:color="auto" w:fill="C6EFCE"/>
            <w:noWrap/>
          </w:tcPr>
          <w:p w14:paraId="33F0FA00"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Number (m</w:t>
            </w:r>
            <w:r w:rsidRPr="00BE3F16">
              <w:rPr>
                <w:rFonts w:ascii="Times New Roman" w:hAnsi="Times New Roman" w:cs="Times New Roman"/>
                <w:noProof/>
                <w:sz w:val="20"/>
                <w:szCs w:val="20"/>
                <w:vertAlign w:val="superscript"/>
                <w:lang w:val="en-GB"/>
              </w:rPr>
              <w:t>2</w:t>
            </w:r>
            <w:r w:rsidRPr="00BE3F16">
              <w:rPr>
                <w:rFonts w:ascii="Times New Roman" w:hAnsi="Times New Roman" w:cs="Times New Roman"/>
                <w:noProof/>
                <w:sz w:val="20"/>
                <w:szCs w:val="20"/>
                <w:lang w:val="en-GB"/>
              </w:rPr>
              <w:t>)</w:t>
            </w:r>
          </w:p>
        </w:tc>
        <w:tc>
          <w:tcPr>
            <w:tcW w:w="1018" w:type="dxa"/>
            <w:shd w:val="clear" w:color="auto" w:fill="C6EFCE"/>
            <w:noWrap/>
          </w:tcPr>
          <w:p w14:paraId="3EB3AA0B"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0</w:t>
            </w:r>
          </w:p>
        </w:tc>
        <w:tc>
          <w:tcPr>
            <w:tcW w:w="1560" w:type="dxa"/>
            <w:shd w:val="clear" w:color="auto" w:fill="C6EFCE"/>
            <w:noWrap/>
          </w:tcPr>
          <w:p w14:paraId="0D8F2BE2" w14:textId="1B0B2260"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286</w:t>
            </w:r>
            <w:r w:rsidR="00932F41">
              <w:rPr>
                <w:rFonts w:ascii="Times New Roman" w:hAnsi="Times New Roman" w:cs="Times New Roman"/>
                <w:noProof/>
                <w:sz w:val="20"/>
                <w:szCs w:val="20"/>
                <w:lang w:val="en-GB"/>
              </w:rPr>
              <w:t> </w:t>
            </w:r>
            <w:r w:rsidRPr="00BE3F16">
              <w:rPr>
                <w:rFonts w:ascii="Times New Roman" w:hAnsi="Times New Roman" w:cs="Times New Roman"/>
                <w:noProof/>
                <w:sz w:val="20"/>
                <w:szCs w:val="20"/>
                <w:lang w:val="en-GB"/>
              </w:rPr>
              <w:t>709</w:t>
            </w:r>
          </w:p>
        </w:tc>
        <w:tc>
          <w:tcPr>
            <w:tcW w:w="960" w:type="dxa"/>
            <w:shd w:val="clear" w:color="auto" w:fill="C6EFCE"/>
            <w:noWrap/>
          </w:tcPr>
          <w:p w14:paraId="4893464E"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Q2</w:t>
            </w:r>
          </w:p>
        </w:tc>
        <w:tc>
          <w:tcPr>
            <w:tcW w:w="714" w:type="dxa"/>
            <w:shd w:val="clear" w:color="auto" w:fill="C6EFCE"/>
            <w:noWrap/>
          </w:tcPr>
          <w:p w14:paraId="54FD09EF"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hAnsi="Times New Roman" w:cs="Times New Roman"/>
                <w:noProof/>
                <w:sz w:val="20"/>
                <w:szCs w:val="20"/>
                <w:lang w:val="en-GB"/>
              </w:rPr>
              <w:t>2026</w:t>
            </w:r>
          </w:p>
        </w:tc>
        <w:tc>
          <w:tcPr>
            <w:tcW w:w="3261" w:type="dxa"/>
            <w:shd w:val="clear" w:color="auto" w:fill="C6EFCE"/>
            <w:noWrap/>
          </w:tcPr>
          <w:p w14:paraId="0A72E95F"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eastAsia="Aptos" w:hAnsi="Times New Roman" w:cs="Times New Roman"/>
                <w:noProof/>
                <w:sz w:val="20"/>
                <w:szCs w:val="20"/>
                <w:lang w:val="en-GB"/>
              </w:rPr>
              <w:t>The energy renovation of public buildings shall cover:</w:t>
            </w:r>
          </w:p>
          <w:p w14:paraId="756FA94A" w14:textId="5E5DBEA5" w:rsidR="000A4598" w:rsidRPr="00BE3F16" w:rsidRDefault="000A4598" w:rsidP="000A4598">
            <w:pPr>
              <w:pStyle w:val="ListParagraph"/>
              <w:numPr>
                <w:ilvl w:val="0"/>
                <w:numId w:val="12"/>
              </w:num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25 253 m2 integrated projects </w:t>
            </w:r>
            <w:r w:rsidRPr="00BE3F16">
              <w:rPr>
                <w:rFonts w:ascii="Times New Roman" w:eastAsia="Times New Roman" w:hAnsi="Times New Roman" w:cs="Times New Roman"/>
                <w:noProof/>
                <w:sz w:val="20"/>
                <w:szCs w:val="20"/>
                <w:lang w:val="en-GB"/>
              </w:rPr>
              <w:t xml:space="preserve">with a </w:t>
            </w:r>
            <w:r w:rsidRPr="00BE3F16">
              <w:rPr>
                <w:rFonts w:ascii="Times New Roman" w:eastAsia="Aptos" w:hAnsi="Times New Roman" w:cs="Times New Roman"/>
                <w:noProof/>
                <w:sz w:val="20"/>
                <w:szCs w:val="20"/>
                <w:lang w:val="en-GB"/>
              </w:rPr>
              <w:t>minimum of 30% of primary energy demand savings</w:t>
            </w:r>
            <w:r w:rsidRPr="00BE3F16">
              <w:rPr>
                <w:rFonts w:ascii="Times New Roman" w:hAnsi="Times New Roman" w:cs="Times New Roman"/>
                <w:noProof/>
                <w:sz w:val="20"/>
                <w:szCs w:val="20"/>
                <w:lang w:val="en-GB"/>
              </w:rPr>
              <w:t>,</w:t>
            </w:r>
            <w:r w:rsidR="00D23D91" w:rsidRPr="00BE3F16">
              <w:rPr>
                <w:rFonts w:ascii="Times New Roman" w:hAnsi="Times New Roman" w:cs="Times New Roman"/>
                <w:noProof/>
                <w:sz w:val="20"/>
                <w:szCs w:val="20"/>
                <w:lang w:val="en-GB"/>
              </w:rPr>
              <w:t xml:space="preserve"> </w:t>
            </w:r>
          </w:p>
          <w:p w14:paraId="57BE7C89" w14:textId="77777777" w:rsidR="000A4598" w:rsidRPr="00BE3F16" w:rsidRDefault="000A4598" w:rsidP="000A4598">
            <w:pPr>
              <w:pStyle w:val="ListParagraph"/>
              <w:numPr>
                <w:ilvl w:val="0"/>
                <w:numId w:val="12"/>
              </w:num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216 456 m2 moderate renovation (which means a </w:t>
            </w:r>
            <w:r w:rsidRPr="00BE3F16">
              <w:rPr>
                <w:rFonts w:ascii="Times New Roman" w:eastAsia="Times New Roman" w:hAnsi="Times New Roman" w:cs="Times New Roman"/>
                <w:noProof/>
                <w:sz w:val="20"/>
                <w:szCs w:val="20"/>
                <w:lang w:val="en-GB"/>
              </w:rPr>
              <w:t xml:space="preserve">renovation with a </w:t>
            </w:r>
            <w:r w:rsidRPr="00BE3F16">
              <w:rPr>
                <w:rFonts w:ascii="Times New Roman" w:hAnsi="Times New Roman" w:cs="Times New Roman"/>
                <w:noProof/>
                <w:sz w:val="20"/>
                <w:szCs w:val="20"/>
                <w:lang w:val="en-GB"/>
              </w:rPr>
              <w:t xml:space="preserve">minimum of 30% of primary energy demand savings), </w:t>
            </w:r>
          </w:p>
          <w:p w14:paraId="41BC68F7" w14:textId="77777777" w:rsidR="000A4598" w:rsidRPr="00BE3F16" w:rsidRDefault="000A4598" w:rsidP="000A4598">
            <w:pPr>
              <w:pStyle w:val="ListParagraph"/>
              <w:numPr>
                <w:ilvl w:val="0"/>
                <w:numId w:val="12"/>
              </w:num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45 000 m2 deep renovation (which means a </w:t>
            </w:r>
            <w:r w:rsidRPr="00BE3F16">
              <w:rPr>
                <w:rFonts w:ascii="Times New Roman" w:eastAsia="Times New Roman" w:hAnsi="Times New Roman" w:cs="Times New Roman"/>
                <w:noProof/>
                <w:sz w:val="20"/>
                <w:szCs w:val="20"/>
                <w:lang w:val="en-GB"/>
              </w:rPr>
              <w:t xml:space="preserve">renovation with a </w:t>
            </w:r>
            <w:r w:rsidRPr="00BE3F16">
              <w:rPr>
                <w:rFonts w:ascii="Times New Roman" w:hAnsi="Times New Roman" w:cs="Times New Roman"/>
                <w:noProof/>
                <w:sz w:val="20"/>
                <w:szCs w:val="20"/>
                <w:lang w:val="en-GB"/>
              </w:rPr>
              <w:t>minimum of 60% of primary energy demand savings).</w:t>
            </w:r>
          </w:p>
          <w:p w14:paraId="7413935C"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rPr>
            </w:pPr>
            <w:r w:rsidRPr="00BE3F16">
              <w:rPr>
                <w:rFonts w:ascii="Times New Roman" w:eastAsia="Times New Roman" w:hAnsi="Times New Roman" w:cs="Times New Roman"/>
                <w:noProof/>
                <w:sz w:val="20"/>
                <w:szCs w:val="20"/>
                <w:lang w:val="en-GB"/>
              </w:rPr>
              <w:t xml:space="preserve">The energy renovation shall result in a </w:t>
            </w:r>
            <w:r w:rsidRPr="00BE3F16">
              <w:rPr>
                <w:rFonts w:ascii="Times New Roman" w:hAnsi="Times New Roman" w:cs="Times New Roman"/>
                <w:noProof/>
                <w:sz w:val="20"/>
                <w:szCs w:val="20"/>
                <w:lang w:val="en-GB"/>
              </w:rPr>
              <w:t>minimum reduction of energy consumption by at least 50% compared to the annual energy consumption for heating prior to the renovation for each building (except for building with a status of a cultural good).</w:t>
            </w:r>
          </w:p>
          <w:p w14:paraId="2E092323"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The works completion reception certificate, the ex-ante energy audit report and the ex-post Energy Performance Certificate shall be provided as evidence for the achievement of the target.</w:t>
            </w:r>
          </w:p>
        </w:tc>
      </w:tr>
      <w:tr w:rsidR="000A4598" w:rsidRPr="00BE3F16" w14:paraId="48D228F4" w14:textId="77777777" w:rsidTr="008A021B">
        <w:trPr>
          <w:trHeight w:val="309"/>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21D2460D" w14:textId="77777777" w:rsidR="000A4598" w:rsidRPr="00BE3F16" w:rsidRDefault="000A4598">
            <w:pPr>
              <w:spacing w:after="0" w:line="240" w:lineRule="auto"/>
              <w:jc w:val="cente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107</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1AD6341F"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Investment 2. Publication of the National Digital Building Register</w:t>
            </w:r>
          </w:p>
        </w:tc>
        <w:tc>
          <w:tcPr>
            <w:tcW w:w="1320" w:type="dxa"/>
            <w:tcBorders>
              <w:top w:val="single" w:sz="4" w:space="0" w:color="auto"/>
              <w:left w:val="single" w:sz="4" w:space="0" w:color="auto"/>
              <w:bottom w:val="single" w:sz="4" w:space="0" w:color="auto"/>
              <w:right w:val="single" w:sz="4" w:space="0" w:color="auto"/>
            </w:tcBorders>
            <w:shd w:val="clear" w:color="auto" w:fill="C6EFCE"/>
            <w:noWrap/>
          </w:tcPr>
          <w:p w14:paraId="269A431C" w14:textId="77777777" w:rsidR="000A4598" w:rsidRPr="00BE3F16" w:rsidRDefault="000A4598">
            <w:pPr>
              <w:spacing w:after="0" w:line="240" w:lineRule="auto"/>
              <w:jc w:val="center"/>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Milestone</w:t>
            </w:r>
          </w:p>
        </w:tc>
        <w:tc>
          <w:tcPr>
            <w:tcW w:w="1645" w:type="dxa"/>
            <w:tcBorders>
              <w:top w:val="single" w:sz="4" w:space="0" w:color="auto"/>
              <w:left w:val="single" w:sz="4" w:space="0" w:color="auto"/>
              <w:bottom w:val="single" w:sz="4" w:space="0" w:color="auto"/>
              <w:right w:val="single" w:sz="4" w:space="0" w:color="auto"/>
            </w:tcBorders>
            <w:shd w:val="clear" w:color="auto" w:fill="C6EFCE"/>
            <w:noWrap/>
          </w:tcPr>
          <w:p w14:paraId="070D4558"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National Digital Building Register published </w:t>
            </w:r>
            <w:r w:rsidRPr="00BE3F16">
              <w:rPr>
                <w:rFonts w:ascii="Times New Roman" w:hAnsi="Times New Roman" w:cs="Times New Roman"/>
                <w:noProof/>
                <w:sz w:val="20"/>
                <w:szCs w:val="20"/>
              </w:rPr>
              <w:br/>
            </w:r>
          </w:p>
        </w:tc>
        <w:tc>
          <w:tcPr>
            <w:tcW w:w="1701" w:type="dxa"/>
            <w:tcBorders>
              <w:top w:val="single" w:sz="4" w:space="0" w:color="auto"/>
              <w:left w:val="nil"/>
              <w:bottom w:val="single" w:sz="4" w:space="0" w:color="auto"/>
              <w:right w:val="single" w:sz="4" w:space="0" w:color="auto"/>
            </w:tcBorders>
            <w:shd w:val="clear" w:color="auto" w:fill="C6EFCE"/>
            <w:noWrap/>
          </w:tcPr>
          <w:p w14:paraId="2329EEFA"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r w:rsidRPr="00BE3F16">
              <w:rPr>
                <w:rFonts w:ascii="Times New Roman" w:hAnsi="Times New Roman" w:cs="Times New Roman"/>
                <w:noProof/>
                <w:sz w:val="20"/>
                <w:szCs w:val="20"/>
                <w:lang w:val="en-GB"/>
              </w:rPr>
              <w:t>The national digital building register is available online, with a pilot section that includes the information related to the buildings renovated through the national recovery and resilience plan</w:t>
            </w:r>
          </w:p>
        </w:tc>
        <w:tc>
          <w:tcPr>
            <w:tcW w:w="1276" w:type="dxa"/>
            <w:tcBorders>
              <w:top w:val="single" w:sz="4" w:space="0" w:color="auto"/>
              <w:left w:val="nil"/>
              <w:bottom w:val="single" w:sz="4" w:space="0" w:color="auto"/>
              <w:right w:val="single" w:sz="4" w:space="0" w:color="auto"/>
            </w:tcBorders>
            <w:shd w:val="clear" w:color="auto" w:fill="C6EFCE"/>
            <w:noWrap/>
          </w:tcPr>
          <w:p w14:paraId="1AC1B487" w14:textId="77777777" w:rsidR="000A4598" w:rsidRPr="00BE3F16" w:rsidRDefault="000A4598">
            <w:pPr>
              <w:spacing w:after="0" w:line="240" w:lineRule="auto"/>
              <w:jc w:val="both"/>
              <w:rPr>
                <w:rFonts w:ascii="Times New Roman" w:hAnsi="Times New Roman" w:cs="Times New Roman"/>
                <w:noProof/>
                <w:sz w:val="20"/>
                <w:szCs w:val="20"/>
                <w:lang w:val="en-GB"/>
              </w:rPr>
            </w:pPr>
          </w:p>
        </w:tc>
        <w:tc>
          <w:tcPr>
            <w:tcW w:w="1018" w:type="dxa"/>
            <w:tcBorders>
              <w:top w:val="single" w:sz="4" w:space="0" w:color="auto"/>
              <w:left w:val="nil"/>
              <w:bottom w:val="single" w:sz="4" w:space="0" w:color="auto"/>
              <w:right w:val="single" w:sz="4" w:space="0" w:color="auto"/>
            </w:tcBorders>
            <w:shd w:val="clear" w:color="auto" w:fill="C6EFCE"/>
            <w:noWrap/>
          </w:tcPr>
          <w:p w14:paraId="1437725E" w14:textId="77777777" w:rsidR="000A4598" w:rsidRPr="00BE3F16" w:rsidRDefault="000A4598">
            <w:pPr>
              <w:spacing w:after="0" w:line="240" w:lineRule="auto"/>
              <w:jc w:val="both"/>
              <w:rPr>
                <w:rFonts w:ascii="Times New Roman" w:hAnsi="Times New Roman" w:cs="Times New Roman"/>
                <w:noProof/>
                <w:sz w:val="20"/>
                <w:szCs w:val="20"/>
                <w:lang w:val="en-GB"/>
              </w:rPr>
            </w:pPr>
          </w:p>
        </w:tc>
        <w:tc>
          <w:tcPr>
            <w:tcW w:w="1560" w:type="dxa"/>
            <w:tcBorders>
              <w:top w:val="single" w:sz="4" w:space="0" w:color="auto"/>
              <w:left w:val="nil"/>
              <w:bottom w:val="single" w:sz="4" w:space="0" w:color="auto"/>
              <w:right w:val="single" w:sz="4" w:space="0" w:color="auto"/>
            </w:tcBorders>
            <w:shd w:val="clear" w:color="auto" w:fill="C6EFCE"/>
            <w:noWrap/>
          </w:tcPr>
          <w:p w14:paraId="2E2B3307" w14:textId="77777777" w:rsidR="000A4598" w:rsidRPr="00BE3F16" w:rsidRDefault="000A4598">
            <w:pPr>
              <w:spacing w:after="0" w:line="240" w:lineRule="auto"/>
              <w:jc w:val="both"/>
              <w:rPr>
                <w:rFonts w:ascii="Times New Roman" w:hAnsi="Times New Roman" w:cs="Times New Roman"/>
                <w:noProof/>
                <w:sz w:val="20"/>
                <w:szCs w:val="20"/>
                <w:lang w:val="en-GB"/>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tcPr>
          <w:p w14:paraId="4A5153D5"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Q2</w:t>
            </w:r>
          </w:p>
        </w:tc>
        <w:tc>
          <w:tcPr>
            <w:tcW w:w="714" w:type="dxa"/>
            <w:tcBorders>
              <w:top w:val="single" w:sz="4" w:space="0" w:color="auto"/>
              <w:left w:val="nil"/>
              <w:bottom w:val="single" w:sz="4" w:space="0" w:color="auto"/>
              <w:right w:val="single" w:sz="4" w:space="0" w:color="auto"/>
            </w:tcBorders>
            <w:shd w:val="clear" w:color="auto" w:fill="C6EFCE"/>
            <w:noWrap/>
          </w:tcPr>
          <w:p w14:paraId="2D09E660"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2026</w:t>
            </w:r>
          </w:p>
        </w:tc>
        <w:tc>
          <w:tcPr>
            <w:tcW w:w="3261" w:type="dxa"/>
            <w:tcBorders>
              <w:top w:val="single" w:sz="4" w:space="0" w:color="auto"/>
              <w:left w:val="single" w:sz="4" w:space="0" w:color="auto"/>
              <w:bottom w:val="single" w:sz="4" w:space="0" w:color="auto"/>
              <w:right w:val="single" w:sz="4" w:space="0" w:color="auto"/>
            </w:tcBorders>
            <w:shd w:val="clear" w:color="auto" w:fill="C6EFCE"/>
            <w:noWrap/>
          </w:tcPr>
          <w:p w14:paraId="6FD7BC1A"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The national digital register shall monitor energy efficiency renovation data (energy savings, emissions reduction), and seismic vulnerability data.</w:t>
            </w:r>
          </w:p>
          <w:p w14:paraId="4258195F" w14:textId="77777777" w:rsidR="000A4598" w:rsidRPr="00BE3F16" w:rsidRDefault="000A4598">
            <w:pPr>
              <w:spacing w:after="0" w:line="240" w:lineRule="auto"/>
              <w:jc w:val="both"/>
              <w:rPr>
                <w:rFonts w:ascii="Times New Roman" w:hAnsi="Times New Roman" w:cs="Times New Roman"/>
                <w:noProof/>
                <w:sz w:val="20"/>
                <w:szCs w:val="20"/>
                <w:lang w:val="en-GB"/>
              </w:rPr>
            </w:pPr>
            <w:r w:rsidRPr="00BE3F16">
              <w:rPr>
                <w:rFonts w:ascii="Times New Roman" w:hAnsi="Times New Roman" w:cs="Times New Roman"/>
                <w:noProof/>
                <w:sz w:val="20"/>
                <w:szCs w:val="20"/>
                <w:lang w:val="en-GB"/>
              </w:rPr>
              <w:t xml:space="preserve">The building register shall contain a geo-referenced database of public and private buildings, complementary to the INSPIRE geoportal, linked and interoperable with urban data bases at local level and other national registers systems. Logbooks shall be part of the national digital building register as an integrated system. The building energy passports shall be part of the logbooks and contain all information on energy-related interventions in digital format. </w:t>
            </w:r>
          </w:p>
        </w:tc>
      </w:tr>
      <w:bookmarkEnd w:id="4"/>
    </w:tbl>
    <w:p w14:paraId="4179F181" w14:textId="77777777" w:rsidR="000A4598" w:rsidRPr="00291374" w:rsidRDefault="000A4598" w:rsidP="000A4598">
      <w:pPr>
        <w:spacing w:before="120" w:after="120" w:line="240" w:lineRule="auto"/>
        <w:jc w:val="both"/>
        <w:rPr>
          <w:rFonts w:ascii="Times New Roman" w:hAnsi="Times New Roman" w:cs="Times New Roman"/>
          <w:noProof/>
          <w:lang w:val="en-GB"/>
        </w:rPr>
        <w:sectPr w:rsidR="000A4598" w:rsidRPr="00291374" w:rsidSect="000A4598">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20"/>
          <w:docGrid w:linePitch="360"/>
        </w:sectPr>
      </w:pPr>
    </w:p>
    <w:p w14:paraId="6C1A7FA3" w14:textId="77777777" w:rsidR="00145434" w:rsidRPr="00145434" w:rsidRDefault="00145434" w:rsidP="00145434">
      <w:pPr>
        <w:keepNext/>
        <w:numPr>
          <w:ilvl w:val="0"/>
          <w:numId w:val="1"/>
        </w:numPr>
        <w:tabs>
          <w:tab w:val="left" w:pos="850"/>
        </w:tabs>
        <w:spacing w:before="360" w:after="120" w:line="240" w:lineRule="auto"/>
        <w:jc w:val="both"/>
        <w:outlineLvl w:val="0"/>
        <w:rPr>
          <w:rFonts w:ascii="Times New Roman" w:eastAsia="Aptos" w:hAnsi="Times New Roman" w:cs="Times New Roman"/>
          <w:b/>
          <w:bCs/>
          <w:smallCaps/>
          <w:noProof/>
          <w:kern w:val="2"/>
          <w:lang w:val="en-GB" w:eastAsia="en-US"/>
          <w14:ligatures w14:val="standardContextual"/>
        </w:rPr>
      </w:pPr>
      <w:r w:rsidRPr="00145434">
        <w:rPr>
          <w:rFonts w:ascii="Times New Roman" w:eastAsia="Aptos" w:hAnsi="Times New Roman" w:cs="Times New Roman"/>
          <w:b/>
          <w:smallCaps/>
          <w:noProof/>
          <w:kern w:val="2"/>
          <w:szCs w:val="22"/>
          <w:lang w:val="en-GB" w:eastAsia="en-US"/>
          <w14:ligatures w14:val="standardContextual"/>
        </w:rPr>
        <w:t xml:space="preserve">COMPONENT 6: Energy </w:t>
      </w:r>
    </w:p>
    <w:p w14:paraId="4F9F7DFC" w14:textId="77777777" w:rsidR="00145434" w:rsidRPr="00145434" w:rsidRDefault="00145434" w:rsidP="00145434">
      <w:pPr>
        <w:spacing w:before="120" w:after="120" w:line="240" w:lineRule="auto"/>
        <w:jc w:val="both"/>
        <w:rPr>
          <w:rFonts w:ascii="Times New Roman" w:eastAsia="Aptos" w:hAnsi="Times New Roman" w:cs="Times New Roman"/>
          <w:noProof/>
          <w:kern w:val="2"/>
          <w:lang w:val="en-GB" w:eastAsia="en-US"/>
          <w14:ligatures w14:val="standardContextual"/>
        </w:rPr>
      </w:pPr>
      <w:r w:rsidRPr="00145434">
        <w:rPr>
          <w:rFonts w:ascii="Times New Roman" w:eastAsia="Aptos" w:hAnsi="Times New Roman" w:cs="Times New Roman"/>
          <w:noProof/>
          <w:kern w:val="2"/>
          <w:szCs w:val="22"/>
          <w:lang w:val="en-GB" w:eastAsia="en-US"/>
          <w14:ligatures w14:val="standardContextual"/>
        </w:rPr>
        <w:t>The energy sector is the largest source (66 %) of greenhouse gas (GHG) emissions in Romania. In its National Energy and Climate Plan (NECP) Romania estimates approximately EUR 22,6 billion of investment needs in the energy sector over 2021-2030 to achieve the NECP 2030 policy objectives.</w:t>
      </w:r>
    </w:p>
    <w:p w14:paraId="34B10A6F" w14:textId="77777777" w:rsidR="00145434" w:rsidRPr="00145434" w:rsidRDefault="00145434" w:rsidP="00145434">
      <w:pPr>
        <w:spacing w:before="120" w:after="120" w:line="240" w:lineRule="auto"/>
        <w:jc w:val="both"/>
        <w:rPr>
          <w:rFonts w:ascii="Times New Roman" w:eastAsia="Aptos" w:hAnsi="Times New Roman" w:cs="Times New Roman"/>
          <w:noProof/>
          <w:kern w:val="2"/>
          <w:lang w:val="en-GB" w:eastAsia="en-US"/>
          <w14:ligatures w14:val="standardContextual"/>
        </w:rPr>
      </w:pPr>
      <w:r w:rsidRPr="00145434">
        <w:rPr>
          <w:rFonts w:ascii="Times New Roman" w:eastAsia="Aptos" w:hAnsi="Times New Roman" w:cs="Times New Roman"/>
          <w:noProof/>
          <w:kern w:val="2"/>
          <w:lang w:val="en-GB" w:eastAsia="en-US"/>
          <w14:ligatures w14:val="standardContextual"/>
        </w:rPr>
        <w:t xml:space="preserve">The objective of the component is to address the main challenges of the Romanian energy sector in terms of decarbonisation and air pollution. In particular, it aims to accelerate the decarbonisation of the energy sector by phasing-out lignite and coal fired-power plants by 2032 and by facilitating the deployment of renewables and alternative energy sources, such as green hydrogen. It also aims to increase the flexibility of the electricity grid, digitalise the energy sector, and reduce the energy intensity of industry. The component also intends to </w:t>
      </w:r>
      <w:r w:rsidRPr="00145434">
        <w:rPr>
          <w:rFonts w:ascii="Times New Roman" w:eastAsia="Aptos" w:hAnsi="Times New Roman" w:cs="Times New Roman"/>
          <w:noProof/>
          <w:kern w:val="2"/>
          <w:szCs w:val="22"/>
          <w:lang w:val="en-GB" w:eastAsia="en-US"/>
          <w14:ligatures w14:val="standardContextual"/>
        </w:rPr>
        <w:t>improve</w:t>
      </w:r>
      <w:r w:rsidRPr="00145434">
        <w:rPr>
          <w:rFonts w:ascii="Times New Roman" w:eastAsia="Aptos" w:hAnsi="Times New Roman" w:cs="Times New Roman"/>
          <w:noProof/>
          <w:kern w:val="2"/>
          <w:lang w:val="en-GB" w:eastAsia="en-US"/>
          <w14:ligatures w14:val="standardContextual"/>
        </w:rPr>
        <w:t xml:space="preserve"> the corporate governance of state-owned enterprises in the energy sector.</w:t>
      </w:r>
    </w:p>
    <w:p w14:paraId="06EA0EA8" w14:textId="77777777" w:rsidR="00145434" w:rsidRPr="00145434" w:rsidRDefault="00145434" w:rsidP="00145434">
      <w:pPr>
        <w:spacing w:before="120" w:after="120" w:line="240" w:lineRule="auto"/>
        <w:jc w:val="both"/>
        <w:rPr>
          <w:rFonts w:ascii="Times New Roman" w:eastAsia="Aptos" w:hAnsi="Times New Roman" w:cs="Times New Roman"/>
          <w:noProof/>
          <w:kern w:val="2"/>
          <w:lang w:val="en-GB" w:eastAsia="en-US"/>
          <w14:ligatures w14:val="standardContextual"/>
        </w:rPr>
      </w:pPr>
      <w:r w:rsidRPr="00145434">
        <w:rPr>
          <w:rFonts w:ascii="Times New Roman" w:eastAsia="Aptos" w:hAnsi="Times New Roman" w:cs="Times New Roman"/>
          <w:noProof/>
          <w:kern w:val="2"/>
          <w:szCs w:val="22"/>
          <w:lang w:val="en-GB" w:eastAsia="en-US"/>
          <w14:ligatures w14:val="standardContextual"/>
        </w:rPr>
        <w:t>These investments and reforms shall address Romania’s country-specific recommendations of the past two years to “focus investment-related economic policy on […] low carbon and energy efficiency” (country-specific recommendation 4, 2019) and to “focus on investments for the green […] transition, in particular on clean and efficient production and use of energy and environmental infrastructure, including in the coal regions” (country-specific recommendation 3, 2020).</w:t>
      </w:r>
    </w:p>
    <w:p w14:paraId="5C40FDB3" w14:textId="77777777" w:rsidR="00145434" w:rsidRPr="00145434" w:rsidRDefault="00145434" w:rsidP="00145434">
      <w:pPr>
        <w:spacing w:before="120" w:after="120" w:line="240" w:lineRule="auto"/>
        <w:jc w:val="both"/>
        <w:rPr>
          <w:rFonts w:ascii="Times New Roman" w:eastAsia="Aptos" w:hAnsi="Times New Roman" w:cs="Times New Roman"/>
          <w:noProof/>
          <w:kern w:val="2"/>
          <w:lang w:val="en-GB" w:eastAsia="en-US"/>
          <w14:ligatures w14:val="standardContextual"/>
        </w:rPr>
      </w:pPr>
      <w:r w:rsidRPr="00145434">
        <w:rPr>
          <w:rFonts w:ascii="Times New Roman" w:eastAsia="Aptos" w:hAnsi="Times New Roman" w:cs="Times New Roman"/>
          <w:noProof/>
          <w:kern w:val="2"/>
          <w:szCs w:val="22"/>
          <w:lang w:val="en-GB" w:eastAsia="en-US"/>
          <w14:ligatures w14:val="standardContextual"/>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4519E7C" w14:textId="77777777" w:rsidR="00145434" w:rsidRPr="00145434" w:rsidRDefault="00145434" w:rsidP="00145434">
      <w:pPr>
        <w:keepNext/>
        <w:spacing w:before="120" w:after="120" w:line="240" w:lineRule="auto"/>
        <w:jc w:val="both"/>
        <w:outlineLvl w:val="1"/>
        <w:rPr>
          <w:rFonts w:ascii="Times New Roman" w:eastAsia="Yu Gothic Light" w:hAnsi="Times New Roman" w:cs="Times New Roman"/>
          <w:b/>
          <w:bCs/>
          <w:noProof/>
          <w:kern w:val="2"/>
          <w:lang w:val="en-GB" w:eastAsia="en-US"/>
          <w14:ligatures w14:val="standardContextual"/>
        </w:rPr>
      </w:pPr>
      <w:r w:rsidRPr="00145434">
        <w:rPr>
          <w:rFonts w:ascii="Times New Roman" w:eastAsia="Aptos" w:hAnsi="Times New Roman" w:cs="Times New Roman"/>
          <w:b/>
          <w:noProof/>
          <w:kern w:val="2"/>
          <w:szCs w:val="22"/>
          <w:lang w:val="en-GB" w:eastAsia="en-US"/>
          <w14:ligatures w14:val="standardContextual"/>
        </w:rPr>
        <w:t xml:space="preserve">F.1. </w:t>
      </w:r>
      <w:r w:rsidRPr="00145434">
        <w:rPr>
          <w:rFonts w:ascii="Times New Roman" w:eastAsia="Aptos" w:hAnsi="Times New Roman" w:cs="Times New Roman"/>
          <w:noProof/>
          <w:kern w:val="2"/>
          <w:sz w:val="22"/>
          <w:szCs w:val="22"/>
          <w:lang w:val="en-GB" w:eastAsia="en-US"/>
          <w14:ligatures w14:val="standardContextual"/>
        </w:rPr>
        <w:tab/>
      </w:r>
      <w:r w:rsidRPr="00145434">
        <w:rPr>
          <w:rFonts w:ascii="Times New Roman" w:eastAsia="Aptos" w:hAnsi="Times New Roman" w:cs="Times New Roman"/>
          <w:b/>
          <w:noProof/>
          <w:kern w:val="2"/>
          <w:szCs w:val="22"/>
          <w:lang w:val="en-GB" w:eastAsia="en-US"/>
          <w14:ligatures w14:val="standardContextual"/>
        </w:rPr>
        <w:t>Description of the reforms and investments for non-repayable financial support</w:t>
      </w:r>
    </w:p>
    <w:p w14:paraId="0A39C874" w14:textId="77777777" w:rsidR="00145434" w:rsidRPr="00145434" w:rsidRDefault="00145434" w:rsidP="00145434">
      <w:pPr>
        <w:suppressAutoHyphens/>
        <w:autoSpaceDN w:val="0"/>
        <w:spacing w:before="240" w:after="0" w:line="240" w:lineRule="auto"/>
        <w:jc w:val="both"/>
        <w:textAlignment w:val="baseline"/>
        <w:rPr>
          <w:rFonts w:ascii="Times New Roman" w:eastAsia="Yu Gothic Light" w:hAnsi="Times New Roman" w:cs="Times New Roman"/>
          <w:noProof/>
          <w:kern w:val="3"/>
          <w:u w:val="single"/>
          <w:lang w:val="en-GB" w:eastAsia="en-US"/>
        </w:rPr>
      </w:pPr>
      <w:r w:rsidRPr="00145434">
        <w:rPr>
          <w:rFonts w:ascii="Times New Roman" w:eastAsia="NSimSun" w:hAnsi="Times New Roman" w:cs="Times New Roman"/>
          <w:noProof/>
          <w:kern w:val="3"/>
          <w:u w:val="single"/>
          <w:lang w:val="en-GB" w:eastAsia="en-US"/>
        </w:rPr>
        <w:t>Reform 1. Electricity market reform, replacement of coal in the energy mix and support for a legislative and regulatory framework for private investment in renewable electricity production</w:t>
      </w:r>
    </w:p>
    <w:p w14:paraId="65CBAF9A" w14:textId="77777777" w:rsidR="00145434" w:rsidRPr="00145434" w:rsidRDefault="00145434" w:rsidP="00145434">
      <w:pPr>
        <w:spacing w:before="120" w:after="120" w:line="240" w:lineRule="auto"/>
        <w:jc w:val="both"/>
        <w:rPr>
          <w:rFonts w:ascii="Times New Roman" w:eastAsia="Times New Roman" w:hAnsi="Times New Roman" w:cs="Times New Roman"/>
          <w:noProof/>
          <w:kern w:val="2"/>
          <w:lang w:val="en-GB" w:eastAsia="en-US"/>
          <w14:ligatures w14:val="standardContextual"/>
        </w:rPr>
      </w:pPr>
      <w:r w:rsidRPr="00145434">
        <w:rPr>
          <w:rFonts w:ascii="Times New Roman" w:eastAsia="Aptos" w:hAnsi="Times New Roman" w:cs="Times New Roman"/>
          <w:noProof/>
          <w:kern w:val="2"/>
          <w:lang w:val="en-GB" w:eastAsia="en-US"/>
          <w14:ligatures w14:val="standardContextual"/>
        </w:rPr>
        <w:t>The objective of this reform is the decarbonisation of the energy sector.</w:t>
      </w:r>
    </w:p>
    <w:p w14:paraId="521CA041" w14:textId="77777777" w:rsidR="00145434" w:rsidRPr="00145434" w:rsidRDefault="00145434" w:rsidP="00145434">
      <w:pPr>
        <w:spacing w:before="120" w:after="120" w:line="240" w:lineRule="auto"/>
        <w:jc w:val="both"/>
        <w:rPr>
          <w:rFonts w:ascii="Times New Roman" w:eastAsia="Times New Roman" w:hAnsi="Times New Roman" w:cs="Times New Roman"/>
          <w:noProof/>
          <w:kern w:val="2"/>
          <w:lang w:val="en-GB" w:eastAsia="en-US"/>
          <w14:ligatures w14:val="standardContextual"/>
        </w:rPr>
      </w:pPr>
      <w:r w:rsidRPr="00145434">
        <w:rPr>
          <w:rFonts w:ascii="Times New Roman" w:eastAsia="Times New Roman" w:hAnsi="Times New Roman" w:cs="Times New Roman"/>
          <w:noProof/>
          <w:kern w:val="2"/>
          <w:lang w:val="en-GB" w:eastAsia="en-US"/>
          <w14:ligatures w14:val="standardContextual"/>
        </w:rPr>
        <w:t>The reform consists in legislative and regulatory acts phasing out coal and enabling increase of renewable electricity generation capacity.</w:t>
      </w:r>
    </w:p>
    <w:p w14:paraId="2F3CBA60" w14:textId="77777777" w:rsidR="00145434" w:rsidRPr="00145434" w:rsidRDefault="00145434" w:rsidP="00145434">
      <w:pPr>
        <w:suppressAutoHyphens/>
        <w:autoSpaceDN w:val="0"/>
        <w:spacing w:before="240" w:after="240" w:line="240" w:lineRule="auto"/>
        <w:jc w:val="both"/>
        <w:textAlignment w:val="baseline"/>
        <w:rPr>
          <w:rFonts w:ascii="Times New Roman" w:eastAsia="NSimSun" w:hAnsi="Times New Roman" w:cs="Times New Roman"/>
          <w:noProof/>
          <w:kern w:val="3"/>
          <w:u w:val="single"/>
          <w:lang w:val="en-GB" w:eastAsia="en-US"/>
        </w:rPr>
      </w:pPr>
      <w:r w:rsidRPr="00145434">
        <w:rPr>
          <w:rFonts w:ascii="Times New Roman" w:eastAsia="NSimSun" w:hAnsi="Times New Roman" w:cs="Times New Roman"/>
          <w:noProof/>
          <w:kern w:val="3"/>
          <w:u w:val="single"/>
          <w:lang w:val="en-GB" w:eastAsia="en-US"/>
        </w:rPr>
        <w:t>Reform 2. Reforming corporate governance of state-owned companies in the energy sector</w:t>
      </w:r>
    </w:p>
    <w:p w14:paraId="47C6C9C5" w14:textId="77777777" w:rsidR="00145434" w:rsidRPr="00145434" w:rsidRDefault="00145434" w:rsidP="00145434">
      <w:pPr>
        <w:suppressAutoHyphens/>
        <w:autoSpaceDN w:val="0"/>
        <w:spacing w:before="120" w:after="120" w:line="240" w:lineRule="auto"/>
        <w:jc w:val="both"/>
        <w:textAlignment w:val="baseline"/>
        <w:rPr>
          <w:rFonts w:ascii="Times New Roman" w:eastAsia="Times New Roman" w:hAnsi="Times New Roman" w:cs="Times New Roman"/>
          <w:noProof/>
          <w:kern w:val="3"/>
          <w:lang w:val="en-GB" w:eastAsia="en-US"/>
        </w:rPr>
      </w:pPr>
      <w:r w:rsidRPr="00145434">
        <w:rPr>
          <w:rFonts w:ascii="Times New Roman" w:eastAsia="Times New Roman" w:hAnsi="Times New Roman" w:cs="Times New Roman"/>
          <w:noProof/>
          <w:kern w:val="3"/>
          <w:lang w:val="en-GB" w:eastAsia="en-US"/>
        </w:rPr>
        <w:t xml:space="preserve">The objective of the reform is to support corporate governance reform of state-owned enterprises in the energy sector. </w:t>
      </w:r>
    </w:p>
    <w:p w14:paraId="30375CB0" w14:textId="77777777" w:rsidR="00145434" w:rsidRPr="00145434" w:rsidRDefault="00145434" w:rsidP="00145434">
      <w:pPr>
        <w:suppressAutoHyphens/>
        <w:autoSpaceDN w:val="0"/>
        <w:spacing w:before="120" w:after="120" w:line="240" w:lineRule="auto"/>
        <w:jc w:val="both"/>
        <w:textAlignment w:val="baseline"/>
        <w:rPr>
          <w:rFonts w:ascii="Times New Roman" w:eastAsia="Times New Roman" w:hAnsi="Times New Roman" w:cs="Times New Roman"/>
          <w:noProof/>
          <w:kern w:val="3"/>
          <w:lang w:val="en-GB" w:eastAsia="en-US"/>
        </w:rPr>
      </w:pPr>
      <w:r w:rsidRPr="00145434">
        <w:rPr>
          <w:rFonts w:ascii="Times New Roman" w:eastAsia="Times New Roman" w:hAnsi="Times New Roman" w:cs="Times New Roman"/>
          <w:noProof/>
          <w:kern w:val="3"/>
          <w:lang w:val="en-GB" w:eastAsia="en-US"/>
        </w:rPr>
        <w:t>The reform consists in selections and apointments of management and supervisory board members on the basis of a transparent and competitive procedure.</w:t>
      </w:r>
    </w:p>
    <w:p w14:paraId="56EBA8C6" w14:textId="77777777" w:rsidR="00145434" w:rsidRPr="00145434" w:rsidRDefault="00145434" w:rsidP="00145434">
      <w:pPr>
        <w:spacing w:line="259" w:lineRule="auto"/>
        <w:jc w:val="both"/>
        <w:rPr>
          <w:rFonts w:ascii="Times New Roman" w:eastAsia="Times New Roman" w:hAnsi="Times New Roman" w:cs="Times New Roman"/>
          <w:noProof/>
          <w:kern w:val="2"/>
          <w:u w:val="single"/>
          <w:lang w:val="en-GB" w:eastAsia="en-US"/>
          <w14:ligatures w14:val="standardContextual"/>
        </w:rPr>
      </w:pPr>
      <w:r w:rsidRPr="00145434">
        <w:rPr>
          <w:rFonts w:ascii="Times New Roman" w:eastAsia="Times New Roman" w:hAnsi="Times New Roman" w:cs="Times New Roman"/>
          <w:noProof/>
          <w:kern w:val="2"/>
          <w:u w:val="single"/>
          <w:lang w:val="en-GB" w:eastAsia="en-US"/>
          <w14:ligatures w14:val="standardContextual"/>
        </w:rPr>
        <w:t xml:space="preserve">Reform 3. Green budgeting </w:t>
      </w:r>
    </w:p>
    <w:p w14:paraId="29B68FCB" w14:textId="77777777" w:rsidR="00145434" w:rsidRPr="00145434" w:rsidRDefault="00145434" w:rsidP="00145434">
      <w:pPr>
        <w:spacing w:line="259" w:lineRule="auto"/>
        <w:jc w:val="both"/>
        <w:rPr>
          <w:rFonts w:ascii="Times New Roman" w:eastAsia="Times New Roman" w:hAnsi="Times New Roman" w:cs="Times New Roman"/>
          <w:noProof/>
          <w:kern w:val="2"/>
          <w:lang w:val="en-GB" w:eastAsia="en-US"/>
          <w14:ligatures w14:val="standardContextual"/>
        </w:rPr>
      </w:pPr>
      <w:r w:rsidRPr="00145434">
        <w:rPr>
          <w:rFonts w:ascii="Times New Roman" w:eastAsia="Times New Roman" w:hAnsi="Times New Roman" w:cs="Times New Roman"/>
          <w:noProof/>
          <w:kern w:val="2"/>
          <w:lang w:val="en-GB" w:eastAsia="en-US"/>
          <w14:ligatures w14:val="standardContextual"/>
        </w:rPr>
        <w:t xml:space="preserve">The objective of this reform is to monitor and assess fiscal policy's impact on climate and environmental objectives. </w:t>
      </w:r>
    </w:p>
    <w:p w14:paraId="5BB72CBF" w14:textId="77777777" w:rsidR="00145434" w:rsidRPr="00145434" w:rsidRDefault="00145434" w:rsidP="00145434">
      <w:pPr>
        <w:spacing w:line="259" w:lineRule="auto"/>
        <w:jc w:val="both"/>
        <w:rPr>
          <w:rFonts w:ascii="Times New Roman" w:eastAsia="Times New Roman" w:hAnsi="Times New Roman" w:cs="Times New Roman"/>
          <w:noProof/>
          <w:kern w:val="2"/>
          <w:lang w:val="en-GB" w:eastAsia="en-US"/>
          <w14:ligatures w14:val="standardContextual"/>
        </w:rPr>
      </w:pPr>
      <w:r w:rsidRPr="00145434">
        <w:rPr>
          <w:rFonts w:ascii="Times New Roman" w:eastAsia="Times New Roman" w:hAnsi="Times New Roman" w:cs="Times New Roman"/>
          <w:noProof/>
          <w:kern w:val="2"/>
          <w:lang w:val="en-GB" w:eastAsia="en-US"/>
          <w14:ligatures w14:val="standardContextual"/>
        </w:rPr>
        <w:t>The reform consists in applying green budgetary practices to the national budget.</w:t>
      </w:r>
    </w:p>
    <w:p w14:paraId="1D3C789A" w14:textId="77777777" w:rsidR="00145434" w:rsidRPr="00145434" w:rsidRDefault="00145434" w:rsidP="00145434">
      <w:pPr>
        <w:suppressAutoHyphens/>
        <w:autoSpaceDN w:val="0"/>
        <w:spacing w:before="240" w:after="0" w:line="240" w:lineRule="auto"/>
        <w:jc w:val="both"/>
        <w:textAlignment w:val="baseline"/>
        <w:rPr>
          <w:rFonts w:ascii="Times New Roman" w:eastAsia="Yu Gothic Light" w:hAnsi="Times New Roman" w:cs="Times New Roman"/>
          <w:noProof/>
          <w:kern w:val="3"/>
          <w:u w:val="single"/>
          <w:lang w:val="en-GB" w:eastAsia="en-US"/>
        </w:rPr>
      </w:pPr>
      <w:r w:rsidRPr="00145434">
        <w:rPr>
          <w:rFonts w:ascii="Times New Roman" w:eastAsia="NSimSun" w:hAnsi="Times New Roman" w:cs="Times New Roman"/>
          <w:noProof/>
          <w:kern w:val="3"/>
          <w:u w:val="single"/>
          <w:lang w:val="en-GB" w:eastAsia="en-US"/>
        </w:rPr>
        <w:t>Investment 2a. Green hydrogen production capacities for the use as electricity storage and/or for the decarbonisation of industry</w:t>
      </w:r>
    </w:p>
    <w:p w14:paraId="33EB5DEC" w14:textId="77777777" w:rsidR="00145434" w:rsidRPr="00145434" w:rsidRDefault="00145434" w:rsidP="00145434">
      <w:pPr>
        <w:spacing w:before="120" w:after="120" w:line="240" w:lineRule="auto"/>
        <w:jc w:val="both"/>
        <w:rPr>
          <w:rFonts w:ascii="Times New Roman" w:eastAsia="Aptos" w:hAnsi="Times New Roman" w:cs="Times New Roman"/>
          <w:noProof/>
          <w:kern w:val="2"/>
          <w:lang w:val="en-GB" w:eastAsia="en-US"/>
          <w14:ligatures w14:val="standardContextual"/>
        </w:rPr>
      </w:pPr>
      <w:r w:rsidRPr="00145434">
        <w:rPr>
          <w:rFonts w:ascii="Times New Roman" w:eastAsia="Aptos" w:hAnsi="Times New Roman" w:cs="Times New Roman"/>
          <w:noProof/>
          <w:kern w:val="2"/>
          <w:lang w:val="en-GB" w:eastAsia="en-US"/>
          <w14:ligatures w14:val="standardContextual"/>
        </w:rPr>
        <w:t xml:space="preserve">The objective of this investment is to support the rollout of green hydrogen production capacities. </w:t>
      </w:r>
    </w:p>
    <w:p w14:paraId="677F067E" w14:textId="6CE2BFDB" w:rsidR="00145434" w:rsidRPr="00145434" w:rsidRDefault="00145434" w:rsidP="00145434">
      <w:pPr>
        <w:spacing w:before="120" w:after="120" w:line="240" w:lineRule="auto"/>
        <w:jc w:val="both"/>
        <w:rPr>
          <w:rFonts w:ascii="Times New Roman" w:eastAsia="Aptos" w:hAnsi="Times New Roman" w:cs="Times New Roman"/>
          <w:noProof/>
          <w:kern w:val="2"/>
          <w:lang w:val="en-GB" w:eastAsia="en-US"/>
          <w14:ligatures w14:val="standardContextual"/>
        </w:rPr>
      </w:pPr>
      <w:r w:rsidRPr="00145434">
        <w:rPr>
          <w:rFonts w:ascii="Times New Roman" w:eastAsia="Aptos" w:hAnsi="Times New Roman" w:cs="Times New Roman"/>
          <w:noProof/>
          <w:kern w:val="2"/>
          <w:lang w:val="en-GB" w:eastAsia="en-US"/>
          <w14:ligatures w14:val="standardContextual"/>
        </w:rPr>
        <w:t>This investment consists in the installation of electrolysers</w:t>
      </w:r>
      <w:r w:rsidR="00D23D91">
        <w:rPr>
          <w:rFonts w:ascii="Times New Roman" w:eastAsia="Aptos" w:hAnsi="Times New Roman" w:cs="Times New Roman"/>
          <w:noProof/>
          <w:kern w:val="2"/>
          <w:lang w:val="en-GB" w:eastAsia="en-US"/>
          <w14:ligatures w14:val="standardContextual"/>
        </w:rPr>
        <w:t xml:space="preserve"> </w:t>
      </w:r>
      <w:r w:rsidRPr="00145434">
        <w:rPr>
          <w:rFonts w:ascii="Times New Roman" w:eastAsia="Aptos" w:hAnsi="Times New Roman" w:cs="Times New Roman"/>
          <w:noProof/>
          <w:kern w:val="2"/>
          <w:lang w:val="en-GB" w:eastAsia="en-US"/>
          <w14:ligatures w14:val="standardContextual"/>
        </w:rPr>
        <w:t>to enable the production of renewable (green) hydrogen.</w:t>
      </w:r>
    </w:p>
    <w:p w14:paraId="0F28EEDC" w14:textId="77777777" w:rsidR="00145434" w:rsidRPr="00145434" w:rsidRDefault="00145434" w:rsidP="00145434">
      <w:pPr>
        <w:spacing w:before="120" w:after="120" w:line="240" w:lineRule="auto"/>
        <w:jc w:val="both"/>
        <w:rPr>
          <w:rFonts w:ascii="Times New Roman" w:eastAsia="Aptos" w:hAnsi="Times New Roman" w:cs="Times New Roman"/>
          <w:noProof/>
          <w:kern w:val="2"/>
          <w:lang w:val="en-GB" w:eastAsia="en-US"/>
          <w14:ligatures w14:val="standardContextual"/>
        </w:rPr>
        <w:sectPr w:rsidR="00145434" w:rsidRPr="00145434" w:rsidSect="00145434">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08"/>
          <w:docGrid w:linePitch="360"/>
        </w:sectPr>
      </w:pPr>
    </w:p>
    <w:p w14:paraId="306034A8" w14:textId="77777777" w:rsidR="00145434" w:rsidRPr="00145434" w:rsidRDefault="00145434" w:rsidP="00145434">
      <w:pPr>
        <w:keepNext/>
        <w:spacing w:before="120" w:after="120" w:line="240" w:lineRule="auto"/>
        <w:jc w:val="both"/>
        <w:outlineLvl w:val="1"/>
        <w:rPr>
          <w:rFonts w:ascii="Times New Roman" w:eastAsia="Yu Gothic Light" w:hAnsi="Times New Roman" w:cs="Times New Roman"/>
          <w:bCs/>
          <w:noProof/>
          <w:kern w:val="2"/>
          <w:u w:val="single"/>
          <w:lang w:val="en-GB" w:eastAsia="en-US"/>
          <w14:ligatures w14:val="standardContextual"/>
        </w:rPr>
      </w:pPr>
      <w:r w:rsidRPr="00145434">
        <w:rPr>
          <w:rFonts w:ascii="Times New Roman" w:eastAsia="Aptos" w:hAnsi="Times New Roman" w:cs="Times New Roman"/>
          <w:b/>
          <w:noProof/>
          <w:kern w:val="2"/>
          <w:szCs w:val="22"/>
          <w:lang w:val="en-GB" w:eastAsia="en-US"/>
          <w14:ligatures w14:val="standardContextual"/>
        </w:rPr>
        <w:t xml:space="preserve">F.2. </w:t>
      </w:r>
      <w:r w:rsidRPr="00145434">
        <w:rPr>
          <w:rFonts w:ascii="Times New Roman" w:eastAsia="Aptos" w:hAnsi="Times New Roman" w:cs="Times New Roman"/>
          <w:noProof/>
          <w:kern w:val="2"/>
          <w:sz w:val="22"/>
          <w:szCs w:val="22"/>
          <w:lang w:val="en-GB" w:eastAsia="en-US"/>
          <w14:ligatures w14:val="standardContextual"/>
        </w:rPr>
        <w:tab/>
      </w:r>
      <w:r w:rsidRPr="00145434">
        <w:rPr>
          <w:rFonts w:ascii="Times New Roman" w:eastAsia="Aptos" w:hAnsi="Times New Roman" w:cs="Times New Roman"/>
          <w:b/>
          <w:noProof/>
          <w:kern w:val="2"/>
          <w:szCs w:val="22"/>
          <w:lang w:val="en-GB" w:eastAsia="en-US"/>
          <w14:ligatures w14:val="standardContextual"/>
        </w:rPr>
        <w:t>Milestones, targets, indicators, and timetable for monitoring and implementation for non-repayable financial support</w:t>
      </w:r>
    </w:p>
    <w:tbl>
      <w:tblPr>
        <w:tblW w:w="15593" w:type="dxa"/>
        <w:jc w:val="center"/>
        <w:tblLayout w:type="fixed"/>
        <w:tblLook w:val="04A0" w:firstRow="1" w:lastRow="0" w:firstColumn="1" w:lastColumn="0" w:noHBand="0" w:noVBand="1"/>
      </w:tblPr>
      <w:tblGrid>
        <w:gridCol w:w="791"/>
        <w:gridCol w:w="1823"/>
        <w:gridCol w:w="1221"/>
        <w:gridCol w:w="1782"/>
        <w:gridCol w:w="1822"/>
        <w:gridCol w:w="1332"/>
        <w:gridCol w:w="1332"/>
        <w:gridCol w:w="793"/>
        <w:gridCol w:w="1051"/>
        <w:gridCol w:w="755"/>
        <w:gridCol w:w="2891"/>
      </w:tblGrid>
      <w:tr w:rsidR="00145434" w:rsidRPr="00A025C9" w14:paraId="0132E912" w14:textId="77777777" w:rsidTr="00A025C9">
        <w:trPr>
          <w:trHeight w:val="567"/>
          <w:tblHeader/>
          <w:jc w:val="center"/>
        </w:trPr>
        <w:tc>
          <w:tcPr>
            <w:tcW w:w="79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5D0D67D"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Seq. Num.</w:t>
            </w:r>
          </w:p>
        </w:tc>
        <w:tc>
          <w:tcPr>
            <w:tcW w:w="182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7C161DC"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Related Measure (Reform or Investment)</w:t>
            </w:r>
          </w:p>
        </w:tc>
        <w:tc>
          <w:tcPr>
            <w:tcW w:w="122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0D416DB"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Milestone / Target</w:t>
            </w:r>
          </w:p>
        </w:tc>
        <w:tc>
          <w:tcPr>
            <w:tcW w:w="17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37D928B"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Name</w:t>
            </w:r>
          </w:p>
        </w:tc>
        <w:tc>
          <w:tcPr>
            <w:tcW w:w="182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36BC72C"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 xml:space="preserve">Qualitative indicators </w:t>
            </w:r>
            <w:r w:rsidRPr="00A025C9">
              <w:rPr>
                <w:rFonts w:ascii="Times New Roman" w:eastAsia="Aptos" w:hAnsi="Times New Roman" w:cs="Times New Roman"/>
                <w:noProof/>
                <w:kern w:val="2"/>
                <w:sz w:val="20"/>
                <w:szCs w:val="20"/>
                <w:lang w:val="en-GB" w:eastAsia="en-US"/>
                <w14:ligatures w14:val="standardContextual"/>
              </w:rPr>
              <w:br/>
            </w:r>
            <w:r w:rsidRPr="00A025C9">
              <w:rPr>
                <w:rFonts w:ascii="Times New Roman" w:eastAsia="Aptos" w:hAnsi="Times New Roman" w:cs="Times New Roman"/>
                <w:b/>
                <w:noProof/>
                <w:kern w:val="2"/>
                <w:sz w:val="20"/>
                <w:szCs w:val="20"/>
                <w:lang w:val="en-GB" w:eastAsia="en-US"/>
                <w14:ligatures w14:val="standardContextual"/>
              </w:rPr>
              <w:t>(for milestones)</w:t>
            </w:r>
          </w:p>
        </w:tc>
        <w:tc>
          <w:tcPr>
            <w:tcW w:w="345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8C4BEC6"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 xml:space="preserve">Quantitative indicators </w:t>
            </w:r>
            <w:r w:rsidRPr="00A025C9">
              <w:rPr>
                <w:rFonts w:ascii="Times New Roman" w:eastAsia="Aptos" w:hAnsi="Times New Roman" w:cs="Times New Roman"/>
                <w:noProof/>
                <w:kern w:val="2"/>
                <w:sz w:val="20"/>
                <w:szCs w:val="20"/>
                <w:lang w:val="en-GB" w:eastAsia="en-US"/>
                <w14:ligatures w14:val="standardContextual"/>
              </w:rPr>
              <w:br/>
            </w:r>
            <w:r w:rsidRPr="00A025C9">
              <w:rPr>
                <w:rFonts w:ascii="Times New Roman" w:eastAsia="Aptos" w:hAnsi="Times New Roman" w:cs="Times New Roman"/>
                <w:b/>
                <w:noProof/>
                <w:kern w:val="2"/>
                <w:sz w:val="20"/>
                <w:szCs w:val="20"/>
                <w:lang w:val="en-GB" w:eastAsia="en-US"/>
                <w14:ligatures w14:val="standardContextual"/>
              </w:rPr>
              <w:t>(for targets)</w:t>
            </w:r>
          </w:p>
        </w:tc>
        <w:tc>
          <w:tcPr>
            <w:tcW w:w="1806" w:type="dxa"/>
            <w:gridSpan w:val="2"/>
            <w:tcBorders>
              <w:top w:val="single" w:sz="4" w:space="0" w:color="auto"/>
              <w:left w:val="nil"/>
              <w:bottom w:val="single" w:sz="4" w:space="0" w:color="auto"/>
              <w:right w:val="single" w:sz="4" w:space="0" w:color="auto"/>
            </w:tcBorders>
            <w:shd w:val="clear" w:color="auto" w:fill="BDD7EE"/>
            <w:vAlign w:val="center"/>
            <w:hideMark/>
          </w:tcPr>
          <w:p w14:paraId="6ED778F6"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Indicative timeline for completion</w:t>
            </w:r>
          </w:p>
        </w:tc>
        <w:tc>
          <w:tcPr>
            <w:tcW w:w="289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B4856B3"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Description of each milestone and target</w:t>
            </w:r>
          </w:p>
        </w:tc>
      </w:tr>
      <w:tr w:rsidR="00145434" w:rsidRPr="00A025C9" w14:paraId="65F7B8D8" w14:textId="77777777" w:rsidTr="00A025C9">
        <w:trPr>
          <w:trHeight w:val="522"/>
          <w:tblHeader/>
          <w:jc w:val="center"/>
        </w:trPr>
        <w:tc>
          <w:tcPr>
            <w:tcW w:w="791" w:type="dxa"/>
            <w:vMerge/>
            <w:tcBorders>
              <w:top w:val="single" w:sz="4" w:space="0" w:color="auto"/>
              <w:left w:val="single" w:sz="4" w:space="0" w:color="auto"/>
              <w:bottom w:val="single" w:sz="4" w:space="0" w:color="auto"/>
              <w:right w:val="single" w:sz="4" w:space="0" w:color="auto"/>
            </w:tcBorders>
            <w:hideMark/>
          </w:tcPr>
          <w:p w14:paraId="19241B6D" w14:textId="77777777" w:rsidR="00145434" w:rsidRPr="00A025C9" w:rsidRDefault="00145434" w:rsidP="00145434">
            <w:pPr>
              <w:spacing w:after="0" w:line="240" w:lineRule="auto"/>
              <w:jc w:val="both"/>
              <w:rPr>
                <w:rFonts w:ascii="Times New Roman" w:eastAsia="Times New Roman" w:hAnsi="Times New Roman" w:cs="Times New Roman"/>
                <w:b/>
                <w:bCs/>
                <w:noProof/>
                <w:kern w:val="2"/>
                <w:sz w:val="20"/>
                <w:szCs w:val="20"/>
                <w:lang w:val="en-GB" w:eastAsia="en-GB"/>
                <w14:ligatures w14:val="standardContextual"/>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193CEDCE" w14:textId="77777777" w:rsidR="00145434" w:rsidRPr="00A025C9" w:rsidRDefault="00145434" w:rsidP="00145434">
            <w:pPr>
              <w:spacing w:after="0" w:line="240" w:lineRule="auto"/>
              <w:jc w:val="both"/>
              <w:rPr>
                <w:rFonts w:ascii="Times New Roman" w:eastAsia="Times New Roman" w:hAnsi="Times New Roman" w:cs="Times New Roman"/>
                <w:b/>
                <w:bCs/>
                <w:noProof/>
                <w:kern w:val="2"/>
                <w:sz w:val="20"/>
                <w:szCs w:val="20"/>
                <w:lang w:val="en-GB" w:eastAsia="en-GB"/>
                <w14:ligatures w14:val="standardContextual"/>
              </w:rPr>
            </w:pPr>
          </w:p>
        </w:tc>
        <w:tc>
          <w:tcPr>
            <w:tcW w:w="1221" w:type="dxa"/>
            <w:vMerge/>
            <w:tcBorders>
              <w:top w:val="single" w:sz="4" w:space="0" w:color="auto"/>
              <w:left w:val="single" w:sz="4" w:space="0" w:color="auto"/>
              <w:bottom w:val="single" w:sz="4" w:space="0" w:color="auto"/>
              <w:right w:val="single" w:sz="4" w:space="0" w:color="auto"/>
            </w:tcBorders>
            <w:vAlign w:val="center"/>
            <w:hideMark/>
          </w:tcPr>
          <w:p w14:paraId="517BC892" w14:textId="77777777" w:rsidR="00145434" w:rsidRPr="00A025C9" w:rsidRDefault="00145434" w:rsidP="00145434">
            <w:pPr>
              <w:spacing w:after="0" w:line="240" w:lineRule="auto"/>
              <w:jc w:val="both"/>
              <w:rPr>
                <w:rFonts w:ascii="Times New Roman" w:eastAsia="Times New Roman" w:hAnsi="Times New Roman" w:cs="Times New Roman"/>
                <w:b/>
                <w:bCs/>
                <w:noProof/>
                <w:kern w:val="2"/>
                <w:sz w:val="20"/>
                <w:szCs w:val="20"/>
                <w:lang w:val="en-GB" w:eastAsia="en-GB"/>
                <w14:ligatures w14:val="standardContextual"/>
              </w:rPr>
            </w:pPr>
          </w:p>
        </w:tc>
        <w:tc>
          <w:tcPr>
            <w:tcW w:w="1782" w:type="dxa"/>
            <w:vMerge/>
            <w:tcBorders>
              <w:top w:val="single" w:sz="4" w:space="0" w:color="auto"/>
              <w:left w:val="single" w:sz="4" w:space="0" w:color="auto"/>
              <w:bottom w:val="single" w:sz="4" w:space="0" w:color="auto"/>
              <w:right w:val="single" w:sz="4" w:space="0" w:color="auto"/>
            </w:tcBorders>
            <w:vAlign w:val="center"/>
            <w:hideMark/>
          </w:tcPr>
          <w:p w14:paraId="14CA6B3C" w14:textId="77777777" w:rsidR="00145434" w:rsidRPr="00A025C9" w:rsidRDefault="00145434" w:rsidP="00145434">
            <w:pPr>
              <w:spacing w:after="0" w:line="240" w:lineRule="auto"/>
              <w:jc w:val="both"/>
              <w:rPr>
                <w:rFonts w:ascii="Times New Roman" w:eastAsia="Times New Roman" w:hAnsi="Times New Roman" w:cs="Times New Roman"/>
                <w:b/>
                <w:bCs/>
                <w:noProof/>
                <w:kern w:val="2"/>
                <w:sz w:val="20"/>
                <w:szCs w:val="20"/>
                <w:lang w:val="en-GB" w:eastAsia="en-GB"/>
                <w14:ligatures w14:val="standardContextual"/>
              </w:rPr>
            </w:pPr>
          </w:p>
        </w:tc>
        <w:tc>
          <w:tcPr>
            <w:tcW w:w="1822" w:type="dxa"/>
            <w:vMerge/>
            <w:tcBorders>
              <w:top w:val="single" w:sz="4" w:space="0" w:color="auto"/>
              <w:left w:val="single" w:sz="4" w:space="0" w:color="auto"/>
              <w:bottom w:val="single" w:sz="4" w:space="0" w:color="auto"/>
              <w:right w:val="single" w:sz="4" w:space="0" w:color="auto"/>
            </w:tcBorders>
            <w:vAlign w:val="center"/>
            <w:hideMark/>
          </w:tcPr>
          <w:p w14:paraId="3480A507" w14:textId="77777777" w:rsidR="00145434" w:rsidRPr="00A025C9" w:rsidRDefault="00145434" w:rsidP="00145434">
            <w:pPr>
              <w:spacing w:after="0" w:line="240" w:lineRule="auto"/>
              <w:jc w:val="both"/>
              <w:rPr>
                <w:rFonts w:ascii="Times New Roman" w:eastAsia="Times New Roman" w:hAnsi="Times New Roman" w:cs="Times New Roman"/>
                <w:b/>
                <w:bCs/>
                <w:noProof/>
                <w:kern w:val="2"/>
                <w:sz w:val="20"/>
                <w:szCs w:val="20"/>
                <w:lang w:val="en-GB" w:eastAsia="en-GB"/>
                <w14:ligatures w14:val="standardContextual"/>
              </w:rPr>
            </w:pPr>
          </w:p>
        </w:tc>
        <w:tc>
          <w:tcPr>
            <w:tcW w:w="1332" w:type="dxa"/>
            <w:tcBorders>
              <w:top w:val="nil"/>
              <w:left w:val="single" w:sz="4" w:space="0" w:color="auto"/>
              <w:bottom w:val="single" w:sz="4" w:space="0" w:color="auto"/>
              <w:right w:val="single" w:sz="4" w:space="0" w:color="auto"/>
            </w:tcBorders>
            <w:shd w:val="clear" w:color="auto" w:fill="BDD7EE"/>
            <w:vAlign w:val="center"/>
            <w:hideMark/>
          </w:tcPr>
          <w:p w14:paraId="4647DB47"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Unit of measure</w:t>
            </w:r>
          </w:p>
        </w:tc>
        <w:tc>
          <w:tcPr>
            <w:tcW w:w="1332" w:type="dxa"/>
            <w:tcBorders>
              <w:top w:val="nil"/>
              <w:left w:val="nil"/>
              <w:bottom w:val="single" w:sz="4" w:space="0" w:color="auto"/>
              <w:right w:val="single" w:sz="4" w:space="0" w:color="auto"/>
            </w:tcBorders>
            <w:shd w:val="clear" w:color="auto" w:fill="BDD7EE"/>
            <w:vAlign w:val="center"/>
            <w:hideMark/>
          </w:tcPr>
          <w:p w14:paraId="4DB4158C"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 xml:space="preserve">Baseline </w:t>
            </w:r>
          </w:p>
        </w:tc>
        <w:tc>
          <w:tcPr>
            <w:tcW w:w="793" w:type="dxa"/>
            <w:tcBorders>
              <w:top w:val="nil"/>
              <w:left w:val="nil"/>
              <w:bottom w:val="single" w:sz="4" w:space="0" w:color="auto"/>
              <w:right w:val="single" w:sz="4" w:space="0" w:color="auto"/>
            </w:tcBorders>
            <w:shd w:val="clear" w:color="auto" w:fill="BDD7EE"/>
            <w:vAlign w:val="center"/>
            <w:hideMark/>
          </w:tcPr>
          <w:p w14:paraId="10AB8523"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 xml:space="preserve">Goal </w:t>
            </w:r>
          </w:p>
        </w:tc>
        <w:tc>
          <w:tcPr>
            <w:tcW w:w="1051" w:type="dxa"/>
            <w:tcBorders>
              <w:top w:val="nil"/>
              <w:left w:val="nil"/>
              <w:bottom w:val="single" w:sz="4" w:space="0" w:color="auto"/>
              <w:right w:val="single" w:sz="4" w:space="0" w:color="auto"/>
            </w:tcBorders>
            <w:shd w:val="clear" w:color="auto" w:fill="BDD7EE"/>
            <w:vAlign w:val="center"/>
            <w:hideMark/>
          </w:tcPr>
          <w:p w14:paraId="1F1F4B0F"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Quarter</w:t>
            </w:r>
          </w:p>
        </w:tc>
        <w:tc>
          <w:tcPr>
            <w:tcW w:w="755" w:type="dxa"/>
            <w:tcBorders>
              <w:top w:val="nil"/>
              <w:left w:val="nil"/>
              <w:bottom w:val="single" w:sz="4" w:space="0" w:color="auto"/>
              <w:right w:val="single" w:sz="4" w:space="0" w:color="auto"/>
            </w:tcBorders>
            <w:shd w:val="clear" w:color="auto" w:fill="BDD7EE"/>
            <w:vAlign w:val="center"/>
            <w:hideMark/>
          </w:tcPr>
          <w:p w14:paraId="0E8F52E6"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Year</w:t>
            </w:r>
          </w:p>
        </w:tc>
        <w:tc>
          <w:tcPr>
            <w:tcW w:w="2891" w:type="dxa"/>
            <w:vMerge/>
            <w:tcBorders>
              <w:top w:val="single" w:sz="4" w:space="0" w:color="auto"/>
              <w:bottom w:val="single" w:sz="4" w:space="0" w:color="auto"/>
              <w:right w:val="single" w:sz="4" w:space="0" w:color="auto"/>
            </w:tcBorders>
            <w:vAlign w:val="center"/>
            <w:hideMark/>
          </w:tcPr>
          <w:p w14:paraId="2B6BE9DE" w14:textId="77777777" w:rsidR="00145434" w:rsidRPr="00A025C9" w:rsidRDefault="00145434" w:rsidP="00145434">
            <w:pPr>
              <w:spacing w:after="0" w:line="240" w:lineRule="auto"/>
              <w:jc w:val="both"/>
              <w:rPr>
                <w:rFonts w:ascii="Times New Roman" w:eastAsia="Times New Roman" w:hAnsi="Times New Roman" w:cs="Times New Roman"/>
                <w:b/>
                <w:bCs/>
                <w:noProof/>
                <w:kern w:val="2"/>
                <w:sz w:val="20"/>
                <w:szCs w:val="20"/>
                <w:lang w:val="en-GB" w:eastAsia="en-GB"/>
                <w14:ligatures w14:val="standardContextual"/>
              </w:rPr>
            </w:pPr>
          </w:p>
        </w:tc>
      </w:tr>
      <w:tr w:rsidR="00145434" w:rsidRPr="00A025C9" w14:paraId="2CDD88BF"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6B7B367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113</w:t>
            </w:r>
          </w:p>
        </w:tc>
        <w:tc>
          <w:tcPr>
            <w:tcW w:w="1823" w:type="dxa"/>
            <w:tcBorders>
              <w:top w:val="single" w:sz="4" w:space="0" w:color="auto"/>
              <w:left w:val="nil"/>
              <w:bottom w:val="single" w:sz="4" w:space="0" w:color="auto"/>
              <w:right w:val="single" w:sz="4" w:space="0" w:color="auto"/>
            </w:tcBorders>
            <w:shd w:val="clear" w:color="auto" w:fill="C6EFCE"/>
            <w:noWrap/>
          </w:tcPr>
          <w:p w14:paraId="70E4968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Reform 1. Electricity market reform, replacement of coal in the energy mix and support for a legislative and regulatory framework for private investment in renewable electricity production </w:t>
            </w:r>
          </w:p>
        </w:tc>
        <w:tc>
          <w:tcPr>
            <w:tcW w:w="1221" w:type="dxa"/>
            <w:tcBorders>
              <w:top w:val="single" w:sz="4" w:space="0" w:color="auto"/>
              <w:left w:val="nil"/>
              <w:bottom w:val="single" w:sz="4" w:space="0" w:color="auto"/>
              <w:right w:val="single" w:sz="4" w:space="0" w:color="auto"/>
            </w:tcBorders>
            <w:shd w:val="clear" w:color="auto" w:fill="C6EFCE"/>
            <w:noWrap/>
          </w:tcPr>
          <w:p w14:paraId="0C703854"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Target</w:t>
            </w:r>
          </w:p>
        </w:tc>
        <w:tc>
          <w:tcPr>
            <w:tcW w:w="1782" w:type="dxa"/>
            <w:tcBorders>
              <w:top w:val="single" w:sz="4" w:space="0" w:color="auto"/>
              <w:left w:val="nil"/>
              <w:bottom w:val="single" w:sz="4" w:space="0" w:color="auto"/>
              <w:right w:val="single" w:sz="4" w:space="0" w:color="auto"/>
            </w:tcBorders>
            <w:shd w:val="clear" w:color="auto" w:fill="C6EFCE"/>
            <w:noWrap/>
          </w:tcPr>
          <w:p w14:paraId="482D9C4C"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Decommissioning of coal-fired power-production capacity </w:t>
            </w:r>
          </w:p>
        </w:tc>
        <w:tc>
          <w:tcPr>
            <w:tcW w:w="1822" w:type="dxa"/>
            <w:tcBorders>
              <w:top w:val="single" w:sz="4" w:space="0" w:color="auto"/>
              <w:left w:val="nil"/>
              <w:bottom w:val="single" w:sz="4" w:space="0" w:color="auto"/>
              <w:right w:val="single" w:sz="4" w:space="0" w:color="auto"/>
            </w:tcBorders>
            <w:shd w:val="clear" w:color="auto" w:fill="C6EFCE"/>
            <w:noWrap/>
          </w:tcPr>
          <w:p w14:paraId="18D1E8C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47DBD39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Megawatts (MW)</w:t>
            </w:r>
          </w:p>
        </w:tc>
        <w:tc>
          <w:tcPr>
            <w:tcW w:w="1332" w:type="dxa"/>
            <w:tcBorders>
              <w:top w:val="single" w:sz="4" w:space="0" w:color="auto"/>
              <w:left w:val="nil"/>
              <w:bottom w:val="single" w:sz="4" w:space="0" w:color="auto"/>
              <w:right w:val="single" w:sz="4" w:space="0" w:color="auto"/>
            </w:tcBorders>
            <w:shd w:val="clear" w:color="auto" w:fill="C6EFCE"/>
            <w:noWrap/>
          </w:tcPr>
          <w:p w14:paraId="5752062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0</w:t>
            </w:r>
          </w:p>
        </w:tc>
        <w:tc>
          <w:tcPr>
            <w:tcW w:w="793" w:type="dxa"/>
            <w:tcBorders>
              <w:top w:val="single" w:sz="4" w:space="0" w:color="auto"/>
              <w:left w:val="nil"/>
              <w:bottom w:val="single" w:sz="4" w:space="0" w:color="auto"/>
              <w:right w:val="single" w:sz="4" w:space="0" w:color="auto"/>
            </w:tcBorders>
            <w:shd w:val="clear" w:color="auto" w:fill="C6EFCE"/>
            <w:noWrap/>
          </w:tcPr>
          <w:p w14:paraId="00C2D10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1 695</w:t>
            </w:r>
          </w:p>
        </w:tc>
        <w:tc>
          <w:tcPr>
            <w:tcW w:w="1051" w:type="dxa"/>
            <w:tcBorders>
              <w:top w:val="single" w:sz="4" w:space="0" w:color="auto"/>
              <w:left w:val="nil"/>
              <w:bottom w:val="single" w:sz="4" w:space="0" w:color="auto"/>
              <w:right w:val="single" w:sz="4" w:space="0" w:color="auto"/>
            </w:tcBorders>
            <w:shd w:val="clear" w:color="auto" w:fill="C6EFCE"/>
            <w:noWrap/>
          </w:tcPr>
          <w:p w14:paraId="4CD99843"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Q4</w:t>
            </w:r>
          </w:p>
        </w:tc>
        <w:tc>
          <w:tcPr>
            <w:tcW w:w="755" w:type="dxa"/>
            <w:tcBorders>
              <w:top w:val="single" w:sz="4" w:space="0" w:color="auto"/>
              <w:left w:val="nil"/>
              <w:bottom w:val="single" w:sz="4" w:space="0" w:color="auto"/>
              <w:right w:val="single" w:sz="4" w:space="0" w:color="auto"/>
            </w:tcBorders>
            <w:shd w:val="clear" w:color="auto" w:fill="C6EFCE"/>
            <w:noWrap/>
          </w:tcPr>
          <w:p w14:paraId="52B32E50"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2021</w:t>
            </w:r>
          </w:p>
        </w:tc>
        <w:tc>
          <w:tcPr>
            <w:tcW w:w="2891" w:type="dxa"/>
            <w:tcBorders>
              <w:top w:val="single" w:sz="4" w:space="0" w:color="auto"/>
              <w:left w:val="nil"/>
              <w:bottom w:val="single" w:sz="4" w:space="0" w:color="auto"/>
              <w:right w:val="single" w:sz="4" w:space="0" w:color="auto"/>
            </w:tcBorders>
            <w:shd w:val="clear" w:color="auto" w:fill="C6EFCE"/>
            <w:noWrap/>
          </w:tcPr>
          <w:p w14:paraId="3F048E8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1 695MW of coal-fired installed electricity production capacity have been decommissioned.</w:t>
            </w:r>
          </w:p>
        </w:tc>
      </w:tr>
      <w:tr w:rsidR="00145434" w:rsidRPr="00A025C9" w14:paraId="2DEC5476"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49D3D2D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114</w:t>
            </w:r>
          </w:p>
        </w:tc>
        <w:tc>
          <w:tcPr>
            <w:tcW w:w="1823" w:type="dxa"/>
            <w:tcBorders>
              <w:top w:val="single" w:sz="4" w:space="0" w:color="auto"/>
              <w:left w:val="nil"/>
              <w:bottom w:val="single" w:sz="4" w:space="0" w:color="auto"/>
              <w:right w:val="single" w:sz="4" w:space="0" w:color="auto"/>
            </w:tcBorders>
            <w:shd w:val="clear" w:color="auto" w:fill="C6EFCE"/>
            <w:noWrap/>
          </w:tcPr>
          <w:p w14:paraId="5E4C589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Reform 1. Electricity market reform, replacement of coal in the energy mix and support for a legislative and regulatory framework for private investment in renewable electricity production </w:t>
            </w:r>
          </w:p>
        </w:tc>
        <w:tc>
          <w:tcPr>
            <w:tcW w:w="1221" w:type="dxa"/>
            <w:tcBorders>
              <w:top w:val="single" w:sz="4" w:space="0" w:color="auto"/>
              <w:left w:val="nil"/>
              <w:bottom w:val="single" w:sz="4" w:space="0" w:color="auto"/>
              <w:right w:val="single" w:sz="4" w:space="0" w:color="auto"/>
            </w:tcBorders>
            <w:shd w:val="clear" w:color="auto" w:fill="C6EFCE"/>
            <w:noWrap/>
          </w:tcPr>
          <w:p w14:paraId="31EECA6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Milestone</w:t>
            </w:r>
          </w:p>
        </w:tc>
        <w:tc>
          <w:tcPr>
            <w:tcW w:w="1782" w:type="dxa"/>
            <w:tcBorders>
              <w:top w:val="single" w:sz="4" w:space="0" w:color="auto"/>
              <w:left w:val="nil"/>
              <w:bottom w:val="single" w:sz="4" w:space="0" w:color="auto"/>
              <w:right w:val="single" w:sz="4" w:space="0" w:color="auto"/>
            </w:tcBorders>
            <w:shd w:val="clear" w:color="auto" w:fill="C6EFCE"/>
            <w:noWrap/>
          </w:tcPr>
          <w:p w14:paraId="30D7CACE"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Entry into force of the Decarbonisation law adopting the coal/lignite phase-out calendar</w:t>
            </w:r>
          </w:p>
        </w:tc>
        <w:tc>
          <w:tcPr>
            <w:tcW w:w="1822" w:type="dxa"/>
            <w:tcBorders>
              <w:top w:val="single" w:sz="4" w:space="0" w:color="auto"/>
              <w:left w:val="nil"/>
              <w:bottom w:val="single" w:sz="4" w:space="0" w:color="auto"/>
              <w:right w:val="single" w:sz="4" w:space="0" w:color="auto"/>
            </w:tcBorders>
            <w:shd w:val="clear" w:color="auto" w:fill="C6EFCE"/>
            <w:noWrap/>
          </w:tcPr>
          <w:p w14:paraId="618BFE33"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Provision in the law indicating the entry into force of the legislative act</w:t>
            </w:r>
          </w:p>
        </w:tc>
        <w:tc>
          <w:tcPr>
            <w:tcW w:w="1332" w:type="dxa"/>
            <w:tcBorders>
              <w:top w:val="single" w:sz="4" w:space="0" w:color="auto"/>
              <w:left w:val="nil"/>
              <w:bottom w:val="single" w:sz="4" w:space="0" w:color="auto"/>
              <w:right w:val="single" w:sz="4" w:space="0" w:color="auto"/>
            </w:tcBorders>
            <w:shd w:val="clear" w:color="auto" w:fill="C6EFCE"/>
            <w:noWrap/>
          </w:tcPr>
          <w:p w14:paraId="52A3E1A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74150940"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w:t>
            </w:r>
          </w:p>
        </w:tc>
        <w:tc>
          <w:tcPr>
            <w:tcW w:w="793" w:type="dxa"/>
            <w:tcBorders>
              <w:top w:val="single" w:sz="4" w:space="0" w:color="auto"/>
              <w:left w:val="nil"/>
              <w:bottom w:val="single" w:sz="4" w:space="0" w:color="auto"/>
              <w:right w:val="single" w:sz="4" w:space="0" w:color="auto"/>
            </w:tcBorders>
            <w:shd w:val="clear" w:color="auto" w:fill="C6EFCE"/>
            <w:noWrap/>
          </w:tcPr>
          <w:p w14:paraId="6610DBE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w:t>
            </w:r>
          </w:p>
        </w:tc>
        <w:tc>
          <w:tcPr>
            <w:tcW w:w="1051" w:type="dxa"/>
            <w:tcBorders>
              <w:top w:val="single" w:sz="4" w:space="0" w:color="auto"/>
              <w:left w:val="nil"/>
              <w:bottom w:val="single" w:sz="4" w:space="0" w:color="auto"/>
              <w:right w:val="single" w:sz="4" w:space="0" w:color="auto"/>
            </w:tcBorders>
            <w:shd w:val="clear" w:color="auto" w:fill="C6EFCE"/>
            <w:noWrap/>
          </w:tcPr>
          <w:p w14:paraId="2FD200B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Q2</w:t>
            </w:r>
          </w:p>
        </w:tc>
        <w:tc>
          <w:tcPr>
            <w:tcW w:w="755" w:type="dxa"/>
            <w:tcBorders>
              <w:top w:val="single" w:sz="4" w:space="0" w:color="auto"/>
              <w:left w:val="nil"/>
              <w:bottom w:val="single" w:sz="4" w:space="0" w:color="auto"/>
              <w:right w:val="single" w:sz="4" w:space="0" w:color="auto"/>
            </w:tcBorders>
            <w:shd w:val="clear" w:color="auto" w:fill="C6EFCE"/>
            <w:noWrap/>
          </w:tcPr>
          <w:p w14:paraId="267262B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2022</w:t>
            </w:r>
          </w:p>
        </w:tc>
        <w:tc>
          <w:tcPr>
            <w:tcW w:w="2891" w:type="dxa"/>
            <w:tcBorders>
              <w:top w:val="single" w:sz="4" w:space="0" w:color="auto"/>
              <w:left w:val="nil"/>
              <w:bottom w:val="single" w:sz="4" w:space="0" w:color="auto"/>
              <w:right w:val="single" w:sz="4" w:space="0" w:color="auto"/>
            </w:tcBorders>
            <w:shd w:val="clear" w:color="auto" w:fill="C6EFCE"/>
            <w:noWrap/>
          </w:tcPr>
          <w:p w14:paraId="0D41F873" w14:textId="7C6720B4" w:rsidR="00145434" w:rsidRPr="00A025C9" w:rsidRDefault="00145434" w:rsidP="0075416A">
            <w:pPr>
              <w:spacing w:after="0" w:line="240" w:lineRule="auto"/>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By Q2</w:t>
            </w:r>
            <w:r w:rsidR="0075416A" w:rsidRPr="00A025C9">
              <w:rPr>
                <w:rFonts w:ascii="Times New Roman" w:eastAsia="Aptos" w:hAnsi="Times New Roman" w:cs="Times New Roman"/>
                <w:noProof/>
                <w:kern w:val="2"/>
                <w:sz w:val="20"/>
                <w:szCs w:val="20"/>
                <w:lang w:val="en-GB" w:eastAsia="en-US"/>
                <w14:ligatures w14:val="standardContextual"/>
              </w:rPr>
              <w:t xml:space="preserve"> </w:t>
            </w:r>
            <w:r w:rsidRPr="00A025C9">
              <w:rPr>
                <w:rFonts w:ascii="Times New Roman" w:eastAsia="Aptos" w:hAnsi="Times New Roman" w:cs="Times New Roman"/>
                <w:noProof/>
                <w:kern w:val="2"/>
                <w:sz w:val="20"/>
                <w:szCs w:val="20"/>
                <w:lang w:val="en-GB" w:eastAsia="en-US"/>
                <w14:ligatures w14:val="standardContextual"/>
              </w:rPr>
              <w:t>2022, a decarbonisation law (and any secondary legislation) shall enter into force establishing a timetable up to 2032 for:</w:t>
            </w:r>
          </w:p>
          <w:p w14:paraId="36E511D2" w14:textId="77777777" w:rsidR="00145434" w:rsidRPr="00A025C9" w:rsidRDefault="00145434" w:rsidP="00145434">
            <w:pPr>
              <w:numPr>
                <w:ilvl w:val="0"/>
                <w:numId w:val="105"/>
              </w:numPr>
              <w:spacing w:after="0" w:line="240" w:lineRule="auto"/>
              <w:ind w:left="187" w:hanging="218"/>
              <w:contextualSpacing/>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Decommissioning of the total coal/lignite fired installed electricity production capacity (i.e., 4 590MW).</w:t>
            </w:r>
          </w:p>
          <w:p w14:paraId="0CE9680E" w14:textId="77777777" w:rsidR="00145434" w:rsidRPr="00A025C9" w:rsidRDefault="00145434" w:rsidP="00145434">
            <w:pPr>
              <w:numPr>
                <w:ilvl w:val="0"/>
                <w:numId w:val="105"/>
              </w:numPr>
              <w:spacing w:after="0" w:line="240" w:lineRule="auto"/>
              <w:ind w:left="187" w:hanging="218"/>
              <w:contextualSpacing/>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Measures relating to the rehabilitation of mines to be closed (e.g., salvaging soil in mined areas such as topsoil and revegetation, waste deposits, post-closure land use for the landform).</w:t>
            </w:r>
          </w:p>
          <w:p w14:paraId="71498E7D" w14:textId="77777777" w:rsidR="00145434" w:rsidRPr="00A025C9" w:rsidRDefault="00145434" w:rsidP="00145434">
            <w:pPr>
              <w:numPr>
                <w:ilvl w:val="0"/>
                <w:numId w:val="105"/>
              </w:numPr>
              <w:spacing w:after="0" w:line="240" w:lineRule="auto"/>
              <w:ind w:left="187" w:hanging="218"/>
              <w:contextualSpacing/>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Measures for upskilling (professional reconversion and retraining), and other measures with a socio-economic impact on the affected communities. </w:t>
            </w:r>
          </w:p>
        </w:tc>
      </w:tr>
      <w:tr w:rsidR="00145434" w:rsidRPr="00A025C9" w14:paraId="73B3AC51"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5E7100DE"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115</w:t>
            </w:r>
          </w:p>
        </w:tc>
        <w:tc>
          <w:tcPr>
            <w:tcW w:w="1823" w:type="dxa"/>
            <w:tcBorders>
              <w:top w:val="single" w:sz="4" w:space="0" w:color="auto"/>
              <w:left w:val="nil"/>
              <w:bottom w:val="single" w:sz="4" w:space="0" w:color="auto"/>
              <w:right w:val="single" w:sz="4" w:space="0" w:color="auto"/>
            </w:tcBorders>
            <w:shd w:val="clear" w:color="auto" w:fill="C6EFCE"/>
            <w:noWrap/>
          </w:tcPr>
          <w:p w14:paraId="303B21DC"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Reform 1. Electricity market reform, replacement of coal in the energy mix and support for a legislative and regulatory framework for private investment in renewable electricity production</w:t>
            </w:r>
          </w:p>
        </w:tc>
        <w:tc>
          <w:tcPr>
            <w:tcW w:w="1221" w:type="dxa"/>
            <w:tcBorders>
              <w:top w:val="single" w:sz="4" w:space="0" w:color="auto"/>
              <w:left w:val="nil"/>
              <w:bottom w:val="single" w:sz="4" w:space="0" w:color="auto"/>
              <w:right w:val="single" w:sz="4" w:space="0" w:color="auto"/>
            </w:tcBorders>
            <w:shd w:val="clear" w:color="auto" w:fill="C6EFCE"/>
            <w:noWrap/>
          </w:tcPr>
          <w:p w14:paraId="678ECD43"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Target</w:t>
            </w:r>
          </w:p>
        </w:tc>
        <w:tc>
          <w:tcPr>
            <w:tcW w:w="1782" w:type="dxa"/>
            <w:tcBorders>
              <w:top w:val="single" w:sz="4" w:space="0" w:color="auto"/>
              <w:left w:val="nil"/>
              <w:bottom w:val="single" w:sz="4" w:space="0" w:color="auto"/>
              <w:right w:val="single" w:sz="4" w:space="0" w:color="auto"/>
            </w:tcBorders>
            <w:shd w:val="clear" w:color="auto" w:fill="C6EFCE"/>
            <w:noWrap/>
          </w:tcPr>
          <w:p w14:paraId="6C656319" w14:textId="3BEDB515"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Decommissioning of coal/lignite-fired power-production capacity</w:t>
            </w:r>
          </w:p>
        </w:tc>
        <w:tc>
          <w:tcPr>
            <w:tcW w:w="1822" w:type="dxa"/>
            <w:tcBorders>
              <w:top w:val="single" w:sz="4" w:space="0" w:color="auto"/>
              <w:left w:val="nil"/>
              <w:bottom w:val="single" w:sz="4" w:space="0" w:color="auto"/>
              <w:right w:val="single" w:sz="4" w:space="0" w:color="auto"/>
            </w:tcBorders>
            <w:shd w:val="clear" w:color="auto" w:fill="C6EFCE"/>
            <w:noWrap/>
          </w:tcPr>
          <w:p w14:paraId="0897952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1332" w:type="dxa"/>
            <w:tcBorders>
              <w:top w:val="single" w:sz="4" w:space="0" w:color="auto"/>
              <w:left w:val="nil"/>
              <w:bottom w:val="single" w:sz="4" w:space="0" w:color="auto"/>
              <w:right w:val="single" w:sz="4" w:space="0" w:color="auto"/>
            </w:tcBorders>
            <w:shd w:val="clear" w:color="auto" w:fill="C6EFCE"/>
            <w:noWrap/>
          </w:tcPr>
          <w:p w14:paraId="3A42596E"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Megawatts (MW)</w:t>
            </w:r>
          </w:p>
        </w:tc>
        <w:tc>
          <w:tcPr>
            <w:tcW w:w="1332" w:type="dxa"/>
            <w:tcBorders>
              <w:top w:val="single" w:sz="4" w:space="0" w:color="auto"/>
              <w:left w:val="nil"/>
              <w:bottom w:val="single" w:sz="4" w:space="0" w:color="auto"/>
              <w:right w:val="single" w:sz="4" w:space="0" w:color="auto"/>
            </w:tcBorders>
            <w:shd w:val="clear" w:color="auto" w:fill="C6EFCE"/>
            <w:noWrap/>
          </w:tcPr>
          <w:p w14:paraId="1E6D9D64"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1 695</w:t>
            </w:r>
          </w:p>
        </w:tc>
        <w:tc>
          <w:tcPr>
            <w:tcW w:w="793" w:type="dxa"/>
            <w:tcBorders>
              <w:top w:val="single" w:sz="4" w:space="0" w:color="auto"/>
              <w:left w:val="nil"/>
              <w:bottom w:val="single" w:sz="4" w:space="0" w:color="auto"/>
              <w:right w:val="single" w:sz="4" w:space="0" w:color="auto"/>
            </w:tcBorders>
            <w:shd w:val="clear" w:color="auto" w:fill="C6EFCE"/>
            <w:noWrap/>
          </w:tcPr>
          <w:p w14:paraId="6E3BC34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2 355</w:t>
            </w:r>
          </w:p>
        </w:tc>
        <w:tc>
          <w:tcPr>
            <w:tcW w:w="1051" w:type="dxa"/>
            <w:tcBorders>
              <w:top w:val="single" w:sz="4" w:space="0" w:color="auto"/>
              <w:left w:val="nil"/>
              <w:bottom w:val="single" w:sz="4" w:space="0" w:color="auto"/>
              <w:right w:val="single" w:sz="4" w:space="0" w:color="auto"/>
            </w:tcBorders>
            <w:shd w:val="clear" w:color="auto" w:fill="C6EFCE"/>
            <w:noWrap/>
          </w:tcPr>
          <w:p w14:paraId="05BFF66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Q4</w:t>
            </w:r>
          </w:p>
        </w:tc>
        <w:tc>
          <w:tcPr>
            <w:tcW w:w="755" w:type="dxa"/>
            <w:tcBorders>
              <w:top w:val="single" w:sz="4" w:space="0" w:color="auto"/>
              <w:left w:val="nil"/>
              <w:bottom w:val="single" w:sz="4" w:space="0" w:color="auto"/>
              <w:right w:val="single" w:sz="4" w:space="0" w:color="auto"/>
            </w:tcBorders>
            <w:shd w:val="clear" w:color="auto" w:fill="C6EFCE"/>
            <w:noWrap/>
          </w:tcPr>
          <w:p w14:paraId="305CA57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2022</w:t>
            </w:r>
          </w:p>
        </w:tc>
        <w:tc>
          <w:tcPr>
            <w:tcW w:w="2891" w:type="dxa"/>
            <w:tcBorders>
              <w:top w:val="single" w:sz="4" w:space="0" w:color="auto"/>
              <w:left w:val="nil"/>
              <w:bottom w:val="single" w:sz="4" w:space="0" w:color="auto"/>
              <w:right w:val="single" w:sz="4" w:space="0" w:color="auto"/>
            </w:tcBorders>
            <w:shd w:val="clear" w:color="auto" w:fill="C6EFCE"/>
            <w:noWrap/>
          </w:tcPr>
          <w:p w14:paraId="6D4463C0"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r w:rsidRPr="00A025C9">
              <w:rPr>
                <w:rFonts w:ascii="Times New Roman" w:eastAsia="Aptos" w:hAnsi="Times New Roman" w:cs="Times New Roman"/>
                <w:noProof/>
                <w:kern w:val="2"/>
                <w:sz w:val="20"/>
                <w:szCs w:val="20"/>
                <w:lang w:val="en-GB" w:eastAsia="en-US"/>
                <w14:ligatures w14:val="standardContextual"/>
              </w:rPr>
              <w:t>A cumulative 2 355MW of coal and lignite-fired installed electricity production capacity shall have been shut down, out of which 2 025 MW shall have been decommissioned and 330 MW shall have been mothballed. The mothballed capacity shall be decommissioned by 2025 and shall be activated and called to produce only in the specific circumstances laid down in Article 4 of the Decarbonisation Law and in full compliance with relevant EU law, including State aid rules.</w:t>
            </w:r>
          </w:p>
        </w:tc>
      </w:tr>
      <w:tr w:rsidR="00145434" w:rsidRPr="00A025C9" w14:paraId="3DD8574D"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4EE68B19" w14:textId="35B67932"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116</w:t>
            </w:r>
          </w:p>
        </w:tc>
        <w:tc>
          <w:tcPr>
            <w:tcW w:w="1823" w:type="dxa"/>
            <w:tcBorders>
              <w:top w:val="single" w:sz="4" w:space="0" w:color="auto"/>
              <w:left w:val="nil"/>
              <w:bottom w:val="single" w:sz="4" w:space="0" w:color="auto"/>
              <w:right w:val="single" w:sz="4" w:space="0" w:color="auto"/>
            </w:tcBorders>
            <w:shd w:val="clear" w:color="auto" w:fill="C6EFCE"/>
            <w:noWrap/>
          </w:tcPr>
          <w:p w14:paraId="7D7318A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Reform 1. Electricity market reform, replacement of coal in the energy mix and support for a legislative and regulatory framework for private investment in renewable electricity production</w:t>
            </w:r>
          </w:p>
        </w:tc>
        <w:tc>
          <w:tcPr>
            <w:tcW w:w="1221" w:type="dxa"/>
            <w:tcBorders>
              <w:top w:val="single" w:sz="4" w:space="0" w:color="auto"/>
              <w:left w:val="nil"/>
              <w:bottom w:val="single" w:sz="4" w:space="0" w:color="auto"/>
              <w:right w:val="single" w:sz="4" w:space="0" w:color="auto"/>
            </w:tcBorders>
            <w:shd w:val="clear" w:color="auto" w:fill="C6EFCE"/>
            <w:noWrap/>
          </w:tcPr>
          <w:p w14:paraId="4386491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Milestone</w:t>
            </w:r>
          </w:p>
        </w:tc>
        <w:tc>
          <w:tcPr>
            <w:tcW w:w="1782" w:type="dxa"/>
            <w:tcBorders>
              <w:top w:val="single" w:sz="4" w:space="0" w:color="auto"/>
              <w:left w:val="nil"/>
              <w:bottom w:val="single" w:sz="4" w:space="0" w:color="auto"/>
              <w:right w:val="single" w:sz="4" w:space="0" w:color="auto"/>
            </w:tcBorders>
            <w:shd w:val="clear" w:color="auto" w:fill="C6EFCE"/>
            <w:noWrap/>
          </w:tcPr>
          <w:p w14:paraId="11AFB415" w14:textId="6A13359F"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Entry into force of the</w:t>
            </w:r>
            <w:r w:rsidR="00D23D91" w:rsidRPr="00A025C9">
              <w:rPr>
                <w:rFonts w:ascii="Times New Roman" w:eastAsia="Aptos" w:hAnsi="Times New Roman" w:cs="Times New Roman"/>
                <w:noProof/>
                <w:kern w:val="2"/>
                <w:sz w:val="20"/>
                <w:szCs w:val="20"/>
                <w:lang w:val="en-GB" w:eastAsia="en-US"/>
                <w14:ligatures w14:val="standardContextual"/>
              </w:rPr>
              <w:t xml:space="preserve"> </w:t>
            </w:r>
            <w:r w:rsidRPr="00A025C9">
              <w:rPr>
                <w:rFonts w:ascii="Times New Roman" w:eastAsia="Aptos" w:hAnsi="Times New Roman" w:cs="Times New Roman"/>
                <w:noProof/>
                <w:kern w:val="2"/>
                <w:sz w:val="20"/>
                <w:szCs w:val="20"/>
                <w:lang w:val="en-GB" w:eastAsia="en-US"/>
                <w14:ligatures w14:val="standardContextual"/>
              </w:rPr>
              <w:t>legal and regulatory</w:t>
            </w:r>
            <w:r w:rsidR="00D23D91" w:rsidRPr="00A025C9">
              <w:rPr>
                <w:rFonts w:ascii="Times New Roman" w:eastAsia="Aptos" w:hAnsi="Times New Roman" w:cs="Times New Roman"/>
                <w:noProof/>
                <w:kern w:val="2"/>
                <w:sz w:val="20"/>
                <w:szCs w:val="20"/>
                <w:lang w:val="en-GB" w:eastAsia="en-US"/>
                <w14:ligatures w14:val="standardContextual"/>
              </w:rPr>
              <w:t xml:space="preserve"> </w:t>
            </w:r>
            <w:r w:rsidRPr="00A025C9">
              <w:rPr>
                <w:rFonts w:ascii="Times New Roman" w:eastAsia="Aptos" w:hAnsi="Times New Roman" w:cs="Times New Roman"/>
                <w:noProof/>
                <w:kern w:val="2"/>
                <w:sz w:val="20"/>
                <w:szCs w:val="20"/>
                <w:lang w:val="en-GB" w:eastAsia="en-US"/>
                <w14:ligatures w14:val="standardContextual"/>
              </w:rPr>
              <w:t>acts</w:t>
            </w:r>
          </w:p>
        </w:tc>
        <w:tc>
          <w:tcPr>
            <w:tcW w:w="1822" w:type="dxa"/>
            <w:tcBorders>
              <w:top w:val="single" w:sz="4" w:space="0" w:color="auto"/>
              <w:left w:val="nil"/>
              <w:bottom w:val="single" w:sz="4" w:space="0" w:color="auto"/>
              <w:right w:val="single" w:sz="4" w:space="0" w:color="auto"/>
            </w:tcBorders>
            <w:shd w:val="clear" w:color="auto" w:fill="C6EFCE"/>
            <w:noWrap/>
          </w:tcPr>
          <w:p w14:paraId="1C9C353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Provision in the legal and regulatory acts indicating the entry into force </w:t>
            </w:r>
          </w:p>
        </w:tc>
        <w:tc>
          <w:tcPr>
            <w:tcW w:w="1332" w:type="dxa"/>
            <w:tcBorders>
              <w:top w:val="single" w:sz="4" w:space="0" w:color="auto"/>
              <w:left w:val="nil"/>
              <w:bottom w:val="single" w:sz="4" w:space="0" w:color="auto"/>
              <w:right w:val="single" w:sz="4" w:space="0" w:color="auto"/>
            </w:tcBorders>
            <w:shd w:val="clear" w:color="auto" w:fill="C6EFCE"/>
            <w:noWrap/>
          </w:tcPr>
          <w:p w14:paraId="2FB33410"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08E1078F"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w:t>
            </w:r>
          </w:p>
        </w:tc>
        <w:tc>
          <w:tcPr>
            <w:tcW w:w="793" w:type="dxa"/>
            <w:tcBorders>
              <w:top w:val="single" w:sz="4" w:space="0" w:color="auto"/>
              <w:left w:val="nil"/>
              <w:bottom w:val="single" w:sz="4" w:space="0" w:color="auto"/>
              <w:right w:val="single" w:sz="4" w:space="0" w:color="auto"/>
            </w:tcBorders>
            <w:shd w:val="clear" w:color="auto" w:fill="C6EFCE"/>
            <w:noWrap/>
          </w:tcPr>
          <w:p w14:paraId="3BEB9FD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w:t>
            </w:r>
          </w:p>
        </w:tc>
        <w:tc>
          <w:tcPr>
            <w:tcW w:w="1051" w:type="dxa"/>
            <w:tcBorders>
              <w:top w:val="single" w:sz="4" w:space="0" w:color="auto"/>
              <w:left w:val="nil"/>
              <w:bottom w:val="single" w:sz="4" w:space="0" w:color="auto"/>
              <w:right w:val="single" w:sz="4" w:space="0" w:color="auto"/>
            </w:tcBorders>
            <w:shd w:val="clear" w:color="auto" w:fill="C6EFCE"/>
            <w:noWrap/>
          </w:tcPr>
          <w:p w14:paraId="595FB8FF"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Q2</w:t>
            </w:r>
          </w:p>
        </w:tc>
        <w:tc>
          <w:tcPr>
            <w:tcW w:w="755" w:type="dxa"/>
            <w:tcBorders>
              <w:top w:val="single" w:sz="4" w:space="0" w:color="auto"/>
              <w:left w:val="nil"/>
              <w:bottom w:val="single" w:sz="4" w:space="0" w:color="auto"/>
              <w:right w:val="single" w:sz="4" w:space="0" w:color="auto"/>
            </w:tcBorders>
            <w:shd w:val="clear" w:color="auto" w:fill="C6EFCE"/>
            <w:noWrap/>
          </w:tcPr>
          <w:p w14:paraId="4848E9D3"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2026</w:t>
            </w:r>
          </w:p>
        </w:tc>
        <w:tc>
          <w:tcPr>
            <w:tcW w:w="2891" w:type="dxa"/>
            <w:tcBorders>
              <w:top w:val="single" w:sz="4" w:space="0" w:color="auto"/>
              <w:left w:val="nil"/>
              <w:bottom w:val="single" w:sz="4" w:space="0" w:color="auto"/>
              <w:right w:val="single" w:sz="4" w:space="0" w:color="auto"/>
            </w:tcBorders>
            <w:shd w:val="clear" w:color="auto" w:fill="C6EFCE"/>
            <w:noWrap/>
            <w:vAlign w:val="bottom"/>
          </w:tcPr>
          <w:p w14:paraId="303F1FA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Legal and regulatory acts shall enter into force to: </w:t>
            </w:r>
          </w:p>
          <w:p w14:paraId="00AE98B3" w14:textId="77777777" w:rsidR="00145434" w:rsidRPr="00A025C9" w:rsidRDefault="00145434" w:rsidP="00145434">
            <w:pPr>
              <w:numPr>
                <w:ilvl w:val="0"/>
                <w:numId w:val="106"/>
              </w:numPr>
              <w:spacing w:after="0" w:line="240" w:lineRule="auto"/>
              <w:contextualSpacing/>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introduce the Contracts for Difference (CfD) as the default support mechanism in renewable power production;</w:t>
            </w:r>
          </w:p>
          <w:p w14:paraId="4524B9A2" w14:textId="6E0F1C72" w:rsidR="00145434" w:rsidRPr="00A025C9" w:rsidRDefault="00145434" w:rsidP="00145434">
            <w:pPr>
              <w:numPr>
                <w:ilvl w:val="0"/>
                <w:numId w:val="106"/>
              </w:numPr>
              <w:spacing w:after="0" w:line="240" w:lineRule="auto"/>
              <w:contextualSpacing/>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allow direct negotiation of</w:t>
            </w:r>
            <w:r w:rsidR="00D23D91" w:rsidRPr="00A025C9">
              <w:rPr>
                <w:rFonts w:ascii="Times New Roman" w:eastAsia="Aptos" w:hAnsi="Times New Roman" w:cs="Times New Roman"/>
                <w:noProof/>
                <w:kern w:val="2"/>
                <w:sz w:val="20"/>
                <w:szCs w:val="20"/>
                <w:lang w:val="en-GB" w:eastAsia="en-US"/>
                <w14:ligatures w14:val="standardContextual"/>
              </w:rPr>
              <w:t xml:space="preserve"> </w:t>
            </w:r>
            <w:r w:rsidRPr="00A025C9">
              <w:rPr>
                <w:rFonts w:ascii="Times New Roman" w:eastAsia="Aptos" w:hAnsi="Times New Roman" w:cs="Times New Roman"/>
                <w:noProof/>
                <w:kern w:val="2"/>
                <w:sz w:val="20"/>
                <w:szCs w:val="20"/>
                <w:lang w:val="en-GB" w:eastAsia="en-US"/>
                <w14:ligatures w14:val="standardContextual"/>
              </w:rPr>
              <w:t>Power Purchase Agreements (PPAs) by all energy producers;</w:t>
            </w:r>
          </w:p>
          <w:p w14:paraId="2CF254F2" w14:textId="77777777" w:rsidR="00145434" w:rsidRPr="00A025C9" w:rsidRDefault="00145434" w:rsidP="00145434">
            <w:pPr>
              <w:numPr>
                <w:ilvl w:val="0"/>
                <w:numId w:val="106"/>
              </w:numPr>
              <w:spacing w:after="0" w:line="240" w:lineRule="auto"/>
              <w:contextualSpacing/>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IE" w:eastAsia="en-US"/>
                <w14:ligatures w14:val="standardContextual"/>
              </w:rPr>
              <w:t xml:space="preserve">simplify the licensing and authorisation procedures for renewable energy sources investments, setting out shorter and mandatory administrative response times and implement accountability procedures for unnecessary delays; </w:t>
            </w:r>
          </w:p>
          <w:p w14:paraId="67B185BA" w14:textId="77777777" w:rsidR="00145434" w:rsidRPr="00A025C9" w:rsidRDefault="00145434" w:rsidP="00145434">
            <w:pPr>
              <w:numPr>
                <w:ilvl w:val="0"/>
                <w:numId w:val="106"/>
              </w:numPr>
              <w:spacing w:after="0" w:line="240" w:lineRule="auto"/>
              <w:contextualSpacing/>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introduce a dedicated framework for offshore renewable energy sources investments;</w:t>
            </w:r>
          </w:p>
          <w:p w14:paraId="20642B28" w14:textId="77777777" w:rsidR="00145434" w:rsidRPr="00A025C9" w:rsidRDefault="00145434" w:rsidP="00145434">
            <w:pPr>
              <w:numPr>
                <w:ilvl w:val="0"/>
                <w:numId w:val="106"/>
              </w:numPr>
              <w:spacing w:after="0" w:line="240" w:lineRule="auto"/>
              <w:contextualSpacing/>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introduce Demand Side Response in the balancing market and allow participation of industrial users.</w:t>
            </w:r>
          </w:p>
        </w:tc>
      </w:tr>
      <w:tr w:rsidR="00145434" w:rsidRPr="00A025C9" w14:paraId="5E50D2A2"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2F9A008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118</w:t>
            </w:r>
          </w:p>
        </w:tc>
        <w:tc>
          <w:tcPr>
            <w:tcW w:w="1823" w:type="dxa"/>
            <w:tcBorders>
              <w:top w:val="single" w:sz="4" w:space="0" w:color="auto"/>
              <w:left w:val="nil"/>
              <w:bottom w:val="single" w:sz="4" w:space="0" w:color="auto"/>
              <w:right w:val="single" w:sz="4" w:space="0" w:color="auto"/>
            </w:tcBorders>
            <w:shd w:val="clear" w:color="auto" w:fill="C6EFCE"/>
            <w:noWrap/>
          </w:tcPr>
          <w:p w14:paraId="42136043"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Reform 1. Electricity market reform, replacement of coal in the energy mix and support for a legislative and regulatory framework for private investment in renewable electricity production</w:t>
            </w:r>
          </w:p>
        </w:tc>
        <w:tc>
          <w:tcPr>
            <w:tcW w:w="1221" w:type="dxa"/>
            <w:tcBorders>
              <w:top w:val="single" w:sz="4" w:space="0" w:color="auto"/>
              <w:left w:val="nil"/>
              <w:bottom w:val="single" w:sz="4" w:space="0" w:color="auto"/>
              <w:right w:val="single" w:sz="4" w:space="0" w:color="auto"/>
            </w:tcBorders>
            <w:shd w:val="clear" w:color="auto" w:fill="C6EFCE"/>
            <w:noWrap/>
          </w:tcPr>
          <w:p w14:paraId="7C60B1A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Milestone</w:t>
            </w:r>
          </w:p>
        </w:tc>
        <w:tc>
          <w:tcPr>
            <w:tcW w:w="1782" w:type="dxa"/>
            <w:tcBorders>
              <w:top w:val="single" w:sz="4" w:space="0" w:color="auto"/>
              <w:left w:val="nil"/>
              <w:bottom w:val="single" w:sz="4" w:space="0" w:color="auto"/>
              <w:right w:val="single" w:sz="4" w:space="0" w:color="auto"/>
            </w:tcBorders>
            <w:shd w:val="clear" w:color="auto" w:fill="C6EFCE"/>
            <w:noWrap/>
          </w:tcPr>
          <w:p w14:paraId="248CEA54"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Signature of Contracts for Difference for renewable sources following auction rounds</w:t>
            </w:r>
          </w:p>
        </w:tc>
        <w:tc>
          <w:tcPr>
            <w:tcW w:w="1822" w:type="dxa"/>
            <w:tcBorders>
              <w:top w:val="single" w:sz="4" w:space="0" w:color="auto"/>
              <w:left w:val="nil"/>
              <w:bottom w:val="single" w:sz="4" w:space="0" w:color="auto"/>
              <w:right w:val="single" w:sz="4" w:space="0" w:color="auto"/>
            </w:tcBorders>
            <w:shd w:val="clear" w:color="auto" w:fill="C6EFCE"/>
            <w:noWrap/>
          </w:tcPr>
          <w:p w14:paraId="4D06601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Signature of contracts</w:t>
            </w:r>
          </w:p>
        </w:tc>
        <w:tc>
          <w:tcPr>
            <w:tcW w:w="1332" w:type="dxa"/>
            <w:tcBorders>
              <w:top w:val="single" w:sz="4" w:space="0" w:color="auto"/>
              <w:left w:val="nil"/>
              <w:bottom w:val="single" w:sz="4" w:space="0" w:color="auto"/>
              <w:right w:val="single" w:sz="4" w:space="0" w:color="auto"/>
            </w:tcBorders>
            <w:shd w:val="clear" w:color="auto" w:fill="C6EFCE"/>
            <w:noWrap/>
          </w:tcPr>
          <w:p w14:paraId="08A07E4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1332" w:type="dxa"/>
            <w:tcBorders>
              <w:top w:val="single" w:sz="4" w:space="0" w:color="auto"/>
              <w:left w:val="nil"/>
              <w:bottom w:val="single" w:sz="4" w:space="0" w:color="auto"/>
              <w:right w:val="single" w:sz="4" w:space="0" w:color="auto"/>
            </w:tcBorders>
            <w:shd w:val="clear" w:color="auto" w:fill="C6EFCE"/>
            <w:noWrap/>
          </w:tcPr>
          <w:p w14:paraId="10199801"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793" w:type="dxa"/>
            <w:tcBorders>
              <w:top w:val="single" w:sz="4" w:space="0" w:color="auto"/>
              <w:left w:val="nil"/>
              <w:bottom w:val="single" w:sz="4" w:space="0" w:color="auto"/>
              <w:right w:val="single" w:sz="4" w:space="0" w:color="auto"/>
            </w:tcBorders>
            <w:shd w:val="clear" w:color="auto" w:fill="C6EFCE"/>
            <w:noWrap/>
          </w:tcPr>
          <w:p w14:paraId="40E91DE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1051" w:type="dxa"/>
            <w:tcBorders>
              <w:top w:val="single" w:sz="4" w:space="0" w:color="auto"/>
              <w:left w:val="nil"/>
              <w:bottom w:val="single" w:sz="4" w:space="0" w:color="auto"/>
              <w:right w:val="single" w:sz="4" w:space="0" w:color="auto"/>
            </w:tcBorders>
            <w:shd w:val="clear" w:color="auto" w:fill="C6EFCE"/>
            <w:noWrap/>
          </w:tcPr>
          <w:p w14:paraId="4A2D01F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Q4</w:t>
            </w:r>
          </w:p>
        </w:tc>
        <w:tc>
          <w:tcPr>
            <w:tcW w:w="755" w:type="dxa"/>
            <w:tcBorders>
              <w:top w:val="single" w:sz="4" w:space="0" w:color="auto"/>
              <w:left w:val="nil"/>
              <w:bottom w:val="single" w:sz="4" w:space="0" w:color="auto"/>
              <w:right w:val="single" w:sz="4" w:space="0" w:color="auto"/>
            </w:tcBorders>
            <w:shd w:val="clear" w:color="auto" w:fill="C6EFCE"/>
            <w:noWrap/>
          </w:tcPr>
          <w:p w14:paraId="3BB0E214"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2025</w:t>
            </w:r>
          </w:p>
        </w:tc>
        <w:tc>
          <w:tcPr>
            <w:tcW w:w="2891" w:type="dxa"/>
            <w:tcBorders>
              <w:top w:val="single" w:sz="4" w:space="0" w:color="auto"/>
              <w:left w:val="nil"/>
              <w:bottom w:val="single" w:sz="4" w:space="0" w:color="auto"/>
              <w:right w:val="single" w:sz="4" w:space="0" w:color="auto"/>
            </w:tcBorders>
            <w:shd w:val="clear" w:color="auto" w:fill="C6EFCE"/>
            <w:noWrap/>
          </w:tcPr>
          <w:p w14:paraId="0BDDFD73" w14:textId="5EA5273E"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Signed contracts for Difference (CfD) for the</w:t>
            </w:r>
            <w:r w:rsidR="00D23D91" w:rsidRPr="00A025C9">
              <w:rPr>
                <w:rFonts w:ascii="Times New Roman" w:eastAsia="Aptos" w:hAnsi="Times New Roman" w:cs="Times New Roman"/>
                <w:noProof/>
                <w:kern w:val="2"/>
                <w:sz w:val="20"/>
                <w:szCs w:val="20"/>
                <w:lang w:val="en-GB" w:eastAsia="en-US"/>
                <w14:ligatures w14:val="standardContextual"/>
              </w:rPr>
              <w:t xml:space="preserve"> </w:t>
            </w:r>
            <w:r w:rsidRPr="00A025C9">
              <w:rPr>
                <w:rFonts w:ascii="Times New Roman" w:eastAsia="Aptos" w:hAnsi="Times New Roman" w:cs="Times New Roman"/>
                <w:noProof/>
                <w:kern w:val="2"/>
                <w:sz w:val="20"/>
                <w:szCs w:val="20"/>
                <w:lang w:val="en-GB" w:eastAsia="en-US"/>
                <w14:ligatures w14:val="standardContextual"/>
              </w:rPr>
              <w:t>production of electricity (at least 3</w:t>
            </w:r>
            <w:r w:rsidR="0099598E">
              <w:rPr>
                <w:rFonts w:ascii="Times New Roman" w:eastAsia="Aptos" w:hAnsi="Times New Roman" w:cs="Times New Roman"/>
                <w:noProof/>
                <w:kern w:val="2"/>
                <w:sz w:val="20"/>
                <w:szCs w:val="20"/>
                <w:lang w:val="en-GB" w:eastAsia="en-US"/>
                <w14:ligatures w14:val="standardContextual"/>
              </w:rPr>
              <w:t> </w:t>
            </w:r>
            <w:r w:rsidRPr="00A025C9">
              <w:rPr>
                <w:rFonts w:ascii="Times New Roman" w:eastAsia="Aptos" w:hAnsi="Times New Roman" w:cs="Times New Roman"/>
                <w:noProof/>
                <w:kern w:val="2"/>
                <w:sz w:val="20"/>
                <w:szCs w:val="20"/>
                <w:lang w:val="en-GB" w:eastAsia="en-US"/>
                <w14:ligatures w14:val="standardContextual"/>
              </w:rPr>
              <w:t>500 MW installed capacity) from renewable sources.</w:t>
            </w:r>
          </w:p>
        </w:tc>
      </w:tr>
      <w:tr w:rsidR="00145434" w:rsidRPr="00A025C9" w14:paraId="3FA925DF"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5DAD70FC"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119</w:t>
            </w:r>
          </w:p>
        </w:tc>
        <w:tc>
          <w:tcPr>
            <w:tcW w:w="1823" w:type="dxa"/>
            <w:tcBorders>
              <w:top w:val="single" w:sz="4" w:space="0" w:color="auto"/>
              <w:left w:val="nil"/>
              <w:bottom w:val="single" w:sz="4" w:space="0" w:color="auto"/>
              <w:right w:val="single" w:sz="4" w:space="0" w:color="auto"/>
            </w:tcBorders>
            <w:shd w:val="clear" w:color="auto" w:fill="C6EFCE"/>
            <w:noWrap/>
          </w:tcPr>
          <w:p w14:paraId="61D44F1C"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Reform 1. Electricity market reform, replacement of coal in the energy mix and support for a legislative and regulatory framework for private investment in renewable electricity production</w:t>
            </w:r>
          </w:p>
        </w:tc>
        <w:tc>
          <w:tcPr>
            <w:tcW w:w="1221" w:type="dxa"/>
            <w:tcBorders>
              <w:top w:val="single" w:sz="4" w:space="0" w:color="auto"/>
              <w:left w:val="nil"/>
              <w:bottom w:val="single" w:sz="4" w:space="0" w:color="auto"/>
              <w:right w:val="single" w:sz="4" w:space="0" w:color="auto"/>
            </w:tcBorders>
            <w:shd w:val="clear" w:color="auto" w:fill="C6EFCE"/>
            <w:noWrap/>
          </w:tcPr>
          <w:p w14:paraId="28EBBDA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Target</w:t>
            </w:r>
          </w:p>
        </w:tc>
        <w:tc>
          <w:tcPr>
            <w:tcW w:w="1782" w:type="dxa"/>
            <w:tcBorders>
              <w:top w:val="single" w:sz="4" w:space="0" w:color="auto"/>
              <w:left w:val="nil"/>
              <w:bottom w:val="single" w:sz="4" w:space="0" w:color="auto"/>
              <w:right w:val="single" w:sz="4" w:space="0" w:color="auto"/>
            </w:tcBorders>
            <w:shd w:val="clear" w:color="auto" w:fill="C6EFCE"/>
            <w:noWrap/>
          </w:tcPr>
          <w:p w14:paraId="76D7EA16" w14:textId="2948AF3C"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Decommissioning of coal/lignite-fired power production capacity </w:t>
            </w:r>
          </w:p>
        </w:tc>
        <w:tc>
          <w:tcPr>
            <w:tcW w:w="1822" w:type="dxa"/>
            <w:tcBorders>
              <w:top w:val="single" w:sz="4" w:space="0" w:color="auto"/>
              <w:left w:val="nil"/>
              <w:bottom w:val="single" w:sz="4" w:space="0" w:color="auto"/>
              <w:right w:val="single" w:sz="4" w:space="0" w:color="auto"/>
            </w:tcBorders>
            <w:shd w:val="clear" w:color="auto" w:fill="C6EFCE"/>
            <w:noWrap/>
          </w:tcPr>
          <w:p w14:paraId="543C4B3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281DAB1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Megawatts (MW)</w:t>
            </w:r>
          </w:p>
        </w:tc>
        <w:tc>
          <w:tcPr>
            <w:tcW w:w="1332" w:type="dxa"/>
            <w:tcBorders>
              <w:top w:val="single" w:sz="4" w:space="0" w:color="auto"/>
              <w:left w:val="nil"/>
              <w:bottom w:val="single" w:sz="4" w:space="0" w:color="auto"/>
              <w:right w:val="single" w:sz="4" w:space="0" w:color="auto"/>
            </w:tcBorders>
            <w:shd w:val="clear" w:color="auto" w:fill="C6EFCE"/>
            <w:noWrap/>
          </w:tcPr>
          <w:p w14:paraId="15393061"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2 025</w:t>
            </w:r>
          </w:p>
        </w:tc>
        <w:tc>
          <w:tcPr>
            <w:tcW w:w="793" w:type="dxa"/>
            <w:tcBorders>
              <w:top w:val="single" w:sz="4" w:space="0" w:color="auto"/>
              <w:left w:val="nil"/>
              <w:bottom w:val="single" w:sz="4" w:space="0" w:color="auto"/>
              <w:right w:val="single" w:sz="4" w:space="0" w:color="auto"/>
            </w:tcBorders>
            <w:shd w:val="clear" w:color="auto" w:fill="C6EFCE"/>
            <w:noWrap/>
          </w:tcPr>
          <w:p w14:paraId="4E01B45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3 070</w:t>
            </w:r>
          </w:p>
        </w:tc>
        <w:tc>
          <w:tcPr>
            <w:tcW w:w="1051" w:type="dxa"/>
            <w:tcBorders>
              <w:top w:val="single" w:sz="4" w:space="0" w:color="auto"/>
              <w:left w:val="nil"/>
              <w:bottom w:val="single" w:sz="4" w:space="0" w:color="auto"/>
              <w:right w:val="single" w:sz="4" w:space="0" w:color="auto"/>
            </w:tcBorders>
            <w:shd w:val="clear" w:color="auto" w:fill="C6EFCE"/>
            <w:noWrap/>
          </w:tcPr>
          <w:p w14:paraId="3270ECF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Q4</w:t>
            </w:r>
          </w:p>
        </w:tc>
        <w:tc>
          <w:tcPr>
            <w:tcW w:w="755" w:type="dxa"/>
            <w:tcBorders>
              <w:top w:val="single" w:sz="4" w:space="0" w:color="auto"/>
              <w:left w:val="nil"/>
              <w:bottom w:val="single" w:sz="4" w:space="0" w:color="auto"/>
              <w:right w:val="single" w:sz="4" w:space="0" w:color="auto"/>
            </w:tcBorders>
            <w:shd w:val="clear" w:color="auto" w:fill="C6EFCE"/>
            <w:noWrap/>
          </w:tcPr>
          <w:p w14:paraId="313F746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2025</w:t>
            </w:r>
          </w:p>
        </w:tc>
        <w:tc>
          <w:tcPr>
            <w:tcW w:w="2891" w:type="dxa"/>
            <w:tcBorders>
              <w:top w:val="single" w:sz="4" w:space="0" w:color="auto"/>
              <w:left w:val="nil"/>
              <w:bottom w:val="single" w:sz="4" w:space="0" w:color="auto"/>
              <w:right w:val="single" w:sz="4" w:space="0" w:color="auto"/>
            </w:tcBorders>
            <w:shd w:val="clear" w:color="auto" w:fill="C6EFCE"/>
            <w:noWrap/>
          </w:tcPr>
          <w:p w14:paraId="6A6187DB"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Decision(s) issued by National Energy Regulator</w:t>
            </w:r>
          </w:p>
          <w:p w14:paraId="03DFE6E2" w14:textId="28D3BC8B" w:rsidR="00145434" w:rsidRPr="00A025C9" w:rsidRDefault="00145434" w:rsidP="0099598E">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withdrawing operating license(s)</w:t>
            </w:r>
            <w:r w:rsidRPr="00A025C9">
              <w:rPr>
                <w:rFonts w:ascii="Times New Roman" w:eastAsia="Aptos" w:hAnsi="Times New Roman" w:cs="Times New Roman"/>
                <w:noProof/>
                <w:kern w:val="2"/>
                <w:sz w:val="20"/>
                <w:szCs w:val="20"/>
                <w:lang w:val="en-IE" w:eastAsia="en-US"/>
                <w14:ligatures w14:val="standardContextual"/>
              </w:rPr>
              <w:t xml:space="preserve"> </w:t>
            </w:r>
            <w:r w:rsidRPr="00A025C9">
              <w:rPr>
                <w:rFonts w:ascii="Times New Roman" w:eastAsia="Aptos" w:hAnsi="Times New Roman" w:cs="Times New Roman"/>
                <w:noProof/>
                <w:kern w:val="2"/>
                <w:sz w:val="20"/>
                <w:szCs w:val="20"/>
                <w:lang w:val="en-GB" w:eastAsia="en-US"/>
                <w14:ligatures w14:val="standardContextual"/>
              </w:rPr>
              <w:t>together with certification(s) from the Transmission System Operator confirming the disconnection</w:t>
            </w:r>
            <w:r w:rsidR="0099598E">
              <w:rPr>
                <w:rFonts w:ascii="Times New Roman" w:eastAsia="Aptos" w:hAnsi="Times New Roman" w:cs="Times New Roman"/>
                <w:noProof/>
                <w:kern w:val="2"/>
                <w:sz w:val="20"/>
                <w:szCs w:val="20"/>
                <w:lang w:val="en-GB" w:eastAsia="en-US"/>
                <w14:ligatures w14:val="standardContextual"/>
              </w:rPr>
              <w:t xml:space="preserve"> </w:t>
            </w:r>
            <w:r w:rsidRPr="00A025C9">
              <w:rPr>
                <w:rFonts w:ascii="Times New Roman" w:eastAsia="Aptos" w:hAnsi="Times New Roman" w:cs="Times New Roman"/>
                <w:noProof/>
                <w:kern w:val="2"/>
                <w:sz w:val="20"/>
                <w:szCs w:val="20"/>
                <w:lang w:val="en-GB" w:eastAsia="en-US"/>
                <w14:ligatures w14:val="standardContextual"/>
              </w:rPr>
              <w:t>of a cumulative 3</w:t>
            </w:r>
            <w:r w:rsidR="0099598E">
              <w:rPr>
                <w:rFonts w:ascii="Times New Roman" w:eastAsia="Aptos" w:hAnsi="Times New Roman" w:cs="Times New Roman"/>
                <w:noProof/>
                <w:kern w:val="2"/>
                <w:sz w:val="20"/>
                <w:szCs w:val="20"/>
                <w:lang w:val="en-GB" w:eastAsia="en-US"/>
                <w14:ligatures w14:val="standardContextual"/>
              </w:rPr>
              <w:t> </w:t>
            </w:r>
            <w:r w:rsidRPr="00A025C9">
              <w:rPr>
                <w:rFonts w:ascii="Times New Roman" w:eastAsia="Aptos" w:hAnsi="Times New Roman" w:cs="Times New Roman"/>
                <w:noProof/>
                <w:kern w:val="2"/>
                <w:sz w:val="20"/>
                <w:szCs w:val="20"/>
                <w:lang w:val="en-GB" w:eastAsia="en-US"/>
                <w14:ligatures w14:val="standardContextual"/>
              </w:rPr>
              <w:t>070 MW of coal and lignite-fired decommissioned electricity production capacity.</w:t>
            </w:r>
            <w:r w:rsidR="00D23D91" w:rsidRPr="00A025C9">
              <w:rPr>
                <w:rFonts w:ascii="Times New Roman" w:eastAsia="Aptos" w:hAnsi="Times New Roman" w:cs="Times New Roman"/>
                <w:noProof/>
                <w:kern w:val="2"/>
                <w:sz w:val="20"/>
                <w:szCs w:val="20"/>
                <w:lang w:val="en-GB" w:eastAsia="en-US"/>
                <w14:ligatures w14:val="standardContextual"/>
              </w:rPr>
              <w:t xml:space="preserve"> </w:t>
            </w:r>
          </w:p>
        </w:tc>
      </w:tr>
      <w:tr w:rsidR="00145434" w:rsidRPr="00A025C9" w14:paraId="59A32DD4"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571EB793"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119a</w:t>
            </w:r>
          </w:p>
        </w:tc>
        <w:tc>
          <w:tcPr>
            <w:tcW w:w="1823" w:type="dxa"/>
            <w:tcBorders>
              <w:top w:val="single" w:sz="4" w:space="0" w:color="auto"/>
              <w:left w:val="nil"/>
              <w:bottom w:val="single" w:sz="4" w:space="0" w:color="auto"/>
              <w:right w:val="single" w:sz="4" w:space="0" w:color="auto"/>
            </w:tcBorders>
            <w:shd w:val="clear" w:color="auto" w:fill="C6EFCE"/>
            <w:noWrap/>
          </w:tcPr>
          <w:p w14:paraId="50755AE4"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Reform 1. Electricity market reform, replacement of coal in the energy mix and support for a legislative and regulatory framework for private investment in renewable electricity production</w:t>
            </w:r>
          </w:p>
        </w:tc>
        <w:tc>
          <w:tcPr>
            <w:tcW w:w="1221" w:type="dxa"/>
            <w:tcBorders>
              <w:top w:val="single" w:sz="4" w:space="0" w:color="auto"/>
              <w:left w:val="nil"/>
              <w:bottom w:val="single" w:sz="4" w:space="0" w:color="auto"/>
              <w:right w:val="single" w:sz="4" w:space="0" w:color="auto"/>
            </w:tcBorders>
            <w:shd w:val="clear" w:color="auto" w:fill="C6EFCE"/>
            <w:noWrap/>
          </w:tcPr>
          <w:p w14:paraId="412CCA86"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Target</w:t>
            </w:r>
          </w:p>
        </w:tc>
        <w:tc>
          <w:tcPr>
            <w:tcW w:w="1782" w:type="dxa"/>
            <w:tcBorders>
              <w:top w:val="single" w:sz="4" w:space="0" w:color="auto"/>
              <w:left w:val="nil"/>
              <w:bottom w:val="single" w:sz="4" w:space="0" w:color="auto"/>
              <w:right w:val="single" w:sz="4" w:space="0" w:color="auto"/>
            </w:tcBorders>
            <w:shd w:val="clear" w:color="auto" w:fill="C6EFCE"/>
            <w:noWrap/>
          </w:tcPr>
          <w:p w14:paraId="6E624D85" w14:textId="64776B02"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Decommissioning of coal/lignite-fired power production capacity</w:t>
            </w:r>
          </w:p>
        </w:tc>
        <w:tc>
          <w:tcPr>
            <w:tcW w:w="1822" w:type="dxa"/>
            <w:tcBorders>
              <w:top w:val="single" w:sz="4" w:space="0" w:color="auto"/>
              <w:left w:val="nil"/>
              <w:bottom w:val="single" w:sz="4" w:space="0" w:color="auto"/>
              <w:right w:val="single" w:sz="4" w:space="0" w:color="auto"/>
            </w:tcBorders>
            <w:shd w:val="clear" w:color="auto" w:fill="C6EFCE"/>
            <w:noWrap/>
          </w:tcPr>
          <w:p w14:paraId="4C44D529"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p>
        </w:tc>
        <w:tc>
          <w:tcPr>
            <w:tcW w:w="1332" w:type="dxa"/>
            <w:tcBorders>
              <w:top w:val="single" w:sz="4" w:space="0" w:color="auto"/>
              <w:left w:val="nil"/>
              <w:bottom w:val="single" w:sz="4" w:space="0" w:color="auto"/>
              <w:right w:val="single" w:sz="4" w:space="0" w:color="auto"/>
            </w:tcBorders>
            <w:shd w:val="clear" w:color="auto" w:fill="C6EFCE"/>
            <w:noWrap/>
          </w:tcPr>
          <w:p w14:paraId="07B26AD4"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Megawatts (MW)</w:t>
            </w:r>
          </w:p>
        </w:tc>
        <w:tc>
          <w:tcPr>
            <w:tcW w:w="1332" w:type="dxa"/>
            <w:tcBorders>
              <w:top w:val="single" w:sz="4" w:space="0" w:color="auto"/>
              <w:left w:val="nil"/>
              <w:bottom w:val="single" w:sz="4" w:space="0" w:color="auto"/>
              <w:right w:val="single" w:sz="4" w:space="0" w:color="auto"/>
            </w:tcBorders>
            <w:shd w:val="clear" w:color="auto" w:fill="C6EFCE"/>
            <w:noWrap/>
          </w:tcPr>
          <w:p w14:paraId="62B8EDD4" w14:textId="66837AB8"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3</w:t>
            </w:r>
            <w:r w:rsidR="0099598E">
              <w:rPr>
                <w:rFonts w:ascii="Times New Roman" w:eastAsia="Aptos" w:hAnsi="Times New Roman" w:cs="Times New Roman"/>
                <w:noProof/>
                <w:kern w:val="2"/>
                <w:sz w:val="20"/>
                <w:szCs w:val="20"/>
                <w:lang w:val="en-GB" w:eastAsia="en-US"/>
                <w14:ligatures w14:val="standardContextual"/>
              </w:rPr>
              <w:t> </w:t>
            </w:r>
            <w:r w:rsidRPr="00A025C9">
              <w:rPr>
                <w:rFonts w:ascii="Times New Roman" w:eastAsia="Aptos" w:hAnsi="Times New Roman" w:cs="Times New Roman"/>
                <w:noProof/>
                <w:kern w:val="2"/>
                <w:sz w:val="20"/>
                <w:szCs w:val="20"/>
                <w:lang w:val="en-GB" w:eastAsia="en-US"/>
                <w14:ligatures w14:val="standardContextual"/>
              </w:rPr>
              <w:t>070</w:t>
            </w:r>
          </w:p>
        </w:tc>
        <w:tc>
          <w:tcPr>
            <w:tcW w:w="793" w:type="dxa"/>
            <w:tcBorders>
              <w:top w:val="single" w:sz="4" w:space="0" w:color="auto"/>
              <w:left w:val="nil"/>
              <w:bottom w:val="single" w:sz="4" w:space="0" w:color="auto"/>
              <w:right w:val="single" w:sz="4" w:space="0" w:color="auto"/>
            </w:tcBorders>
            <w:shd w:val="clear" w:color="auto" w:fill="C6EFCE"/>
            <w:noWrap/>
          </w:tcPr>
          <w:p w14:paraId="6B88BB4D" w14:textId="5CD5A2AE"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3</w:t>
            </w:r>
            <w:r w:rsidR="0075416A" w:rsidRPr="00A025C9">
              <w:rPr>
                <w:rFonts w:ascii="Times New Roman" w:eastAsia="Aptos" w:hAnsi="Times New Roman" w:cs="Times New Roman"/>
                <w:noProof/>
                <w:kern w:val="2"/>
                <w:sz w:val="20"/>
                <w:szCs w:val="20"/>
                <w:lang w:val="en-GB" w:eastAsia="en-US"/>
                <w14:ligatures w14:val="standardContextual"/>
              </w:rPr>
              <w:t> </w:t>
            </w:r>
            <w:r w:rsidRPr="00A025C9">
              <w:rPr>
                <w:rFonts w:ascii="Times New Roman" w:eastAsia="Aptos" w:hAnsi="Times New Roman" w:cs="Times New Roman"/>
                <w:noProof/>
                <w:kern w:val="2"/>
                <w:sz w:val="20"/>
                <w:szCs w:val="20"/>
                <w:lang w:val="en-GB" w:eastAsia="en-US"/>
                <w14:ligatures w14:val="standardContextual"/>
              </w:rPr>
              <w:t>780</w:t>
            </w:r>
          </w:p>
        </w:tc>
        <w:tc>
          <w:tcPr>
            <w:tcW w:w="1051" w:type="dxa"/>
            <w:tcBorders>
              <w:top w:val="single" w:sz="4" w:space="0" w:color="auto"/>
              <w:left w:val="nil"/>
              <w:bottom w:val="single" w:sz="4" w:space="0" w:color="auto"/>
              <w:right w:val="single" w:sz="4" w:space="0" w:color="auto"/>
            </w:tcBorders>
            <w:shd w:val="clear" w:color="auto" w:fill="C6EFCE"/>
            <w:noWrap/>
          </w:tcPr>
          <w:p w14:paraId="77865847"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Q3</w:t>
            </w:r>
          </w:p>
        </w:tc>
        <w:tc>
          <w:tcPr>
            <w:tcW w:w="755" w:type="dxa"/>
            <w:tcBorders>
              <w:top w:val="single" w:sz="4" w:space="0" w:color="auto"/>
              <w:left w:val="nil"/>
              <w:bottom w:val="single" w:sz="4" w:space="0" w:color="auto"/>
              <w:right w:val="single" w:sz="4" w:space="0" w:color="auto"/>
            </w:tcBorders>
            <w:shd w:val="clear" w:color="auto" w:fill="C6EFCE"/>
            <w:noWrap/>
          </w:tcPr>
          <w:p w14:paraId="77F59DCA"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2026</w:t>
            </w:r>
          </w:p>
        </w:tc>
        <w:tc>
          <w:tcPr>
            <w:tcW w:w="2891" w:type="dxa"/>
            <w:tcBorders>
              <w:top w:val="single" w:sz="4" w:space="0" w:color="auto"/>
              <w:left w:val="nil"/>
              <w:bottom w:val="single" w:sz="4" w:space="0" w:color="auto"/>
              <w:right w:val="single" w:sz="4" w:space="0" w:color="auto"/>
            </w:tcBorders>
            <w:shd w:val="clear" w:color="auto" w:fill="C6EFCE"/>
            <w:noWrap/>
          </w:tcPr>
          <w:p w14:paraId="24B35448"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Decision(s) issued by the National Energy Regulator</w:t>
            </w:r>
          </w:p>
          <w:p w14:paraId="0EB5186A"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withdrawing operating license(s)</w:t>
            </w:r>
            <w:r w:rsidRPr="00A025C9">
              <w:rPr>
                <w:rFonts w:ascii="Times New Roman" w:eastAsia="Aptos" w:hAnsi="Times New Roman" w:cs="Times New Roman"/>
                <w:noProof/>
                <w:kern w:val="2"/>
                <w:sz w:val="20"/>
                <w:szCs w:val="20"/>
                <w:lang w:val="en-IE" w:eastAsia="en-US"/>
                <w14:ligatures w14:val="standardContextual"/>
              </w:rPr>
              <w:t xml:space="preserve"> </w:t>
            </w:r>
            <w:r w:rsidRPr="00A025C9">
              <w:rPr>
                <w:rFonts w:ascii="Times New Roman" w:eastAsia="Aptos" w:hAnsi="Times New Roman" w:cs="Times New Roman"/>
                <w:noProof/>
                <w:kern w:val="2"/>
                <w:sz w:val="20"/>
                <w:szCs w:val="20"/>
                <w:lang w:val="en-GB" w:eastAsia="en-US"/>
                <w14:ligatures w14:val="standardContextual"/>
              </w:rPr>
              <w:t>together with certification(s) from the Transmission System Operator, confirming the disconnection</w:t>
            </w:r>
          </w:p>
          <w:p w14:paraId="54764E35" w14:textId="18A0A916"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of a cumulative 3</w:t>
            </w:r>
            <w:r w:rsidR="0099598E">
              <w:rPr>
                <w:rFonts w:ascii="Times New Roman" w:eastAsia="Aptos" w:hAnsi="Times New Roman" w:cs="Times New Roman"/>
                <w:noProof/>
                <w:kern w:val="2"/>
                <w:sz w:val="20"/>
                <w:szCs w:val="20"/>
                <w:lang w:val="en-GB" w:eastAsia="en-US"/>
                <w14:ligatures w14:val="standardContextual"/>
              </w:rPr>
              <w:t> </w:t>
            </w:r>
            <w:r w:rsidRPr="00A025C9">
              <w:rPr>
                <w:rFonts w:ascii="Times New Roman" w:eastAsia="Aptos" w:hAnsi="Times New Roman" w:cs="Times New Roman"/>
                <w:noProof/>
                <w:kern w:val="2"/>
                <w:sz w:val="20"/>
                <w:szCs w:val="20"/>
                <w:lang w:val="en-GB" w:eastAsia="en-US"/>
                <w14:ligatures w14:val="standardContextual"/>
              </w:rPr>
              <w:t>780 MW of coal and lignite-fired decommissioned electricity production capacity, complemented</w:t>
            </w:r>
            <w:r w:rsidR="00FB1D0B">
              <w:rPr>
                <w:rFonts w:ascii="Times New Roman" w:eastAsia="Aptos" w:hAnsi="Times New Roman" w:cs="Times New Roman"/>
                <w:noProof/>
                <w:kern w:val="2"/>
                <w:sz w:val="20"/>
                <w:szCs w:val="20"/>
                <w:lang w:val="en-GB" w:eastAsia="en-US"/>
                <w14:ligatures w14:val="standardContextual"/>
              </w:rPr>
              <w:t xml:space="preserve"> </w:t>
            </w:r>
            <w:r w:rsidRPr="00A025C9">
              <w:rPr>
                <w:rFonts w:ascii="Times New Roman" w:eastAsia="Aptos" w:hAnsi="Times New Roman" w:cs="Times New Roman"/>
                <w:noProof/>
                <w:kern w:val="2"/>
                <w:sz w:val="20"/>
                <w:szCs w:val="20"/>
                <w:lang w:val="en-GB" w:eastAsia="en-US"/>
                <w14:ligatures w14:val="standardContextual"/>
              </w:rPr>
              <w:t>by contracts signed for 1</w:t>
            </w:r>
            <w:r w:rsidR="0075416A" w:rsidRPr="00A025C9">
              <w:rPr>
                <w:rFonts w:ascii="Times New Roman" w:eastAsia="Aptos" w:hAnsi="Times New Roman" w:cs="Times New Roman"/>
                <w:noProof/>
                <w:kern w:val="2"/>
                <w:sz w:val="20"/>
                <w:szCs w:val="20"/>
                <w:lang w:val="en-GB" w:eastAsia="en-US"/>
                <w14:ligatures w14:val="standardContextual"/>
              </w:rPr>
              <w:t> </w:t>
            </w:r>
            <w:r w:rsidRPr="00A025C9">
              <w:rPr>
                <w:rFonts w:ascii="Times New Roman" w:eastAsia="Aptos" w:hAnsi="Times New Roman" w:cs="Times New Roman"/>
                <w:noProof/>
                <w:kern w:val="2"/>
                <w:sz w:val="20"/>
                <w:szCs w:val="20"/>
                <w:lang w:val="en-GB" w:eastAsia="en-US"/>
                <w14:ligatures w14:val="standardContextual"/>
              </w:rPr>
              <w:t>200 MW of renewable electricity sources, as well as 1</w:t>
            </w:r>
            <w:r w:rsidR="0099598E">
              <w:rPr>
                <w:rFonts w:ascii="Times New Roman" w:eastAsia="Aptos" w:hAnsi="Times New Roman" w:cs="Times New Roman"/>
                <w:noProof/>
                <w:kern w:val="2"/>
                <w:sz w:val="20"/>
                <w:szCs w:val="20"/>
                <w:lang w:val="en-GB" w:eastAsia="en-US"/>
                <w14:ligatures w14:val="standardContextual"/>
              </w:rPr>
              <w:t> </w:t>
            </w:r>
            <w:r w:rsidRPr="00A025C9">
              <w:rPr>
                <w:rFonts w:ascii="Times New Roman" w:eastAsia="Aptos" w:hAnsi="Times New Roman" w:cs="Times New Roman"/>
                <w:noProof/>
                <w:kern w:val="2"/>
                <w:sz w:val="20"/>
                <w:szCs w:val="20"/>
                <w:lang w:val="en-GB" w:eastAsia="en-US"/>
                <w14:ligatures w14:val="standardContextual"/>
              </w:rPr>
              <w:t>500 MW</w:t>
            </w:r>
            <w:r w:rsidR="00DC5E2E" w:rsidRPr="00A025C9">
              <w:rPr>
                <w:rFonts w:ascii="Times New Roman" w:eastAsia="Aptos" w:hAnsi="Times New Roman" w:cs="Times New Roman"/>
                <w:noProof/>
                <w:kern w:val="2"/>
                <w:sz w:val="20"/>
                <w:szCs w:val="20"/>
                <w:lang w:val="en-GB" w:eastAsia="en-US"/>
                <w14:ligatures w14:val="standardContextual"/>
              </w:rPr>
              <w:t>h</w:t>
            </w:r>
            <w:r w:rsidRPr="00A025C9">
              <w:rPr>
                <w:rFonts w:ascii="Times New Roman" w:eastAsia="Aptos" w:hAnsi="Times New Roman" w:cs="Times New Roman"/>
                <w:noProof/>
                <w:kern w:val="2"/>
                <w:sz w:val="20"/>
                <w:szCs w:val="20"/>
                <w:lang w:val="en-GB" w:eastAsia="en-US"/>
                <w14:ligatures w14:val="standardContextual"/>
              </w:rPr>
              <w:t xml:space="preserve"> of behind-the-meter electricity storage .</w:t>
            </w:r>
          </w:p>
        </w:tc>
      </w:tr>
      <w:tr w:rsidR="00145434" w:rsidRPr="00A025C9" w14:paraId="29B3C831"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6422116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120</w:t>
            </w:r>
          </w:p>
        </w:tc>
        <w:tc>
          <w:tcPr>
            <w:tcW w:w="1823" w:type="dxa"/>
            <w:tcBorders>
              <w:top w:val="single" w:sz="4" w:space="0" w:color="auto"/>
              <w:left w:val="nil"/>
              <w:bottom w:val="single" w:sz="4" w:space="0" w:color="auto"/>
              <w:right w:val="single" w:sz="4" w:space="0" w:color="auto"/>
            </w:tcBorders>
            <w:shd w:val="clear" w:color="auto" w:fill="C6EFCE"/>
            <w:noWrap/>
          </w:tcPr>
          <w:p w14:paraId="0A02922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Reform 1. Electricity market reform, replacement of coal in the energy mix and support for a legislative and regulatory framework for private investment in renewable electricity production</w:t>
            </w:r>
          </w:p>
        </w:tc>
        <w:tc>
          <w:tcPr>
            <w:tcW w:w="1221" w:type="dxa"/>
            <w:tcBorders>
              <w:top w:val="single" w:sz="4" w:space="0" w:color="auto"/>
              <w:left w:val="nil"/>
              <w:bottom w:val="single" w:sz="4" w:space="0" w:color="auto"/>
              <w:right w:val="single" w:sz="4" w:space="0" w:color="auto"/>
            </w:tcBorders>
            <w:shd w:val="clear" w:color="auto" w:fill="C6EFCE"/>
            <w:noWrap/>
          </w:tcPr>
          <w:p w14:paraId="1FACE38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Target</w:t>
            </w:r>
          </w:p>
        </w:tc>
        <w:tc>
          <w:tcPr>
            <w:tcW w:w="1782" w:type="dxa"/>
            <w:tcBorders>
              <w:top w:val="single" w:sz="4" w:space="0" w:color="auto"/>
              <w:left w:val="nil"/>
              <w:bottom w:val="single" w:sz="4" w:space="0" w:color="auto"/>
              <w:right w:val="single" w:sz="4" w:space="0" w:color="auto"/>
            </w:tcBorders>
            <w:shd w:val="clear" w:color="auto" w:fill="C6EFCE"/>
            <w:noWrap/>
          </w:tcPr>
          <w:p w14:paraId="46A2000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Additional renewables capacity installed and connected to the grid </w:t>
            </w:r>
          </w:p>
        </w:tc>
        <w:tc>
          <w:tcPr>
            <w:tcW w:w="1822" w:type="dxa"/>
            <w:tcBorders>
              <w:top w:val="single" w:sz="4" w:space="0" w:color="auto"/>
              <w:left w:val="nil"/>
              <w:bottom w:val="single" w:sz="4" w:space="0" w:color="auto"/>
              <w:right w:val="single" w:sz="4" w:space="0" w:color="auto"/>
            </w:tcBorders>
            <w:shd w:val="clear" w:color="auto" w:fill="C6EFCE"/>
            <w:noWrap/>
          </w:tcPr>
          <w:p w14:paraId="4FE7A651"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1332" w:type="dxa"/>
            <w:tcBorders>
              <w:top w:val="single" w:sz="4" w:space="0" w:color="auto"/>
              <w:left w:val="nil"/>
              <w:bottom w:val="single" w:sz="4" w:space="0" w:color="auto"/>
              <w:right w:val="single" w:sz="4" w:space="0" w:color="auto"/>
            </w:tcBorders>
            <w:shd w:val="clear" w:color="auto" w:fill="C6EFCE"/>
            <w:noWrap/>
          </w:tcPr>
          <w:p w14:paraId="04E45DD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Megawatts (MW)</w:t>
            </w:r>
          </w:p>
        </w:tc>
        <w:tc>
          <w:tcPr>
            <w:tcW w:w="1332" w:type="dxa"/>
            <w:tcBorders>
              <w:top w:val="single" w:sz="4" w:space="0" w:color="auto"/>
              <w:left w:val="nil"/>
              <w:bottom w:val="single" w:sz="4" w:space="0" w:color="auto"/>
              <w:right w:val="single" w:sz="4" w:space="0" w:color="auto"/>
            </w:tcBorders>
            <w:shd w:val="clear" w:color="auto" w:fill="C6EFCE"/>
            <w:noWrap/>
          </w:tcPr>
          <w:p w14:paraId="47F1214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4 408</w:t>
            </w:r>
          </w:p>
        </w:tc>
        <w:tc>
          <w:tcPr>
            <w:tcW w:w="793" w:type="dxa"/>
            <w:tcBorders>
              <w:top w:val="single" w:sz="4" w:space="0" w:color="auto"/>
              <w:left w:val="nil"/>
              <w:bottom w:val="single" w:sz="4" w:space="0" w:color="auto"/>
              <w:right w:val="single" w:sz="4" w:space="0" w:color="auto"/>
            </w:tcBorders>
            <w:shd w:val="clear" w:color="auto" w:fill="C6EFCE"/>
            <w:noWrap/>
          </w:tcPr>
          <w:p w14:paraId="08976E2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7 408</w:t>
            </w:r>
          </w:p>
        </w:tc>
        <w:tc>
          <w:tcPr>
            <w:tcW w:w="1051" w:type="dxa"/>
            <w:tcBorders>
              <w:top w:val="single" w:sz="4" w:space="0" w:color="auto"/>
              <w:left w:val="nil"/>
              <w:bottom w:val="single" w:sz="4" w:space="0" w:color="auto"/>
              <w:right w:val="single" w:sz="4" w:space="0" w:color="auto"/>
            </w:tcBorders>
            <w:shd w:val="clear" w:color="auto" w:fill="C6EFCE"/>
            <w:noWrap/>
          </w:tcPr>
          <w:p w14:paraId="3469863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Q2</w:t>
            </w:r>
          </w:p>
        </w:tc>
        <w:tc>
          <w:tcPr>
            <w:tcW w:w="755" w:type="dxa"/>
            <w:tcBorders>
              <w:top w:val="single" w:sz="4" w:space="0" w:color="auto"/>
              <w:left w:val="nil"/>
              <w:bottom w:val="single" w:sz="4" w:space="0" w:color="auto"/>
              <w:right w:val="single" w:sz="4" w:space="0" w:color="auto"/>
            </w:tcBorders>
            <w:shd w:val="clear" w:color="auto" w:fill="C6EFCE"/>
            <w:noWrap/>
          </w:tcPr>
          <w:p w14:paraId="4F4EC0B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2026</w:t>
            </w:r>
          </w:p>
        </w:tc>
        <w:tc>
          <w:tcPr>
            <w:tcW w:w="2891" w:type="dxa"/>
            <w:tcBorders>
              <w:top w:val="single" w:sz="4" w:space="0" w:color="auto"/>
              <w:left w:val="nil"/>
              <w:bottom w:val="single" w:sz="4" w:space="0" w:color="auto"/>
              <w:right w:val="single" w:sz="4" w:space="0" w:color="auto"/>
            </w:tcBorders>
            <w:shd w:val="clear" w:color="auto" w:fill="C6EFCE"/>
            <w:noWrap/>
          </w:tcPr>
          <w:p w14:paraId="1B4463C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Certificate(s) from the electricity transmission or the distribution grids operators or national regulary authority confirming connection of proving an increase of at least 3 000MW of additional renewables capacity (to be financed partially by other EU funds).</w:t>
            </w:r>
          </w:p>
        </w:tc>
      </w:tr>
      <w:tr w:rsidR="00145434" w:rsidRPr="00A025C9" w14:paraId="0D80A700"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7113DAE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121</w:t>
            </w:r>
          </w:p>
        </w:tc>
        <w:tc>
          <w:tcPr>
            <w:tcW w:w="1823" w:type="dxa"/>
            <w:tcBorders>
              <w:top w:val="single" w:sz="4" w:space="0" w:color="auto"/>
              <w:left w:val="nil"/>
              <w:bottom w:val="single" w:sz="4" w:space="0" w:color="auto"/>
              <w:right w:val="single" w:sz="4" w:space="0" w:color="auto"/>
            </w:tcBorders>
            <w:shd w:val="clear" w:color="auto" w:fill="C6EFCE"/>
            <w:noWrap/>
          </w:tcPr>
          <w:p w14:paraId="21C2180E"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Reform 2. Reforming corporate governance of state-owned companies in the energy sector</w:t>
            </w:r>
          </w:p>
        </w:tc>
        <w:tc>
          <w:tcPr>
            <w:tcW w:w="1221" w:type="dxa"/>
            <w:tcBorders>
              <w:top w:val="single" w:sz="4" w:space="0" w:color="auto"/>
              <w:left w:val="nil"/>
              <w:bottom w:val="single" w:sz="4" w:space="0" w:color="auto"/>
              <w:right w:val="single" w:sz="4" w:space="0" w:color="auto"/>
            </w:tcBorders>
            <w:shd w:val="clear" w:color="auto" w:fill="C6EFCE"/>
            <w:noWrap/>
          </w:tcPr>
          <w:p w14:paraId="2E218AD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Milestone</w:t>
            </w:r>
          </w:p>
        </w:tc>
        <w:tc>
          <w:tcPr>
            <w:tcW w:w="1782" w:type="dxa"/>
            <w:tcBorders>
              <w:top w:val="single" w:sz="4" w:space="0" w:color="auto"/>
              <w:left w:val="nil"/>
              <w:bottom w:val="single" w:sz="4" w:space="0" w:color="auto"/>
              <w:right w:val="single" w:sz="4" w:space="0" w:color="auto"/>
            </w:tcBorders>
            <w:shd w:val="clear" w:color="auto" w:fill="C6EFCE"/>
            <w:noWrap/>
          </w:tcPr>
          <w:p w14:paraId="57D8CF1F"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Improving corporate governance of State-owned companies in the energy sector</w:t>
            </w:r>
          </w:p>
        </w:tc>
        <w:tc>
          <w:tcPr>
            <w:tcW w:w="1822" w:type="dxa"/>
            <w:tcBorders>
              <w:top w:val="single" w:sz="4" w:space="0" w:color="auto"/>
              <w:left w:val="nil"/>
              <w:bottom w:val="single" w:sz="4" w:space="0" w:color="auto"/>
              <w:right w:val="single" w:sz="4" w:space="0" w:color="auto"/>
            </w:tcBorders>
            <w:shd w:val="clear" w:color="auto" w:fill="C6EFCE"/>
            <w:noWrap/>
          </w:tcPr>
          <w:p w14:paraId="338EB0C1"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The selection and appointment of management boards is completed</w:t>
            </w:r>
          </w:p>
        </w:tc>
        <w:tc>
          <w:tcPr>
            <w:tcW w:w="1332" w:type="dxa"/>
            <w:tcBorders>
              <w:top w:val="single" w:sz="4" w:space="0" w:color="auto"/>
              <w:left w:val="nil"/>
              <w:bottom w:val="single" w:sz="4" w:space="0" w:color="auto"/>
              <w:right w:val="single" w:sz="4" w:space="0" w:color="auto"/>
            </w:tcBorders>
            <w:shd w:val="clear" w:color="auto" w:fill="C6EFCE"/>
            <w:noWrap/>
          </w:tcPr>
          <w:p w14:paraId="041FA373"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4CCE2341"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w:t>
            </w:r>
          </w:p>
        </w:tc>
        <w:tc>
          <w:tcPr>
            <w:tcW w:w="793" w:type="dxa"/>
            <w:tcBorders>
              <w:top w:val="single" w:sz="4" w:space="0" w:color="auto"/>
              <w:left w:val="nil"/>
              <w:bottom w:val="single" w:sz="4" w:space="0" w:color="auto"/>
              <w:right w:val="single" w:sz="4" w:space="0" w:color="auto"/>
            </w:tcBorders>
            <w:shd w:val="clear" w:color="auto" w:fill="C6EFCE"/>
            <w:noWrap/>
          </w:tcPr>
          <w:p w14:paraId="1B2B627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w:t>
            </w:r>
          </w:p>
        </w:tc>
        <w:tc>
          <w:tcPr>
            <w:tcW w:w="1051" w:type="dxa"/>
            <w:tcBorders>
              <w:top w:val="single" w:sz="4" w:space="0" w:color="auto"/>
              <w:left w:val="nil"/>
              <w:bottom w:val="single" w:sz="4" w:space="0" w:color="auto"/>
              <w:right w:val="single" w:sz="4" w:space="0" w:color="auto"/>
            </w:tcBorders>
            <w:shd w:val="clear" w:color="auto" w:fill="C6EFCE"/>
            <w:noWrap/>
          </w:tcPr>
          <w:p w14:paraId="6A6D074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Q4</w:t>
            </w:r>
          </w:p>
        </w:tc>
        <w:tc>
          <w:tcPr>
            <w:tcW w:w="755" w:type="dxa"/>
            <w:tcBorders>
              <w:top w:val="single" w:sz="4" w:space="0" w:color="auto"/>
              <w:left w:val="nil"/>
              <w:bottom w:val="single" w:sz="4" w:space="0" w:color="auto"/>
              <w:right w:val="single" w:sz="4" w:space="0" w:color="auto"/>
            </w:tcBorders>
            <w:shd w:val="clear" w:color="auto" w:fill="C6EFCE"/>
            <w:noWrap/>
          </w:tcPr>
          <w:p w14:paraId="73BD3AC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2022</w:t>
            </w:r>
          </w:p>
        </w:tc>
        <w:tc>
          <w:tcPr>
            <w:tcW w:w="2891" w:type="dxa"/>
            <w:tcBorders>
              <w:top w:val="single" w:sz="4" w:space="0" w:color="auto"/>
              <w:left w:val="nil"/>
              <w:bottom w:val="single" w:sz="4" w:space="0" w:color="auto"/>
              <w:right w:val="single" w:sz="4" w:space="0" w:color="auto"/>
            </w:tcBorders>
            <w:shd w:val="clear" w:color="auto" w:fill="C6EFCE"/>
            <w:noWrap/>
            <w:vAlign w:val="bottom"/>
          </w:tcPr>
          <w:p w14:paraId="3D840A01"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Selection and appointment of the members of the management and/or supervisory boards of all national state-owned enterprises (SOEs) under the remit of Ministry of Energy (e.g., Hidroelectrica, Romgaz, Nuclearelectrica) on the basis of a transparent and competitive procedure with a mandate of 4 years and a remuneration scheme based on quantitative and qualitative objectives linked to the financial (such as revenue and return, involvement of state budget) and service performance (such as based on a representative customer satisfaction survey by an independent body) of the undertaking.</w:t>
            </w:r>
          </w:p>
        </w:tc>
      </w:tr>
      <w:tr w:rsidR="00145434" w:rsidRPr="00A025C9" w14:paraId="303C07E3"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1B936E4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122</w:t>
            </w:r>
          </w:p>
        </w:tc>
        <w:tc>
          <w:tcPr>
            <w:tcW w:w="1823" w:type="dxa"/>
            <w:tcBorders>
              <w:top w:val="single" w:sz="4" w:space="0" w:color="auto"/>
              <w:left w:val="nil"/>
              <w:bottom w:val="single" w:sz="4" w:space="0" w:color="auto"/>
              <w:right w:val="single" w:sz="4" w:space="0" w:color="auto"/>
            </w:tcBorders>
            <w:shd w:val="clear" w:color="auto" w:fill="C6EFCE"/>
            <w:noWrap/>
          </w:tcPr>
          <w:p w14:paraId="01FAC4B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Reform 2. Reforming corporate governance of state-owned companies in the energy sector</w:t>
            </w:r>
          </w:p>
        </w:tc>
        <w:tc>
          <w:tcPr>
            <w:tcW w:w="1221" w:type="dxa"/>
            <w:tcBorders>
              <w:top w:val="single" w:sz="4" w:space="0" w:color="auto"/>
              <w:left w:val="nil"/>
              <w:bottom w:val="single" w:sz="4" w:space="0" w:color="auto"/>
              <w:right w:val="single" w:sz="4" w:space="0" w:color="auto"/>
            </w:tcBorders>
            <w:shd w:val="clear" w:color="auto" w:fill="C6EFCE"/>
            <w:noWrap/>
          </w:tcPr>
          <w:p w14:paraId="0C59139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Milestone</w:t>
            </w:r>
          </w:p>
        </w:tc>
        <w:tc>
          <w:tcPr>
            <w:tcW w:w="1782" w:type="dxa"/>
            <w:tcBorders>
              <w:top w:val="single" w:sz="4" w:space="0" w:color="auto"/>
              <w:left w:val="nil"/>
              <w:bottom w:val="single" w:sz="4" w:space="0" w:color="auto"/>
              <w:right w:val="single" w:sz="4" w:space="0" w:color="auto"/>
            </w:tcBorders>
            <w:shd w:val="clear" w:color="auto" w:fill="C6EFCE"/>
            <w:noWrap/>
          </w:tcPr>
          <w:p w14:paraId="50517EC5" w14:textId="2D1D0AA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Listing of at least 15% shares of Hidroelectrica</w:t>
            </w:r>
            <w:r w:rsidR="00D23D91" w:rsidRPr="00A025C9">
              <w:rPr>
                <w:rFonts w:ascii="Times New Roman" w:eastAsia="Aptos" w:hAnsi="Times New Roman" w:cs="Times New Roman"/>
                <w:noProof/>
                <w:kern w:val="2"/>
                <w:sz w:val="20"/>
                <w:szCs w:val="20"/>
                <w:lang w:val="en-GB" w:eastAsia="en-US"/>
                <w14:ligatures w14:val="standardContextual"/>
              </w:rPr>
              <w:t xml:space="preserve"> </w:t>
            </w:r>
            <w:r w:rsidRPr="00A025C9">
              <w:rPr>
                <w:rFonts w:ascii="Times New Roman" w:eastAsia="Aptos" w:hAnsi="Times New Roman" w:cs="Times New Roman"/>
                <w:noProof/>
                <w:kern w:val="2"/>
                <w:sz w:val="20"/>
                <w:szCs w:val="20"/>
                <w:lang w:val="en-GB" w:eastAsia="en-US"/>
                <w14:ligatures w14:val="standardContextual"/>
              </w:rPr>
              <w:t>on the exchange</w:t>
            </w:r>
          </w:p>
        </w:tc>
        <w:tc>
          <w:tcPr>
            <w:tcW w:w="1822" w:type="dxa"/>
            <w:tcBorders>
              <w:top w:val="single" w:sz="4" w:space="0" w:color="auto"/>
              <w:left w:val="nil"/>
              <w:bottom w:val="single" w:sz="4" w:space="0" w:color="auto"/>
              <w:right w:val="single" w:sz="4" w:space="0" w:color="auto"/>
            </w:tcBorders>
            <w:shd w:val="clear" w:color="auto" w:fill="C6EFCE"/>
            <w:noWrap/>
          </w:tcPr>
          <w:p w14:paraId="6179202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Completion of the Initial Public Offer</w:t>
            </w:r>
          </w:p>
        </w:tc>
        <w:tc>
          <w:tcPr>
            <w:tcW w:w="1332" w:type="dxa"/>
            <w:tcBorders>
              <w:top w:val="single" w:sz="4" w:space="0" w:color="auto"/>
              <w:left w:val="nil"/>
              <w:bottom w:val="single" w:sz="4" w:space="0" w:color="auto"/>
              <w:right w:val="single" w:sz="4" w:space="0" w:color="auto"/>
            </w:tcBorders>
            <w:shd w:val="clear" w:color="auto" w:fill="C6EFCE"/>
            <w:noWrap/>
          </w:tcPr>
          <w:p w14:paraId="7ED3457E"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0A1DDE00"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w:t>
            </w:r>
          </w:p>
        </w:tc>
        <w:tc>
          <w:tcPr>
            <w:tcW w:w="793" w:type="dxa"/>
            <w:tcBorders>
              <w:top w:val="single" w:sz="4" w:space="0" w:color="auto"/>
              <w:left w:val="nil"/>
              <w:bottom w:val="single" w:sz="4" w:space="0" w:color="auto"/>
              <w:right w:val="single" w:sz="4" w:space="0" w:color="auto"/>
            </w:tcBorders>
            <w:shd w:val="clear" w:color="auto" w:fill="C6EFCE"/>
            <w:noWrap/>
          </w:tcPr>
          <w:p w14:paraId="36DA56C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w:t>
            </w:r>
          </w:p>
        </w:tc>
        <w:tc>
          <w:tcPr>
            <w:tcW w:w="1051" w:type="dxa"/>
            <w:tcBorders>
              <w:top w:val="single" w:sz="4" w:space="0" w:color="auto"/>
              <w:left w:val="nil"/>
              <w:bottom w:val="single" w:sz="4" w:space="0" w:color="auto"/>
              <w:right w:val="single" w:sz="4" w:space="0" w:color="auto"/>
            </w:tcBorders>
            <w:shd w:val="clear" w:color="auto" w:fill="C6EFCE"/>
            <w:noWrap/>
          </w:tcPr>
          <w:p w14:paraId="713FF3A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Q2</w:t>
            </w:r>
          </w:p>
        </w:tc>
        <w:tc>
          <w:tcPr>
            <w:tcW w:w="755" w:type="dxa"/>
            <w:tcBorders>
              <w:top w:val="single" w:sz="4" w:space="0" w:color="auto"/>
              <w:left w:val="nil"/>
              <w:bottom w:val="single" w:sz="4" w:space="0" w:color="auto"/>
              <w:right w:val="single" w:sz="4" w:space="0" w:color="auto"/>
            </w:tcBorders>
            <w:shd w:val="clear" w:color="auto" w:fill="C6EFCE"/>
            <w:noWrap/>
          </w:tcPr>
          <w:p w14:paraId="3D72FB9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2023</w:t>
            </w:r>
          </w:p>
        </w:tc>
        <w:tc>
          <w:tcPr>
            <w:tcW w:w="2891" w:type="dxa"/>
            <w:tcBorders>
              <w:top w:val="single" w:sz="4" w:space="0" w:color="auto"/>
              <w:left w:val="nil"/>
              <w:bottom w:val="single" w:sz="4" w:space="0" w:color="auto"/>
              <w:right w:val="single" w:sz="4" w:space="0" w:color="auto"/>
            </w:tcBorders>
            <w:shd w:val="clear" w:color="auto" w:fill="C6EFCE"/>
            <w:noWrap/>
          </w:tcPr>
          <w:p w14:paraId="7F2B03C1"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Following the publication of the listing prospectus, a stake of at least 15% of Hidroelectrica shall be traded on the exchange after an initial public offer.</w:t>
            </w:r>
          </w:p>
        </w:tc>
      </w:tr>
      <w:tr w:rsidR="00145434" w:rsidRPr="00A025C9" w14:paraId="2A2A5C0D" w14:textId="77777777" w:rsidTr="00A025C9">
        <w:trPr>
          <w:trHeight w:val="300"/>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0A07643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123</w:t>
            </w:r>
          </w:p>
        </w:tc>
        <w:tc>
          <w:tcPr>
            <w:tcW w:w="1823" w:type="dxa"/>
            <w:tcBorders>
              <w:top w:val="single" w:sz="4" w:space="0" w:color="auto"/>
              <w:left w:val="nil"/>
              <w:bottom w:val="single" w:sz="4" w:space="0" w:color="auto"/>
              <w:right w:val="single" w:sz="4" w:space="0" w:color="auto"/>
            </w:tcBorders>
            <w:shd w:val="clear" w:color="auto" w:fill="C6EFCE"/>
            <w:noWrap/>
          </w:tcPr>
          <w:p w14:paraId="589C2FC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Reform 3. Green budgeting </w:t>
            </w:r>
          </w:p>
        </w:tc>
        <w:tc>
          <w:tcPr>
            <w:tcW w:w="1221" w:type="dxa"/>
            <w:tcBorders>
              <w:top w:val="single" w:sz="4" w:space="0" w:color="auto"/>
              <w:left w:val="nil"/>
              <w:bottom w:val="single" w:sz="4" w:space="0" w:color="auto"/>
              <w:right w:val="single" w:sz="4" w:space="0" w:color="auto"/>
            </w:tcBorders>
            <w:shd w:val="clear" w:color="auto" w:fill="C6EFCE"/>
            <w:noWrap/>
          </w:tcPr>
          <w:p w14:paraId="7AE2B08C"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Milestone</w:t>
            </w:r>
          </w:p>
        </w:tc>
        <w:tc>
          <w:tcPr>
            <w:tcW w:w="1782" w:type="dxa"/>
            <w:tcBorders>
              <w:top w:val="single" w:sz="4" w:space="0" w:color="auto"/>
              <w:left w:val="nil"/>
              <w:bottom w:val="single" w:sz="4" w:space="0" w:color="auto"/>
              <w:right w:val="single" w:sz="4" w:space="0" w:color="auto"/>
            </w:tcBorders>
            <w:shd w:val="clear" w:color="auto" w:fill="C6EFCE"/>
            <w:noWrap/>
          </w:tcPr>
          <w:p w14:paraId="659BEC5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Establishment and use of a green budgetary planning methodology</w:t>
            </w:r>
          </w:p>
        </w:tc>
        <w:tc>
          <w:tcPr>
            <w:tcW w:w="1822" w:type="dxa"/>
            <w:tcBorders>
              <w:top w:val="single" w:sz="4" w:space="0" w:color="auto"/>
              <w:left w:val="nil"/>
              <w:bottom w:val="single" w:sz="4" w:space="0" w:color="auto"/>
              <w:right w:val="single" w:sz="4" w:space="0" w:color="auto"/>
            </w:tcBorders>
            <w:shd w:val="clear" w:color="auto" w:fill="C6EFCE"/>
            <w:noWrap/>
          </w:tcPr>
          <w:p w14:paraId="29C6744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Establishment and use of a green budgetary planning methodology</w:t>
            </w:r>
          </w:p>
        </w:tc>
        <w:tc>
          <w:tcPr>
            <w:tcW w:w="1332" w:type="dxa"/>
            <w:tcBorders>
              <w:top w:val="single" w:sz="4" w:space="0" w:color="auto"/>
              <w:left w:val="nil"/>
              <w:bottom w:val="single" w:sz="4" w:space="0" w:color="auto"/>
              <w:right w:val="single" w:sz="4" w:space="0" w:color="auto"/>
            </w:tcBorders>
            <w:shd w:val="clear" w:color="auto" w:fill="C6EFCE"/>
            <w:noWrap/>
          </w:tcPr>
          <w:p w14:paraId="3D67F494"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1332" w:type="dxa"/>
            <w:tcBorders>
              <w:top w:val="single" w:sz="4" w:space="0" w:color="auto"/>
              <w:left w:val="nil"/>
              <w:bottom w:val="single" w:sz="4" w:space="0" w:color="auto"/>
              <w:right w:val="single" w:sz="4" w:space="0" w:color="auto"/>
            </w:tcBorders>
            <w:shd w:val="clear" w:color="auto" w:fill="C6EFCE"/>
            <w:noWrap/>
          </w:tcPr>
          <w:p w14:paraId="581EA65C"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793" w:type="dxa"/>
            <w:tcBorders>
              <w:top w:val="single" w:sz="4" w:space="0" w:color="auto"/>
              <w:left w:val="nil"/>
              <w:bottom w:val="single" w:sz="4" w:space="0" w:color="auto"/>
              <w:right w:val="single" w:sz="4" w:space="0" w:color="auto"/>
            </w:tcBorders>
            <w:shd w:val="clear" w:color="auto" w:fill="C6EFCE"/>
            <w:noWrap/>
          </w:tcPr>
          <w:p w14:paraId="2AE0F40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1051" w:type="dxa"/>
            <w:tcBorders>
              <w:top w:val="single" w:sz="4" w:space="0" w:color="auto"/>
              <w:left w:val="nil"/>
              <w:bottom w:val="single" w:sz="4" w:space="0" w:color="auto"/>
              <w:right w:val="single" w:sz="4" w:space="0" w:color="auto"/>
            </w:tcBorders>
            <w:shd w:val="clear" w:color="auto" w:fill="C6EFCE"/>
            <w:noWrap/>
          </w:tcPr>
          <w:p w14:paraId="12FEC43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Q2</w:t>
            </w:r>
          </w:p>
        </w:tc>
        <w:tc>
          <w:tcPr>
            <w:tcW w:w="755" w:type="dxa"/>
            <w:tcBorders>
              <w:top w:val="single" w:sz="4" w:space="0" w:color="auto"/>
              <w:left w:val="nil"/>
              <w:bottom w:val="single" w:sz="4" w:space="0" w:color="auto"/>
              <w:right w:val="single" w:sz="4" w:space="0" w:color="auto"/>
            </w:tcBorders>
            <w:shd w:val="clear" w:color="auto" w:fill="C6EFCE"/>
            <w:noWrap/>
          </w:tcPr>
          <w:p w14:paraId="52BABF6F"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2026</w:t>
            </w:r>
          </w:p>
        </w:tc>
        <w:tc>
          <w:tcPr>
            <w:tcW w:w="2891" w:type="dxa"/>
            <w:tcBorders>
              <w:top w:val="single" w:sz="4" w:space="0" w:color="auto"/>
              <w:left w:val="nil"/>
              <w:bottom w:val="single" w:sz="4" w:space="0" w:color="auto"/>
              <w:right w:val="single" w:sz="4" w:space="0" w:color="auto"/>
            </w:tcBorders>
            <w:shd w:val="clear" w:color="auto" w:fill="C6EFCE"/>
            <w:noWrap/>
          </w:tcPr>
          <w:p w14:paraId="614EE16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The authorities shall apply a methodology for assessing green budget expenditure and the impact of fiscal policy on environmentally sustainable activities, as defined under the EU Taxonomy Regulation, for and the ‘do no significant harm’ Technical Guidance (2021/C58/01). </w:t>
            </w:r>
          </w:p>
        </w:tc>
      </w:tr>
      <w:tr w:rsidR="00145434" w:rsidRPr="00A025C9" w14:paraId="06F15BF4"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361A2F92" w14:textId="77777777" w:rsidR="00145434" w:rsidRPr="00A025C9" w:rsidDel="00D17A5F"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131</w:t>
            </w:r>
          </w:p>
        </w:tc>
        <w:tc>
          <w:tcPr>
            <w:tcW w:w="1823" w:type="dxa"/>
            <w:tcBorders>
              <w:top w:val="single" w:sz="4" w:space="0" w:color="auto"/>
              <w:left w:val="nil"/>
              <w:bottom w:val="single" w:sz="4" w:space="0" w:color="auto"/>
              <w:right w:val="single" w:sz="4" w:space="0" w:color="auto"/>
            </w:tcBorders>
            <w:shd w:val="clear" w:color="auto" w:fill="C6EFCE"/>
            <w:noWrap/>
          </w:tcPr>
          <w:p w14:paraId="259FCD81" w14:textId="69C481B9" w:rsidR="00145434" w:rsidRPr="00A025C9" w:rsidDel="00D17A5F"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Investment 2a.</w:t>
            </w:r>
            <w:r w:rsidR="00D23D91" w:rsidRPr="00A025C9">
              <w:rPr>
                <w:rFonts w:ascii="Times New Roman" w:eastAsia="Aptos" w:hAnsi="Times New Roman" w:cs="Times New Roman"/>
                <w:noProof/>
                <w:kern w:val="2"/>
                <w:sz w:val="20"/>
                <w:szCs w:val="20"/>
                <w:lang w:val="en-GB" w:eastAsia="en-US"/>
                <w14:ligatures w14:val="standardContextual"/>
              </w:rPr>
              <w:t xml:space="preserve"> </w:t>
            </w:r>
            <w:r w:rsidRPr="00A025C9">
              <w:rPr>
                <w:rFonts w:ascii="Times New Roman" w:eastAsia="Times New Roman" w:hAnsi="Times New Roman" w:cs="Times New Roman"/>
                <w:noProof/>
                <w:kern w:val="2"/>
                <w:sz w:val="20"/>
                <w:szCs w:val="20"/>
                <w:lang w:val="en-GB" w:eastAsia="en-US"/>
                <w14:ligatures w14:val="standardContextual"/>
              </w:rPr>
              <w:t>Green hydrogen production capacities for use as electricity storage and/or for the decarbonisation of industry</w:t>
            </w:r>
          </w:p>
        </w:tc>
        <w:tc>
          <w:tcPr>
            <w:tcW w:w="1221" w:type="dxa"/>
            <w:tcBorders>
              <w:top w:val="single" w:sz="4" w:space="0" w:color="auto"/>
              <w:left w:val="nil"/>
              <w:bottom w:val="single" w:sz="4" w:space="0" w:color="auto"/>
              <w:right w:val="single" w:sz="4" w:space="0" w:color="auto"/>
            </w:tcBorders>
            <w:shd w:val="clear" w:color="auto" w:fill="C6EFCE"/>
            <w:noWrap/>
          </w:tcPr>
          <w:p w14:paraId="7E9BA30E" w14:textId="77777777" w:rsidR="00145434" w:rsidRPr="00A025C9" w:rsidDel="00D17A5F"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Target</w:t>
            </w:r>
          </w:p>
        </w:tc>
        <w:tc>
          <w:tcPr>
            <w:tcW w:w="1782" w:type="dxa"/>
            <w:tcBorders>
              <w:top w:val="single" w:sz="4" w:space="0" w:color="auto"/>
              <w:left w:val="nil"/>
              <w:bottom w:val="single" w:sz="4" w:space="0" w:color="auto"/>
              <w:right w:val="single" w:sz="4" w:space="0" w:color="auto"/>
            </w:tcBorders>
            <w:shd w:val="clear" w:color="auto" w:fill="C6EFCE"/>
            <w:noWrap/>
          </w:tcPr>
          <w:p w14:paraId="33CB3E1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Installation of electrolysers</w:t>
            </w:r>
          </w:p>
          <w:p w14:paraId="171977FC" w14:textId="77777777" w:rsidR="00145434" w:rsidRPr="00A025C9" w:rsidDel="00D17A5F"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p>
        </w:tc>
        <w:tc>
          <w:tcPr>
            <w:tcW w:w="1822" w:type="dxa"/>
            <w:tcBorders>
              <w:top w:val="single" w:sz="4" w:space="0" w:color="auto"/>
              <w:left w:val="nil"/>
              <w:bottom w:val="single" w:sz="4" w:space="0" w:color="auto"/>
              <w:right w:val="single" w:sz="4" w:space="0" w:color="auto"/>
            </w:tcBorders>
            <w:shd w:val="clear" w:color="auto" w:fill="C6EFCE"/>
            <w:noWrap/>
          </w:tcPr>
          <w:p w14:paraId="471CB58B"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p>
        </w:tc>
        <w:tc>
          <w:tcPr>
            <w:tcW w:w="1332" w:type="dxa"/>
            <w:tcBorders>
              <w:top w:val="single" w:sz="4" w:space="0" w:color="auto"/>
              <w:left w:val="nil"/>
              <w:bottom w:val="single" w:sz="4" w:space="0" w:color="auto"/>
              <w:right w:val="single" w:sz="4" w:space="0" w:color="auto"/>
            </w:tcBorders>
            <w:shd w:val="clear" w:color="auto" w:fill="C6EFCE"/>
            <w:noWrap/>
          </w:tcPr>
          <w:p w14:paraId="336D7BC6" w14:textId="77777777" w:rsidR="00145434" w:rsidRPr="00A025C9" w:rsidRDefault="00145434" w:rsidP="00145434">
            <w:pPr>
              <w:spacing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Megawatts (MW</w:t>
            </w:r>
            <w:r w:rsidRPr="00A025C9">
              <w:rPr>
                <w:rFonts w:ascii="Times New Roman" w:eastAsia="Aptos" w:hAnsi="Times New Roman" w:cs="Times New Roman"/>
                <w:noProof/>
                <w:kern w:val="2"/>
                <w:sz w:val="20"/>
                <w:szCs w:val="20"/>
                <w:vertAlign w:val="subscript"/>
                <w:lang w:val="en-GB" w:eastAsia="en-US"/>
                <w14:ligatures w14:val="standardContextual"/>
              </w:rPr>
              <w:t>H2</w:t>
            </w:r>
            <w:r w:rsidRPr="00A025C9">
              <w:rPr>
                <w:rFonts w:ascii="Times New Roman" w:eastAsia="Aptos" w:hAnsi="Times New Roman" w:cs="Times New Roman"/>
                <w:noProof/>
                <w:kern w:val="2"/>
                <w:sz w:val="20"/>
                <w:szCs w:val="20"/>
                <w:lang w:val="en-GB" w:eastAsia="en-US"/>
                <w14:ligatures w14:val="standardContextual"/>
              </w:rPr>
              <w:t>)</w:t>
            </w:r>
          </w:p>
          <w:p w14:paraId="0A323273" w14:textId="77777777" w:rsidR="00145434" w:rsidRPr="00A025C9" w:rsidDel="00D17A5F"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p>
        </w:tc>
        <w:tc>
          <w:tcPr>
            <w:tcW w:w="1332" w:type="dxa"/>
            <w:tcBorders>
              <w:top w:val="single" w:sz="4" w:space="0" w:color="auto"/>
              <w:left w:val="nil"/>
              <w:bottom w:val="single" w:sz="4" w:space="0" w:color="auto"/>
              <w:right w:val="single" w:sz="4" w:space="0" w:color="auto"/>
            </w:tcBorders>
            <w:shd w:val="clear" w:color="auto" w:fill="C6EFCE"/>
            <w:noWrap/>
          </w:tcPr>
          <w:p w14:paraId="42C61F3F" w14:textId="77777777" w:rsidR="00145434" w:rsidRPr="00A025C9" w:rsidDel="00D17A5F"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Times New Roman" w:hAnsi="Times New Roman" w:cs="Times New Roman"/>
                <w:noProof/>
                <w:kern w:val="2"/>
                <w:sz w:val="20"/>
                <w:szCs w:val="20"/>
                <w:lang w:val="en-GB" w:eastAsia="en-GB"/>
                <w14:ligatures w14:val="standardContextual"/>
              </w:rPr>
              <w:t>0</w:t>
            </w:r>
          </w:p>
        </w:tc>
        <w:tc>
          <w:tcPr>
            <w:tcW w:w="793" w:type="dxa"/>
            <w:tcBorders>
              <w:top w:val="single" w:sz="4" w:space="0" w:color="auto"/>
              <w:left w:val="nil"/>
              <w:bottom w:val="single" w:sz="4" w:space="0" w:color="auto"/>
              <w:right w:val="single" w:sz="4" w:space="0" w:color="auto"/>
            </w:tcBorders>
            <w:shd w:val="clear" w:color="auto" w:fill="C6EFCE"/>
            <w:noWrap/>
          </w:tcPr>
          <w:p w14:paraId="45A999F0" w14:textId="77777777" w:rsidR="00145434" w:rsidRPr="00A025C9" w:rsidDel="00D17A5F"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Times New Roman" w:hAnsi="Times New Roman" w:cs="Times New Roman"/>
                <w:noProof/>
                <w:kern w:val="2"/>
                <w:sz w:val="20"/>
                <w:szCs w:val="20"/>
                <w:lang w:val="en-GB" w:eastAsia="en-GB"/>
                <w14:ligatures w14:val="standardContextual"/>
              </w:rPr>
              <w:t>45</w:t>
            </w:r>
          </w:p>
        </w:tc>
        <w:tc>
          <w:tcPr>
            <w:tcW w:w="1051" w:type="dxa"/>
            <w:tcBorders>
              <w:top w:val="single" w:sz="4" w:space="0" w:color="auto"/>
              <w:left w:val="nil"/>
              <w:bottom w:val="single" w:sz="4" w:space="0" w:color="auto"/>
              <w:right w:val="single" w:sz="4" w:space="0" w:color="auto"/>
            </w:tcBorders>
            <w:shd w:val="clear" w:color="auto" w:fill="C6EFCE"/>
            <w:noWrap/>
          </w:tcPr>
          <w:p w14:paraId="1683752A" w14:textId="77777777" w:rsidR="00145434" w:rsidRPr="00A025C9" w:rsidDel="00D17A5F"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Q3</w:t>
            </w:r>
          </w:p>
        </w:tc>
        <w:tc>
          <w:tcPr>
            <w:tcW w:w="755" w:type="dxa"/>
            <w:tcBorders>
              <w:top w:val="single" w:sz="4" w:space="0" w:color="auto"/>
              <w:left w:val="nil"/>
              <w:bottom w:val="single" w:sz="4" w:space="0" w:color="auto"/>
              <w:right w:val="single" w:sz="4" w:space="0" w:color="auto"/>
            </w:tcBorders>
            <w:shd w:val="clear" w:color="auto" w:fill="C6EFCE"/>
            <w:noWrap/>
          </w:tcPr>
          <w:p w14:paraId="4C32921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2026</w:t>
            </w:r>
          </w:p>
          <w:p w14:paraId="4B1B6149" w14:textId="77777777" w:rsidR="00145434" w:rsidRPr="00A025C9" w:rsidDel="00D17A5F"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p>
        </w:tc>
        <w:tc>
          <w:tcPr>
            <w:tcW w:w="2891" w:type="dxa"/>
            <w:tcBorders>
              <w:top w:val="single" w:sz="4" w:space="0" w:color="auto"/>
              <w:left w:val="nil"/>
              <w:bottom w:val="single" w:sz="4" w:space="0" w:color="auto"/>
              <w:right w:val="single" w:sz="4" w:space="0" w:color="auto"/>
            </w:tcBorders>
            <w:shd w:val="clear" w:color="auto" w:fill="C6EFCE"/>
            <w:noWrap/>
          </w:tcPr>
          <w:p w14:paraId="746FFAB1" w14:textId="77777777" w:rsidR="00145434" w:rsidRPr="00A025C9" w:rsidDel="00D17A5F"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Acceptance certificates proving the installation of electrolysers with a total capacity of at least 45 MW H₂. Notification(s) of energisation (NPT), shall certify the connection of the electrolysers to the electricity transmission or distribution grid..</w:t>
            </w:r>
          </w:p>
        </w:tc>
      </w:tr>
    </w:tbl>
    <w:p w14:paraId="746158A8" w14:textId="77777777" w:rsidR="00145434" w:rsidRPr="00145434" w:rsidRDefault="00145434" w:rsidP="00145434">
      <w:pPr>
        <w:keepNext/>
        <w:spacing w:before="120" w:after="120" w:line="240" w:lineRule="auto"/>
        <w:jc w:val="both"/>
        <w:outlineLvl w:val="1"/>
        <w:rPr>
          <w:rFonts w:ascii="Times New Roman" w:eastAsia="Yu Gothic Light" w:hAnsi="Times New Roman" w:cs="Times New Roman"/>
          <w:b/>
          <w:bCs/>
          <w:noProof/>
          <w:kern w:val="2"/>
          <w:lang w:val="en-GB" w:eastAsia="en-US"/>
          <w14:ligatures w14:val="standardContextual"/>
        </w:rPr>
        <w:sectPr w:rsidR="00145434" w:rsidRPr="00145434" w:rsidSect="00145434">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60"/>
        </w:sectPr>
      </w:pPr>
    </w:p>
    <w:p w14:paraId="55932E00" w14:textId="77777777" w:rsidR="00145434" w:rsidRPr="00145434" w:rsidRDefault="00145434" w:rsidP="00145434">
      <w:pPr>
        <w:keepNext/>
        <w:spacing w:before="120" w:after="120" w:line="240" w:lineRule="auto"/>
        <w:jc w:val="both"/>
        <w:outlineLvl w:val="1"/>
        <w:rPr>
          <w:rFonts w:ascii="Times New Roman" w:eastAsia="Yu Gothic Light" w:hAnsi="Times New Roman" w:cs="Times New Roman"/>
          <w:b/>
          <w:bCs/>
          <w:noProof/>
          <w:kern w:val="2"/>
          <w:lang w:val="en-GB" w:eastAsia="en-US"/>
          <w14:ligatures w14:val="standardContextual"/>
        </w:rPr>
      </w:pPr>
      <w:r w:rsidRPr="00145434">
        <w:rPr>
          <w:rFonts w:ascii="Times New Roman" w:eastAsia="Aptos" w:hAnsi="Times New Roman" w:cs="Times New Roman"/>
          <w:b/>
          <w:noProof/>
          <w:kern w:val="2"/>
          <w:szCs w:val="22"/>
          <w:lang w:val="en-GB" w:eastAsia="en-US"/>
          <w14:ligatures w14:val="standardContextual"/>
        </w:rPr>
        <w:t xml:space="preserve">F.3. </w:t>
      </w:r>
      <w:r w:rsidRPr="00145434">
        <w:rPr>
          <w:rFonts w:ascii="Times New Roman" w:eastAsia="Aptos" w:hAnsi="Times New Roman" w:cs="Times New Roman"/>
          <w:noProof/>
          <w:kern w:val="2"/>
          <w:sz w:val="22"/>
          <w:szCs w:val="22"/>
          <w:lang w:val="en-GB" w:eastAsia="en-US"/>
          <w14:ligatures w14:val="standardContextual"/>
        </w:rPr>
        <w:tab/>
      </w:r>
      <w:r w:rsidRPr="00145434">
        <w:rPr>
          <w:rFonts w:ascii="Times New Roman" w:eastAsia="Aptos" w:hAnsi="Times New Roman" w:cs="Times New Roman"/>
          <w:b/>
          <w:noProof/>
          <w:kern w:val="2"/>
          <w:szCs w:val="22"/>
          <w:lang w:val="en-GB" w:eastAsia="en-US"/>
          <w14:ligatures w14:val="standardContextual"/>
        </w:rPr>
        <w:t xml:space="preserve">Description of the reforms and investments for the loan </w:t>
      </w:r>
    </w:p>
    <w:p w14:paraId="0A589157" w14:textId="601DE040" w:rsidR="00145434" w:rsidRPr="00145434" w:rsidRDefault="00145434" w:rsidP="00145434">
      <w:pPr>
        <w:suppressAutoHyphens/>
        <w:autoSpaceDN w:val="0"/>
        <w:spacing w:before="240" w:after="0" w:line="240" w:lineRule="auto"/>
        <w:jc w:val="both"/>
        <w:textAlignment w:val="baseline"/>
        <w:rPr>
          <w:rFonts w:ascii="Times New Roman" w:eastAsia="Yu Gothic Light" w:hAnsi="Times New Roman" w:cs="Times New Roman"/>
          <w:noProof/>
          <w:kern w:val="3"/>
          <w:u w:val="single"/>
          <w:lang w:val="en-GB" w:eastAsia="en-US"/>
        </w:rPr>
      </w:pPr>
      <w:r w:rsidRPr="00145434">
        <w:rPr>
          <w:rFonts w:ascii="Times New Roman" w:eastAsia="NSimSun" w:hAnsi="Times New Roman" w:cs="Times New Roman"/>
          <w:noProof/>
          <w:kern w:val="3"/>
          <w:u w:val="single"/>
          <w:lang w:val="en-GB" w:eastAsia="en-US"/>
        </w:rPr>
        <w:t>Reform 4.</w:t>
      </w:r>
      <w:r w:rsidRPr="00145434">
        <w:rPr>
          <w:rFonts w:ascii="Times New Roman" w:eastAsia="NSimSun" w:hAnsi="Times New Roman" w:cs="Times New Roman"/>
          <w:noProof/>
          <w:kern w:val="2"/>
          <w:u w:val="single"/>
          <w:lang w:val="en-GB" w:eastAsia="en-US"/>
          <w14:ligatures w14:val="standardContextual"/>
        </w:rPr>
        <w:t>Amending the</w:t>
      </w:r>
      <w:r w:rsidR="00D23D91">
        <w:rPr>
          <w:rFonts w:ascii="Times New Roman" w:eastAsia="NSimSun" w:hAnsi="Times New Roman" w:cs="Times New Roman"/>
          <w:noProof/>
          <w:kern w:val="2"/>
          <w:u w:val="single"/>
          <w:lang w:val="en-GB" w:eastAsia="en-US"/>
          <w14:ligatures w14:val="standardContextual"/>
        </w:rPr>
        <w:t xml:space="preserve"> </w:t>
      </w:r>
      <w:r w:rsidRPr="00145434">
        <w:rPr>
          <w:rFonts w:ascii="Times New Roman" w:eastAsia="NSimSun" w:hAnsi="Times New Roman" w:cs="Times New Roman"/>
          <w:noProof/>
          <w:kern w:val="2"/>
          <w:u w:val="single"/>
          <w:lang w:val="en-GB" w:eastAsia="en-US"/>
          <w14:ligatures w14:val="standardContextual"/>
        </w:rPr>
        <w:t>regulatory framework for renewable hydrogen</w:t>
      </w:r>
    </w:p>
    <w:p w14:paraId="02CC7A32" w14:textId="77777777" w:rsidR="00145434" w:rsidRPr="00145434" w:rsidRDefault="00145434" w:rsidP="00145434">
      <w:pPr>
        <w:spacing w:before="120" w:after="120" w:line="240" w:lineRule="auto"/>
        <w:jc w:val="both"/>
        <w:rPr>
          <w:rFonts w:ascii="Times New Roman" w:eastAsia="Aptos" w:hAnsi="Times New Roman" w:cs="Times New Roman"/>
          <w:noProof/>
          <w:kern w:val="2"/>
          <w:lang w:val="en-GB" w:eastAsia="en-US"/>
          <w14:ligatures w14:val="standardContextual"/>
        </w:rPr>
      </w:pPr>
      <w:r w:rsidRPr="00145434">
        <w:rPr>
          <w:rFonts w:ascii="Times New Roman" w:eastAsia="Aptos" w:hAnsi="Times New Roman" w:cs="Times New Roman"/>
          <w:noProof/>
          <w:kern w:val="2"/>
          <w:lang w:val="en-GB" w:eastAsia="en-US"/>
          <w14:ligatures w14:val="standardContextual"/>
        </w:rPr>
        <w:t>The objective of the reform is to amend the existing legal and regulatory framework to facilitate the rollout of renewable hydrogen.</w:t>
      </w:r>
    </w:p>
    <w:p w14:paraId="79787D7E" w14:textId="6C98B39D" w:rsidR="00145434" w:rsidRPr="00145434" w:rsidRDefault="00145434" w:rsidP="00145434">
      <w:pPr>
        <w:spacing w:before="120" w:after="120" w:line="240" w:lineRule="auto"/>
        <w:jc w:val="both"/>
        <w:rPr>
          <w:rFonts w:ascii="Times New Roman" w:eastAsia="Aptos" w:hAnsi="Times New Roman" w:cs="Times New Roman"/>
          <w:noProof/>
          <w:kern w:val="2"/>
          <w:lang w:val="en-GB" w:eastAsia="en-US"/>
          <w14:ligatures w14:val="standardContextual"/>
        </w:rPr>
      </w:pPr>
      <w:r w:rsidRPr="00145434">
        <w:rPr>
          <w:rFonts w:ascii="Times New Roman" w:eastAsia="Aptos" w:hAnsi="Times New Roman" w:cs="Times New Roman"/>
          <w:noProof/>
          <w:kern w:val="2"/>
          <w:lang w:val="en-GB" w:eastAsia="en-US"/>
          <w14:ligatures w14:val="standardContextual"/>
        </w:rPr>
        <w:t>The reform consists in the entry into force of the amendments to the</w:t>
      </w:r>
      <w:r w:rsidR="00D23D91">
        <w:rPr>
          <w:rFonts w:ascii="Times New Roman" w:eastAsia="Aptos" w:hAnsi="Times New Roman" w:cs="Times New Roman"/>
          <w:noProof/>
          <w:kern w:val="2"/>
          <w:lang w:val="en-GB" w:eastAsia="en-US"/>
          <w14:ligatures w14:val="standardContextual"/>
        </w:rPr>
        <w:t xml:space="preserve"> </w:t>
      </w:r>
      <w:r w:rsidRPr="00145434">
        <w:rPr>
          <w:rFonts w:ascii="Times New Roman" w:eastAsia="Aptos" w:hAnsi="Times New Roman" w:cs="Times New Roman"/>
          <w:noProof/>
          <w:kern w:val="2"/>
          <w:lang w:val="en-GB" w:eastAsia="en-US"/>
          <w14:ligatures w14:val="standardContextual"/>
        </w:rPr>
        <w:t xml:space="preserve">regulatory framework based on the National Hydrogen Strategy and its Action Plan. </w:t>
      </w:r>
    </w:p>
    <w:p w14:paraId="1E7346DC" w14:textId="77777777" w:rsidR="00145434" w:rsidRPr="00145434" w:rsidRDefault="00145434" w:rsidP="00145434">
      <w:pPr>
        <w:spacing w:before="120" w:after="120" w:line="240" w:lineRule="auto"/>
        <w:jc w:val="both"/>
        <w:rPr>
          <w:rFonts w:ascii="Times New Roman" w:eastAsia="Aptos" w:hAnsi="Times New Roman" w:cs="Times New Roman"/>
          <w:noProof/>
          <w:kern w:val="2"/>
          <w:lang w:val="en-GB" w:eastAsia="en-US"/>
          <w14:ligatures w14:val="standardContextual"/>
        </w:rPr>
      </w:pPr>
      <w:r w:rsidRPr="00145434">
        <w:rPr>
          <w:rFonts w:ascii="Times New Roman" w:eastAsia="Aptos" w:hAnsi="Times New Roman" w:cs="Times New Roman"/>
          <w:noProof/>
          <w:kern w:val="2"/>
          <w:szCs w:val="22"/>
          <w:lang w:val="en-GB" w:eastAsia="en-US"/>
          <w14:ligatures w14:val="standardContextual"/>
        </w:rPr>
        <w:t>In line with Article 7 (2) of the Recovery and Resilience Regulation, Romania has requested technical support through the instrument on technical assistance for the development of the National Hydrogen Strategy.</w:t>
      </w:r>
    </w:p>
    <w:p w14:paraId="477228AF" w14:textId="77777777" w:rsidR="00145434" w:rsidRPr="00145434" w:rsidRDefault="00145434" w:rsidP="00145434">
      <w:pPr>
        <w:suppressAutoHyphens/>
        <w:autoSpaceDN w:val="0"/>
        <w:spacing w:before="240" w:after="0" w:line="240" w:lineRule="auto"/>
        <w:jc w:val="both"/>
        <w:textAlignment w:val="baseline"/>
        <w:rPr>
          <w:rFonts w:ascii="Times New Roman" w:eastAsia="Yu Gothic Light" w:hAnsi="Times New Roman" w:cs="Times New Roman"/>
          <w:noProof/>
          <w:kern w:val="3"/>
          <w:u w:val="single"/>
          <w:lang w:val="en-GB" w:eastAsia="en-US"/>
        </w:rPr>
      </w:pPr>
      <w:r w:rsidRPr="00145434">
        <w:rPr>
          <w:rFonts w:ascii="Times New Roman" w:eastAsia="NSimSun" w:hAnsi="Times New Roman" w:cs="Times New Roman"/>
          <w:noProof/>
          <w:kern w:val="3"/>
          <w:u w:val="single"/>
          <w:lang w:val="en-GB" w:eastAsia="en-US"/>
        </w:rPr>
        <w:t xml:space="preserve">Reform 5. Reducing the energy intensity of the economy by establishing a sustainable mechanism to boost energy efficiency in industry </w:t>
      </w:r>
    </w:p>
    <w:p w14:paraId="018F9559" w14:textId="77777777" w:rsidR="00145434" w:rsidRPr="00145434" w:rsidRDefault="00145434" w:rsidP="00145434">
      <w:pPr>
        <w:spacing w:before="120" w:after="120" w:line="240" w:lineRule="auto"/>
        <w:jc w:val="both"/>
        <w:rPr>
          <w:rFonts w:ascii="Times New Roman" w:eastAsia="Aptos" w:hAnsi="Times New Roman" w:cs="Times New Roman"/>
          <w:noProof/>
          <w:kern w:val="2"/>
          <w:lang w:val="en-GB" w:eastAsia="en-US"/>
          <w14:ligatures w14:val="standardContextual"/>
        </w:rPr>
      </w:pPr>
      <w:r w:rsidRPr="00145434">
        <w:rPr>
          <w:rFonts w:ascii="Times New Roman" w:eastAsia="Aptos" w:hAnsi="Times New Roman" w:cs="Times New Roman"/>
          <w:noProof/>
          <w:kern w:val="2"/>
          <w:szCs w:val="22"/>
          <w:lang w:val="en-GB" w:eastAsia="en-US"/>
          <w14:ligatures w14:val="standardContextual"/>
        </w:rPr>
        <w:t xml:space="preserve">The objective of this reform is to facilitate investments in energy efficiency in industry and increase the resilience of the industrial sector. </w:t>
      </w:r>
    </w:p>
    <w:p w14:paraId="7C612DA7" w14:textId="77777777" w:rsidR="00145434" w:rsidRPr="00145434" w:rsidRDefault="00145434" w:rsidP="00145434">
      <w:pPr>
        <w:spacing w:before="120" w:after="120" w:line="240" w:lineRule="auto"/>
        <w:jc w:val="both"/>
        <w:rPr>
          <w:rFonts w:ascii="Times New Roman" w:eastAsia="Aptos" w:hAnsi="Times New Roman" w:cs="Times New Roman"/>
          <w:noProof/>
          <w:kern w:val="2"/>
          <w:lang w:val="en-GB" w:eastAsia="en-US"/>
          <w14:ligatures w14:val="standardContextual"/>
        </w:rPr>
      </w:pPr>
      <w:r w:rsidRPr="00145434">
        <w:rPr>
          <w:rFonts w:ascii="Times New Roman" w:eastAsia="Aptos" w:hAnsi="Times New Roman" w:cs="Times New Roman"/>
          <w:noProof/>
          <w:kern w:val="2"/>
          <w:lang w:val="en-GB" w:eastAsia="en-US"/>
          <w14:ligatures w14:val="standardContextual"/>
        </w:rPr>
        <w:t xml:space="preserve">This reform consists in i) removing obstacles to energy performance contracting; ii) introducing market surveillance for energy efficiency to ensure product compliance with eco-design standards, iii) supporting SMEs awareness of energy efficiency measures, programmes and benefits; iv) creating a monitoring system for the enforcement of the recommendations from energy audits in the ETS sectors; v) introducing new standards for green financial instruments. </w:t>
      </w:r>
    </w:p>
    <w:p w14:paraId="372153F5" w14:textId="77777777" w:rsidR="00145434" w:rsidRPr="00145434" w:rsidRDefault="00145434" w:rsidP="00145434">
      <w:pPr>
        <w:suppressAutoHyphens/>
        <w:autoSpaceDN w:val="0"/>
        <w:spacing w:before="240" w:after="0" w:line="240" w:lineRule="auto"/>
        <w:jc w:val="both"/>
        <w:textAlignment w:val="baseline"/>
        <w:rPr>
          <w:rFonts w:ascii="Times New Roman" w:eastAsia="Yu Gothic Light" w:hAnsi="Times New Roman" w:cs="Times New Roman"/>
          <w:noProof/>
          <w:kern w:val="3"/>
          <w:u w:val="single"/>
          <w:lang w:val="en-GB" w:eastAsia="en-US"/>
        </w:rPr>
      </w:pPr>
      <w:r w:rsidRPr="00145434">
        <w:rPr>
          <w:rFonts w:ascii="Times New Roman" w:eastAsia="NSimSun" w:hAnsi="Times New Roman" w:cs="Times New Roman"/>
          <w:noProof/>
          <w:kern w:val="3"/>
          <w:u w:val="single"/>
          <w:lang w:val="en-GB" w:eastAsia="en-US"/>
        </w:rPr>
        <w:t>Reform 6. Decarbonisation of the heating-cooling sector</w:t>
      </w:r>
    </w:p>
    <w:p w14:paraId="149EBFCA" w14:textId="77777777" w:rsidR="00145434" w:rsidRPr="00145434" w:rsidRDefault="00145434" w:rsidP="00145434">
      <w:pPr>
        <w:spacing w:before="120" w:after="120" w:line="240" w:lineRule="auto"/>
        <w:jc w:val="both"/>
        <w:rPr>
          <w:rFonts w:ascii="Times New Roman" w:eastAsia="Aptos" w:hAnsi="Times New Roman" w:cs="Times New Roman"/>
          <w:noProof/>
          <w:kern w:val="2"/>
          <w:szCs w:val="22"/>
          <w:lang w:val="en-GB" w:eastAsia="en-US"/>
          <w14:ligatures w14:val="standardContextual"/>
        </w:rPr>
      </w:pPr>
      <w:r w:rsidRPr="00145434">
        <w:rPr>
          <w:rFonts w:ascii="Times New Roman" w:eastAsia="Aptos" w:hAnsi="Times New Roman" w:cs="Times New Roman"/>
          <w:noProof/>
          <w:kern w:val="2"/>
          <w:szCs w:val="22"/>
          <w:lang w:val="en-GB" w:eastAsia="en-US"/>
          <w14:ligatures w14:val="standardContextual"/>
        </w:rPr>
        <w:t xml:space="preserve">The objective of the reform is to contribute to the decarbonisation of the heating and cooling sector. </w:t>
      </w:r>
    </w:p>
    <w:p w14:paraId="29305D6F" w14:textId="77777777" w:rsidR="00145434" w:rsidRPr="00145434" w:rsidRDefault="00145434" w:rsidP="00145434">
      <w:pPr>
        <w:spacing w:before="120" w:after="120" w:line="240" w:lineRule="auto"/>
        <w:jc w:val="both"/>
        <w:rPr>
          <w:rFonts w:ascii="Times New Roman" w:eastAsia="Aptos" w:hAnsi="Times New Roman" w:cs="Times New Roman"/>
          <w:noProof/>
          <w:kern w:val="2"/>
          <w:lang w:val="en-GB" w:eastAsia="en-US"/>
          <w14:ligatures w14:val="standardContextual"/>
        </w:rPr>
      </w:pPr>
      <w:r w:rsidRPr="00145434">
        <w:rPr>
          <w:rFonts w:ascii="Times New Roman" w:eastAsia="Aptos" w:hAnsi="Times New Roman" w:cs="Times New Roman"/>
          <w:noProof/>
          <w:kern w:val="2"/>
          <w:szCs w:val="22"/>
          <w:lang w:val="en-GB" w:eastAsia="en-US"/>
          <w14:ligatures w14:val="standardContextual"/>
        </w:rPr>
        <w:t>The reform consists in the adoption of legal acts introducing measures to decarbonise the heating and cooling sector.</w:t>
      </w:r>
    </w:p>
    <w:p w14:paraId="3F7D35E1" w14:textId="77777777" w:rsidR="00145434" w:rsidRPr="00145434" w:rsidRDefault="00145434" w:rsidP="00145434">
      <w:pPr>
        <w:suppressAutoHyphens/>
        <w:autoSpaceDN w:val="0"/>
        <w:spacing w:before="240" w:after="0" w:line="240" w:lineRule="auto"/>
        <w:jc w:val="both"/>
        <w:textAlignment w:val="baseline"/>
        <w:rPr>
          <w:rFonts w:ascii="Times New Roman" w:eastAsia="Yu Gothic Light" w:hAnsi="Times New Roman" w:cs="Times New Roman"/>
          <w:noProof/>
          <w:kern w:val="3"/>
          <w:u w:val="single"/>
          <w:lang w:val="en-GB" w:eastAsia="en-US"/>
        </w:rPr>
      </w:pPr>
      <w:r w:rsidRPr="00145434">
        <w:rPr>
          <w:rFonts w:ascii="Times New Roman" w:eastAsia="NSimSun" w:hAnsi="Times New Roman" w:cs="Times New Roman"/>
          <w:noProof/>
          <w:kern w:val="3"/>
          <w:u w:val="single"/>
          <w:lang w:val="en-GB" w:eastAsia="en-US"/>
        </w:rPr>
        <w:t>Investment 2. Green hydrogen production capacities for the use as electricity storage and/or for the decarbonisation of industry</w:t>
      </w:r>
    </w:p>
    <w:p w14:paraId="4188C850" w14:textId="77777777" w:rsidR="00145434" w:rsidRPr="00145434" w:rsidRDefault="00145434" w:rsidP="00145434">
      <w:pPr>
        <w:spacing w:before="120" w:after="120" w:line="240" w:lineRule="auto"/>
        <w:jc w:val="both"/>
        <w:rPr>
          <w:rFonts w:ascii="Times New Roman" w:eastAsia="Aptos" w:hAnsi="Times New Roman" w:cs="Times New Roman"/>
          <w:noProof/>
          <w:kern w:val="2"/>
          <w:lang w:val="en-GB" w:eastAsia="en-US"/>
          <w14:ligatures w14:val="standardContextual"/>
        </w:rPr>
      </w:pPr>
      <w:r w:rsidRPr="00145434">
        <w:rPr>
          <w:rFonts w:ascii="Times New Roman" w:eastAsia="Aptos" w:hAnsi="Times New Roman" w:cs="Times New Roman"/>
          <w:noProof/>
          <w:kern w:val="2"/>
          <w:lang w:val="en-GB" w:eastAsia="en-US"/>
          <w14:ligatures w14:val="standardContextual"/>
        </w:rPr>
        <w:t xml:space="preserve">The objective of this investment is to support the rollout of green hydrogen production capacities. </w:t>
      </w:r>
    </w:p>
    <w:p w14:paraId="37797B28" w14:textId="77777777" w:rsidR="00145434" w:rsidRPr="00145434" w:rsidRDefault="00145434" w:rsidP="00145434">
      <w:pPr>
        <w:spacing w:before="120" w:after="120" w:line="240" w:lineRule="auto"/>
        <w:jc w:val="both"/>
        <w:rPr>
          <w:rFonts w:ascii="Times New Roman" w:eastAsia="Aptos" w:hAnsi="Times New Roman" w:cs="Times New Roman"/>
          <w:noProof/>
          <w:kern w:val="2"/>
          <w:lang w:val="en-GB" w:eastAsia="en-US"/>
          <w14:ligatures w14:val="standardContextual"/>
        </w:rPr>
      </w:pPr>
      <w:r w:rsidRPr="00145434">
        <w:rPr>
          <w:rFonts w:ascii="Times New Roman" w:eastAsia="Aptos" w:hAnsi="Times New Roman" w:cs="Times New Roman"/>
          <w:noProof/>
          <w:kern w:val="2"/>
          <w:lang w:val="en-GB" w:eastAsia="en-US"/>
          <w14:ligatures w14:val="standardContextual"/>
        </w:rPr>
        <w:t>This investment consists in the signature of contracts for the construction of at least 60MW(H2) of new electrolysers capacity.</w:t>
      </w:r>
    </w:p>
    <w:p w14:paraId="4A767C0E" w14:textId="77777777" w:rsidR="00145434" w:rsidRPr="00145434" w:rsidRDefault="00145434" w:rsidP="00145434">
      <w:pPr>
        <w:spacing w:before="120" w:after="120" w:line="240" w:lineRule="auto"/>
        <w:jc w:val="both"/>
        <w:rPr>
          <w:rFonts w:ascii="Times New Roman" w:eastAsia="NSimSun" w:hAnsi="Times New Roman" w:cs="Times New Roman"/>
          <w:noProof/>
          <w:kern w:val="3"/>
          <w:u w:val="single"/>
          <w:lang w:val="en-GB" w:eastAsia="en-US"/>
        </w:rPr>
      </w:pPr>
      <w:r w:rsidRPr="00145434">
        <w:rPr>
          <w:rFonts w:ascii="Times New Roman" w:eastAsia="NSimSun" w:hAnsi="Times New Roman" w:cs="Times New Roman"/>
          <w:noProof/>
          <w:kern w:val="3"/>
          <w:u w:val="single"/>
          <w:lang w:val="en-GB" w:eastAsia="en-US"/>
        </w:rPr>
        <w:t xml:space="preserve">Investment 3. Construction of flexible and highly efficient gas-fired electricity and heat generation (CHP) in district heating </w:t>
      </w:r>
    </w:p>
    <w:p w14:paraId="3E820CB6" w14:textId="77777777" w:rsidR="00145434" w:rsidRPr="00145434" w:rsidRDefault="00145434" w:rsidP="00145434">
      <w:pPr>
        <w:spacing w:before="120" w:after="120" w:line="240" w:lineRule="auto"/>
        <w:jc w:val="both"/>
        <w:rPr>
          <w:rFonts w:ascii="Times New Roman" w:eastAsia="Aptos" w:hAnsi="Times New Roman" w:cs="Times New Roman"/>
          <w:noProof/>
          <w:kern w:val="2"/>
          <w:lang w:val="en-GB" w:eastAsia="en-US"/>
          <w14:ligatures w14:val="standardContextual"/>
        </w:rPr>
      </w:pPr>
      <w:r w:rsidRPr="00145434">
        <w:rPr>
          <w:rFonts w:ascii="Times New Roman" w:eastAsia="Aptos" w:hAnsi="Times New Roman" w:cs="Times New Roman"/>
          <w:noProof/>
          <w:kern w:val="2"/>
          <w:szCs w:val="22"/>
          <w:lang w:val="en-GB" w:eastAsia="en-US"/>
          <w14:ligatures w14:val="standardContextual"/>
        </w:rPr>
        <w:t>The objective of this investment is to addressing Romania’s challenges in the transition away from coal and lignite energy sources.</w:t>
      </w:r>
    </w:p>
    <w:p w14:paraId="1E2E83FA" w14:textId="77777777" w:rsidR="00145434" w:rsidRPr="00145434" w:rsidRDefault="00145434" w:rsidP="00145434">
      <w:pPr>
        <w:spacing w:before="120" w:after="120" w:line="240" w:lineRule="auto"/>
        <w:jc w:val="both"/>
        <w:rPr>
          <w:rFonts w:ascii="Times New Roman" w:eastAsia="Aptos" w:hAnsi="Times New Roman" w:cs="Times New Roman"/>
          <w:noProof/>
          <w:kern w:val="2"/>
          <w:lang w:val="en-GB" w:eastAsia="en-US"/>
          <w14:ligatures w14:val="standardContextual"/>
        </w:rPr>
      </w:pPr>
      <w:r w:rsidRPr="00145434">
        <w:rPr>
          <w:rFonts w:ascii="Times New Roman" w:eastAsia="Aptos" w:hAnsi="Times New Roman" w:cs="Times New Roman"/>
          <w:noProof/>
          <w:kern w:val="2"/>
          <w:lang w:val="en-GB" w:eastAsia="en-US"/>
          <w14:ligatures w14:val="standardContextual"/>
        </w:rPr>
        <w:t xml:space="preserve">The investment consists in the installation of electricity production capacity of future-proof, flexible and high-efficient gas-fired Combined Heat and Power enabled for the use of renewable and low-carbon gases. </w:t>
      </w:r>
    </w:p>
    <w:p w14:paraId="3611038A" w14:textId="77777777" w:rsidR="00145434" w:rsidRPr="00145434" w:rsidRDefault="00145434" w:rsidP="00145434">
      <w:pPr>
        <w:suppressAutoHyphens/>
        <w:autoSpaceDN w:val="0"/>
        <w:spacing w:before="240" w:after="0" w:line="240" w:lineRule="auto"/>
        <w:jc w:val="both"/>
        <w:textAlignment w:val="baseline"/>
        <w:rPr>
          <w:rFonts w:ascii="Times New Roman" w:eastAsia="Yu Gothic Light" w:hAnsi="Times New Roman" w:cs="Times New Roman"/>
          <w:noProof/>
          <w:kern w:val="3"/>
          <w:u w:val="single"/>
          <w:lang w:val="en-GB" w:eastAsia="en-US"/>
        </w:rPr>
      </w:pPr>
      <w:bookmarkStart w:id="8" w:name="_Hlk211578828"/>
      <w:r w:rsidRPr="00145434">
        <w:rPr>
          <w:rFonts w:ascii="Times New Roman" w:eastAsia="NSimSun" w:hAnsi="Times New Roman" w:cs="Times New Roman"/>
          <w:noProof/>
          <w:kern w:val="3"/>
          <w:u w:val="single"/>
          <w:lang w:val="en-GB" w:eastAsia="en-US"/>
        </w:rPr>
        <w:t>Investment 5. Ensuring energy efficiency in the industrial sector</w:t>
      </w:r>
    </w:p>
    <w:bookmarkEnd w:id="8"/>
    <w:p w14:paraId="45C19515" w14:textId="77777777" w:rsidR="00145434" w:rsidRPr="00145434" w:rsidRDefault="00145434" w:rsidP="00145434">
      <w:pPr>
        <w:spacing w:before="120" w:after="120" w:line="240" w:lineRule="auto"/>
        <w:jc w:val="both"/>
        <w:rPr>
          <w:rFonts w:ascii="Times New Roman" w:eastAsia="Aptos" w:hAnsi="Times New Roman" w:cs="Times New Roman"/>
          <w:noProof/>
          <w:kern w:val="2"/>
          <w:lang w:val="en-GB" w:eastAsia="en-US"/>
          <w14:ligatures w14:val="standardContextual"/>
        </w:rPr>
      </w:pPr>
      <w:r w:rsidRPr="00145434">
        <w:rPr>
          <w:rFonts w:ascii="Times New Roman" w:eastAsia="Aptos" w:hAnsi="Times New Roman" w:cs="Times New Roman"/>
          <w:noProof/>
          <w:kern w:val="2"/>
          <w:lang w:val="en-GB" w:eastAsia="en-US"/>
          <w14:ligatures w14:val="standardContextual"/>
        </w:rPr>
        <w:t>The objective of the investment is to increase the energy efficiency of the industry.</w:t>
      </w:r>
    </w:p>
    <w:p w14:paraId="2E811934" w14:textId="77777777" w:rsidR="00145434" w:rsidRPr="00145434" w:rsidRDefault="00145434" w:rsidP="00145434">
      <w:pPr>
        <w:spacing w:before="120" w:after="120" w:line="240" w:lineRule="auto"/>
        <w:jc w:val="both"/>
        <w:rPr>
          <w:rFonts w:ascii="Times New Roman" w:eastAsia="Aptos" w:hAnsi="Times New Roman" w:cs="Times New Roman"/>
          <w:noProof/>
          <w:kern w:val="2"/>
          <w:lang w:val="en-GB" w:eastAsia="en-US"/>
          <w14:ligatures w14:val="standardContextual"/>
        </w:rPr>
      </w:pPr>
      <w:r w:rsidRPr="00145434">
        <w:rPr>
          <w:rFonts w:ascii="Times New Roman" w:eastAsia="Aptos" w:hAnsi="Times New Roman" w:cs="Times New Roman"/>
          <w:noProof/>
          <w:kern w:val="2"/>
          <w:lang w:val="en-GB" w:eastAsia="en-US"/>
          <w14:ligatures w14:val="standardContextual"/>
        </w:rPr>
        <w:t>The investment consists in supporting industrial projects reducing direct and indirect GHG emissions compared to ex-ante emissions.</w:t>
      </w:r>
    </w:p>
    <w:p w14:paraId="29B099D0" w14:textId="77777777" w:rsidR="00145434" w:rsidRPr="00145434" w:rsidRDefault="00145434" w:rsidP="00145434">
      <w:pPr>
        <w:spacing w:before="120" w:after="120" w:line="240" w:lineRule="auto"/>
        <w:jc w:val="both"/>
        <w:rPr>
          <w:rFonts w:ascii="Times New Roman" w:eastAsia="Aptos" w:hAnsi="Times New Roman" w:cs="Times New Roman"/>
          <w:i/>
          <w:noProof/>
          <w:kern w:val="2"/>
          <w:lang w:val="en-GB" w:eastAsia="en-US"/>
          <w14:ligatures w14:val="standardContextual"/>
        </w:rPr>
      </w:pPr>
    </w:p>
    <w:p w14:paraId="770983B2" w14:textId="77777777" w:rsidR="00145434" w:rsidRPr="00145434" w:rsidRDefault="00145434" w:rsidP="00145434">
      <w:pPr>
        <w:spacing w:before="120" w:after="120" w:line="240" w:lineRule="auto"/>
        <w:ind w:left="850"/>
        <w:jc w:val="both"/>
        <w:rPr>
          <w:rFonts w:ascii="Times New Roman" w:eastAsia="Aptos" w:hAnsi="Times New Roman" w:cs="Times New Roman"/>
          <w:i/>
          <w:noProof/>
          <w:kern w:val="2"/>
          <w:lang w:val="en-GB" w:eastAsia="en-US"/>
          <w14:ligatures w14:val="standardContextual"/>
        </w:rPr>
        <w:sectPr w:rsidR="00145434" w:rsidRPr="00145434" w:rsidSect="00145434">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60"/>
        </w:sectPr>
      </w:pPr>
    </w:p>
    <w:p w14:paraId="430E3A47" w14:textId="77777777" w:rsidR="00145434" w:rsidRPr="00145434" w:rsidRDefault="00145434" w:rsidP="00145434">
      <w:pPr>
        <w:keepNext/>
        <w:spacing w:before="120" w:after="120" w:line="240" w:lineRule="auto"/>
        <w:jc w:val="both"/>
        <w:outlineLvl w:val="1"/>
        <w:rPr>
          <w:rFonts w:ascii="Times New Roman" w:eastAsia="Yu Gothic Light" w:hAnsi="Times New Roman" w:cs="Times New Roman"/>
          <w:b/>
          <w:bCs/>
          <w:noProof/>
          <w:kern w:val="2"/>
          <w:lang w:val="en-GB" w:eastAsia="en-US"/>
          <w14:ligatures w14:val="standardContextual"/>
        </w:rPr>
      </w:pPr>
      <w:r w:rsidRPr="00145434">
        <w:rPr>
          <w:rFonts w:ascii="Times New Roman" w:eastAsia="Aptos" w:hAnsi="Times New Roman" w:cs="Times New Roman"/>
          <w:b/>
          <w:noProof/>
          <w:kern w:val="2"/>
          <w:szCs w:val="22"/>
          <w:lang w:val="en-GB" w:eastAsia="en-US"/>
          <w14:ligatures w14:val="standardContextual"/>
        </w:rPr>
        <w:t xml:space="preserve">F.4. </w:t>
      </w:r>
      <w:r w:rsidRPr="00145434">
        <w:rPr>
          <w:rFonts w:ascii="Times New Roman" w:eastAsia="Aptos" w:hAnsi="Times New Roman" w:cs="Times New Roman"/>
          <w:noProof/>
          <w:kern w:val="2"/>
          <w:sz w:val="22"/>
          <w:szCs w:val="22"/>
          <w:lang w:val="en-GB" w:eastAsia="en-US"/>
          <w14:ligatures w14:val="standardContextual"/>
        </w:rPr>
        <w:tab/>
      </w:r>
      <w:r w:rsidRPr="00145434">
        <w:rPr>
          <w:rFonts w:ascii="Times New Roman" w:eastAsia="Aptos" w:hAnsi="Times New Roman" w:cs="Times New Roman"/>
          <w:b/>
          <w:noProof/>
          <w:kern w:val="2"/>
          <w:szCs w:val="22"/>
          <w:lang w:val="en-GB" w:eastAsia="en-US"/>
          <w14:ligatures w14:val="standardContextual"/>
        </w:rPr>
        <w:t xml:space="preserve">Milestones, targets, indicators, and timetable for monitoring and implementation for the loan </w:t>
      </w:r>
    </w:p>
    <w:tbl>
      <w:tblPr>
        <w:tblW w:w="15593" w:type="dxa"/>
        <w:jc w:val="center"/>
        <w:tblLayout w:type="fixed"/>
        <w:tblLook w:val="04A0" w:firstRow="1" w:lastRow="0" w:firstColumn="1" w:lastColumn="0" w:noHBand="0" w:noVBand="1"/>
      </w:tblPr>
      <w:tblGrid>
        <w:gridCol w:w="818"/>
        <w:gridCol w:w="1895"/>
        <w:gridCol w:w="1222"/>
        <w:gridCol w:w="1759"/>
        <w:gridCol w:w="1625"/>
        <w:gridCol w:w="1352"/>
        <w:gridCol w:w="1093"/>
        <w:gridCol w:w="819"/>
        <w:gridCol w:w="1088"/>
        <w:gridCol w:w="818"/>
        <w:gridCol w:w="3104"/>
      </w:tblGrid>
      <w:tr w:rsidR="00145434" w:rsidRPr="00A025C9" w14:paraId="4DE1F105" w14:textId="77777777" w:rsidTr="00A025C9">
        <w:trPr>
          <w:trHeight w:val="445"/>
          <w:tblHeader/>
          <w:jc w:val="center"/>
        </w:trPr>
        <w:tc>
          <w:tcPr>
            <w:tcW w:w="8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3DE7DF4" w14:textId="77777777"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Seq. Num.</w:t>
            </w:r>
          </w:p>
        </w:tc>
        <w:tc>
          <w:tcPr>
            <w:tcW w:w="189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992AA0B" w14:textId="77777777"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Related Measure (Reform or Investment)</w:t>
            </w:r>
          </w:p>
        </w:tc>
        <w:tc>
          <w:tcPr>
            <w:tcW w:w="122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924EDF" w14:textId="77777777"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Milestone / Target</w:t>
            </w:r>
          </w:p>
        </w:tc>
        <w:tc>
          <w:tcPr>
            <w:tcW w:w="17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E8A9EA" w14:textId="77777777"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Name</w:t>
            </w:r>
          </w:p>
        </w:tc>
        <w:tc>
          <w:tcPr>
            <w:tcW w:w="16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DCB34E0" w14:textId="77777777"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 xml:space="preserve">Qualitative indicators </w:t>
            </w:r>
            <w:r w:rsidRPr="00A025C9">
              <w:rPr>
                <w:rFonts w:ascii="Times New Roman" w:eastAsia="Aptos" w:hAnsi="Times New Roman" w:cs="Times New Roman"/>
                <w:noProof/>
                <w:kern w:val="2"/>
                <w:sz w:val="20"/>
                <w:szCs w:val="20"/>
                <w:lang w:val="en-GB" w:eastAsia="en-US"/>
                <w14:ligatures w14:val="standardContextual"/>
              </w:rPr>
              <w:br/>
            </w:r>
            <w:r w:rsidRPr="00A025C9">
              <w:rPr>
                <w:rFonts w:ascii="Times New Roman" w:eastAsia="Aptos" w:hAnsi="Times New Roman" w:cs="Times New Roman"/>
                <w:b/>
                <w:noProof/>
                <w:kern w:val="2"/>
                <w:sz w:val="20"/>
                <w:szCs w:val="20"/>
                <w:lang w:val="en-GB" w:eastAsia="en-US"/>
                <w14:ligatures w14:val="standardContextual"/>
              </w:rPr>
              <w:t>(for milestones)</w:t>
            </w:r>
          </w:p>
        </w:tc>
        <w:tc>
          <w:tcPr>
            <w:tcW w:w="326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7B83810" w14:textId="77777777"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 xml:space="preserve">Quantitative indicators </w:t>
            </w:r>
            <w:r w:rsidRPr="00A025C9">
              <w:rPr>
                <w:rFonts w:ascii="Times New Roman" w:eastAsia="Aptos" w:hAnsi="Times New Roman" w:cs="Times New Roman"/>
                <w:noProof/>
                <w:kern w:val="2"/>
                <w:sz w:val="20"/>
                <w:szCs w:val="20"/>
                <w:lang w:val="en-GB" w:eastAsia="en-US"/>
                <w14:ligatures w14:val="standardContextual"/>
              </w:rPr>
              <w:br/>
            </w:r>
            <w:r w:rsidRPr="00A025C9">
              <w:rPr>
                <w:rFonts w:ascii="Times New Roman" w:eastAsia="Aptos" w:hAnsi="Times New Roman" w:cs="Times New Roman"/>
                <w:b/>
                <w:noProof/>
                <w:kern w:val="2"/>
                <w:sz w:val="20"/>
                <w:szCs w:val="20"/>
                <w:lang w:val="en-GB" w:eastAsia="en-US"/>
                <w14:ligatures w14:val="standardContextual"/>
              </w:rPr>
              <w:t>(for targets)</w:t>
            </w:r>
          </w:p>
        </w:tc>
        <w:tc>
          <w:tcPr>
            <w:tcW w:w="1906" w:type="dxa"/>
            <w:gridSpan w:val="2"/>
            <w:tcBorders>
              <w:top w:val="single" w:sz="4" w:space="0" w:color="auto"/>
              <w:left w:val="nil"/>
              <w:bottom w:val="single" w:sz="4" w:space="0" w:color="auto"/>
              <w:right w:val="single" w:sz="4" w:space="0" w:color="auto"/>
            </w:tcBorders>
            <w:shd w:val="clear" w:color="auto" w:fill="BDD7EE"/>
            <w:vAlign w:val="center"/>
            <w:hideMark/>
          </w:tcPr>
          <w:p w14:paraId="314B8A9D" w14:textId="77777777"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Indicative timeline for completion</w:t>
            </w:r>
          </w:p>
        </w:tc>
        <w:tc>
          <w:tcPr>
            <w:tcW w:w="31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A1189D8" w14:textId="77777777"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Description of each milestone and target</w:t>
            </w:r>
          </w:p>
        </w:tc>
      </w:tr>
      <w:tr w:rsidR="00145434" w:rsidRPr="00A025C9" w14:paraId="7C4A9CC9" w14:textId="77777777" w:rsidTr="00A025C9">
        <w:trPr>
          <w:trHeight w:val="680"/>
          <w:tblHeader/>
          <w:jc w:val="center"/>
        </w:trPr>
        <w:tc>
          <w:tcPr>
            <w:tcW w:w="818" w:type="dxa"/>
            <w:vMerge/>
            <w:tcBorders>
              <w:top w:val="single" w:sz="4" w:space="0" w:color="auto"/>
              <w:left w:val="single" w:sz="4" w:space="0" w:color="auto"/>
              <w:bottom w:val="single" w:sz="4" w:space="0" w:color="auto"/>
              <w:right w:val="single" w:sz="4" w:space="0" w:color="auto"/>
            </w:tcBorders>
            <w:hideMark/>
          </w:tcPr>
          <w:p w14:paraId="6FE82694" w14:textId="77777777" w:rsidR="00145434" w:rsidRPr="00A025C9" w:rsidRDefault="00145434" w:rsidP="00145434">
            <w:pPr>
              <w:spacing w:after="0" w:line="240" w:lineRule="auto"/>
              <w:jc w:val="both"/>
              <w:rPr>
                <w:rFonts w:ascii="Times New Roman" w:eastAsia="Times New Roman" w:hAnsi="Times New Roman" w:cs="Times New Roman"/>
                <w:b/>
                <w:bCs/>
                <w:noProof/>
                <w:kern w:val="2"/>
                <w:sz w:val="20"/>
                <w:szCs w:val="20"/>
                <w:lang w:val="en-GB" w:eastAsia="en-GB"/>
                <w14:ligatures w14:val="standardContextual"/>
              </w:rPr>
            </w:pPr>
          </w:p>
        </w:tc>
        <w:tc>
          <w:tcPr>
            <w:tcW w:w="1895" w:type="dxa"/>
            <w:vMerge/>
            <w:tcBorders>
              <w:top w:val="single" w:sz="4" w:space="0" w:color="auto"/>
              <w:left w:val="single" w:sz="4" w:space="0" w:color="auto"/>
              <w:bottom w:val="single" w:sz="4" w:space="0" w:color="auto"/>
              <w:right w:val="single" w:sz="4" w:space="0" w:color="auto"/>
            </w:tcBorders>
            <w:vAlign w:val="center"/>
            <w:hideMark/>
          </w:tcPr>
          <w:p w14:paraId="381CECD5" w14:textId="77777777" w:rsidR="00145434" w:rsidRPr="00A025C9" w:rsidRDefault="00145434" w:rsidP="00145434">
            <w:pPr>
              <w:spacing w:after="0" w:line="240" w:lineRule="auto"/>
              <w:jc w:val="both"/>
              <w:rPr>
                <w:rFonts w:ascii="Times New Roman" w:eastAsia="Times New Roman" w:hAnsi="Times New Roman" w:cs="Times New Roman"/>
                <w:b/>
                <w:bCs/>
                <w:noProof/>
                <w:kern w:val="2"/>
                <w:sz w:val="20"/>
                <w:szCs w:val="20"/>
                <w:lang w:val="en-GB" w:eastAsia="en-GB"/>
                <w14:ligatures w14:val="standardContextual"/>
              </w:rPr>
            </w:pPr>
          </w:p>
        </w:tc>
        <w:tc>
          <w:tcPr>
            <w:tcW w:w="1222" w:type="dxa"/>
            <w:vMerge/>
            <w:tcBorders>
              <w:top w:val="single" w:sz="4" w:space="0" w:color="auto"/>
              <w:left w:val="single" w:sz="4" w:space="0" w:color="auto"/>
              <w:bottom w:val="single" w:sz="4" w:space="0" w:color="auto"/>
              <w:right w:val="single" w:sz="4" w:space="0" w:color="auto"/>
            </w:tcBorders>
            <w:vAlign w:val="center"/>
            <w:hideMark/>
          </w:tcPr>
          <w:p w14:paraId="48B684F7" w14:textId="77777777" w:rsidR="00145434" w:rsidRPr="00A025C9" w:rsidRDefault="00145434" w:rsidP="00145434">
            <w:pPr>
              <w:spacing w:after="0" w:line="240" w:lineRule="auto"/>
              <w:jc w:val="both"/>
              <w:rPr>
                <w:rFonts w:ascii="Times New Roman" w:eastAsia="Times New Roman" w:hAnsi="Times New Roman" w:cs="Times New Roman"/>
                <w:b/>
                <w:bCs/>
                <w:noProof/>
                <w:kern w:val="2"/>
                <w:sz w:val="20"/>
                <w:szCs w:val="20"/>
                <w:lang w:val="en-GB" w:eastAsia="en-GB"/>
                <w14:ligatures w14:val="standardContextual"/>
              </w:rPr>
            </w:pPr>
          </w:p>
        </w:tc>
        <w:tc>
          <w:tcPr>
            <w:tcW w:w="1759" w:type="dxa"/>
            <w:vMerge/>
            <w:tcBorders>
              <w:top w:val="single" w:sz="4" w:space="0" w:color="auto"/>
              <w:left w:val="single" w:sz="4" w:space="0" w:color="auto"/>
              <w:bottom w:val="single" w:sz="4" w:space="0" w:color="auto"/>
              <w:right w:val="single" w:sz="4" w:space="0" w:color="auto"/>
            </w:tcBorders>
            <w:vAlign w:val="center"/>
            <w:hideMark/>
          </w:tcPr>
          <w:p w14:paraId="1D17CC8D" w14:textId="77777777" w:rsidR="00145434" w:rsidRPr="00A025C9" w:rsidRDefault="00145434" w:rsidP="00145434">
            <w:pPr>
              <w:spacing w:after="0" w:line="240" w:lineRule="auto"/>
              <w:jc w:val="both"/>
              <w:rPr>
                <w:rFonts w:ascii="Times New Roman" w:eastAsia="Times New Roman" w:hAnsi="Times New Roman" w:cs="Times New Roman"/>
                <w:b/>
                <w:bCs/>
                <w:noProof/>
                <w:kern w:val="2"/>
                <w:sz w:val="20"/>
                <w:szCs w:val="20"/>
                <w:lang w:val="en-GB" w:eastAsia="en-GB"/>
                <w14:ligatures w14:val="standardContextual"/>
              </w:rPr>
            </w:pPr>
          </w:p>
        </w:tc>
        <w:tc>
          <w:tcPr>
            <w:tcW w:w="1625" w:type="dxa"/>
            <w:vMerge/>
            <w:tcBorders>
              <w:top w:val="single" w:sz="4" w:space="0" w:color="auto"/>
              <w:left w:val="single" w:sz="4" w:space="0" w:color="auto"/>
              <w:bottom w:val="single" w:sz="4" w:space="0" w:color="auto"/>
              <w:right w:val="single" w:sz="4" w:space="0" w:color="auto"/>
            </w:tcBorders>
            <w:vAlign w:val="center"/>
            <w:hideMark/>
          </w:tcPr>
          <w:p w14:paraId="350F0860" w14:textId="77777777" w:rsidR="00145434" w:rsidRPr="00A025C9" w:rsidRDefault="00145434" w:rsidP="00145434">
            <w:pPr>
              <w:spacing w:after="0" w:line="240" w:lineRule="auto"/>
              <w:jc w:val="both"/>
              <w:rPr>
                <w:rFonts w:ascii="Times New Roman" w:eastAsia="Times New Roman" w:hAnsi="Times New Roman" w:cs="Times New Roman"/>
                <w:b/>
                <w:bCs/>
                <w:noProof/>
                <w:kern w:val="2"/>
                <w:sz w:val="20"/>
                <w:szCs w:val="20"/>
                <w:lang w:val="en-GB" w:eastAsia="en-GB"/>
                <w14:ligatures w14:val="standardContextual"/>
              </w:rPr>
            </w:pPr>
          </w:p>
        </w:tc>
        <w:tc>
          <w:tcPr>
            <w:tcW w:w="1352" w:type="dxa"/>
            <w:tcBorders>
              <w:top w:val="nil"/>
              <w:left w:val="single" w:sz="4" w:space="0" w:color="auto"/>
              <w:bottom w:val="single" w:sz="4" w:space="0" w:color="auto"/>
              <w:right w:val="single" w:sz="4" w:space="0" w:color="auto"/>
            </w:tcBorders>
            <w:shd w:val="clear" w:color="auto" w:fill="BDD7EE"/>
            <w:vAlign w:val="center"/>
            <w:hideMark/>
          </w:tcPr>
          <w:p w14:paraId="1CC12BD6" w14:textId="77777777"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Unit of measure</w:t>
            </w:r>
          </w:p>
        </w:tc>
        <w:tc>
          <w:tcPr>
            <w:tcW w:w="1093" w:type="dxa"/>
            <w:tcBorders>
              <w:top w:val="nil"/>
              <w:left w:val="nil"/>
              <w:bottom w:val="single" w:sz="4" w:space="0" w:color="auto"/>
              <w:right w:val="single" w:sz="4" w:space="0" w:color="auto"/>
            </w:tcBorders>
            <w:shd w:val="clear" w:color="auto" w:fill="BDD7EE"/>
            <w:vAlign w:val="center"/>
            <w:hideMark/>
          </w:tcPr>
          <w:p w14:paraId="39BB65DE" w14:textId="6E8EE011"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Baseline</w:t>
            </w:r>
          </w:p>
        </w:tc>
        <w:tc>
          <w:tcPr>
            <w:tcW w:w="819" w:type="dxa"/>
            <w:tcBorders>
              <w:top w:val="nil"/>
              <w:left w:val="nil"/>
              <w:bottom w:val="single" w:sz="4" w:space="0" w:color="auto"/>
              <w:right w:val="single" w:sz="4" w:space="0" w:color="auto"/>
            </w:tcBorders>
            <w:shd w:val="clear" w:color="auto" w:fill="BDD7EE"/>
            <w:vAlign w:val="center"/>
            <w:hideMark/>
          </w:tcPr>
          <w:p w14:paraId="653FC72B" w14:textId="7A36CF87"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Goal</w:t>
            </w:r>
          </w:p>
        </w:tc>
        <w:tc>
          <w:tcPr>
            <w:tcW w:w="1088" w:type="dxa"/>
            <w:tcBorders>
              <w:top w:val="nil"/>
              <w:left w:val="nil"/>
              <w:bottom w:val="single" w:sz="4" w:space="0" w:color="auto"/>
              <w:right w:val="single" w:sz="4" w:space="0" w:color="auto"/>
            </w:tcBorders>
            <w:shd w:val="clear" w:color="auto" w:fill="BDD7EE"/>
            <w:vAlign w:val="center"/>
            <w:hideMark/>
          </w:tcPr>
          <w:p w14:paraId="5AC8AE70" w14:textId="77777777"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Quarter</w:t>
            </w:r>
          </w:p>
        </w:tc>
        <w:tc>
          <w:tcPr>
            <w:tcW w:w="818" w:type="dxa"/>
            <w:tcBorders>
              <w:top w:val="nil"/>
              <w:left w:val="nil"/>
              <w:bottom w:val="single" w:sz="4" w:space="0" w:color="auto"/>
              <w:right w:val="single" w:sz="4" w:space="0" w:color="auto"/>
            </w:tcBorders>
            <w:shd w:val="clear" w:color="auto" w:fill="BDD7EE"/>
            <w:vAlign w:val="center"/>
            <w:hideMark/>
          </w:tcPr>
          <w:p w14:paraId="5FD8D527" w14:textId="77777777"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lang w:val="en-GB" w:eastAsia="en-US"/>
                <w14:ligatures w14:val="standardContextual"/>
              </w:rPr>
            </w:pPr>
            <w:r w:rsidRPr="00A025C9">
              <w:rPr>
                <w:rFonts w:ascii="Times New Roman" w:eastAsia="Aptos" w:hAnsi="Times New Roman" w:cs="Times New Roman"/>
                <w:b/>
                <w:noProof/>
                <w:kern w:val="2"/>
                <w:sz w:val="20"/>
                <w:szCs w:val="20"/>
                <w:lang w:val="en-GB" w:eastAsia="en-US"/>
                <w14:ligatures w14:val="standardContextual"/>
              </w:rPr>
              <w:t>Year</w:t>
            </w:r>
          </w:p>
        </w:tc>
        <w:tc>
          <w:tcPr>
            <w:tcW w:w="3104" w:type="dxa"/>
            <w:vMerge/>
            <w:tcBorders>
              <w:top w:val="single" w:sz="4" w:space="0" w:color="auto"/>
              <w:bottom w:val="single" w:sz="4" w:space="0" w:color="auto"/>
              <w:right w:val="single" w:sz="4" w:space="0" w:color="auto"/>
            </w:tcBorders>
            <w:vAlign w:val="center"/>
            <w:hideMark/>
          </w:tcPr>
          <w:p w14:paraId="1C762A89" w14:textId="77777777" w:rsidR="00145434" w:rsidRPr="00A025C9" w:rsidRDefault="00145434" w:rsidP="00145434">
            <w:pPr>
              <w:spacing w:after="0" w:line="240" w:lineRule="auto"/>
              <w:jc w:val="both"/>
              <w:rPr>
                <w:rFonts w:ascii="Times New Roman" w:eastAsia="Times New Roman" w:hAnsi="Times New Roman" w:cs="Times New Roman"/>
                <w:b/>
                <w:bCs/>
                <w:noProof/>
                <w:kern w:val="2"/>
                <w:sz w:val="20"/>
                <w:szCs w:val="20"/>
                <w:lang w:val="en-GB" w:eastAsia="en-GB"/>
                <w14:ligatures w14:val="standardContextual"/>
              </w:rPr>
            </w:pPr>
          </w:p>
        </w:tc>
      </w:tr>
      <w:tr w:rsidR="00145434" w:rsidRPr="00A025C9" w14:paraId="7414E256" w14:textId="77777777">
        <w:trPr>
          <w:trHeight w:val="313"/>
          <w:jc w:val="center"/>
        </w:trPr>
        <w:tc>
          <w:tcPr>
            <w:tcW w:w="818" w:type="dxa"/>
            <w:tcBorders>
              <w:top w:val="single" w:sz="4" w:space="0" w:color="auto"/>
              <w:left w:val="single" w:sz="4" w:space="0" w:color="auto"/>
              <w:bottom w:val="single" w:sz="4" w:space="0" w:color="auto"/>
              <w:right w:val="single" w:sz="4" w:space="0" w:color="auto"/>
            </w:tcBorders>
            <w:shd w:val="clear" w:color="auto" w:fill="C6EFCE"/>
            <w:noWrap/>
            <w:hideMark/>
          </w:tcPr>
          <w:p w14:paraId="556DD51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126</w:t>
            </w:r>
          </w:p>
        </w:tc>
        <w:tc>
          <w:tcPr>
            <w:tcW w:w="1895" w:type="dxa"/>
            <w:tcBorders>
              <w:top w:val="single" w:sz="4" w:space="0" w:color="auto"/>
              <w:left w:val="nil"/>
              <w:bottom w:val="single" w:sz="4" w:space="0" w:color="auto"/>
              <w:right w:val="single" w:sz="4" w:space="0" w:color="auto"/>
            </w:tcBorders>
            <w:shd w:val="clear" w:color="auto" w:fill="C6EFCE"/>
            <w:noWrap/>
          </w:tcPr>
          <w:p w14:paraId="71958A61" w14:textId="5451203D"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Reform 4. Establishing a favourable legislative and regulatory framework for renewable hydrogen</w:t>
            </w:r>
            <w:r w:rsidR="00A025C9" w:rsidRPr="00A025C9">
              <w:rPr>
                <w:rFonts w:ascii="Times New Roman" w:eastAsia="Aptos" w:hAnsi="Times New Roman" w:cs="Times New Roman"/>
                <w:noProof/>
                <w:kern w:val="2"/>
                <w:sz w:val="20"/>
                <w:szCs w:val="20"/>
                <w:lang w:val="en-GB" w:eastAsia="en-US"/>
                <w14:ligatures w14:val="standardContextual"/>
              </w:rPr>
              <w:t xml:space="preserve"> </w:t>
            </w:r>
          </w:p>
        </w:tc>
        <w:tc>
          <w:tcPr>
            <w:tcW w:w="1222" w:type="dxa"/>
            <w:tcBorders>
              <w:top w:val="single" w:sz="4" w:space="0" w:color="auto"/>
              <w:left w:val="nil"/>
              <w:bottom w:val="single" w:sz="4" w:space="0" w:color="auto"/>
              <w:right w:val="single" w:sz="4" w:space="0" w:color="auto"/>
            </w:tcBorders>
            <w:shd w:val="clear" w:color="auto" w:fill="C6EFCE"/>
            <w:noWrap/>
            <w:hideMark/>
          </w:tcPr>
          <w:p w14:paraId="10EAAB1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Milestone</w:t>
            </w:r>
          </w:p>
        </w:tc>
        <w:tc>
          <w:tcPr>
            <w:tcW w:w="1759" w:type="dxa"/>
            <w:tcBorders>
              <w:top w:val="single" w:sz="4" w:space="0" w:color="auto"/>
              <w:left w:val="nil"/>
              <w:bottom w:val="single" w:sz="4" w:space="0" w:color="auto"/>
              <w:right w:val="single" w:sz="4" w:space="0" w:color="auto"/>
            </w:tcBorders>
            <w:shd w:val="clear" w:color="auto" w:fill="C6EFCE"/>
            <w:noWrap/>
          </w:tcPr>
          <w:p w14:paraId="15B18086" w14:textId="138B128F"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Entry into force of the amendments to the legal framework </w:t>
            </w:r>
          </w:p>
        </w:tc>
        <w:tc>
          <w:tcPr>
            <w:tcW w:w="1625" w:type="dxa"/>
            <w:tcBorders>
              <w:top w:val="single" w:sz="4" w:space="0" w:color="auto"/>
              <w:left w:val="nil"/>
              <w:bottom w:val="single" w:sz="4" w:space="0" w:color="auto"/>
              <w:right w:val="single" w:sz="4" w:space="0" w:color="auto"/>
            </w:tcBorders>
            <w:shd w:val="clear" w:color="auto" w:fill="C6EFCE"/>
            <w:noWrap/>
            <w:hideMark/>
          </w:tcPr>
          <w:p w14:paraId="559C43E2" w14:textId="54D79A29"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Provision in the </w:t>
            </w:r>
            <w:r w:rsidR="00727372" w:rsidRPr="00A025C9">
              <w:rPr>
                <w:rFonts w:ascii="Times New Roman" w:eastAsia="Aptos" w:hAnsi="Times New Roman" w:cs="Times New Roman"/>
                <w:noProof/>
                <w:kern w:val="2"/>
                <w:sz w:val="20"/>
                <w:szCs w:val="20"/>
                <w:lang w:val="en-GB" w:eastAsia="en-US"/>
                <w14:ligatures w14:val="standardContextual"/>
              </w:rPr>
              <w:t>legal acts</w:t>
            </w:r>
            <w:r w:rsidRPr="00A025C9">
              <w:rPr>
                <w:rFonts w:ascii="Times New Roman" w:eastAsia="Aptos" w:hAnsi="Times New Roman" w:cs="Times New Roman"/>
                <w:noProof/>
                <w:kern w:val="2"/>
                <w:sz w:val="20"/>
                <w:szCs w:val="20"/>
                <w:lang w:val="en-GB" w:eastAsia="en-US"/>
                <w14:ligatures w14:val="standardContextual"/>
              </w:rPr>
              <w:t xml:space="preserve"> indicating the entry into force of the amendments to the </w:t>
            </w:r>
            <w:r w:rsidR="00727372" w:rsidRPr="00A025C9">
              <w:rPr>
                <w:rFonts w:ascii="Times New Roman" w:eastAsia="Aptos" w:hAnsi="Times New Roman" w:cs="Times New Roman"/>
                <w:noProof/>
                <w:kern w:val="2"/>
                <w:sz w:val="20"/>
                <w:szCs w:val="20"/>
                <w:lang w:val="en-GB" w:eastAsia="en-US"/>
                <w14:ligatures w14:val="standardContextual"/>
              </w:rPr>
              <w:t xml:space="preserve">legal </w:t>
            </w:r>
            <w:r w:rsidRPr="00A025C9">
              <w:rPr>
                <w:rFonts w:ascii="Times New Roman" w:eastAsia="Aptos" w:hAnsi="Times New Roman" w:cs="Times New Roman"/>
                <w:noProof/>
                <w:kern w:val="2"/>
                <w:sz w:val="20"/>
                <w:szCs w:val="20"/>
                <w:lang w:val="en-GB" w:eastAsia="en-US"/>
                <w14:ligatures w14:val="standardContextual"/>
              </w:rPr>
              <w:t xml:space="preserve">framework </w:t>
            </w:r>
          </w:p>
        </w:tc>
        <w:tc>
          <w:tcPr>
            <w:tcW w:w="1352" w:type="dxa"/>
            <w:tcBorders>
              <w:top w:val="nil"/>
              <w:left w:val="nil"/>
              <w:bottom w:val="single" w:sz="4" w:space="0" w:color="auto"/>
              <w:right w:val="single" w:sz="4" w:space="0" w:color="auto"/>
            </w:tcBorders>
            <w:shd w:val="clear" w:color="auto" w:fill="C6EFCE"/>
            <w:noWrap/>
            <w:hideMark/>
          </w:tcPr>
          <w:p w14:paraId="66E51F93"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w:t>
            </w:r>
          </w:p>
        </w:tc>
        <w:tc>
          <w:tcPr>
            <w:tcW w:w="1093" w:type="dxa"/>
            <w:tcBorders>
              <w:top w:val="nil"/>
              <w:left w:val="nil"/>
              <w:bottom w:val="single" w:sz="4" w:space="0" w:color="auto"/>
              <w:right w:val="single" w:sz="4" w:space="0" w:color="auto"/>
            </w:tcBorders>
            <w:shd w:val="clear" w:color="auto" w:fill="C6EFCE"/>
            <w:noWrap/>
          </w:tcPr>
          <w:p w14:paraId="7EF9288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w:t>
            </w:r>
          </w:p>
        </w:tc>
        <w:tc>
          <w:tcPr>
            <w:tcW w:w="819" w:type="dxa"/>
            <w:tcBorders>
              <w:top w:val="nil"/>
              <w:left w:val="nil"/>
              <w:bottom w:val="single" w:sz="4" w:space="0" w:color="auto"/>
              <w:right w:val="single" w:sz="4" w:space="0" w:color="auto"/>
            </w:tcBorders>
            <w:shd w:val="clear" w:color="auto" w:fill="C6EFCE"/>
            <w:noWrap/>
          </w:tcPr>
          <w:p w14:paraId="379408D3"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w:t>
            </w:r>
          </w:p>
        </w:tc>
        <w:tc>
          <w:tcPr>
            <w:tcW w:w="1088" w:type="dxa"/>
            <w:tcBorders>
              <w:top w:val="nil"/>
              <w:left w:val="nil"/>
              <w:bottom w:val="single" w:sz="4" w:space="0" w:color="auto"/>
              <w:right w:val="single" w:sz="4" w:space="0" w:color="auto"/>
            </w:tcBorders>
            <w:shd w:val="clear" w:color="auto" w:fill="C6EFCE"/>
            <w:noWrap/>
            <w:hideMark/>
          </w:tcPr>
          <w:p w14:paraId="45235B6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Q3</w:t>
            </w:r>
          </w:p>
        </w:tc>
        <w:tc>
          <w:tcPr>
            <w:tcW w:w="818" w:type="dxa"/>
            <w:tcBorders>
              <w:top w:val="nil"/>
              <w:left w:val="nil"/>
              <w:bottom w:val="single" w:sz="4" w:space="0" w:color="auto"/>
              <w:right w:val="single" w:sz="4" w:space="0" w:color="auto"/>
            </w:tcBorders>
            <w:shd w:val="clear" w:color="auto" w:fill="C6EFCE"/>
            <w:noWrap/>
            <w:hideMark/>
          </w:tcPr>
          <w:p w14:paraId="78761C3C"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2026</w:t>
            </w:r>
          </w:p>
        </w:tc>
        <w:tc>
          <w:tcPr>
            <w:tcW w:w="3104" w:type="dxa"/>
            <w:tcBorders>
              <w:top w:val="single" w:sz="4" w:space="0" w:color="auto"/>
              <w:left w:val="nil"/>
              <w:bottom w:val="single" w:sz="4" w:space="0" w:color="auto"/>
              <w:right w:val="single" w:sz="4" w:space="0" w:color="auto"/>
            </w:tcBorders>
            <w:shd w:val="clear" w:color="auto" w:fill="C6EFCE"/>
            <w:noWrap/>
            <w:hideMark/>
          </w:tcPr>
          <w:p w14:paraId="6626353D" w14:textId="579D85D3"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Entry into force of amendments to the </w:t>
            </w:r>
            <w:r w:rsidR="00727372" w:rsidRPr="00A025C9">
              <w:rPr>
                <w:rFonts w:ascii="Times New Roman" w:eastAsia="Aptos" w:hAnsi="Times New Roman" w:cs="Times New Roman"/>
                <w:noProof/>
                <w:kern w:val="2"/>
                <w:sz w:val="20"/>
                <w:szCs w:val="20"/>
                <w:lang w:val="en-GB" w:eastAsia="en-US"/>
                <w14:ligatures w14:val="standardContextual"/>
              </w:rPr>
              <w:t xml:space="preserve">legal </w:t>
            </w:r>
            <w:r w:rsidRPr="00A025C9">
              <w:rPr>
                <w:rFonts w:ascii="Times New Roman" w:eastAsia="Aptos" w:hAnsi="Times New Roman" w:cs="Times New Roman"/>
                <w:noProof/>
                <w:kern w:val="2"/>
                <w:sz w:val="20"/>
                <w:szCs w:val="20"/>
                <w:lang w:val="en-GB" w:eastAsia="en-US"/>
                <w14:ligatures w14:val="standardContextual"/>
              </w:rPr>
              <w:t>framework based on the National Hydrogen Strategy and its Action Plan. The amendments shall</w:t>
            </w:r>
          </w:p>
          <w:p w14:paraId="62D54059"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provide for the removal of the legal obstacles for the market uptake of renewable and low-carbon hydrogen integration of hydrogen production in other energy markets by reducing authorisation and permitting procedures for the commissioning of renewable hydrogen production facilities and electrolysis capacities; </w:t>
            </w:r>
          </w:p>
          <w:p w14:paraId="2A127258" w14:textId="7BECFA2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the introduction of a legal framework for Contracts for Difference (CfDs) for renewable hydrogen to support market deployment; </w:t>
            </w:r>
          </w:p>
          <w:p w14:paraId="20B975E8"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provide for the update of </w:t>
            </w:r>
          </w:p>
          <w:p w14:paraId="05ED1A41"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safety standards, technical norms, and regulatory requirements across the hydrogen value chain through the adoption of a dedicated Hydrogen Code or Rulebook.</w:t>
            </w:r>
            <w:r w:rsidRPr="00A025C9" w:rsidDel="00883DAE">
              <w:rPr>
                <w:rFonts w:ascii="Times New Roman" w:eastAsia="Aptos" w:hAnsi="Times New Roman" w:cs="Times New Roman"/>
                <w:noProof/>
                <w:kern w:val="2"/>
                <w:sz w:val="20"/>
                <w:szCs w:val="20"/>
                <w:lang w:val="en-GB" w:eastAsia="en-US"/>
                <w14:ligatures w14:val="standardContextual"/>
              </w:rPr>
              <w:t xml:space="preserve"> </w:t>
            </w:r>
          </w:p>
        </w:tc>
      </w:tr>
      <w:tr w:rsidR="00145434" w:rsidRPr="00A025C9" w14:paraId="012112AB" w14:textId="77777777">
        <w:trPr>
          <w:trHeight w:val="313"/>
          <w:jc w:val="center"/>
        </w:trPr>
        <w:tc>
          <w:tcPr>
            <w:tcW w:w="818" w:type="dxa"/>
            <w:tcBorders>
              <w:top w:val="nil"/>
              <w:left w:val="single" w:sz="4" w:space="0" w:color="auto"/>
              <w:bottom w:val="single" w:sz="4" w:space="0" w:color="auto"/>
              <w:right w:val="single" w:sz="4" w:space="0" w:color="auto"/>
            </w:tcBorders>
            <w:shd w:val="clear" w:color="auto" w:fill="C6EFCE"/>
            <w:noWrap/>
            <w:hideMark/>
          </w:tcPr>
          <w:p w14:paraId="603BFC5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127</w:t>
            </w:r>
          </w:p>
        </w:tc>
        <w:tc>
          <w:tcPr>
            <w:tcW w:w="1895" w:type="dxa"/>
            <w:tcBorders>
              <w:top w:val="nil"/>
              <w:left w:val="nil"/>
              <w:bottom w:val="single" w:sz="4" w:space="0" w:color="auto"/>
              <w:right w:val="single" w:sz="4" w:space="0" w:color="auto"/>
            </w:tcBorders>
            <w:shd w:val="clear" w:color="auto" w:fill="C6EFCE"/>
            <w:noWrap/>
          </w:tcPr>
          <w:p w14:paraId="784BB20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Reform 5. Reducing the energy intensity of the economy by establishing a sustainable mechanism to boost energy efficiency in industry. </w:t>
            </w:r>
          </w:p>
        </w:tc>
        <w:tc>
          <w:tcPr>
            <w:tcW w:w="1222" w:type="dxa"/>
            <w:tcBorders>
              <w:top w:val="nil"/>
              <w:left w:val="nil"/>
              <w:bottom w:val="single" w:sz="4" w:space="0" w:color="auto"/>
              <w:right w:val="single" w:sz="4" w:space="0" w:color="auto"/>
            </w:tcBorders>
            <w:shd w:val="clear" w:color="auto" w:fill="C6EFCE"/>
            <w:noWrap/>
            <w:hideMark/>
          </w:tcPr>
          <w:p w14:paraId="0AF9810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Milestone</w:t>
            </w:r>
          </w:p>
        </w:tc>
        <w:tc>
          <w:tcPr>
            <w:tcW w:w="1759" w:type="dxa"/>
            <w:tcBorders>
              <w:top w:val="nil"/>
              <w:left w:val="nil"/>
              <w:bottom w:val="single" w:sz="4" w:space="0" w:color="auto"/>
              <w:right w:val="single" w:sz="4" w:space="0" w:color="auto"/>
            </w:tcBorders>
            <w:shd w:val="clear" w:color="auto" w:fill="C6EFCE"/>
            <w:noWrap/>
          </w:tcPr>
          <w:p w14:paraId="20D78BF0"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Entry into force of the legislative framework introducing measures to facilitate investment in energy efficiency in the industry</w:t>
            </w:r>
          </w:p>
        </w:tc>
        <w:tc>
          <w:tcPr>
            <w:tcW w:w="1625" w:type="dxa"/>
            <w:tcBorders>
              <w:top w:val="nil"/>
              <w:left w:val="nil"/>
              <w:bottom w:val="single" w:sz="4" w:space="0" w:color="auto"/>
              <w:right w:val="single" w:sz="4" w:space="0" w:color="auto"/>
            </w:tcBorders>
            <w:shd w:val="clear" w:color="auto" w:fill="C6EFCE"/>
            <w:noWrap/>
            <w:hideMark/>
          </w:tcPr>
          <w:p w14:paraId="082037F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Provision in the law indicating the entry into force of the legislative act</w:t>
            </w:r>
          </w:p>
        </w:tc>
        <w:tc>
          <w:tcPr>
            <w:tcW w:w="1352" w:type="dxa"/>
            <w:tcBorders>
              <w:top w:val="nil"/>
              <w:left w:val="nil"/>
              <w:bottom w:val="single" w:sz="4" w:space="0" w:color="auto"/>
              <w:right w:val="single" w:sz="4" w:space="0" w:color="auto"/>
            </w:tcBorders>
            <w:shd w:val="clear" w:color="auto" w:fill="C6EFCE"/>
            <w:noWrap/>
            <w:hideMark/>
          </w:tcPr>
          <w:p w14:paraId="571037B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1093" w:type="dxa"/>
            <w:tcBorders>
              <w:top w:val="nil"/>
              <w:left w:val="nil"/>
              <w:bottom w:val="single" w:sz="4" w:space="0" w:color="auto"/>
              <w:right w:val="single" w:sz="4" w:space="0" w:color="auto"/>
            </w:tcBorders>
            <w:shd w:val="clear" w:color="auto" w:fill="C6EFCE"/>
            <w:noWrap/>
          </w:tcPr>
          <w:p w14:paraId="2436C67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819" w:type="dxa"/>
            <w:tcBorders>
              <w:top w:val="nil"/>
              <w:left w:val="nil"/>
              <w:bottom w:val="single" w:sz="4" w:space="0" w:color="auto"/>
              <w:right w:val="single" w:sz="4" w:space="0" w:color="auto"/>
            </w:tcBorders>
            <w:shd w:val="clear" w:color="auto" w:fill="C6EFCE"/>
            <w:noWrap/>
          </w:tcPr>
          <w:p w14:paraId="6468B2A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1088" w:type="dxa"/>
            <w:tcBorders>
              <w:top w:val="nil"/>
              <w:left w:val="nil"/>
              <w:bottom w:val="single" w:sz="4" w:space="0" w:color="auto"/>
              <w:right w:val="single" w:sz="4" w:space="0" w:color="auto"/>
            </w:tcBorders>
            <w:shd w:val="clear" w:color="auto" w:fill="C6EFCE"/>
            <w:noWrap/>
            <w:hideMark/>
          </w:tcPr>
          <w:p w14:paraId="1F9A67F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Q4</w:t>
            </w:r>
          </w:p>
        </w:tc>
        <w:tc>
          <w:tcPr>
            <w:tcW w:w="818" w:type="dxa"/>
            <w:tcBorders>
              <w:top w:val="nil"/>
              <w:left w:val="nil"/>
              <w:bottom w:val="single" w:sz="4" w:space="0" w:color="auto"/>
              <w:right w:val="single" w:sz="4" w:space="0" w:color="auto"/>
            </w:tcBorders>
            <w:shd w:val="clear" w:color="auto" w:fill="C6EFCE"/>
            <w:noWrap/>
            <w:hideMark/>
          </w:tcPr>
          <w:p w14:paraId="01934A8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2022</w:t>
            </w:r>
          </w:p>
        </w:tc>
        <w:tc>
          <w:tcPr>
            <w:tcW w:w="3104" w:type="dxa"/>
            <w:tcBorders>
              <w:top w:val="nil"/>
              <w:left w:val="nil"/>
              <w:bottom w:val="single" w:sz="4" w:space="0" w:color="auto"/>
              <w:right w:val="single" w:sz="4" w:space="0" w:color="auto"/>
            </w:tcBorders>
            <w:shd w:val="clear" w:color="auto" w:fill="C6EFCE"/>
            <w:noWrap/>
            <w:hideMark/>
          </w:tcPr>
          <w:p w14:paraId="0A9E975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Entry into force of the legislative framework introducing measures to facilitate investment in energy efficiency in the industry. The reform shall: i) remove obstacles to energy performance contracting; ii) introduce market surveillance and application of standards for energy efficiency to ensure product compliance with eco-design standards, iii) improve SMEs awareness of energy efficiency; iv) create a monitoring system for the implementation of the recommendations from energy audits in the ETS sectors; v) introduce new standards for green financial instruments.</w:t>
            </w:r>
          </w:p>
        </w:tc>
      </w:tr>
      <w:tr w:rsidR="00145434" w:rsidRPr="00A025C9" w14:paraId="42CF8EA0" w14:textId="77777777">
        <w:trPr>
          <w:trHeight w:val="313"/>
          <w:jc w:val="center"/>
        </w:trPr>
        <w:tc>
          <w:tcPr>
            <w:tcW w:w="818" w:type="dxa"/>
            <w:tcBorders>
              <w:top w:val="nil"/>
              <w:left w:val="single" w:sz="4" w:space="0" w:color="auto"/>
              <w:bottom w:val="single" w:sz="4" w:space="0" w:color="auto"/>
              <w:right w:val="single" w:sz="4" w:space="0" w:color="auto"/>
            </w:tcBorders>
            <w:shd w:val="clear" w:color="auto" w:fill="C6EFCE"/>
            <w:noWrap/>
            <w:hideMark/>
          </w:tcPr>
          <w:p w14:paraId="6CD5E73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128</w:t>
            </w:r>
          </w:p>
        </w:tc>
        <w:tc>
          <w:tcPr>
            <w:tcW w:w="1895" w:type="dxa"/>
            <w:tcBorders>
              <w:top w:val="nil"/>
              <w:left w:val="nil"/>
              <w:bottom w:val="single" w:sz="4" w:space="0" w:color="auto"/>
              <w:right w:val="single" w:sz="4" w:space="0" w:color="auto"/>
            </w:tcBorders>
            <w:shd w:val="clear" w:color="auto" w:fill="C6EFCE"/>
            <w:noWrap/>
          </w:tcPr>
          <w:p w14:paraId="651467A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Reform 6. Decarbonisation of the heating-cooling sector </w:t>
            </w:r>
          </w:p>
        </w:tc>
        <w:tc>
          <w:tcPr>
            <w:tcW w:w="1222" w:type="dxa"/>
            <w:tcBorders>
              <w:top w:val="nil"/>
              <w:left w:val="nil"/>
              <w:bottom w:val="single" w:sz="4" w:space="0" w:color="auto"/>
              <w:right w:val="single" w:sz="4" w:space="0" w:color="auto"/>
            </w:tcBorders>
            <w:shd w:val="clear" w:color="auto" w:fill="C6EFCE"/>
            <w:noWrap/>
            <w:hideMark/>
          </w:tcPr>
          <w:p w14:paraId="5AD8B174"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Milestone</w:t>
            </w:r>
          </w:p>
        </w:tc>
        <w:tc>
          <w:tcPr>
            <w:tcW w:w="1759" w:type="dxa"/>
            <w:tcBorders>
              <w:top w:val="nil"/>
              <w:left w:val="nil"/>
              <w:bottom w:val="single" w:sz="4" w:space="0" w:color="auto"/>
              <w:right w:val="single" w:sz="4" w:space="0" w:color="auto"/>
            </w:tcBorders>
            <w:shd w:val="clear" w:color="auto" w:fill="C6EFCE"/>
            <w:noWrap/>
          </w:tcPr>
          <w:p w14:paraId="461C95C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Entry into force of legal acts introducing measures to decarbonise the heating and cooling sector</w:t>
            </w:r>
          </w:p>
        </w:tc>
        <w:tc>
          <w:tcPr>
            <w:tcW w:w="1625" w:type="dxa"/>
            <w:tcBorders>
              <w:top w:val="nil"/>
              <w:left w:val="nil"/>
              <w:bottom w:val="single" w:sz="4" w:space="0" w:color="auto"/>
              <w:right w:val="single" w:sz="4" w:space="0" w:color="auto"/>
            </w:tcBorders>
            <w:shd w:val="clear" w:color="auto" w:fill="C6EFCE"/>
            <w:noWrap/>
            <w:hideMark/>
          </w:tcPr>
          <w:p w14:paraId="51AB60B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Provision in the law indicating the entry into force of legal acts</w:t>
            </w:r>
          </w:p>
        </w:tc>
        <w:tc>
          <w:tcPr>
            <w:tcW w:w="1352" w:type="dxa"/>
            <w:tcBorders>
              <w:top w:val="nil"/>
              <w:left w:val="nil"/>
              <w:bottom w:val="single" w:sz="4" w:space="0" w:color="auto"/>
              <w:right w:val="single" w:sz="4" w:space="0" w:color="auto"/>
            </w:tcBorders>
            <w:shd w:val="clear" w:color="auto" w:fill="C6EFCE"/>
            <w:noWrap/>
            <w:hideMark/>
          </w:tcPr>
          <w:p w14:paraId="36AB2441"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1093" w:type="dxa"/>
            <w:tcBorders>
              <w:top w:val="nil"/>
              <w:left w:val="nil"/>
              <w:bottom w:val="single" w:sz="4" w:space="0" w:color="auto"/>
              <w:right w:val="single" w:sz="4" w:space="0" w:color="auto"/>
            </w:tcBorders>
            <w:shd w:val="clear" w:color="auto" w:fill="C6EFCE"/>
            <w:noWrap/>
          </w:tcPr>
          <w:p w14:paraId="5E9A932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819" w:type="dxa"/>
            <w:tcBorders>
              <w:top w:val="nil"/>
              <w:left w:val="nil"/>
              <w:bottom w:val="single" w:sz="4" w:space="0" w:color="auto"/>
              <w:right w:val="single" w:sz="4" w:space="0" w:color="auto"/>
            </w:tcBorders>
            <w:shd w:val="clear" w:color="auto" w:fill="C6EFCE"/>
            <w:noWrap/>
          </w:tcPr>
          <w:p w14:paraId="6B0CFCB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1088" w:type="dxa"/>
            <w:tcBorders>
              <w:top w:val="nil"/>
              <w:left w:val="nil"/>
              <w:bottom w:val="single" w:sz="4" w:space="0" w:color="auto"/>
              <w:right w:val="single" w:sz="4" w:space="0" w:color="auto"/>
            </w:tcBorders>
            <w:shd w:val="clear" w:color="auto" w:fill="C6EFCE"/>
            <w:noWrap/>
            <w:hideMark/>
          </w:tcPr>
          <w:p w14:paraId="6C47CA60"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Q2</w:t>
            </w:r>
          </w:p>
        </w:tc>
        <w:tc>
          <w:tcPr>
            <w:tcW w:w="818" w:type="dxa"/>
            <w:tcBorders>
              <w:top w:val="nil"/>
              <w:left w:val="nil"/>
              <w:bottom w:val="single" w:sz="4" w:space="0" w:color="auto"/>
              <w:right w:val="single" w:sz="4" w:space="0" w:color="auto"/>
            </w:tcBorders>
            <w:shd w:val="clear" w:color="auto" w:fill="C6EFCE"/>
            <w:noWrap/>
            <w:hideMark/>
          </w:tcPr>
          <w:p w14:paraId="192BB33F"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2026</w:t>
            </w:r>
          </w:p>
        </w:tc>
        <w:tc>
          <w:tcPr>
            <w:tcW w:w="3104" w:type="dxa"/>
            <w:tcBorders>
              <w:top w:val="nil"/>
              <w:left w:val="nil"/>
              <w:bottom w:val="single" w:sz="4" w:space="0" w:color="auto"/>
              <w:right w:val="single" w:sz="4" w:space="0" w:color="auto"/>
            </w:tcBorders>
            <w:shd w:val="clear" w:color="auto" w:fill="C6EFCE"/>
            <w:noWrap/>
            <w:hideMark/>
          </w:tcPr>
          <w:p w14:paraId="3C8840CB" w14:textId="6B7FC4CF"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Entry into force of legal acts introducing measures to decarbonise the heating and cooling sector. The reform shall: i) define the</w:t>
            </w:r>
            <w:r w:rsidR="00D23D91" w:rsidRPr="00A025C9">
              <w:rPr>
                <w:rFonts w:ascii="Times New Roman" w:eastAsia="Aptos" w:hAnsi="Times New Roman" w:cs="Times New Roman"/>
                <w:noProof/>
                <w:kern w:val="2"/>
                <w:sz w:val="20"/>
                <w:szCs w:val="20"/>
                <w:lang w:val="en-GB" w:eastAsia="en-US"/>
                <w14:ligatures w14:val="standardContextual"/>
              </w:rPr>
              <w:t xml:space="preserve"> </w:t>
            </w:r>
            <w:r w:rsidRPr="00A025C9">
              <w:rPr>
                <w:rFonts w:ascii="Times New Roman" w:eastAsia="Aptos" w:hAnsi="Times New Roman" w:cs="Times New Roman"/>
                <w:noProof/>
                <w:kern w:val="2"/>
                <w:sz w:val="20"/>
                <w:szCs w:val="20"/>
                <w:lang w:val="en-GB" w:eastAsia="en-US"/>
                <w14:ligatures w14:val="standardContextual"/>
              </w:rPr>
              <w:t xml:space="preserve">responsibilities between central and local authorities for managing the heating and cooling sector and extend the application of the Corporate Governance law to district heating providers; ii) review the framework to ensure the sustainability and traceability of biomass, to prevent any negative impact of the use of bioenergy on biodiversity and forests; iii) include provisions for the diversification of the energy mix in heating and cooling away from forest biomass; iv) allow prosumers (including but not limited to apartment blocks and their associations </w:t>
            </w:r>
          </w:p>
          <w:p w14:paraId="522A7B78" w14:textId="7225A7EE"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of tenants) to produce and sell excess solar and possibly wind energy in more flexible forms, and introducing incentives, including quantitative compensation</w:t>
            </w:r>
            <w:r w:rsidR="00196411" w:rsidRPr="00A025C9">
              <w:rPr>
                <w:rFonts w:ascii="Times New Roman" w:hAnsi="Times New Roman" w:cs="Times New Roman"/>
                <w:noProof/>
                <w:sz w:val="20"/>
                <w:szCs w:val="20"/>
              </w:rPr>
              <w:t xml:space="preserve"> </w:t>
            </w:r>
            <w:r w:rsidR="00196411" w:rsidRPr="00A025C9">
              <w:rPr>
                <w:rFonts w:ascii="Times New Roman" w:eastAsia="Aptos" w:hAnsi="Times New Roman" w:cs="Times New Roman"/>
                <w:noProof/>
                <w:kern w:val="2"/>
                <w:sz w:val="20"/>
                <w:szCs w:val="20"/>
                <w:lang w:val="en-GB" w:eastAsia="en-US"/>
                <w14:ligatures w14:val="standardContextual"/>
              </w:rPr>
              <w:t>for production units up to 200 kW</w:t>
            </w:r>
            <w:r w:rsidRPr="00A025C9">
              <w:rPr>
                <w:rFonts w:ascii="Times New Roman" w:eastAsia="Aptos" w:hAnsi="Times New Roman" w:cs="Times New Roman"/>
                <w:noProof/>
                <w:kern w:val="2"/>
                <w:sz w:val="20"/>
                <w:szCs w:val="20"/>
                <w:lang w:val="en-GB" w:eastAsia="en-US"/>
                <w14:ligatures w14:val="standardContextual"/>
              </w:rPr>
              <w:t xml:space="preserve">. </w:t>
            </w:r>
          </w:p>
        </w:tc>
      </w:tr>
      <w:tr w:rsidR="00145434" w:rsidRPr="00A025C9" w14:paraId="62B58849" w14:textId="77777777">
        <w:trPr>
          <w:trHeight w:val="313"/>
          <w:jc w:val="center"/>
        </w:trPr>
        <w:tc>
          <w:tcPr>
            <w:tcW w:w="818" w:type="dxa"/>
            <w:tcBorders>
              <w:top w:val="nil"/>
              <w:left w:val="single" w:sz="4" w:space="0" w:color="auto"/>
              <w:bottom w:val="single" w:sz="4" w:space="0" w:color="auto"/>
              <w:right w:val="single" w:sz="4" w:space="0" w:color="auto"/>
            </w:tcBorders>
            <w:shd w:val="clear" w:color="auto" w:fill="C6EFCE"/>
            <w:noWrap/>
            <w:hideMark/>
          </w:tcPr>
          <w:p w14:paraId="2F9F566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129</w:t>
            </w:r>
          </w:p>
        </w:tc>
        <w:tc>
          <w:tcPr>
            <w:tcW w:w="1895" w:type="dxa"/>
            <w:tcBorders>
              <w:top w:val="nil"/>
              <w:left w:val="nil"/>
              <w:bottom w:val="single" w:sz="4" w:space="0" w:color="auto"/>
              <w:right w:val="single" w:sz="4" w:space="0" w:color="auto"/>
            </w:tcBorders>
            <w:shd w:val="clear" w:color="auto" w:fill="C6EFCE"/>
            <w:noWrap/>
          </w:tcPr>
          <w:p w14:paraId="0EC2BC2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Investment 2. Green hydrogen production capacities for the use as electricity storage and/or for the decarbonisation of industry </w:t>
            </w:r>
          </w:p>
        </w:tc>
        <w:tc>
          <w:tcPr>
            <w:tcW w:w="1222" w:type="dxa"/>
            <w:tcBorders>
              <w:top w:val="nil"/>
              <w:left w:val="nil"/>
              <w:bottom w:val="single" w:sz="4" w:space="0" w:color="auto"/>
              <w:right w:val="single" w:sz="4" w:space="0" w:color="auto"/>
            </w:tcBorders>
            <w:shd w:val="clear" w:color="auto" w:fill="C6EFCE"/>
            <w:noWrap/>
            <w:hideMark/>
          </w:tcPr>
          <w:p w14:paraId="5FB9255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Milestone </w:t>
            </w:r>
          </w:p>
        </w:tc>
        <w:tc>
          <w:tcPr>
            <w:tcW w:w="1759" w:type="dxa"/>
            <w:tcBorders>
              <w:top w:val="nil"/>
              <w:left w:val="nil"/>
              <w:bottom w:val="single" w:sz="4" w:space="0" w:color="auto"/>
              <w:right w:val="single" w:sz="4" w:space="0" w:color="auto"/>
            </w:tcBorders>
            <w:shd w:val="clear" w:color="auto" w:fill="C6EFCE"/>
            <w:noWrap/>
          </w:tcPr>
          <w:p w14:paraId="5CDA8080"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Signature of contracts for the construction of at least 60 MW</w:t>
            </w:r>
            <w:r w:rsidRPr="00A025C9">
              <w:rPr>
                <w:rFonts w:ascii="Times New Roman" w:eastAsia="Aptos" w:hAnsi="Times New Roman" w:cs="Times New Roman"/>
                <w:noProof/>
                <w:kern w:val="2"/>
                <w:sz w:val="20"/>
                <w:szCs w:val="20"/>
                <w:vertAlign w:val="subscript"/>
                <w:lang w:val="en-GB" w:eastAsia="en-US"/>
                <w14:ligatures w14:val="standardContextual"/>
              </w:rPr>
              <w:t>H2</w:t>
            </w:r>
            <w:r w:rsidRPr="00A025C9">
              <w:rPr>
                <w:rFonts w:ascii="Times New Roman" w:eastAsia="Aptos" w:hAnsi="Times New Roman" w:cs="Times New Roman"/>
                <w:noProof/>
                <w:kern w:val="2"/>
                <w:sz w:val="20"/>
                <w:szCs w:val="20"/>
                <w:lang w:val="en-GB" w:eastAsia="en-US"/>
                <w14:ligatures w14:val="standardContextual"/>
              </w:rPr>
              <w:t xml:space="preserve"> of new electrolysers capacity</w:t>
            </w:r>
          </w:p>
        </w:tc>
        <w:tc>
          <w:tcPr>
            <w:tcW w:w="1625" w:type="dxa"/>
            <w:tcBorders>
              <w:top w:val="nil"/>
              <w:left w:val="nil"/>
              <w:bottom w:val="single" w:sz="4" w:space="0" w:color="auto"/>
              <w:right w:val="single" w:sz="4" w:space="0" w:color="auto"/>
            </w:tcBorders>
            <w:shd w:val="clear" w:color="auto" w:fill="C6EFCE"/>
            <w:noWrap/>
            <w:hideMark/>
          </w:tcPr>
          <w:p w14:paraId="45809F0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Signature of contracts</w:t>
            </w:r>
          </w:p>
        </w:tc>
        <w:tc>
          <w:tcPr>
            <w:tcW w:w="1352" w:type="dxa"/>
            <w:tcBorders>
              <w:top w:val="nil"/>
              <w:left w:val="nil"/>
              <w:bottom w:val="single" w:sz="4" w:space="0" w:color="auto"/>
              <w:right w:val="single" w:sz="4" w:space="0" w:color="auto"/>
            </w:tcBorders>
            <w:shd w:val="clear" w:color="auto" w:fill="C6EFCE"/>
            <w:noWrap/>
            <w:hideMark/>
          </w:tcPr>
          <w:p w14:paraId="72623C1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1093" w:type="dxa"/>
            <w:tcBorders>
              <w:top w:val="nil"/>
              <w:left w:val="nil"/>
              <w:bottom w:val="single" w:sz="4" w:space="0" w:color="auto"/>
              <w:right w:val="single" w:sz="4" w:space="0" w:color="auto"/>
            </w:tcBorders>
            <w:shd w:val="clear" w:color="auto" w:fill="C6EFCE"/>
            <w:noWrap/>
          </w:tcPr>
          <w:p w14:paraId="3DA8290E"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819" w:type="dxa"/>
            <w:tcBorders>
              <w:top w:val="nil"/>
              <w:left w:val="nil"/>
              <w:bottom w:val="single" w:sz="4" w:space="0" w:color="auto"/>
              <w:right w:val="single" w:sz="4" w:space="0" w:color="auto"/>
            </w:tcBorders>
            <w:shd w:val="clear" w:color="auto" w:fill="C6EFCE"/>
            <w:noWrap/>
          </w:tcPr>
          <w:p w14:paraId="773BCABC"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1088" w:type="dxa"/>
            <w:tcBorders>
              <w:top w:val="nil"/>
              <w:left w:val="nil"/>
              <w:bottom w:val="single" w:sz="4" w:space="0" w:color="auto"/>
              <w:right w:val="single" w:sz="4" w:space="0" w:color="auto"/>
            </w:tcBorders>
            <w:shd w:val="clear" w:color="auto" w:fill="C6EFCE"/>
            <w:noWrap/>
            <w:hideMark/>
          </w:tcPr>
          <w:p w14:paraId="4BDD878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Q2</w:t>
            </w:r>
          </w:p>
        </w:tc>
        <w:tc>
          <w:tcPr>
            <w:tcW w:w="818" w:type="dxa"/>
            <w:tcBorders>
              <w:top w:val="nil"/>
              <w:left w:val="nil"/>
              <w:bottom w:val="single" w:sz="4" w:space="0" w:color="auto"/>
              <w:right w:val="single" w:sz="4" w:space="0" w:color="auto"/>
            </w:tcBorders>
            <w:shd w:val="clear" w:color="auto" w:fill="C6EFCE"/>
            <w:noWrap/>
            <w:hideMark/>
          </w:tcPr>
          <w:p w14:paraId="0CA5425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2022</w:t>
            </w:r>
          </w:p>
        </w:tc>
        <w:tc>
          <w:tcPr>
            <w:tcW w:w="3104" w:type="dxa"/>
            <w:tcBorders>
              <w:top w:val="nil"/>
              <w:left w:val="nil"/>
              <w:bottom w:val="single" w:sz="4" w:space="0" w:color="auto"/>
              <w:right w:val="single" w:sz="4" w:space="0" w:color="auto"/>
            </w:tcBorders>
            <w:shd w:val="clear" w:color="auto" w:fill="C6EFCE"/>
            <w:noWrap/>
            <w:hideMark/>
          </w:tcPr>
          <w:p w14:paraId="3AEF374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Signature of contracts for construction of new electrolysers capacity, of at least 60 MW</w:t>
            </w:r>
            <w:r w:rsidRPr="00A025C9">
              <w:rPr>
                <w:rFonts w:ascii="Times New Roman" w:eastAsia="Aptos" w:hAnsi="Times New Roman" w:cs="Times New Roman"/>
                <w:noProof/>
                <w:kern w:val="2"/>
                <w:sz w:val="20"/>
                <w:szCs w:val="20"/>
                <w:vertAlign w:val="subscript"/>
                <w:lang w:val="en-GB" w:eastAsia="en-US"/>
                <w14:ligatures w14:val="standardContextual"/>
              </w:rPr>
              <w:t>H2</w:t>
            </w:r>
            <w:r w:rsidRPr="00A025C9">
              <w:rPr>
                <w:rFonts w:ascii="Times New Roman" w:eastAsia="Aptos" w:hAnsi="Times New Roman" w:cs="Times New Roman"/>
                <w:noProof/>
                <w:kern w:val="2"/>
                <w:sz w:val="20"/>
                <w:szCs w:val="20"/>
                <w:lang w:val="en-GB" w:eastAsia="en-US"/>
                <w14:ligatures w14:val="standardContextual"/>
              </w:rPr>
              <w:t>, with an expected volume generated of at least 10 000 tons of renewable hydrogen.</w:t>
            </w:r>
          </w:p>
          <w:p w14:paraId="0628B50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r>
      <w:tr w:rsidR="00145434" w:rsidRPr="00A025C9" w14:paraId="7CA22DC1" w14:textId="77777777">
        <w:trPr>
          <w:trHeight w:val="313"/>
          <w:jc w:val="center"/>
        </w:trPr>
        <w:tc>
          <w:tcPr>
            <w:tcW w:w="818" w:type="dxa"/>
            <w:tcBorders>
              <w:top w:val="nil"/>
              <w:left w:val="single" w:sz="4" w:space="0" w:color="auto"/>
              <w:bottom w:val="single" w:sz="4" w:space="0" w:color="auto"/>
              <w:right w:val="single" w:sz="4" w:space="0" w:color="auto"/>
            </w:tcBorders>
            <w:shd w:val="clear" w:color="auto" w:fill="C6EFCE"/>
            <w:noWrap/>
            <w:hideMark/>
          </w:tcPr>
          <w:p w14:paraId="693A41F1"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133</w:t>
            </w:r>
          </w:p>
        </w:tc>
        <w:tc>
          <w:tcPr>
            <w:tcW w:w="1895" w:type="dxa"/>
            <w:tcBorders>
              <w:top w:val="nil"/>
              <w:left w:val="nil"/>
              <w:bottom w:val="single" w:sz="4" w:space="0" w:color="auto"/>
              <w:right w:val="single" w:sz="4" w:space="0" w:color="auto"/>
            </w:tcBorders>
            <w:shd w:val="clear" w:color="auto" w:fill="C6EFCE"/>
            <w:noWrap/>
          </w:tcPr>
          <w:p w14:paraId="7B00AA31"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Investment 3. Construction of flexible and highly efficient gas-fired combined heat and power generation (CHP) in district heating </w:t>
            </w:r>
          </w:p>
          <w:p w14:paraId="638E0C5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p>
        </w:tc>
        <w:tc>
          <w:tcPr>
            <w:tcW w:w="1222" w:type="dxa"/>
            <w:tcBorders>
              <w:top w:val="nil"/>
              <w:left w:val="nil"/>
              <w:bottom w:val="single" w:sz="4" w:space="0" w:color="auto"/>
              <w:right w:val="single" w:sz="4" w:space="0" w:color="auto"/>
            </w:tcBorders>
            <w:shd w:val="clear" w:color="auto" w:fill="C6EFCE"/>
            <w:noWrap/>
            <w:hideMark/>
          </w:tcPr>
          <w:p w14:paraId="5B7D41A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Milestone</w:t>
            </w:r>
          </w:p>
        </w:tc>
        <w:tc>
          <w:tcPr>
            <w:tcW w:w="1759" w:type="dxa"/>
            <w:tcBorders>
              <w:top w:val="nil"/>
              <w:left w:val="nil"/>
              <w:bottom w:val="single" w:sz="4" w:space="0" w:color="auto"/>
              <w:right w:val="single" w:sz="4" w:space="0" w:color="auto"/>
            </w:tcBorders>
            <w:shd w:val="clear" w:color="auto" w:fill="C6EFCE"/>
            <w:noWrap/>
          </w:tcPr>
          <w:p w14:paraId="6F4C4C6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Signature of contracts for high-efficient gas cogeneration and district heating projects</w:t>
            </w:r>
          </w:p>
        </w:tc>
        <w:tc>
          <w:tcPr>
            <w:tcW w:w="1625" w:type="dxa"/>
            <w:tcBorders>
              <w:top w:val="nil"/>
              <w:left w:val="nil"/>
              <w:bottom w:val="single" w:sz="4" w:space="0" w:color="auto"/>
              <w:right w:val="single" w:sz="4" w:space="0" w:color="auto"/>
            </w:tcBorders>
            <w:shd w:val="clear" w:color="auto" w:fill="C6EFCE"/>
            <w:noWrap/>
            <w:hideMark/>
          </w:tcPr>
          <w:p w14:paraId="5D1CEA9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Signature of contracts</w:t>
            </w:r>
          </w:p>
        </w:tc>
        <w:tc>
          <w:tcPr>
            <w:tcW w:w="1352" w:type="dxa"/>
            <w:tcBorders>
              <w:top w:val="nil"/>
              <w:left w:val="nil"/>
              <w:bottom w:val="single" w:sz="4" w:space="0" w:color="auto"/>
              <w:right w:val="single" w:sz="4" w:space="0" w:color="auto"/>
            </w:tcBorders>
            <w:shd w:val="clear" w:color="auto" w:fill="C6EFCE"/>
            <w:noWrap/>
            <w:hideMark/>
          </w:tcPr>
          <w:p w14:paraId="396123A3"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w:t>
            </w:r>
          </w:p>
        </w:tc>
        <w:tc>
          <w:tcPr>
            <w:tcW w:w="1093" w:type="dxa"/>
            <w:tcBorders>
              <w:top w:val="nil"/>
              <w:left w:val="nil"/>
              <w:bottom w:val="single" w:sz="4" w:space="0" w:color="auto"/>
              <w:right w:val="single" w:sz="4" w:space="0" w:color="auto"/>
            </w:tcBorders>
            <w:shd w:val="clear" w:color="auto" w:fill="C6EFCE"/>
            <w:noWrap/>
          </w:tcPr>
          <w:p w14:paraId="5EA0EA3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w:t>
            </w:r>
          </w:p>
        </w:tc>
        <w:tc>
          <w:tcPr>
            <w:tcW w:w="819" w:type="dxa"/>
            <w:tcBorders>
              <w:top w:val="nil"/>
              <w:left w:val="nil"/>
              <w:bottom w:val="single" w:sz="4" w:space="0" w:color="auto"/>
              <w:right w:val="single" w:sz="4" w:space="0" w:color="auto"/>
            </w:tcBorders>
            <w:shd w:val="clear" w:color="auto" w:fill="C6EFCE"/>
            <w:noWrap/>
          </w:tcPr>
          <w:p w14:paraId="5E45730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w:t>
            </w:r>
          </w:p>
        </w:tc>
        <w:tc>
          <w:tcPr>
            <w:tcW w:w="1088" w:type="dxa"/>
            <w:tcBorders>
              <w:top w:val="nil"/>
              <w:left w:val="nil"/>
              <w:bottom w:val="single" w:sz="4" w:space="0" w:color="auto"/>
              <w:right w:val="single" w:sz="4" w:space="0" w:color="auto"/>
            </w:tcBorders>
            <w:shd w:val="clear" w:color="auto" w:fill="C6EFCE"/>
            <w:noWrap/>
            <w:hideMark/>
          </w:tcPr>
          <w:p w14:paraId="295ABED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Q2</w:t>
            </w:r>
          </w:p>
        </w:tc>
        <w:tc>
          <w:tcPr>
            <w:tcW w:w="818" w:type="dxa"/>
            <w:tcBorders>
              <w:top w:val="nil"/>
              <w:left w:val="nil"/>
              <w:bottom w:val="single" w:sz="4" w:space="0" w:color="auto"/>
              <w:right w:val="single" w:sz="4" w:space="0" w:color="auto"/>
            </w:tcBorders>
            <w:shd w:val="clear" w:color="auto" w:fill="C6EFCE"/>
            <w:noWrap/>
            <w:hideMark/>
          </w:tcPr>
          <w:p w14:paraId="19581C2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2022</w:t>
            </w:r>
          </w:p>
        </w:tc>
        <w:tc>
          <w:tcPr>
            <w:tcW w:w="3104" w:type="dxa"/>
            <w:tcBorders>
              <w:top w:val="nil"/>
              <w:left w:val="nil"/>
              <w:bottom w:val="single" w:sz="4" w:space="0" w:color="auto"/>
              <w:right w:val="single" w:sz="4" w:space="0" w:color="auto"/>
            </w:tcBorders>
            <w:shd w:val="clear" w:color="auto" w:fill="C6EFCE"/>
            <w:noWrap/>
            <w:hideMark/>
          </w:tcPr>
          <w:p w14:paraId="643C695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Signature of contracts for the construction or retrofitting of high-efficient gas cogeneration in district heating as defined in Directive 2010/31/EU. The selection criteria shall ensure compliance with the “do no significant harm” Technical Guidance (2021/C58/01), in particular the conditions set out in Annex III. The investments shall replace at least the same capacity of significantly more carbon-intensive power plant and/or heat generation facility (such as coal, lignite or oil), leading to a decrease in GHG emissions. </w:t>
            </w:r>
          </w:p>
        </w:tc>
      </w:tr>
      <w:tr w:rsidR="00145434" w:rsidRPr="00A025C9" w14:paraId="15D14C59" w14:textId="77777777">
        <w:trPr>
          <w:trHeight w:val="313"/>
          <w:jc w:val="center"/>
        </w:trPr>
        <w:tc>
          <w:tcPr>
            <w:tcW w:w="818" w:type="dxa"/>
            <w:tcBorders>
              <w:top w:val="single" w:sz="4" w:space="0" w:color="auto"/>
              <w:left w:val="single" w:sz="4" w:space="0" w:color="auto"/>
              <w:right w:val="single" w:sz="4" w:space="0" w:color="auto"/>
            </w:tcBorders>
            <w:shd w:val="clear" w:color="auto" w:fill="C6EFCE"/>
            <w:noWrap/>
            <w:hideMark/>
          </w:tcPr>
          <w:p w14:paraId="74C24EAE"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bookmarkStart w:id="9" w:name="_Hlk209012674"/>
            <w:r w:rsidRPr="00A025C9">
              <w:rPr>
                <w:rFonts w:ascii="Times New Roman" w:eastAsia="Aptos" w:hAnsi="Times New Roman" w:cs="Times New Roman"/>
                <w:noProof/>
                <w:kern w:val="2"/>
                <w:sz w:val="20"/>
                <w:szCs w:val="20"/>
                <w:lang w:val="en-GB" w:eastAsia="en-US"/>
                <w14:ligatures w14:val="standardContextual"/>
              </w:rPr>
              <w:t>134</w:t>
            </w:r>
          </w:p>
        </w:tc>
        <w:tc>
          <w:tcPr>
            <w:tcW w:w="1895" w:type="dxa"/>
            <w:tcBorders>
              <w:top w:val="single" w:sz="4" w:space="0" w:color="auto"/>
              <w:left w:val="nil"/>
              <w:right w:val="single" w:sz="4" w:space="0" w:color="auto"/>
            </w:tcBorders>
            <w:shd w:val="clear" w:color="auto" w:fill="C6EFCE"/>
            <w:noWrap/>
          </w:tcPr>
          <w:p w14:paraId="5D5155EE" w14:textId="16EE0D0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Investment 3. Construction of flexible and highly efficient gas-fired combined heat and power generation (CHP) in district </w:t>
            </w:r>
            <w:r w:rsidR="008705B1" w:rsidRPr="008705B1">
              <w:rPr>
                <w:rFonts w:ascii="Times New Roman" w:eastAsia="Aptos" w:hAnsi="Times New Roman" w:cs="Times New Roman"/>
                <w:noProof/>
                <w:kern w:val="2"/>
                <w:sz w:val="20"/>
                <w:szCs w:val="20"/>
                <w:lang w:val="en-GB" w:eastAsia="en-US"/>
                <w14:ligatures w14:val="standardContextual"/>
              </w:rPr>
              <w:t>heating</w:t>
            </w:r>
          </w:p>
        </w:tc>
        <w:tc>
          <w:tcPr>
            <w:tcW w:w="1222" w:type="dxa"/>
            <w:tcBorders>
              <w:top w:val="single" w:sz="4" w:space="0" w:color="auto"/>
              <w:left w:val="nil"/>
              <w:right w:val="single" w:sz="4" w:space="0" w:color="auto"/>
            </w:tcBorders>
            <w:shd w:val="clear" w:color="auto" w:fill="C6EFCE"/>
            <w:noWrap/>
            <w:hideMark/>
          </w:tcPr>
          <w:p w14:paraId="145A7AE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Target</w:t>
            </w:r>
          </w:p>
        </w:tc>
        <w:tc>
          <w:tcPr>
            <w:tcW w:w="1759" w:type="dxa"/>
            <w:tcBorders>
              <w:top w:val="single" w:sz="4" w:space="0" w:color="auto"/>
              <w:left w:val="nil"/>
              <w:right w:val="single" w:sz="4" w:space="0" w:color="auto"/>
            </w:tcBorders>
            <w:shd w:val="clear" w:color="auto" w:fill="C6EFCE"/>
            <w:noWrap/>
          </w:tcPr>
          <w:p w14:paraId="6E28E76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Cogeneration plants and district heating</w:t>
            </w:r>
          </w:p>
        </w:tc>
        <w:tc>
          <w:tcPr>
            <w:tcW w:w="1625" w:type="dxa"/>
            <w:tcBorders>
              <w:top w:val="single" w:sz="4" w:space="0" w:color="auto"/>
              <w:left w:val="nil"/>
              <w:right w:val="single" w:sz="4" w:space="0" w:color="auto"/>
            </w:tcBorders>
            <w:shd w:val="clear" w:color="auto" w:fill="C6EFCE"/>
            <w:noWrap/>
            <w:hideMark/>
          </w:tcPr>
          <w:p w14:paraId="32420FD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 </w:t>
            </w:r>
          </w:p>
        </w:tc>
        <w:tc>
          <w:tcPr>
            <w:tcW w:w="1352" w:type="dxa"/>
            <w:tcBorders>
              <w:top w:val="single" w:sz="4" w:space="0" w:color="auto"/>
              <w:left w:val="nil"/>
              <w:right w:val="single" w:sz="4" w:space="0" w:color="auto"/>
            </w:tcBorders>
            <w:shd w:val="clear" w:color="auto" w:fill="C6EFCE"/>
            <w:noWrap/>
            <w:hideMark/>
          </w:tcPr>
          <w:p w14:paraId="2B669894"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Megawatts (MWe) </w:t>
            </w:r>
          </w:p>
        </w:tc>
        <w:tc>
          <w:tcPr>
            <w:tcW w:w="1093" w:type="dxa"/>
            <w:tcBorders>
              <w:top w:val="single" w:sz="4" w:space="0" w:color="auto"/>
              <w:left w:val="nil"/>
              <w:right w:val="single" w:sz="4" w:space="0" w:color="auto"/>
            </w:tcBorders>
            <w:shd w:val="clear" w:color="auto" w:fill="C6EFCE"/>
            <w:noWrap/>
          </w:tcPr>
          <w:p w14:paraId="19F827B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0</w:t>
            </w:r>
          </w:p>
        </w:tc>
        <w:tc>
          <w:tcPr>
            <w:tcW w:w="819" w:type="dxa"/>
            <w:tcBorders>
              <w:top w:val="single" w:sz="4" w:space="0" w:color="auto"/>
              <w:left w:val="nil"/>
              <w:right w:val="single" w:sz="4" w:space="0" w:color="auto"/>
            </w:tcBorders>
            <w:shd w:val="clear" w:color="auto" w:fill="C6EFCE"/>
            <w:noWrap/>
          </w:tcPr>
          <w:p w14:paraId="6017F83C"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83</w:t>
            </w:r>
          </w:p>
        </w:tc>
        <w:tc>
          <w:tcPr>
            <w:tcW w:w="1088" w:type="dxa"/>
            <w:tcBorders>
              <w:top w:val="single" w:sz="4" w:space="0" w:color="auto"/>
              <w:left w:val="nil"/>
              <w:right w:val="single" w:sz="4" w:space="0" w:color="auto"/>
            </w:tcBorders>
            <w:shd w:val="clear" w:color="auto" w:fill="C6EFCE"/>
            <w:noWrap/>
            <w:hideMark/>
          </w:tcPr>
          <w:p w14:paraId="129AF974"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Q2</w:t>
            </w:r>
          </w:p>
        </w:tc>
        <w:tc>
          <w:tcPr>
            <w:tcW w:w="818" w:type="dxa"/>
            <w:tcBorders>
              <w:top w:val="single" w:sz="4" w:space="0" w:color="auto"/>
              <w:left w:val="nil"/>
              <w:right w:val="single" w:sz="4" w:space="0" w:color="auto"/>
            </w:tcBorders>
            <w:shd w:val="clear" w:color="auto" w:fill="C6EFCE"/>
            <w:noWrap/>
            <w:hideMark/>
          </w:tcPr>
          <w:p w14:paraId="5E60A0F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2026</w:t>
            </w:r>
          </w:p>
        </w:tc>
        <w:tc>
          <w:tcPr>
            <w:tcW w:w="3104" w:type="dxa"/>
            <w:tcBorders>
              <w:top w:val="single" w:sz="4" w:space="0" w:color="auto"/>
              <w:left w:val="nil"/>
              <w:right w:val="single" w:sz="4" w:space="0" w:color="auto"/>
            </w:tcBorders>
            <w:shd w:val="clear" w:color="auto" w:fill="C6EFCE"/>
            <w:noWrap/>
            <w:hideMark/>
          </w:tcPr>
          <w:p w14:paraId="3C0B3A88" w14:textId="0D316ABF"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Acceptance certificates for completion of construction and building installation works for two high-efficiency gas-fired combined heat and power (CHP) units in the district heating sector, with a total capacity of 83 MWe, in compliance with the “do no significant harm” Technical Guidance (2021/C58/01)</w:t>
            </w:r>
            <w:r w:rsidR="00D23D91" w:rsidRPr="00A025C9">
              <w:rPr>
                <w:rFonts w:ascii="Times New Roman" w:eastAsia="Aptos" w:hAnsi="Times New Roman" w:cs="Times New Roman"/>
                <w:noProof/>
                <w:kern w:val="2"/>
                <w:sz w:val="20"/>
                <w:szCs w:val="20"/>
                <w:lang w:val="en-GB" w:eastAsia="en-US"/>
                <w14:ligatures w14:val="standardContextual"/>
              </w:rPr>
              <w:t xml:space="preserve"> </w:t>
            </w:r>
            <w:r w:rsidRPr="00A025C9">
              <w:rPr>
                <w:rFonts w:ascii="Times New Roman" w:eastAsia="Aptos" w:hAnsi="Times New Roman" w:cs="Times New Roman"/>
                <w:noProof/>
                <w:kern w:val="2"/>
                <w:sz w:val="20"/>
                <w:szCs w:val="20"/>
                <w:lang w:val="en-GB" w:eastAsia="en-US"/>
                <w14:ligatures w14:val="standardContextual"/>
              </w:rPr>
              <w:t>Notification(s) of energisation (NPT) shallcertify the connection of the installation to the electricity transmission or distribution grid..</w:t>
            </w:r>
          </w:p>
        </w:tc>
      </w:tr>
      <w:tr w:rsidR="00145434" w:rsidRPr="00A025C9" w14:paraId="029252D6" w14:textId="77777777">
        <w:trPr>
          <w:trHeight w:val="313"/>
          <w:jc w:val="center"/>
        </w:trPr>
        <w:tc>
          <w:tcPr>
            <w:tcW w:w="818" w:type="dxa"/>
            <w:tcBorders>
              <w:top w:val="single" w:sz="4" w:space="0" w:color="auto"/>
              <w:left w:val="single" w:sz="4" w:space="0" w:color="auto"/>
              <w:bottom w:val="single" w:sz="4" w:space="0" w:color="auto"/>
              <w:right w:val="single" w:sz="4" w:space="0" w:color="auto"/>
            </w:tcBorders>
            <w:shd w:val="clear" w:color="auto" w:fill="C6EFCE"/>
            <w:noWrap/>
          </w:tcPr>
          <w:p w14:paraId="196ABD1D"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140</w:t>
            </w:r>
          </w:p>
        </w:tc>
        <w:tc>
          <w:tcPr>
            <w:tcW w:w="1895" w:type="dxa"/>
            <w:tcBorders>
              <w:top w:val="single" w:sz="4" w:space="0" w:color="auto"/>
              <w:left w:val="nil"/>
              <w:bottom w:val="single" w:sz="4" w:space="0" w:color="auto"/>
              <w:right w:val="single" w:sz="4" w:space="0" w:color="auto"/>
            </w:tcBorders>
            <w:shd w:val="clear" w:color="auto" w:fill="C6EFCE"/>
            <w:noWrap/>
          </w:tcPr>
          <w:p w14:paraId="2EE5BFA7"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Investment 5. Ensuring energy efficiency in the industrial sector</w:t>
            </w:r>
          </w:p>
        </w:tc>
        <w:tc>
          <w:tcPr>
            <w:tcW w:w="1222" w:type="dxa"/>
            <w:tcBorders>
              <w:top w:val="single" w:sz="4" w:space="0" w:color="auto"/>
              <w:left w:val="nil"/>
              <w:bottom w:val="single" w:sz="4" w:space="0" w:color="auto"/>
              <w:right w:val="single" w:sz="4" w:space="0" w:color="auto"/>
            </w:tcBorders>
            <w:shd w:val="clear" w:color="auto" w:fill="C6EFCE"/>
            <w:noWrap/>
          </w:tcPr>
          <w:p w14:paraId="3EF63366"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Milestone</w:t>
            </w:r>
          </w:p>
        </w:tc>
        <w:tc>
          <w:tcPr>
            <w:tcW w:w="1759" w:type="dxa"/>
            <w:tcBorders>
              <w:top w:val="single" w:sz="4" w:space="0" w:color="auto"/>
              <w:left w:val="nil"/>
              <w:bottom w:val="single" w:sz="4" w:space="0" w:color="auto"/>
              <w:right w:val="single" w:sz="4" w:space="0" w:color="auto"/>
            </w:tcBorders>
            <w:shd w:val="clear" w:color="auto" w:fill="C6EFCE"/>
            <w:noWrap/>
          </w:tcPr>
          <w:p w14:paraId="061E9FB5"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Opening of a call for tender for energy efficiency investments for the industry </w:t>
            </w:r>
          </w:p>
        </w:tc>
        <w:tc>
          <w:tcPr>
            <w:tcW w:w="1625" w:type="dxa"/>
            <w:tcBorders>
              <w:top w:val="single" w:sz="4" w:space="0" w:color="auto"/>
              <w:left w:val="nil"/>
              <w:bottom w:val="single" w:sz="4" w:space="0" w:color="auto"/>
              <w:right w:val="single" w:sz="4" w:space="0" w:color="auto"/>
            </w:tcBorders>
            <w:shd w:val="clear" w:color="auto" w:fill="C6EFCE"/>
            <w:noWrap/>
          </w:tcPr>
          <w:p w14:paraId="5FE19973"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Publication of tender specifications</w:t>
            </w:r>
          </w:p>
        </w:tc>
        <w:tc>
          <w:tcPr>
            <w:tcW w:w="1352" w:type="dxa"/>
            <w:tcBorders>
              <w:top w:val="single" w:sz="4" w:space="0" w:color="auto"/>
              <w:left w:val="nil"/>
              <w:bottom w:val="single" w:sz="4" w:space="0" w:color="auto"/>
              <w:right w:val="single" w:sz="4" w:space="0" w:color="auto"/>
            </w:tcBorders>
            <w:shd w:val="clear" w:color="auto" w:fill="C6EFCE"/>
            <w:noWrap/>
          </w:tcPr>
          <w:p w14:paraId="6CC8C18B"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p>
        </w:tc>
        <w:tc>
          <w:tcPr>
            <w:tcW w:w="1093" w:type="dxa"/>
            <w:tcBorders>
              <w:top w:val="single" w:sz="4" w:space="0" w:color="auto"/>
              <w:left w:val="nil"/>
              <w:bottom w:val="single" w:sz="4" w:space="0" w:color="auto"/>
              <w:right w:val="single" w:sz="4" w:space="0" w:color="auto"/>
            </w:tcBorders>
            <w:shd w:val="clear" w:color="auto" w:fill="C6EFCE"/>
            <w:noWrap/>
          </w:tcPr>
          <w:p w14:paraId="6CB5D97F"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p>
        </w:tc>
        <w:tc>
          <w:tcPr>
            <w:tcW w:w="819" w:type="dxa"/>
            <w:tcBorders>
              <w:top w:val="single" w:sz="4" w:space="0" w:color="auto"/>
              <w:left w:val="nil"/>
              <w:bottom w:val="single" w:sz="4" w:space="0" w:color="auto"/>
              <w:right w:val="single" w:sz="4" w:space="0" w:color="auto"/>
            </w:tcBorders>
            <w:shd w:val="clear" w:color="auto" w:fill="C6EFCE"/>
            <w:noWrap/>
          </w:tcPr>
          <w:p w14:paraId="1765BB79"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p>
        </w:tc>
        <w:tc>
          <w:tcPr>
            <w:tcW w:w="1088" w:type="dxa"/>
            <w:tcBorders>
              <w:top w:val="single" w:sz="4" w:space="0" w:color="auto"/>
              <w:left w:val="nil"/>
              <w:bottom w:val="single" w:sz="4" w:space="0" w:color="auto"/>
              <w:right w:val="single" w:sz="4" w:space="0" w:color="auto"/>
            </w:tcBorders>
            <w:shd w:val="clear" w:color="auto" w:fill="C6EFCE"/>
            <w:noWrap/>
          </w:tcPr>
          <w:p w14:paraId="34D5DECF"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Q2</w:t>
            </w:r>
          </w:p>
        </w:tc>
        <w:tc>
          <w:tcPr>
            <w:tcW w:w="818" w:type="dxa"/>
            <w:tcBorders>
              <w:top w:val="single" w:sz="4" w:space="0" w:color="auto"/>
              <w:left w:val="nil"/>
              <w:bottom w:val="single" w:sz="4" w:space="0" w:color="auto"/>
              <w:right w:val="single" w:sz="4" w:space="0" w:color="auto"/>
            </w:tcBorders>
            <w:shd w:val="clear" w:color="auto" w:fill="C6EFCE"/>
            <w:noWrap/>
          </w:tcPr>
          <w:p w14:paraId="0BD17A7A"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2022</w:t>
            </w:r>
          </w:p>
        </w:tc>
        <w:tc>
          <w:tcPr>
            <w:tcW w:w="3104" w:type="dxa"/>
            <w:tcBorders>
              <w:top w:val="single" w:sz="4" w:space="0" w:color="auto"/>
              <w:left w:val="nil"/>
              <w:bottom w:val="single" w:sz="4" w:space="0" w:color="auto"/>
              <w:right w:val="single" w:sz="4" w:space="0" w:color="auto"/>
            </w:tcBorders>
            <w:shd w:val="clear" w:color="auto" w:fill="C6EFCE"/>
            <w:noWrap/>
          </w:tcPr>
          <w:p w14:paraId="7E54548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xml:space="preserve">Launch of call for the selection of energy efficiency projects in industry. The selection criteria shall require: </w:t>
            </w:r>
          </w:p>
          <w:p w14:paraId="043C112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the achievement of at least 30% reduction in indirect and direct GHG emissions compared to the ex-ante emissions, to be monitored through an IT platform for centralising and analysing national energy consumption;</w:t>
            </w:r>
          </w:p>
          <w:p w14:paraId="0F6A7835"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r w:rsidRPr="00A025C9">
              <w:rPr>
                <w:rFonts w:ascii="Times New Roman" w:eastAsia="Aptos" w:hAnsi="Times New Roman" w:cs="Times New Roman"/>
                <w:noProof/>
                <w:kern w:val="2"/>
                <w:sz w:val="20"/>
                <w:szCs w:val="20"/>
                <w:lang w:val="en-GB" w:eastAsia="en-US"/>
                <w14:ligatures w14:val="standardContextual"/>
              </w:rPr>
              <w:t>- compliance with the Do No Significant Harm Technical Guidance (2021/C58/01) through the use of an exclusion list and the requirement of compliance with the relevant EU and national environmental legislation.</w:t>
            </w:r>
          </w:p>
        </w:tc>
      </w:tr>
      <w:bookmarkEnd w:id="9"/>
    </w:tbl>
    <w:p w14:paraId="42809D74" w14:textId="77777777" w:rsidR="00145434" w:rsidRPr="00145434" w:rsidRDefault="00145434" w:rsidP="00145434">
      <w:pPr>
        <w:spacing w:line="259" w:lineRule="auto"/>
        <w:rPr>
          <w:rFonts w:ascii="Times New Roman" w:eastAsia="Aptos" w:hAnsi="Times New Roman" w:cs="Times New Roman"/>
          <w:noProof/>
          <w:kern w:val="2"/>
          <w:sz w:val="22"/>
          <w:szCs w:val="22"/>
          <w:lang w:val="en-IE" w:eastAsia="en-US"/>
          <w14:ligatures w14:val="standardContextual"/>
        </w:rPr>
      </w:pPr>
    </w:p>
    <w:p w14:paraId="5B255072" w14:textId="77777777" w:rsidR="00145434" w:rsidRPr="00145434" w:rsidRDefault="00145434" w:rsidP="00145434">
      <w:pPr>
        <w:spacing w:line="259" w:lineRule="auto"/>
        <w:rPr>
          <w:rFonts w:ascii="Times New Roman" w:eastAsia="Aptos" w:hAnsi="Times New Roman" w:cs="Times New Roman"/>
          <w:noProof/>
          <w:kern w:val="2"/>
          <w:sz w:val="22"/>
          <w:szCs w:val="22"/>
          <w:lang w:val="en-IE" w:eastAsia="en-US"/>
          <w14:ligatures w14:val="standardContextual"/>
        </w:rPr>
        <w:sectPr w:rsidR="00145434" w:rsidRPr="00145434" w:rsidSect="00145434">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08"/>
          <w:docGrid w:linePitch="360"/>
        </w:sectPr>
      </w:pPr>
    </w:p>
    <w:p w14:paraId="32867924" w14:textId="71E177FE" w:rsidR="00A437C8" w:rsidRPr="00291374" w:rsidRDefault="00A437C8" w:rsidP="00A437C8">
      <w:pPr>
        <w:keepNext/>
        <w:numPr>
          <w:ilvl w:val="0"/>
          <w:numId w:val="1"/>
        </w:numPr>
        <w:tabs>
          <w:tab w:val="left" w:pos="850"/>
        </w:tabs>
        <w:spacing w:before="360" w:after="120" w:line="240" w:lineRule="auto"/>
        <w:jc w:val="both"/>
        <w:outlineLvl w:val="0"/>
        <w:rPr>
          <w:rFonts w:ascii="Times New Roman" w:hAnsi="Times New Roman" w:cs="Times New Roman"/>
          <w:smallCaps/>
          <w:noProof/>
          <w:lang w:val="en-GB"/>
        </w:rPr>
      </w:pPr>
      <w:r w:rsidRPr="00291374">
        <w:rPr>
          <w:rFonts w:ascii="Times New Roman" w:hAnsi="Times New Roman" w:cs="Times New Roman"/>
          <w:b/>
          <w:bCs/>
          <w:smallCaps/>
          <w:noProof/>
          <w:lang w:val="en-GB"/>
        </w:rPr>
        <w:t>COMPONENT 7: D</w:t>
      </w:r>
      <w:r w:rsidR="0025186F">
        <w:rPr>
          <w:rFonts w:ascii="Times New Roman" w:hAnsi="Times New Roman" w:cs="Times New Roman"/>
          <w:b/>
          <w:bCs/>
          <w:smallCaps/>
          <w:noProof/>
          <w:lang w:val="en-GB"/>
        </w:rPr>
        <w:t xml:space="preserve">igital </w:t>
      </w:r>
      <w:r w:rsidRPr="00291374">
        <w:rPr>
          <w:rFonts w:ascii="Times New Roman" w:hAnsi="Times New Roman" w:cs="Times New Roman"/>
          <w:b/>
          <w:bCs/>
          <w:smallCaps/>
          <w:noProof/>
          <w:lang w:val="en-GB"/>
        </w:rPr>
        <w:t>T</w:t>
      </w:r>
      <w:r w:rsidR="0025186F">
        <w:rPr>
          <w:rFonts w:ascii="Times New Roman" w:hAnsi="Times New Roman" w:cs="Times New Roman"/>
          <w:b/>
          <w:bCs/>
          <w:smallCaps/>
          <w:noProof/>
          <w:lang w:val="en-GB"/>
        </w:rPr>
        <w:t>ransformation</w:t>
      </w:r>
    </w:p>
    <w:p w14:paraId="6BE216EB" w14:textId="77777777" w:rsidR="00A437C8" w:rsidRPr="00291374" w:rsidRDefault="00A437C8" w:rsidP="00A437C8">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component of the recovery and resilience plan addresses digitalisation challenges related to the public administration such as fragmentation, interoperability as a major obstacle in the development of the end-user centred digital services, bureaucratic barriers to obtaining building permits necessary for network constructions, low basic and advanced digital skills, exposure to cyber risks. Against this background, the objective of this component is to tackle all these challenges and to achieve a coherent and integrated digital infrastructure for the benefit of citizens and businesses, while providing the necessary tools (such as connectivity, skills development or cybersecurity) for the transition to a digitalised economy and society. In particular, the component includes reforms necessary to set up the governmental cloud and to ensure interoperability, improving connectivity, increasing the protection and the cybersecurity of public and private entities and increasing the digital competences for the public sector. The investments underpinning the reforms range from the development of the governmental cloud to digitalisation of health, judiciary, environment, employment and social protection, public procurement, non-governmental organisations, connectivity for white areas, ensuring cybersecurity for different structures and increasing the skills both in cybersecurity and for civil servants and the population at large. One key investment refers to the rollout of the electronic identity card for the Romanian citizens.</w:t>
      </w:r>
    </w:p>
    <w:p w14:paraId="5B962217" w14:textId="59C07B2F" w:rsidR="00A437C8" w:rsidRPr="00291374" w:rsidRDefault="00A437C8" w:rsidP="00A437C8">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component is structured in 4 reforms and 1</w:t>
      </w:r>
      <w:r w:rsidR="00665CBE">
        <w:rPr>
          <w:rFonts w:ascii="Times New Roman" w:hAnsi="Times New Roman" w:cs="Times New Roman"/>
          <w:noProof/>
          <w:lang w:val="en-GB"/>
        </w:rPr>
        <w:t>9</w:t>
      </w:r>
      <w:r w:rsidRPr="00291374">
        <w:rPr>
          <w:rFonts w:ascii="Times New Roman" w:hAnsi="Times New Roman" w:cs="Times New Roman"/>
          <w:noProof/>
          <w:lang w:val="en-GB"/>
        </w:rPr>
        <w:t xml:space="preserve"> investments.These investments and reforms shall contribute to address Romania’s country-specific recommendations of the past two years to “Improve skills, including digital” (country-specific recommendation 3, 2019) and to “strengthen</w:t>
      </w:r>
      <w:r w:rsidR="00D23D91">
        <w:rPr>
          <w:rFonts w:ascii="Times New Roman" w:hAnsi="Times New Roman" w:cs="Times New Roman"/>
          <w:noProof/>
          <w:lang w:val="en-GB"/>
        </w:rPr>
        <w:t xml:space="preserve"> </w:t>
      </w:r>
      <w:r w:rsidRPr="00291374">
        <w:rPr>
          <w:rFonts w:ascii="Times New Roman" w:hAnsi="Times New Roman" w:cs="Times New Roman"/>
          <w:noProof/>
          <w:lang w:val="en-GB"/>
        </w:rPr>
        <w:t xml:space="preserve">skills and digital learning” and “focus investment on the green and digital transition, […], digital service infrastructure” (country-specific recommendations 2 and 3, 2020). </w:t>
      </w:r>
    </w:p>
    <w:p w14:paraId="29A6BBC7" w14:textId="77777777" w:rsidR="00A437C8" w:rsidRPr="00291374" w:rsidRDefault="00A437C8" w:rsidP="00A437C8">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7C7E7896" w14:textId="42D9F99E" w:rsidR="00A437C8" w:rsidRPr="00291374" w:rsidRDefault="00A437C8" w:rsidP="00A437C8">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G.1.</w:t>
      </w:r>
      <w:r w:rsidR="00A025C9">
        <w:rPr>
          <w:rFonts w:ascii="Times New Roman" w:hAnsi="Times New Roman" w:cs="Times New Roman"/>
          <w:b/>
          <w:noProof/>
          <w:lang w:val="en-GB"/>
        </w:rPr>
        <w:t xml:space="preserve"> </w:t>
      </w:r>
      <w:r w:rsidRPr="00291374">
        <w:rPr>
          <w:rFonts w:ascii="Times New Roman" w:hAnsi="Times New Roman" w:cs="Times New Roman"/>
          <w:b/>
          <w:noProof/>
          <w:lang w:val="en-GB"/>
        </w:rPr>
        <w:t>Description of the reforms and investments for non-repayable financial support </w:t>
      </w:r>
    </w:p>
    <w:p w14:paraId="1AE514A5" w14:textId="77777777" w:rsidR="00A437C8" w:rsidRPr="00291374" w:rsidRDefault="00A437C8" w:rsidP="00A437C8">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Reform 1. Development of a unitary framework for defining the architecture of a government cloud system</w:t>
      </w:r>
    </w:p>
    <w:p w14:paraId="6155C50C"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lang w:val="en-GB"/>
        </w:rPr>
      </w:pPr>
      <w:r w:rsidRPr="00291374">
        <w:rPr>
          <w:rFonts w:ascii="Times New Roman" w:hAnsi="Times New Roman" w:cs="Times New Roman"/>
          <w:noProof/>
          <w:lang w:val="en-GB"/>
        </w:rPr>
        <w:t>The objective of this reform is to modernise the public administration by adopting advanced technologies and focusing on the citizens and businesses’ needs, while ensuring the prerequisites for data-driven policy development and increasing the interoperability of existing digital technologies. Furthermore, the reform shall support the development of an integrated architecture of public digital services.</w:t>
      </w:r>
    </w:p>
    <w:p w14:paraId="327545A9"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lang w:val="en-GB"/>
        </w:rPr>
      </w:pPr>
      <w:r w:rsidRPr="00291374">
        <w:rPr>
          <w:rFonts w:ascii="Times New Roman" w:hAnsi="Times New Roman" w:cs="Times New Roman"/>
          <w:noProof/>
          <w:lang w:val="en-GB"/>
        </w:rPr>
        <w:t xml:space="preserve">The implementation of this reform shall consist in two lines of action. First, the entry into force of the Information Systems Interoperability Law is expected to detail the uniform set of standards and rules that public entities shall apply for the development of applications in a secure and sustainable environment, while aligning with the European Interoperability Framework. Second, the entry into force of the Government Cloud Act is expected to set out the responsibilities and tasks regarding the design, implementation, development and management of the cloud infrastructure, technologies and services. Cybersecurity shall be provided for both for the external and internal protection of the cloud, applying the most advanced and economically efficient cyber-security available solutions. </w:t>
      </w:r>
    </w:p>
    <w:p w14:paraId="57FE383D" w14:textId="77777777" w:rsidR="00A437C8" w:rsidRDefault="00A437C8" w:rsidP="00A437C8">
      <w:pPr>
        <w:spacing w:before="120" w:after="0" w:line="240" w:lineRule="auto"/>
        <w:jc w:val="both"/>
        <w:textAlignment w:val="baseline"/>
        <w:rPr>
          <w:rFonts w:ascii="Times New Roman" w:hAnsi="Times New Roman" w:cs="Times New Roman"/>
          <w:noProof/>
          <w:lang w:val="en-GB"/>
        </w:rPr>
      </w:pPr>
      <w:r w:rsidRPr="00291374">
        <w:rPr>
          <w:rFonts w:ascii="Times New Roman" w:hAnsi="Times New Roman" w:cs="Times New Roman"/>
          <w:noProof/>
          <w:lang w:val="en-GB"/>
        </w:rPr>
        <w:t>A temporary task force formed by specialists is expected to be put in place for the monitoring and implementation of all digital-related measures in the Romanian recovery and resilience plan.</w:t>
      </w:r>
    </w:p>
    <w:p w14:paraId="16FC43B4" w14:textId="77777777" w:rsidR="00A025C9" w:rsidRDefault="00A025C9" w:rsidP="00A437C8">
      <w:pPr>
        <w:spacing w:before="120" w:after="0" w:line="240" w:lineRule="auto"/>
        <w:jc w:val="both"/>
        <w:textAlignment w:val="baseline"/>
        <w:rPr>
          <w:rFonts w:ascii="Times New Roman" w:hAnsi="Times New Roman" w:cs="Times New Roman"/>
          <w:noProof/>
          <w:lang w:val="en-GB"/>
        </w:rPr>
      </w:pPr>
    </w:p>
    <w:p w14:paraId="226AD00A" w14:textId="77777777" w:rsidR="00A025C9" w:rsidRPr="00291374" w:rsidRDefault="00A025C9" w:rsidP="00A437C8">
      <w:pPr>
        <w:spacing w:before="120" w:after="0" w:line="240" w:lineRule="auto"/>
        <w:jc w:val="both"/>
        <w:textAlignment w:val="baseline"/>
        <w:rPr>
          <w:rFonts w:ascii="Times New Roman" w:eastAsia="Times New Roman" w:hAnsi="Times New Roman" w:cs="Times New Roman"/>
          <w:noProof/>
          <w:lang w:val="en-GB"/>
        </w:rPr>
      </w:pPr>
    </w:p>
    <w:p w14:paraId="4EC05FD0" w14:textId="77777777" w:rsidR="00A437C8" w:rsidRPr="00291374" w:rsidRDefault="00A437C8" w:rsidP="00A437C8">
      <w:pPr>
        <w:suppressAutoHyphens/>
        <w:autoSpaceDN w:val="0"/>
        <w:spacing w:before="12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u w:val="single"/>
          <w:lang w:val="en-GB"/>
        </w:rPr>
        <w:t xml:space="preserve">Reform 2. Transition to EU 2025 connectivity targets and stimulate private investment for the deployment of very high capacity networks </w:t>
      </w:r>
    </w:p>
    <w:p w14:paraId="45289EBB"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lang w:val="en-GB"/>
        </w:rPr>
      </w:pPr>
      <w:r w:rsidRPr="00291374">
        <w:rPr>
          <w:rFonts w:ascii="Times New Roman" w:hAnsi="Times New Roman" w:cs="Times New Roman"/>
          <w:noProof/>
          <w:lang w:val="en-GB"/>
        </w:rPr>
        <w:t>The objective of this reform is to accelerate the national roll-out of 5G networks, in accordance with security regulations, and provide broadband coverage for white areas (small rural municipalities, isolated localities, disadvantaged inhabited areas), tackling the rural – urban digital divide, reducing the administrative burden and streamlining procedures and fees, creating the prerequisites for equal access to digital services and internet access.</w:t>
      </w:r>
    </w:p>
    <w:p w14:paraId="425E428D"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lang w:val="en-GB"/>
        </w:rPr>
      </w:pPr>
      <w:r w:rsidRPr="00291374">
        <w:rPr>
          <w:rFonts w:ascii="Times New Roman" w:hAnsi="Times New Roman" w:cs="Times New Roman"/>
          <w:noProof/>
          <w:lang w:val="en-GB"/>
        </w:rPr>
        <w:t>The reform shall include several actions:</w:t>
      </w:r>
    </w:p>
    <w:p w14:paraId="352BF42A" w14:textId="77777777" w:rsidR="00A437C8" w:rsidRPr="00291374" w:rsidRDefault="00A437C8" w:rsidP="00A437C8">
      <w:pPr>
        <w:numPr>
          <w:ilvl w:val="0"/>
          <w:numId w:val="2"/>
        </w:numPr>
        <w:spacing w:before="120" w:after="120" w:line="240" w:lineRule="auto"/>
        <w:ind w:left="360"/>
        <w:jc w:val="both"/>
        <w:rPr>
          <w:rFonts w:ascii="Times New Roman" w:hAnsi="Times New Roman" w:cs="Times New Roman"/>
          <w:noProof/>
          <w:bdr w:val="none" w:sz="0" w:space="0" w:color="auto" w:frame="1"/>
          <w:lang w:val="en-GB"/>
        </w:rPr>
      </w:pPr>
      <w:r w:rsidRPr="00291374">
        <w:rPr>
          <w:rFonts w:ascii="Times New Roman" w:hAnsi="Times New Roman" w:cs="Times New Roman"/>
          <w:noProof/>
          <w:bdr w:val="none" w:sz="0" w:space="0" w:color="auto" w:frame="1"/>
          <w:lang w:val="en-GB"/>
        </w:rPr>
        <w:t>The implementation of Romania’s roadmap applying of the Connectivity Toolbox</w:t>
      </w:r>
      <w:r w:rsidRPr="00291374">
        <w:rPr>
          <w:rFonts w:ascii="Times New Roman" w:hAnsi="Times New Roman" w:cs="Times New Roman"/>
          <w:noProof/>
          <w:bdr w:val="none" w:sz="0" w:space="0" w:color="auto" w:frame="1"/>
          <w:lang w:val="en-GB"/>
        </w:rPr>
        <w:footnoteReference w:id="1"/>
      </w:r>
      <w:r w:rsidRPr="00291374">
        <w:rPr>
          <w:rFonts w:ascii="Times New Roman" w:hAnsi="Times New Roman" w:cs="Times New Roman"/>
          <w:noProof/>
          <w:bdr w:val="none" w:sz="0" w:space="0" w:color="auto" w:frame="1"/>
          <w:lang w:val="en-GB"/>
        </w:rPr>
        <w:t>. Romania is expected to implement 12 out of the 39 recommendations included in the toolbox at EU level.</w:t>
      </w:r>
    </w:p>
    <w:p w14:paraId="7242BA09" w14:textId="77777777" w:rsidR="00A437C8" w:rsidRPr="00291374" w:rsidRDefault="00A437C8" w:rsidP="00A437C8">
      <w:pPr>
        <w:numPr>
          <w:ilvl w:val="0"/>
          <w:numId w:val="2"/>
        </w:numPr>
        <w:spacing w:before="120" w:after="120" w:line="240" w:lineRule="auto"/>
        <w:ind w:left="360"/>
        <w:jc w:val="both"/>
        <w:rPr>
          <w:rFonts w:ascii="Times New Roman" w:hAnsi="Times New Roman" w:cs="Times New Roman"/>
          <w:noProof/>
          <w:bdr w:val="none" w:sz="0" w:space="0" w:color="auto" w:frame="1"/>
          <w:lang w:val="en-GB"/>
        </w:rPr>
      </w:pPr>
      <w:r w:rsidRPr="00291374">
        <w:rPr>
          <w:rFonts w:ascii="Times New Roman" w:hAnsi="Times New Roman" w:cs="Times New Roman"/>
          <w:noProof/>
          <w:bdr w:val="none" w:sz="0" w:space="0" w:color="auto" w:frame="1"/>
          <w:lang w:val="en-GB"/>
        </w:rPr>
        <w:t>The entry into force of the 5G network security law which shall foresee that communication providers shall only be able to use technologies, equipment and software in 5G networks from manufacturers authorised in advance by decision of the Prime Minister, on the basis of the opinion of the Supreme Council of National Defence. Each manufacturer of 5G equipment and software shall have to apply for this authorisation, which shall be submitted to the Ministry responsible for Communications.</w:t>
      </w:r>
    </w:p>
    <w:p w14:paraId="04E7CFC1" w14:textId="77777777" w:rsidR="00A437C8" w:rsidRPr="00291374" w:rsidRDefault="00A437C8" w:rsidP="00A437C8">
      <w:pPr>
        <w:numPr>
          <w:ilvl w:val="0"/>
          <w:numId w:val="2"/>
        </w:numPr>
        <w:spacing w:before="120" w:after="120" w:line="240" w:lineRule="auto"/>
        <w:ind w:left="360"/>
        <w:jc w:val="both"/>
        <w:rPr>
          <w:rFonts w:ascii="Times New Roman" w:hAnsi="Times New Roman" w:cs="Times New Roman"/>
          <w:noProof/>
          <w:bdr w:val="none" w:sz="0" w:space="0" w:color="auto" w:frame="1"/>
          <w:lang w:val="en-GB"/>
        </w:rPr>
      </w:pPr>
      <w:r w:rsidRPr="00291374">
        <w:rPr>
          <w:rFonts w:ascii="Times New Roman" w:hAnsi="Times New Roman" w:cs="Times New Roman"/>
          <w:noProof/>
          <w:bdr w:val="none" w:sz="0" w:space="0" w:color="auto" w:frame="1"/>
          <w:lang w:val="en-GB"/>
        </w:rPr>
        <w:t>The (auction for) granting the so called ”5G licenses” (i.e. in the 700 MHz, 1500 MHz and 3,4 – 3,8 GHz bands). Long term licences are envisaged as per the European Electronic Communications Code criteria to efficiently stimulate 5G, promote competition and end-users’ rights.</w:t>
      </w:r>
    </w:p>
    <w:p w14:paraId="4C19C28E" w14:textId="77777777" w:rsidR="00A437C8" w:rsidRPr="00291374" w:rsidRDefault="00A437C8" w:rsidP="00A437C8">
      <w:pPr>
        <w:suppressAutoHyphens/>
        <w:autoSpaceDN w:val="0"/>
        <w:spacing w:before="12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u w:val="single"/>
          <w:lang w:val="en-GB"/>
        </w:rPr>
        <w:t>Reform 3. Ensuring cybersecurity of public and private entities owning critical value infrastructure</w:t>
      </w:r>
    </w:p>
    <w:p w14:paraId="13499835"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lang w:val="en-GB"/>
        </w:rPr>
      </w:pPr>
      <w:r w:rsidRPr="00291374">
        <w:rPr>
          <w:rFonts w:ascii="Times New Roman" w:hAnsi="Times New Roman" w:cs="Times New Roman"/>
          <w:noProof/>
          <w:lang w:val="en-GB"/>
        </w:rPr>
        <w:t xml:space="preserve">The objective of this reform is to continue the process of strengthening the resilience of the public and private entities owning critical infrastructure against cyber risks. </w:t>
      </w:r>
    </w:p>
    <w:p w14:paraId="0960DBD6"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lang w:val="en-GB"/>
        </w:rPr>
      </w:pPr>
      <w:r w:rsidRPr="00291374">
        <w:rPr>
          <w:rFonts w:ascii="Times New Roman" w:hAnsi="Times New Roman" w:cs="Times New Roman"/>
          <w:noProof/>
          <w:lang w:val="en-GB"/>
        </w:rPr>
        <w:t>The implementation of this reform shall establish the legal and institutional framework for the organisation and conduct of activities in the areas of cybersecurity and cyber defence, cooperation mechanisms and responsibilities of institutions in these areas by finalisation and entry into force of the Defence and Cybersecurity Law. Furthermore, the Cyberint National Centre coordinates the preparation of the National Cybersecurity Strategy 2021-2026, which includes provisions regarding regular assessments and updates of the cybersecurity regulatory and institutional framework aiming to strengthen the public-private-academic partnership to increase the cyber resilience of society as a whole, to develop the capacity to respond to cyber-attacks and the resilience of systems, networks and services and to consolidate the role of Romania in the cybersecurity architecture at international level.</w:t>
      </w:r>
    </w:p>
    <w:p w14:paraId="63DE4528" w14:textId="77777777" w:rsidR="00A437C8" w:rsidRPr="00291374" w:rsidRDefault="00A437C8" w:rsidP="00A437C8">
      <w:pPr>
        <w:suppressAutoHyphens/>
        <w:autoSpaceDN w:val="0"/>
        <w:spacing w:before="12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u w:val="single"/>
          <w:lang w:val="en-GB"/>
        </w:rPr>
        <w:t>Reform 4. Increasing digital competence for public service and digital education throughout the life for citizens</w:t>
      </w:r>
    </w:p>
    <w:p w14:paraId="610FF402"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lang w:val="en-GB"/>
        </w:rPr>
      </w:pPr>
      <w:r w:rsidRPr="00291374">
        <w:rPr>
          <w:rFonts w:ascii="Times New Roman" w:hAnsi="Times New Roman" w:cs="Times New Roman"/>
          <w:noProof/>
          <w:lang w:val="en-GB"/>
        </w:rPr>
        <w:t>The objective of this reform is to support the digitalisation of the economy and the transition to industry 4.0 and to align the labour market to the latest developments in this sector.</w:t>
      </w:r>
    </w:p>
    <w:p w14:paraId="3C10E0D2"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lang w:val="en-GB"/>
        </w:rPr>
      </w:pPr>
      <w:r w:rsidRPr="00291374">
        <w:rPr>
          <w:rFonts w:ascii="Times New Roman" w:hAnsi="Times New Roman" w:cs="Times New Roman"/>
          <w:noProof/>
          <w:lang w:val="en-GB"/>
        </w:rPr>
        <w:t>The reform shall be implemented through the entry into force of the amendment of the Classifications of Occupations Code including the definition of new digital occupations, equivalent to other EU countries. An analysis shall be performed as well as consultations with universities and other relevant stakeholders.</w:t>
      </w:r>
    </w:p>
    <w:p w14:paraId="6E8DA7EF" w14:textId="4AED6F37" w:rsidR="00A437C8" w:rsidRPr="00291374" w:rsidRDefault="00A437C8" w:rsidP="00A437C8">
      <w:pPr>
        <w:suppressAutoHyphens/>
        <w:autoSpaceDN w:val="0"/>
        <w:spacing w:before="12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u w:val="single"/>
          <w:lang w:val="en-GB"/>
        </w:rPr>
        <w:t>Investment 1.</w:t>
      </w:r>
      <w:r w:rsidR="00D23D91">
        <w:rPr>
          <w:rFonts w:ascii="Times New Roman" w:eastAsia="NSimSun" w:hAnsi="Times New Roman" w:cs="Times New Roman"/>
          <w:noProof/>
          <w:u w:val="single"/>
          <w:lang w:val="en-GB"/>
        </w:rPr>
        <w:t xml:space="preserve"> </w:t>
      </w:r>
      <w:r w:rsidRPr="00291374">
        <w:rPr>
          <w:rFonts w:ascii="Times New Roman" w:eastAsia="NSimSun" w:hAnsi="Times New Roman" w:cs="Times New Roman"/>
          <w:noProof/>
          <w:u w:val="single"/>
          <w:lang w:val="en-GB"/>
        </w:rPr>
        <w:t>Deployment</w:t>
      </w:r>
      <w:r w:rsidR="00D23D91">
        <w:rPr>
          <w:rFonts w:ascii="Times New Roman" w:eastAsia="NSimSun" w:hAnsi="Times New Roman" w:cs="Times New Roman"/>
          <w:noProof/>
          <w:u w:val="single"/>
          <w:lang w:val="en-GB"/>
        </w:rPr>
        <w:t xml:space="preserve"> </w:t>
      </w:r>
      <w:r w:rsidRPr="00291374">
        <w:rPr>
          <w:rFonts w:ascii="Times New Roman" w:eastAsia="NSimSun" w:hAnsi="Times New Roman" w:cs="Times New Roman"/>
          <w:noProof/>
          <w:u w:val="single"/>
          <w:lang w:val="en-GB"/>
        </w:rPr>
        <w:t>of the Government Cloud Infrastructure</w:t>
      </w:r>
    </w:p>
    <w:p w14:paraId="4B707F40" w14:textId="77777777" w:rsidR="00A437C8" w:rsidRPr="00291374" w:rsidDel="00D10F8B" w:rsidRDefault="00A437C8" w:rsidP="00A437C8">
      <w:pPr>
        <w:spacing w:before="120" w:after="0" w:line="240" w:lineRule="auto"/>
        <w:jc w:val="both"/>
        <w:textAlignment w:val="baseline"/>
        <w:rPr>
          <w:rFonts w:ascii="Times New Roman" w:hAnsi="Times New Roman" w:cs="Times New Roman"/>
          <w:noProof/>
          <w:lang w:val="en-GB"/>
        </w:rPr>
      </w:pPr>
      <w:r w:rsidRPr="00291374">
        <w:rPr>
          <w:rFonts w:ascii="Times New Roman" w:hAnsi="Times New Roman" w:cs="Times New Roman"/>
          <w:noProof/>
          <w:lang w:val="en-GB"/>
        </w:rPr>
        <w:t>The objective of this investment is to put into operation the government cloud infrastructure, using secure and energy-efficient technologies to ensure the safe, interoperable and standard character of the public data. </w:t>
      </w:r>
    </w:p>
    <w:p w14:paraId="35CE84CE"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 xml:space="preserve">The measure consists in </w:t>
      </w:r>
      <w:r w:rsidRPr="00291374">
        <w:rPr>
          <w:rFonts w:ascii="Times New Roman" w:hAnsi="Times New Roman" w:cs="Times New Roman"/>
          <w:noProof/>
          <w:lang w:val="en-GB"/>
        </w:rPr>
        <w:t xml:space="preserve">i) the construction of Tier IV data centres by design for the two main data centres and Tier III by design for secondary ones, ii) provision of specific communication and information technology infrastructure, iii) </w:t>
      </w:r>
      <w:r w:rsidRPr="00291374" w:rsidDel="00FA1450">
        <w:rPr>
          <w:rFonts w:ascii="Times New Roman" w:hAnsi="Times New Roman" w:cs="Times New Roman"/>
          <w:noProof/>
          <w:lang w:val="en-GB"/>
        </w:rPr>
        <w:t xml:space="preserve">expansion of the support infrastructure (electricity, physical security measures), iv) </w:t>
      </w:r>
      <w:r w:rsidRPr="00291374">
        <w:rPr>
          <w:rFonts w:ascii="Times New Roman" w:hAnsi="Times New Roman" w:cs="Times New Roman"/>
          <w:noProof/>
          <w:lang w:val="en-GB"/>
        </w:rPr>
        <w:t xml:space="preserve">provision </w:t>
      </w:r>
      <w:r w:rsidRPr="00291374">
        <w:rPr>
          <w:rFonts w:ascii="Times New Roman" w:hAnsi="Times New Roman" w:cs="Times New Roman"/>
          <w:noProof/>
        </w:rPr>
        <w:t xml:space="preserve">of scalable and high-availability IT&amp;C infrastructure in each data centre. </w:t>
      </w:r>
      <w:r w:rsidRPr="00291374" w:rsidDel="00135293">
        <w:rPr>
          <w:rFonts w:ascii="Times New Roman" w:hAnsi="Times New Roman" w:cs="Times New Roman"/>
          <w:noProof/>
        </w:rPr>
        <w:t xml:space="preserve">The data centres </w:t>
      </w:r>
      <w:r w:rsidRPr="00291374">
        <w:rPr>
          <w:rFonts w:ascii="Times New Roman" w:hAnsi="Times New Roman" w:cs="Times New Roman"/>
          <w:noProof/>
        </w:rPr>
        <w:t>comply</w:t>
      </w:r>
      <w:r w:rsidRPr="00291374">
        <w:rPr>
          <w:rFonts w:ascii="Times New Roman" w:eastAsia="Times New Roman" w:hAnsi="Times New Roman" w:cs="Times New Roman"/>
          <w:noProof/>
          <w:vertAlign w:val="superscript"/>
          <w:lang w:val="en-GB"/>
        </w:rPr>
        <w:footnoteReference w:id="2"/>
      </w:r>
      <w:r w:rsidRPr="00291374">
        <w:rPr>
          <w:rFonts w:ascii="Times New Roman" w:hAnsi="Times New Roman" w:cs="Times New Roman"/>
          <w:noProof/>
          <w:lang w:val="en-GB"/>
        </w:rPr>
        <w:t xml:space="preserve">￼. </w:t>
      </w:r>
    </w:p>
    <w:p w14:paraId="4EC9A269" w14:textId="77777777" w:rsidR="00A437C8" w:rsidRPr="00291374" w:rsidRDefault="00A437C8" w:rsidP="00A437C8">
      <w:pPr>
        <w:suppressAutoHyphens/>
        <w:autoSpaceDN w:val="0"/>
        <w:spacing w:before="240" w:after="0" w:line="240" w:lineRule="auto"/>
        <w:jc w:val="both"/>
        <w:textAlignment w:val="baseline"/>
        <w:rPr>
          <w:rFonts w:ascii="Times New Roman" w:eastAsia="NSimSun" w:hAnsi="Times New Roman" w:cs="Times New Roman"/>
          <w:noProof/>
          <w:kern w:val="3"/>
          <w:u w:val="single"/>
          <w:lang w:val="en-GB"/>
        </w:rPr>
      </w:pPr>
      <w:bookmarkStart w:id="10" w:name="_Hlk207792724"/>
      <w:r w:rsidRPr="00291374">
        <w:rPr>
          <w:rFonts w:ascii="Times New Roman" w:eastAsia="NSimSun" w:hAnsi="Times New Roman" w:cs="Times New Roman"/>
          <w:noProof/>
          <w:kern w:val="3"/>
          <w:u w:val="single"/>
          <w:lang w:val="en-GB"/>
        </w:rPr>
        <w:t>Investment 2. Cloud development and migration</w:t>
      </w:r>
    </w:p>
    <w:p w14:paraId="28686C3D" w14:textId="77777777" w:rsidR="00A437C8" w:rsidRPr="00291374" w:rsidRDefault="00A437C8" w:rsidP="00A437C8">
      <w:pPr>
        <w:spacing w:before="120" w:after="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color w:val="000000" w:themeColor="text1"/>
          <w:lang w:val="en-GB"/>
        </w:rPr>
        <w:t>The objective of this investment is</w:t>
      </w:r>
      <w:r w:rsidRPr="00291374">
        <w:rPr>
          <w:rFonts w:ascii="Times New Roman" w:eastAsia="Times New Roman" w:hAnsi="Times New Roman" w:cs="Times New Roman"/>
          <w:noProof/>
          <w:lang w:val="en-GB"/>
        </w:rPr>
        <w:t xml:space="preserve"> to upgrade the technologies used in public institutions so that they become cloud ready, while also developing new cloud-native applications for cloud migration. </w:t>
      </w:r>
    </w:p>
    <w:p w14:paraId="490D2EAF" w14:textId="02CFD547" w:rsidR="00A437C8" w:rsidRPr="00291374" w:rsidRDefault="00A437C8" w:rsidP="00A437C8">
      <w:pPr>
        <w:spacing w:before="120" w:after="0" w:line="240" w:lineRule="auto"/>
        <w:jc w:val="both"/>
        <w:textAlignment w:val="baseline"/>
        <w:rPr>
          <w:rFonts w:ascii="Times New Roman" w:hAnsi="Times New Roman" w:cs="Times New Roman"/>
          <w:noProof/>
          <w:lang w:val="en-GB"/>
        </w:rPr>
      </w:pPr>
      <w:r w:rsidRPr="00291374">
        <w:rPr>
          <w:rFonts w:ascii="Times New Roman" w:eastAsia="Times New Roman" w:hAnsi="Times New Roman" w:cs="Times New Roman"/>
          <w:noProof/>
          <w:lang w:val="en-GB"/>
        </w:rPr>
        <w:t>The measure consists in the development or migration of 30 government cloud-native or cloud ready digital service applications in Platform-as-a-Service (PaaS) or Infrastructure-as-a-Service (IaaS).</w:t>
      </w:r>
      <w:r w:rsidR="00D23D91">
        <w:rPr>
          <w:rFonts w:ascii="Times New Roman" w:eastAsia="Times New Roman" w:hAnsi="Times New Roman" w:cs="Times New Roman"/>
          <w:noProof/>
          <w:lang w:val="en-GB"/>
        </w:rPr>
        <w:t xml:space="preserve"> </w:t>
      </w:r>
    </w:p>
    <w:p w14:paraId="19C4D734" w14:textId="77777777" w:rsidR="00A437C8" w:rsidRPr="00291374" w:rsidRDefault="00A437C8" w:rsidP="00A437C8">
      <w:pPr>
        <w:suppressAutoHyphens/>
        <w:autoSpaceDN w:val="0"/>
        <w:spacing w:before="240" w:after="0" w:line="240" w:lineRule="auto"/>
        <w:jc w:val="both"/>
        <w:textAlignment w:val="baseline"/>
        <w:rPr>
          <w:rFonts w:ascii="Times New Roman" w:eastAsia="liberation" w:hAnsi="Times New Roman" w:cs="Times New Roman"/>
          <w:noProof/>
          <w:kern w:val="3"/>
          <w:highlight w:val="yellow"/>
          <w:u w:val="single"/>
          <w:lang w:val="en-GB"/>
        </w:rPr>
      </w:pPr>
      <w:bookmarkStart w:id="11" w:name="_Hlk207792790"/>
      <w:bookmarkEnd w:id="10"/>
      <w:r w:rsidRPr="00291374">
        <w:rPr>
          <w:rFonts w:ascii="Times New Roman" w:eastAsia="liberation" w:hAnsi="Times New Roman" w:cs="Times New Roman"/>
          <w:noProof/>
          <w:kern w:val="3"/>
          <w:u w:val="single"/>
          <w:lang w:val="en-GB"/>
        </w:rPr>
        <w:t xml:space="preserve">Investment 3. Establishment of eHealth </w:t>
      </w:r>
    </w:p>
    <w:p w14:paraId="2F80A163" w14:textId="7852D31A" w:rsidR="00A437C8" w:rsidRPr="00291374" w:rsidRDefault="00A437C8" w:rsidP="00A437C8">
      <w:pPr>
        <w:suppressAutoHyphens/>
        <w:autoSpaceDN w:val="0"/>
        <w:spacing w:before="240" w:after="0" w:line="240" w:lineRule="auto"/>
        <w:jc w:val="both"/>
        <w:textAlignment w:val="baseline"/>
        <w:rPr>
          <w:rFonts w:ascii="Times New Roman" w:eastAsia="Times New Roman" w:hAnsi="Times New Roman" w:cs="Times New Roman"/>
          <w:noProof/>
          <w:kern w:val="3"/>
          <w:lang w:val="en-GB"/>
        </w:rPr>
      </w:pPr>
      <w:r w:rsidRPr="00291374">
        <w:rPr>
          <w:rFonts w:ascii="Times New Roman" w:eastAsia="Times New Roman" w:hAnsi="Times New Roman" w:cs="Times New Roman"/>
          <w:noProof/>
          <w:kern w:val="3"/>
          <w:lang w:val="en-GB"/>
        </w:rPr>
        <w:t>The objective of this investment is to rescale, standardise, and modernise the outdated Health Insurance IT Platform (PIA) to ensure secure, and interoperable digital health services that meet current technological</w:t>
      </w:r>
      <w:r w:rsidR="00D23D91">
        <w:rPr>
          <w:rFonts w:ascii="Times New Roman" w:eastAsia="Times New Roman" w:hAnsi="Times New Roman" w:cs="Times New Roman"/>
          <w:noProof/>
          <w:kern w:val="3"/>
          <w:lang w:val="en-GB"/>
        </w:rPr>
        <w:t xml:space="preserve"> </w:t>
      </w:r>
      <w:r w:rsidRPr="00291374">
        <w:rPr>
          <w:rFonts w:ascii="Times New Roman" w:eastAsia="Times New Roman" w:hAnsi="Times New Roman" w:cs="Times New Roman"/>
          <w:noProof/>
          <w:kern w:val="3"/>
          <w:lang w:val="en-GB"/>
        </w:rPr>
        <w:t xml:space="preserve">and EU-level interoperability requirements. </w:t>
      </w:r>
    </w:p>
    <w:p w14:paraId="74BC0EFB" w14:textId="77777777" w:rsidR="00A437C8" w:rsidRPr="00291374" w:rsidRDefault="00A437C8" w:rsidP="00A437C8">
      <w:pPr>
        <w:spacing w:before="240" w:after="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investment supports the digitalisation of Ministry of Health institutions and public hospitals by modernising PIA and developing integrated IT systems that improve data governance and enable data-driven decisions.</w:t>
      </w:r>
    </w:p>
    <w:p w14:paraId="6D979FFA" w14:textId="77777777" w:rsidR="00A437C8" w:rsidRPr="00291374" w:rsidRDefault="00A437C8" w:rsidP="00A437C8">
      <w:pPr>
        <w:suppressAutoHyphens/>
        <w:autoSpaceDN w:val="0"/>
        <w:spacing w:before="240" w:after="0" w:line="240" w:lineRule="auto"/>
        <w:jc w:val="both"/>
        <w:textAlignment w:val="baseline"/>
        <w:rPr>
          <w:rFonts w:ascii="Times New Roman" w:eastAsia="libe" w:hAnsi="Times New Roman" w:cs="Times New Roman"/>
          <w:noProof/>
          <w:kern w:val="3"/>
          <w:u w:val="single"/>
          <w:lang w:val="en-GB"/>
        </w:rPr>
      </w:pPr>
      <w:r w:rsidRPr="00291374">
        <w:rPr>
          <w:rFonts w:ascii="Times New Roman" w:eastAsia="libe" w:hAnsi="Times New Roman" w:cs="Times New Roman"/>
          <w:noProof/>
          <w:u w:val="single"/>
          <w:lang w:val="en-GB"/>
        </w:rPr>
        <w:t>Investment 4. Digitalisation of the judiciary</w:t>
      </w:r>
    </w:p>
    <w:p w14:paraId="6CE13021"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lang w:val="en-GB"/>
        </w:rPr>
      </w:pPr>
      <w:r w:rsidRPr="00291374">
        <w:rPr>
          <w:rFonts w:ascii="Times New Roman" w:hAnsi="Times New Roman" w:cs="Times New Roman"/>
          <w:noProof/>
          <w:lang w:val="en-GB"/>
        </w:rPr>
        <w:t xml:space="preserve">The objective of this investment is to support the transition of the Romanian judicial system to a centralised electronic case management system. </w:t>
      </w:r>
    </w:p>
    <w:p w14:paraId="16005B00" w14:textId="77777777" w:rsidR="00A437C8" w:rsidRPr="00291374" w:rsidRDefault="00A437C8" w:rsidP="00A437C8">
      <w:pPr>
        <w:spacing w:before="120" w:after="0" w:line="240" w:lineRule="auto"/>
        <w:jc w:val="both"/>
        <w:textAlignment w:val="baseline"/>
        <w:rPr>
          <w:rFonts w:ascii="Times New Roman" w:hAnsi="Times New Roman" w:cs="Times New Roman"/>
          <w:noProof/>
          <w:lang w:val="en-GB"/>
        </w:rPr>
      </w:pPr>
      <w:r w:rsidRPr="00291374">
        <w:rPr>
          <w:rFonts w:ascii="Times New Roman" w:hAnsi="Times New Roman" w:cs="Times New Roman"/>
          <w:noProof/>
          <w:lang w:val="en-GB"/>
        </w:rPr>
        <w:t>The investment consists in:</w:t>
      </w:r>
    </w:p>
    <w:p w14:paraId="26AFCFF7" w14:textId="77777777" w:rsidR="00A437C8" w:rsidRPr="00291374" w:rsidRDefault="00A437C8" w:rsidP="00A437C8">
      <w:pPr>
        <w:numPr>
          <w:ilvl w:val="0"/>
          <w:numId w:val="2"/>
        </w:numPr>
        <w:spacing w:before="120" w:after="120" w:line="240" w:lineRule="auto"/>
        <w:ind w:left="360"/>
        <w:contextualSpacing/>
        <w:jc w:val="both"/>
        <w:rPr>
          <w:rFonts w:ascii="Times New Roman" w:hAnsi="Times New Roman" w:cs="Times New Roman"/>
          <w:noProof/>
          <w:bdr w:val="none" w:sz="0" w:space="0" w:color="auto" w:frame="1"/>
          <w:lang w:val="en-GB"/>
        </w:rPr>
      </w:pPr>
      <w:r w:rsidRPr="00291374">
        <w:rPr>
          <w:rFonts w:ascii="Times New Roman" w:hAnsi="Times New Roman" w:cs="Times New Roman"/>
          <w:noProof/>
          <w:lang w:val="en-GB"/>
        </w:rPr>
        <w:t>the technical transition from local to shared central servers with electronic access of the case files (“e-file”).</w:t>
      </w:r>
    </w:p>
    <w:p w14:paraId="41C9FCB7" w14:textId="7D2F9865" w:rsidR="00A437C8" w:rsidRPr="00291374" w:rsidRDefault="00A437C8" w:rsidP="00A437C8">
      <w:pPr>
        <w:numPr>
          <w:ilvl w:val="0"/>
          <w:numId w:val="2"/>
        </w:numPr>
        <w:spacing w:before="120" w:after="120" w:line="240" w:lineRule="auto"/>
        <w:ind w:left="360"/>
        <w:contextualSpacing/>
        <w:jc w:val="both"/>
        <w:rPr>
          <w:rFonts w:ascii="Times New Roman" w:hAnsi="Times New Roman" w:cs="Times New Roman"/>
          <w:noProof/>
          <w:bdr w:val="none" w:sz="0" w:space="0" w:color="auto" w:frame="1"/>
          <w:lang w:val="en-GB"/>
        </w:rPr>
      </w:pPr>
      <w:r w:rsidRPr="00291374">
        <w:rPr>
          <w:rFonts w:ascii="Times New Roman" w:hAnsi="Times New Roman" w:cs="Times New Roman"/>
          <w:noProof/>
          <w:lang w:val="en-GB"/>
        </w:rPr>
        <w:t>supporting the finalisation of the ECRIS V system, which is the central element of the digital transformation of the judiciary in Romania.</w:t>
      </w:r>
      <w:r w:rsidR="00D23D91">
        <w:rPr>
          <w:rFonts w:ascii="Times New Roman" w:hAnsi="Times New Roman" w:cs="Times New Roman"/>
          <w:noProof/>
          <w:lang w:val="en-GB"/>
        </w:rPr>
        <w:t xml:space="preserve"> </w:t>
      </w:r>
    </w:p>
    <w:p w14:paraId="7CF0C4FB" w14:textId="77777777" w:rsidR="00A437C8" w:rsidRPr="00291374" w:rsidRDefault="00A437C8" w:rsidP="00A437C8">
      <w:pPr>
        <w:numPr>
          <w:ilvl w:val="0"/>
          <w:numId w:val="2"/>
        </w:numPr>
        <w:spacing w:before="120" w:after="120" w:line="240" w:lineRule="auto"/>
        <w:ind w:left="360"/>
        <w:contextualSpacing/>
        <w:jc w:val="both"/>
        <w:rPr>
          <w:rFonts w:ascii="Times New Roman" w:hAnsi="Times New Roman" w:cs="Times New Roman"/>
          <w:noProof/>
          <w:bdr w:val="none" w:sz="0" w:space="0" w:color="auto" w:frame="1"/>
          <w:lang w:val="en-GB"/>
        </w:rPr>
      </w:pPr>
      <w:r w:rsidRPr="00291374">
        <w:rPr>
          <w:rFonts w:ascii="Times New Roman" w:hAnsi="Times New Roman" w:cs="Times New Roman"/>
          <w:noProof/>
          <w:lang w:val="en-GB"/>
        </w:rPr>
        <w:t xml:space="preserve">setting up the data centre for the judiciary hosting ECRIS V and other IT systems, </w:t>
      </w:r>
    </w:p>
    <w:p w14:paraId="3BC1BC7B" w14:textId="1CC1428D" w:rsidR="00A437C8" w:rsidRPr="00291374" w:rsidRDefault="00A437C8" w:rsidP="00A437C8">
      <w:pPr>
        <w:numPr>
          <w:ilvl w:val="0"/>
          <w:numId w:val="2"/>
        </w:numPr>
        <w:spacing w:before="120" w:after="120" w:line="240" w:lineRule="auto"/>
        <w:ind w:left="360"/>
        <w:contextualSpacing/>
        <w:jc w:val="both"/>
        <w:rPr>
          <w:rFonts w:ascii="Times New Roman" w:hAnsi="Times New Roman" w:cs="Times New Roman"/>
          <w:noProof/>
          <w:bdr w:val="none" w:sz="0" w:space="0" w:color="auto" w:frame="1"/>
          <w:lang w:val="en-GB"/>
        </w:rPr>
      </w:pPr>
      <w:r w:rsidRPr="00291374">
        <w:rPr>
          <w:rFonts w:ascii="Times New Roman" w:hAnsi="Times New Roman" w:cs="Times New Roman"/>
          <w:noProof/>
          <w:lang w:val="en-GB"/>
        </w:rPr>
        <w:t xml:space="preserve">the procurement of Information Technology &amp; Communication (IT&amp;C) equipment, </w:t>
      </w:r>
      <w:r w:rsidRPr="45F8C5A5">
        <w:rPr>
          <w:rFonts w:ascii="Times New Roman" w:hAnsi="Times New Roman" w:cs="Times New Roman"/>
          <w:noProof/>
          <w:lang w:val="en-GB"/>
        </w:rPr>
        <w:t>softw</w:t>
      </w:r>
      <w:r w:rsidR="0FBDEAB9" w:rsidRPr="45F8C5A5">
        <w:rPr>
          <w:rFonts w:ascii="Times New Roman" w:hAnsi="Times New Roman" w:cs="Times New Roman"/>
          <w:noProof/>
          <w:lang w:val="en-GB"/>
        </w:rPr>
        <w:t>a</w:t>
      </w:r>
      <w:r w:rsidRPr="45F8C5A5">
        <w:rPr>
          <w:rFonts w:ascii="Times New Roman" w:hAnsi="Times New Roman" w:cs="Times New Roman"/>
          <w:noProof/>
          <w:lang w:val="en-GB"/>
        </w:rPr>
        <w:t>re</w:t>
      </w:r>
      <w:r w:rsidRPr="00291374">
        <w:rPr>
          <w:rFonts w:ascii="Times New Roman" w:hAnsi="Times New Roman" w:cs="Times New Roman"/>
          <w:noProof/>
          <w:lang w:val="en-GB"/>
        </w:rPr>
        <w:t xml:space="preserve"> and services to support the digital transformation in the judicial sector. </w:t>
      </w:r>
    </w:p>
    <w:bookmarkEnd w:id="11"/>
    <w:p w14:paraId="126898B9" w14:textId="77777777" w:rsidR="00A437C8" w:rsidRPr="00291374" w:rsidRDefault="00A437C8" w:rsidP="00A437C8">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Investment 5. Digitalisation in the field of the environment</w:t>
      </w:r>
    </w:p>
    <w:p w14:paraId="51B7A31C" w14:textId="77777777" w:rsidR="00A437C8" w:rsidRPr="00291374" w:rsidRDefault="00A437C8" w:rsidP="00A437C8">
      <w:pPr>
        <w:spacing w:before="120" w:after="0" w:line="240" w:lineRule="auto"/>
        <w:jc w:val="both"/>
        <w:textAlignment w:val="baseline"/>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establish an integrated IT system to combat illegal logging and a platform for environmental public services. </w:t>
      </w:r>
    </w:p>
    <w:p w14:paraId="0CF941F7" w14:textId="77777777" w:rsidR="00A437C8" w:rsidRPr="00291374" w:rsidRDefault="00A437C8" w:rsidP="00A437C8">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w:t>
      </w:r>
    </w:p>
    <w:p w14:paraId="51645D92" w14:textId="3F8A20DA" w:rsidR="00A437C8" w:rsidRPr="00291374" w:rsidRDefault="00A437C8" w:rsidP="00A437C8">
      <w:pPr>
        <w:numPr>
          <w:ilvl w:val="0"/>
          <w:numId w:val="2"/>
        </w:numPr>
        <w:spacing w:line="259" w:lineRule="auto"/>
        <w:ind w:left="360"/>
        <w:rPr>
          <w:rFonts w:ascii="Times New Roman" w:hAnsi="Times New Roman" w:cs="Times New Roman"/>
          <w:noProof/>
          <w:lang w:val="en-GB"/>
        </w:rPr>
      </w:pPr>
      <w:r w:rsidRPr="00291374">
        <w:rPr>
          <w:rFonts w:ascii="Times New Roman" w:hAnsi="Times New Roman" w:cs="Times New Roman"/>
          <w:noProof/>
          <w:lang w:val="en-GB" w:eastAsia="en-IE"/>
        </w:rPr>
        <w:t>the set-up of the necessary infrastructure for the monitoring, management, control and assurance of forest integrity and the transport of wood,</w:t>
      </w:r>
      <w:r w:rsidR="00D23D91">
        <w:rPr>
          <w:rFonts w:ascii="Times New Roman" w:hAnsi="Times New Roman" w:cs="Times New Roman"/>
          <w:noProof/>
          <w:lang w:val="en-GB" w:eastAsia="en-IE"/>
        </w:rPr>
        <w:t xml:space="preserve"> </w:t>
      </w:r>
    </w:p>
    <w:p w14:paraId="126696C3" w14:textId="77777777" w:rsidR="00A437C8" w:rsidRPr="00291374" w:rsidRDefault="00A437C8" w:rsidP="00A437C8">
      <w:pPr>
        <w:numPr>
          <w:ilvl w:val="0"/>
          <w:numId w:val="2"/>
        </w:numPr>
        <w:spacing w:before="240" w:line="259" w:lineRule="auto"/>
        <w:ind w:left="360"/>
        <w:contextualSpacing/>
        <w:rPr>
          <w:rFonts w:ascii="Times New Roman" w:eastAsia="lib" w:hAnsi="Times New Roman" w:cs="Times New Roman"/>
          <w:noProof/>
          <w:u w:val="single"/>
          <w:lang w:val="en-GB"/>
        </w:rPr>
      </w:pPr>
      <w:r w:rsidRPr="00291374">
        <w:rPr>
          <w:rFonts w:ascii="Times New Roman" w:hAnsi="Times New Roman" w:cs="Times New Roman"/>
          <w:noProof/>
          <w:lang w:val="en-GB" w:eastAsia="en-IE"/>
        </w:rPr>
        <w:t>the digitalisation of environmental public services.</w:t>
      </w:r>
    </w:p>
    <w:p w14:paraId="04B27FD3" w14:textId="77777777" w:rsidR="00A437C8" w:rsidRPr="00291374" w:rsidRDefault="00A437C8" w:rsidP="00A437C8">
      <w:pPr>
        <w:spacing w:before="240"/>
        <w:rPr>
          <w:rFonts w:ascii="Times New Roman" w:eastAsia="NSimSun" w:hAnsi="Times New Roman" w:cs="Times New Roman"/>
          <w:noProof/>
          <w:kern w:val="3"/>
          <w:u w:val="single"/>
          <w:lang w:val="en-GB"/>
        </w:rPr>
      </w:pPr>
      <w:r w:rsidRPr="00291374">
        <w:rPr>
          <w:rFonts w:ascii="Times New Roman" w:eastAsia="NSimSun" w:hAnsi="Times New Roman" w:cs="Times New Roman"/>
          <w:noProof/>
          <w:kern w:val="3"/>
          <w:u w:val="single"/>
          <w:lang w:val="en-GB"/>
        </w:rPr>
        <w:t>Investment 6. Digitalisation in employment and social protection</w:t>
      </w:r>
    </w:p>
    <w:p w14:paraId="4EDE71FB" w14:textId="77777777" w:rsidR="00A437C8" w:rsidRPr="00291374" w:rsidRDefault="00A437C8" w:rsidP="00A437C8">
      <w:pPr>
        <w:spacing w:before="120" w:after="0" w:line="240" w:lineRule="auto"/>
        <w:jc w:val="both"/>
        <w:textAlignment w:val="baseline"/>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increase the level of digitalisation for several services in the field of labour and social protection. </w:t>
      </w:r>
    </w:p>
    <w:p w14:paraId="46C78A17" w14:textId="77777777" w:rsidR="00A437C8" w:rsidRPr="00291374" w:rsidRDefault="00A437C8" w:rsidP="00A437C8">
      <w:pPr>
        <w:spacing w:before="120" w:after="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the establishment of digital systems and the provision of trainings on digital skills for employees </w:t>
      </w:r>
      <w:bookmarkStart w:id="12" w:name="_Hlk208396728"/>
      <w:r w:rsidRPr="00291374">
        <w:rPr>
          <w:rFonts w:ascii="Times New Roman" w:hAnsi="Times New Roman" w:cs="Times New Roman"/>
          <w:noProof/>
          <w:lang w:val="en-GB"/>
        </w:rPr>
        <w:t>for the National Employment Agency (ANOFM), the Labour Inspectorate (IM), the National Agency for Payments and Social Inspection (ANPIS).</w:t>
      </w:r>
      <w:bookmarkEnd w:id="12"/>
    </w:p>
    <w:p w14:paraId="70098160" w14:textId="77777777" w:rsidR="00A437C8" w:rsidRPr="00291374" w:rsidRDefault="00A437C8" w:rsidP="00A437C8">
      <w:pPr>
        <w:suppressAutoHyphens/>
        <w:autoSpaceDN w:val="0"/>
        <w:spacing w:before="240" w:after="0" w:line="240" w:lineRule="auto"/>
        <w:jc w:val="both"/>
        <w:textAlignment w:val="baseline"/>
        <w:rPr>
          <w:rFonts w:ascii="Times New Roman" w:eastAsia="Times New Roman" w:hAnsi="Times New Roman" w:cs="Times New Roman"/>
          <w:i/>
          <w:iCs/>
          <w:noProof/>
          <w:kern w:val="3"/>
          <w:u w:val="single"/>
          <w:lang w:val="en-GB"/>
        </w:rPr>
      </w:pPr>
      <w:r w:rsidRPr="00291374">
        <w:rPr>
          <w:rFonts w:ascii="Times New Roman" w:eastAsia="NSimSun" w:hAnsi="Times New Roman" w:cs="Times New Roman"/>
          <w:noProof/>
          <w:kern w:val="3"/>
          <w:u w:val="single"/>
          <w:lang w:val="en-GB"/>
        </w:rPr>
        <w:t>Investment 7. Introduction of electronic forms (eForms) in the field of public procurement</w:t>
      </w:r>
    </w:p>
    <w:p w14:paraId="37B524BB" w14:textId="77777777" w:rsidR="00A437C8" w:rsidRPr="00291374" w:rsidRDefault="00A437C8" w:rsidP="00A437C8">
      <w:pPr>
        <w:spacing w:before="120" w:after="0" w:line="240" w:lineRule="auto"/>
        <w:textAlignment w:val="baseline"/>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introduce standard electronic forms for the publication of public procurement notices. </w:t>
      </w:r>
    </w:p>
    <w:p w14:paraId="3B4EE04B" w14:textId="77777777" w:rsidR="00A437C8" w:rsidRPr="00291374" w:rsidRDefault="00A437C8" w:rsidP="00A437C8">
      <w:pPr>
        <w:spacing w:before="120" w:after="0" w:line="240" w:lineRule="auto"/>
        <w:textAlignment w:val="baseline"/>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analysing the established standards to introduce standard electronic forms in the field of public procurement. </w:t>
      </w:r>
    </w:p>
    <w:p w14:paraId="5BFF663A" w14:textId="77777777" w:rsidR="00A437C8" w:rsidRPr="00291374" w:rsidRDefault="00A437C8" w:rsidP="00A437C8">
      <w:pPr>
        <w:spacing w:before="120" w:after="0" w:line="240" w:lineRule="auto"/>
        <w:textAlignment w:val="baseline"/>
        <w:rPr>
          <w:rFonts w:ascii="Times New Roman" w:eastAsia="liberation" w:hAnsi="Times New Roman" w:cs="Times New Roman"/>
          <w:noProof/>
          <w:u w:val="single"/>
          <w:lang w:val="en-GB"/>
        </w:rPr>
      </w:pPr>
      <w:r w:rsidRPr="00291374">
        <w:rPr>
          <w:rFonts w:ascii="Times New Roman" w:eastAsia="liberation" w:hAnsi="Times New Roman" w:cs="Times New Roman"/>
          <w:noProof/>
          <w:u w:val="single"/>
          <w:lang w:val="en-GB"/>
        </w:rPr>
        <w:t>Investment 8. Electronic identity card and digital signature</w:t>
      </w:r>
    </w:p>
    <w:p w14:paraId="700195C2" w14:textId="77777777" w:rsidR="00A437C8" w:rsidRPr="00291374" w:rsidRDefault="00A437C8" w:rsidP="00A437C8">
      <w:pPr>
        <w:spacing w:before="120" w:after="0" w:line="240" w:lineRule="auto"/>
        <w:textAlignment w:val="baseline"/>
        <w:rPr>
          <w:rFonts w:ascii="Times New Roman" w:eastAsia="Times New Roman" w:hAnsi="Times New Roman" w:cs="Times New Roman"/>
          <w:noProof/>
          <w:kern w:val="3"/>
          <w:lang w:val="en-GB"/>
        </w:rPr>
      </w:pPr>
      <w:r w:rsidRPr="00291374">
        <w:rPr>
          <w:rFonts w:ascii="Times New Roman" w:eastAsia="Times New Roman" w:hAnsi="Times New Roman" w:cs="Times New Roman"/>
          <w:noProof/>
          <w:kern w:val="3"/>
          <w:lang w:val="en-GB"/>
        </w:rPr>
        <w:t xml:space="preserve">The objective of this investment is to support the adoption of electronic identity cards (e-ID cards) by Romanian citizens. </w:t>
      </w:r>
    </w:p>
    <w:p w14:paraId="07DB39C0" w14:textId="77777777" w:rsidR="00A437C8" w:rsidRPr="00291374" w:rsidRDefault="00A437C8" w:rsidP="00A437C8">
      <w:pPr>
        <w:spacing w:before="120" w:after="0" w:line="240" w:lineRule="auto"/>
        <w:textAlignment w:val="baseline"/>
        <w:rPr>
          <w:rFonts w:ascii="Times New Roman" w:eastAsia="Times New Roman" w:hAnsi="Times New Roman" w:cs="Times New Roman"/>
          <w:noProof/>
          <w:highlight w:val="yellow"/>
          <w:u w:val="single"/>
          <w:lang w:val="en-GB"/>
        </w:rPr>
      </w:pPr>
      <w:r w:rsidRPr="00291374">
        <w:rPr>
          <w:rFonts w:ascii="Times New Roman" w:eastAsia="Times New Roman" w:hAnsi="Times New Roman" w:cs="Times New Roman"/>
          <w:noProof/>
          <w:kern w:val="3"/>
          <w:lang w:val="en-GB"/>
        </w:rPr>
        <w:t>This investment</w:t>
      </w:r>
      <w:r w:rsidRPr="00291374">
        <w:rPr>
          <w:rFonts w:ascii="Times New Roman" w:eastAsia="Times New Roman" w:hAnsi="Times New Roman" w:cs="Times New Roman"/>
          <w:noProof/>
          <w:lang w:val="en-GB"/>
        </w:rPr>
        <w:t xml:space="preserve"> consists in the provision of electronic identity cards and the delivery of online public services accessible using the electronic identity cards.</w:t>
      </w:r>
    </w:p>
    <w:p w14:paraId="00434169" w14:textId="77777777" w:rsidR="00A437C8" w:rsidRPr="00291374" w:rsidRDefault="00A437C8" w:rsidP="00A437C8">
      <w:pPr>
        <w:spacing w:before="120" w:after="0" w:line="240" w:lineRule="auto"/>
        <w:textAlignment w:val="baseline"/>
        <w:rPr>
          <w:rFonts w:ascii="Times New Roman" w:eastAsia="lib" w:hAnsi="Times New Roman" w:cs="Times New Roman"/>
          <w:noProof/>
          <w:u w:val="single"/>
          <w:lang w:val="en-GB"/>
        </w:rPr>
      </w:pPr>
      <w:r w:rsidRPr="00291374">
        <w:rPr>
          <w:rFonts w:ascii="Times New Roman" w:eastAsia="lib" w:hAnsi="Times New Roman" w:cs="Times New Roman"/>
          <w:noProof/>
          <w:u w:val="single"/>
          <w:lang w:val="en-GB"/>
        </w:rPr>
        <w:t>Investment 9. Digitalisation of the non-governmental organisations sector</w:t>
      </w:r>
    </w:p>
    <w:p w14:paraId="2F3117A3" w14:textId="77777777" w:rsidR="00A437C8" w:rsidRPr="00291374" w:rsidRDefault="00A437C8" w:rsidP="00A437C8">
      <w:pPr>
        <w:spacing w:before="120" w:after="0" w:line="240" w:lineRule="auto"/>
        <w:textAlignment w:val="baseline"/>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objective of this investment is to support the digital transformation of non-governmental organisations (NGOs) and to increase the level of digital literacy among employees.</w:t>
      </w:r>
    </w:p>
    <w:p w14:paraId="09648E6E" w14:textId="77777777" w:rsidR="00A437C8" w:rsidRPr="00291374" w:rsidRDefault="00A437C8" w:rsidP="00A437C8">
      <w:pPr>
        <w:spacing w:before="120" w:after="0" w:line="240" w:lineRule="auto"/>
        <w:textAlignment w:val="baseline"/>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investment consists in a call for projects and the signature of financing agreements to NGOs for investments in digital infrastructure, digital skills of staff and volunteers, development of Customer Relationship Management platforms, and purchase of equipment.</w:t>
      </w:r>
    </w:p>
    <w:p w14:paraId="71B8B506" w14:textId="77777777" w:rsidR="00A437C8" w:rsidRPr="00291374" w:rsidRDefault="00A437C8" w:rsidP="00A437C8">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 xml:space="preserve">Investment 10. Digital transformation in civil service management </w:t>
      </w:r>
    </w:p>
    <w:p w14:paraId="5605A7AE"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lang w:val="en-GB"/>
        </w:rPr>
      </w:pPr>
      <w:r w:rsidRPr="00291374">
        <w:rPr>
          <w:rFonts w:ascii="Times New Roman" w:hAnsi="Times New Roman" w:cs="Times New Roman"/>
          <w:noProof/>
          <w:lang w:val="en-GB"/>
        </w:rPr>
        <w:t xml:space="preserve">The objective of this investment is to support civil service management. </w:t>
      </w:r>
    </w:p>
    <w:p w14:paraId="31FEABD5" w14:textId="77777777" w:rsidR="00A437C8" w:rsidRPr="00291374" w:rsidRDefault="00A437C8" w:rsidP="00A437C8">
      <w:pPr>
        <w:spacing w:before="120" w:after="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setting up two interoperable platforms, e-ANFP and SIMRU. </w:t>
      </w:r>
    </w:p>
    <w:p w14:paraId="1212DA41" w14:textId="787FC66A" w:rsidR="00A437C8" w:rsidRPr="00291374" w:rsidRDefault="00A437C8" w:rsidP="00A437C8">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 xml:space="preserve">Investment 11. </w:t>
      </w:r>
      <w:r w:rsidRPr="00291374" w:rsidDel="00B41075">
        <w:rPr>
          <w:rFonts w:ascii="Times New Roman" w:eastAsia="NSimSun" w:hAnsi="Times New Roman" w:cs="Times New Roman"/>
          <w:noProof/>
          <w:u w:val="single"/>
          <w:lang w:val="en-GB"/>
        </w:rPr>
        <w:t>S</w:t>
      </w:r>
      <w:r w:rsidRPr="00291374">
        <w:rPr>
          <w:rFonts w:ascii="Times New Roman" w:eastAsia="NSimSun" w:hAnsi="Times New Roman" w:cs="Times New Roman"/>
          <w:noProof/>
          <w:u w:val="single"/>
          <w:lang w:val="en-GB"/>
        </w:rPr>
        <w:t>upport to the use of communication services</w:t>
      </w:r>
      <w:r w:rsidR="00D23D91">
        <w:rPr>
          <w:rFonts w:ascii="Times New Roman" w:eastAsia="NSimSun" w:hAnsi="Times New Roman" w:cs="Times New Roman"/>
          <w:noProof/>
          <w:u w:val="single"/>
          <w:lang w:val="en-GB"/>
        </w:rPr>
        <w:t xml:space="preserve"> </w:t>
      </w:r>
      <w:r w:rsidRPr="00291374">
        <w:rPr>
          <w:rFonts w:ascii="Times New Roman" w:eastAsia="NSimSun" w:hAnsi="Times New Roman" w:cs="Times New Roman"/>
          <w:noProof/>
          <w:u w:val="single"/>
          <w:lang w:val="en-GB"/>
        </w:rPr>
        <w:t>in white areas</w:t>
      </w:r>
    </w:p>
    <w:p w14:paraId="784BBB36" w14:textId="77777777" w:rsidR="00A437C8" w:rsidRPr="00291374" w:rsidRDefault="00A437C8" w:rsidP="00A437C8">
      <w:pPr>
        <w:suppressAutoHyphens/>
        <w:autoSpaceDN w:val="0"/>
        <w:spacing w:before="240" w:after="0" w:line="240" w:lineRule="auto"/>
        <w:jc w:val="both"/>
        <w:textAlignment w:val="baseline"/>
        <w:rPr>
          <w:rFonts w:ascii="Times New Roman" w:eastAsia="NSimSun" w:hAnsi="Times New Roman" w:cs="Times New Roman"/>
          <w:noProof/>
          <w:kern w:val="3"/>
          <w:lang w:val="en-GB"/>
        </w:rPr>
      </w:pPr>
      <w:r w:rsidRPr="00291374">
        <w:rPr>
          <w:rFonts w:ascii="Times New Roman" w:eastAsia="NSimSun" w:hAnsi="Times New Roman" w:cs="Times New Roman"/>
          <w:noProof/>
          <w:kern w:val="3"/>
          <w:lang w:val="en-GB"/>
        </w:rPr>
        <w:t>The objective of this investment is to provide coverage of very high-speed internet access to villages in white areas where the market cannot deliver services.</w:t>
      </w:r>
    </w:p>
    <w:p w14:paraId="0C5A1163" w14:textId="77777777" w:rsidR="00A437C8" w:rsidRPr="00291374" w:rsidRDefault="00A437C8" w:rsidP="00A437C8">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lang w:val="en-GB"/>
        </w:rPr>
        <w:t>The investment consists in pr</w:t>
      </w:r>
      <w:r w:rsidRPr="00291374">
        <w:rPr>
          <w:rFonts w:ascii="Times New Roman" w:eastAsia="NSimSun" w:hAnsi="Times New Roman" w:cs="Times New Roman"/>
          <w:noProof/>
          <w:lang w:val="en-GB"/>
        </w:rPr>
        <w:t>oviding coverage to villages by prioritising firstly totally white municipalities not served with fixed networks, but where there is latent demand or socio-economic drivers and secondly underserved municipalities where speed cannot be supported by market forces.</w:t>
      </w:r>
    </w:p>
    <w:p w14:paraId="7659C5B9" w14:textId="67E99C5A" w:rsidR="00A437C8" w:rsidRPr="00291374" w:rsidRDefault="00A437C8" w:rsidP="00A437C8">
      <w:pPr>
        <w:suppressAutoHyphens/>
        <w:autoSpaceDN w:val="0"/>
        <w:spacing w:before="240" w:after="0" w:line="240" w:lineRule="auto"/>
        <w:jc w:val="both"/>
        <w:textAlignment w:val="baseline"/>
        <w:rPr>
          <w:rFonts w:ascii="Times New Roman" w:eastAsia="NSimSun" w:hAnsi="Times New Roman" w:cs="Times New Roman"/>
          <w:noProof/>
          <w:kern w:val="3"/>
          <w:u w:val="single"/>
          <w:lang w:val="en-GB"/>
        </w:rPr>
      </w:pPr>
      <w:r w:rsidRPr="00291374">
        <w:rPr>
          <w:rFonts w:ascii="Times New Roman" w:eastAsia="NSimSun" w:hAnsi="Times New Roman" w:cs="Times New Roman"/>
          <w:noProof/>
          <w:kern w:val="3"/>
          <w:u w:val="single"/>
          <w:lang w:val="en-GB"/>
        </w:rPr>
        <w:t>Investment 12. Ensuring cybersecurity protection for both public and private IT &amp; C infrastructures important</w:t>
      </w:r>
      <w:r w:rsidR="00D23D91">
        <w:rPr>
          <w:rFonts w:ascii="Times New Roman" w:eastAsia="NSimSun" w:hAnsi="Times New Roman" w:cs="Times New Roman"/>
          <w:noProof/>
          <w:kern w:val="3"/>
          <w:u w:val="single"/>
          <w:lang w:val="en-GB"/>
        </w:rPr>
        <w:t xml:space="preserve"> </w:t>
      </w:r>
      <w:r w:rsidRPr="00291374">
        <w:rPr>
          <w:rFonts w:ascii="Times New Roman" w:eastAsia="NSimSun" w:hAnsi="Times New Roman" w:cs="Times New Roman"/>
          <w:noProof/>
          <w:kern w:val="3"/>
          <w:u w:val="single"/>
          <w:lang w:val="en-GB"/>
        </w:rPr>
        <w:t>for national security</w:t>
      </w:r>
    </w:p>
    <w:p w14:paraId="6D034456" w14:textId="77777777" w:rsidR="00A437C8" w:rsidRPr="00291374" w:rsidRDefault="00A437C8" w:rsidP="00A437C8">
      <w:pPr>
        <w:suppressAutoHyphens/>
        <w:autoSpaceDN w:val="0"/>
        <w:spacing w:before="240" w:after="0" w:line="240" w:lineRule="auto"/>
        <w:jc w:val="both"/>
        <w:textAlignment w:val="baseline"/>
        <w:rPr>
          <w:rFonts w:ascii="Times New Roman" w:hAnsi="Times New Roman" w:cs="Times New Roman"/>
          <w:noProof/>
          <w:lang w:val="en-GB" w:eastAsia="en-IE"/>
        </w:rPr>
      </w:pPr>
      <w:r w:rsidRPr="00291374">
        <w:rPr>
          <w:rFonts w:ascii="Times New Roman" w:hAnsi="Times New Roman" w:cs="Times New Roman"/>
          <w:noProof/>
          <w:lang w:val="en-GB" w:eastAsia="en-IE"/>
        </w:rPr>
        <w:t>The objective of this investment is to enhance cybersecurity and protect critical infrastructure.</w:t>
      </w:r>
    </w:p>
    <w:p w14:paraId="31619A71" w14:textId="77777777" w:rsidR="00A437C8" w:rsidRPr="00291374" w:rsidRDefault="00A437C8" w:rsidP="00A437C8">
      <w:pPr>
        <w:suppressAutoHyphens/>
        <w:autoSpaceDN w:val="0"/>
        <w:spacing w:before="240" w:after="0" w:line="240" w:lineRule="auto"/>
        <w:jc w:val="both"/>
        <w:textAlignment w:val="baseline"/>
        <w:rPr>
          <w:rFonts w:ascii="Times New Roman" w:hAnsi="Times New Roman" w:cs="Times New Roman"/>
          <w:noProof/>
          <w:lang w:val="en-GB" w:eastAsia="en-IE"/>
        </w:rPr>
      </w:pPr>
      <w:r w:rsidRPr="00291374">
        <w:rPr>
          <w:rFonts w:ascii="Times New Roman" w:hAnsi="Times New Roman" w:cs="Times New Roman"/>
          <w:noProof/>
          <w:lang w:val="en-GB" w:eastAsia="en-IE"/>
        </w:rPr>
        <w:t>The investment consists in increasing the capacity of the Cyberint National Centre and ensuring the cyber security of the infrastructures of public and private entities.</w:t>
      </w:r>
    </w:p>
    <w:p w14:paraId="086EBCFE" w14:textId="77777777" w:rsidR="00A437C8" w:rsidRPr="00291374" w:rsidRDefault="00A437C8" w:rsidP="00A437C8">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u w:val="single"/>
          <w:lang w:val="en-GB"/>
        </w:rPr>
        <w:t>Investment 13. Development of security systems for the protection of the government spectrum</w:t>
      </w:r>
    </w:p>
    <w:p w14:paraId="1B550AE2" w14:textId="77777777" w:rsidR="00A437C8" w:rsidRPr="00291374" w:rsidRDefault="00A437C8" w:rsidP="00A437C8">
      <w:pPr>
        <w:spacing w:before="120" w:after="0" w:line="240" w:lineRule="auto"/>
        <w:jc w:val="both"/>
        <w:textAlignment w:val="baseline"/>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increase the level of protection and availability of communication services. </w:t>
      </w:r>
    </w:p>
    <w:p w14:paraId="288F32D4"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lang w:val="en-GB"/>
        </w:rPr>
      </w:pPr>
      <w:r w:rsidRPr="00291374">
        <w:rPr>
          <w:rFonts w:ascii="Times New Roman" w:hAnsi="Times New Roman" w:cs="Times New Roman"/>
          <w:noProof/>
          <w:lang w:val="en-GB"/>
        </w:rPr>
        <w:t xml:space="preserve">The investment consists in a new network of sensors distributed at the national level and placed on reception sites to detect and alert automatically in case of disturbances in the radio governmental spectrum. </w:t>
      </w:r>
    </w:p>
    <w:p w14:paraId="189DC7BC" w14:textId="77777777" w:rsidR="00A437C8" w:rsidRPr="00291374" w:rsidRDefault="00A437C8" w:rsidP="00A437C8">
      <w:pPr>
        <w:suppressAutoHyphens/>
        <w:autoSpaceDN w:val="0"/>
        <w:spacing w:before="120" w:after="0" w:line="240" w:lineRule="auto"/>
        <w:textAlignment w:val="baseline"/>
        <w:rPr>
          <w:rFonts w:ascii="Times New Roman" w:eastAsia="NSimSun" w:hAnsi="Times New Roman" w:cs="Times New Roman"/>
          <w:noProof/>
          <w:kern w:val="3"/>
          <w:u w:val="single"/>
          <w:lang w:val="en-GB"/>
        </w:rPr>
      </w:pPr>
      <w:r w:rsidRPr="00291374">
        <w:rPr>
          <w:rFonts w:ascii="Times New Roman" w:eastAsia="NSimSun" w:hAnsi="Times New Roman" w:cs="Times New Roman"/>
          <w:noProof/>
          <w:kern w:val="3"/>
          <w:u w:val="single"/>
          <w:lang w:val="en-GB"/>
        </w:rPr>
        <w:t>Investment 14. Increase of the resilience and cybersecurity of Internet Service Provider infrastructure services provided to public authorities in Romania</w:t>
      </w:r>
    </w:p>
    <w:p w14:paraId="78042D2B"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lang w:val="en-GB"/>
        </w:rPr>
      </w:pPr>
      <w:r w:rsidRPr="00291374">
        <w:rPr>
          <w:rFonts w:ascii="Times New Roman" w:hAnsi="Times New Roman" w:cs="Times New Roman"/>
          <w:noProof/>
          <w:lang w:val="en-GB"/>
        </w:rPr>
        <w:t>The objective of this investment is to increase the resilience of the Internet Service Provider (ISP) infrastructure for the public authorities, while ensuring their cybersecurity.</w:t>
      </w:r>
    </w:p>
    <w:p w14:paraId="5345BB76" w14:textId="77777777" w:rsidR="00A437C8" w:rsidRPr="00291374" w:rsidRDefault="00A437C8" w:rsidP="00A437C8">
      <w:pPr>
        <w:spacing w:before="120" w:after="0" w:line="240" w:lineRule="auto"/>
        <w:jc w:val="both"/>
        <w:textAlignment w:val="baseline"/>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updating and expanding the gigabit internet access network for the public administration, upgradingthe cybersecurity capabilities and securing the ISP services (DNS, web, e-mail, hosting). </w:t>
      </w:r>
    </w:p>
    <w:p w14:paraId="35358CFD" w14:textId="4F72AEEA" w:rsidR="00A437C8" w:rsidRPr="00291374" w:rsidRDefault="00A437C8" w:rsidP="00A437C8">
      <w:pPr>
        <w:suppressAutoHyphens/>
        <w:autoSpaceDN w:val="0"/>
        <w:spacing w:before="120" w:after="0" w:line="240" w:lineRule="auto"/>
        <w:jc w:val="both"/>
        <w:textAlignment w:val="baseline"/>
        <w:rPr>
          <w:rFonts w:ascii="Times New Roman" w:eastAsia="NSimSun" w:hAnsi="Times New Roman" w:cs="Times New Roman"/>
          <w:noProof/>
          <w:kern w:val="3"/>
          <w:u w:val="single"/>
          <w:lang w:val="en-GB"/>
        </w:rPr>
      </w:pPr>
      <w:r w:rsidRPr="00291374">
        <w:rPr>
          <w:rFonts w:ascii="Times New Roman" w:eastAsia="NSimSun" w:hAnsi="Times New Roman" w:cs="Times New Roman"/>
          <w:noProof/>
          <w:u w:val="single"/>
          <w:lang w:val="en-GB"/>
        </w:rPr>
        <w:t>Investment 15.</w:t>
      </w:r>
      <w:r w:rsidR="00D23D91">
        <w:rPr>
          <w:rFonts w:ascii="Times New Roman" w:eastAsia="NSimSun" w:hAnsi="Times New Roman" w:cs="Times New Roman"/>
          <w:noProof/>
          <w:u w:val="single"/>
          <w:lang w:val="en-GB"/>
        </w:rPr>
        <w:t xml:space="preserve"> </w:t>
      </w:r>
      <w:r w:rsidRPr="00291374">
        <w:rPr>
          <w:rFonts w:ascii="Times New Roman" w:eastAsia="NSimSun" w:hAnsi="Times New Roman" w:cs="Times New Roman"/>
          <w:noProof/>
          <w:u w:val="single"/>
          <w:lang w:val="en-GB"/>
        </w:rPr>
        <w:t xml:space="preserve">Cybersecurity skills for identified entities </w:t>
      </w:r>
    </w:p>
    <w:p w14:paraId="626E87B2" w14:textId="77777777" w:rsidR="00A437C8" w:rsidRPr="00291374" w:rsidRDefault="00A437C8" w:rsidP="00A437C8">
      <w:pPr>
        <w:spacing w:before="120" w:after="0" w:line="240" w:lineRule="auto"/>
        <w:jc w:val="both"/>
        <w:textAlignment w:val="baseline"/>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support the enhancement of cybersecurity skills for identified entities </w:t>
      </w:r>
    </w:p>
    <w:p w14:paraId="4558A3EF" w14:textId="77777777" w:rsidR="00A437C8" w:rsidRPr="00291374" w:rsidRDefault="00A437C8" w:rsidP="00A437C8">
      <w:pPr>
        <w:spacing w:before="120" w:after="0" w:line="240" w:lineRule="auto"/>
        <w:jc w:val="both"/>
        <w:rPr>
          <w:rFonts w:ascii="Times New Roman" w:hAnsi="Times New Roman" w:cs="Times New Roman"/>
          <w:noProof/>
          <w:lang w:val="en-GB"/>
        </w:rPr>
      </w:pPr>
      <w:r w:rsidRPr="00291374">
        <w:rPr>
          <w:rFonts w:ascii="Times New Roman" w:hAnsi="Times New Roman" w:cs="Times New Roman"/>
          <w:noProof/>
          <w:lang w:val="en-GB"/>
        </w:rPr>
        <w:t>The investment consists in the creation and delivery of a government cybersecurity toolkit.</w:t>
      </w:r>
    </w:p>
    <w:p w14:paraId="7495F3B8" w14:textId="77777777" w:rsidR="00A437C8" w:rsidRPr="00291374" w:rsidRDefault="00A437C8" w:rsidP="00A437C8">
      <w:pPr>
        <w:suppressAutoHyphens/>
        <w:autoSpaceDN w:val="0"/>
        <w:spacing w:before="240" w:after="0" w:line="240" w:lineRule="auto"/>
        <w:jc w:val="both"/>
        <w:textAlignment w:val="baseline"/>
        <w:rPr>
          <w:rFonts w:ascii="Times New Roman" w:eastAsia="Times New Roman" w:hAnsi="Times New Roman" w:cs="Times New Roman"/>
          <w:i/>
          <w:iCs/>
          <w:noProof/>
          <w:kern w:val="3"/>
          <w:u w:val="single"/>
          <w:lang w:val="en-GB"/>
        </w:rPr>
      </w:pPr>
      <w:r w:rsidRPr="00291374">
        <w:rPr>
          <w:rFonts w:ascii="Times New Roman" w:eastAsia="NSimSun" w:hAnsi="Times New Roman" w:cs="Times New Roman"/>
          <w:noProof/>
          <w:kern w:val="3"/>
          <w:u w:val="single"/>
          <w:lang w:val="en-GB"/>
        </w:rPr>
        <w:t>Investment 16. Training programme for civil servants on digital skills</w:t>
      </w:r>
    </w:p>
    <w:p w14:paraId="37B3C943" w14:textId="77777777" w:rsidR="00A437C8" w:rsidRPr="00291374" w:rsidRDefault="00A437C8" w:rsidP="00A437C8">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this investment is to increase the advanced digital skills of civil servants, aiming to support the digitalisation of public services by increasing the availability of qualified workforce for internal IT&amp;C operations.</w:t>
      </w:r>
    </w:p>
    <w:p w14:paraId="073CED14" w14:textId="77777777" w:rsidR="00A437C8" w:rsidRPr="00291374" w:rsidRDefault="00A437C8" w:rsidP="00A437C8">
      <w:pPr>
        <w:spacing w:before="120" w:after="0" w:line="240" w:lineRule="auto"/>
        <w:jc w:val="both"/>
        <w:rPr>
          <w:rFonts w:ascii="Times New Roman" w:eastAsiaTheme="majorEastAsia" w:hAnsi="Times New Roman" w:cs="Times New Roman"/>
          <w:noProof/>
          <w:u w:val="single"/>
          <w:lang w:val="en-GB"/>
        </w:rPr>
      </w:pPr>
      <w:r w:rsidRPr="00291374">
        <w:rPr>
          <w:rFonts w:ascii="Times New Roman" w:hAnsi="Times New Roman" w:cs="Times New Roman"/>
          <w:noProof/>
          <w:lang w:val="en-GB"/>
        </w:rPr>
        <w:t xml:space="preserve">The investment consists in trainings for advanced digital skills for civil servants. </w:t>
      </w:r>
    </w:p>
    <w:p w14:paraId="475FD4A8" w14:textId="7722475F" w:rsidR="00A437C8" w:rsidRPr="00291374" w:rsidRDefault="00A437C8" w:rsidP="00A437C8">
      <w:pPr>
        <w:spacing w:before="120" w:after="0" w:line="240" w:lineRule="auto"/>
        <w:jc w:val="both"/>
        <w:rPr>
          <w:rFonts w:ascii="Times New Roman" w:eastAsia="NSimSun" w:hAnsi="Times New Roman" w:cs="Times New Roman"/>
          <w:noProof/>
          <w:kern w:val="3"/>
          <w:u w:val="single"/>
          <w:lang w:val="en-GB"/>
        </w:rPr>
      </w:pPr>
      <w:r w:rsidRPr="00291374">
        <w:rPr>
          <w:rFonts w:ascii="Times New Roman" w:eastAsia="NSimSun" w:hAnsi="Times New Roman" w:cs="Times New Roman"/>
          <w:noProof/>
          <w:kern w:val="3"/>
          <w:u w:val="single"/>
          <w:lang w:val="en-GB"/>
        </w:rPr>
        <w:t>Investment 17.</w:t>
      </w:r>
      <w:r w:rsidR="00D23D91">
        <w:rPr>
          <w:rFonts w:ascii="Times New Roman" w:eastAsia="NSimSun" w:hAnsi="Times New Roman" w:cs="Times New Roman"/>
          <w:noProof/>
          <w:kern w:val="3"/>
          <w:u w:val="single"/>
          <w:lang w:val="en-GB"/>
        </w:rPr>
        <w:t xml:space="preserve"> </w:t>
      </w:r>
      <w:r w:rsidRPr="00291374" w:rsidDel="00B41075">
        <w:rPr>
          <w:rFonts w:ascii="Times New Roman" w:eastAsia="NSimSun" w:hAnsi="Times New Roman" w:cs="Times New Roman"/>
          <w:noProof/>
          <w:u w:val="single"/>
          <w:lang w:val="en-GB"/>
        </w:rPr>
        <w:t>Digitalisation of libraries</w:t>
      </w:r>
    </w:p>
    <w:p w14:paraId="426E1A4E" w14:textId="77777777" w:rsidR="00A437C8" w:rsidRPr="00291374" w:rsidRDefault="00A437C8" w:rsidP="00A437C8">
      <w:pPr>
        <w:suppressAutoHyphens/>
        <w:autoSpaceDN w:val="0"/>
        <w:spacing w:before="240" w:after="0" w:line="240" w:lineRule="auto"/>
        <w:jc w:val="both"/>
        <w:textAlignment w:val="baseline"/>
        <w:rPr>
          <w:rFonts w:ascii="Times New Roman" w:hAnsi="Times New Roman" w:cs="Times New Roman"/>
          <w:noProof/>
          <w:lang w:val="en-GB" w:eastAsia="en-IE"/>
        </w:rPr>
      </w:pPr>
      <w:r w:rsidRPr="00291374">
        <w:rPr>
          <w:rFonts w:ascii="Times New Roman" w:hAnsi="Times New Roman" w:cs="Times New Roman"/>
          <w:noProof/>
          <w:lang w:val="en-GB" w:eastAsia="en-IE"/>
        </w:rPr>
        <w:t xml:space="preserve">The objective of this investment is to enhance the basic digital skills of communities with limited access to digital training. </w:t>
      </w:r>
    </w:p>
    <w:p w14:paraId="14F4040C" w14:textId="77777777" w:rsidR="00A437C8" w:rsidRPr="00291374" w:rsidRDefault="00A437C8" w:rsidP="00A437C8">
      <w:pPr>
        <w:suppressAutoHyphens/>
        <w:autoSpaceDN w:val="0"/>
        <w:spacing w:after="0" w:line="240" w:lineRule="auto"/>
        <w:jc w:val="both"/>
        <w:textAlignment w:val="baseline"/>
        <w:rPr>
          <w:rFonts w:ascii="Times New Roman" w:hAnsi="Times New Roman" w:cs="Times New Roman"/>
          <w:noProof/>
          <w:lang w:val="en-GB" w:eastAsia="en-IE"/>
        </w:rPr>
      </w:pPr>
      <w:r w:rsidRPr="00291374">
        <w:rPr>
          <w:rFonts w:ascii="Times New Roman" w:hAnsi="Times New Roman" w:cs="Times New Roman"/>
          <w:noProof/>
          <w:lang w:val="en-GB" w:eastAsia="en-IE"/>
        </w:rPr>
        <w:t xml:space="preserve">The investments consist in: </w:t>
      </w:r>
    </w:p>
    <w:p w14:paraId="704BEE70" w14:textId="4C12D5AD" w:rsidR="00A437C8" w:rsidRPr="00291374" w:rsidRDefault="00A437C8" w:rsidP="00A437C8">
      <w:pPr>
        <w:numPr>
          <w:ilvl w:val="0"/>
          <w:numId w:val="2"/>
        </w:numPr>
        <w:suppressAutoHyphens/>
        <w:autoSpaceDN w:val="0"/>
        <w:spacing w:after="0" w:line="240" w:lineRule="auto"/>
        <w:ind w:left="360"/>
        <w:jc w:val="both"/>
        <w:textAlignment w:val="baseline"/>
        <w:rPr>
          <w:rFonts w:ascii="Times New Roman" w:hAnsi="Times New Roman" w:cs="Times New Roman"/>
          <w:noProof/>
          <w:lang w:val="en-GB" w:eastAsia="en-IE"/>
        </w:rPr>
      </w:pPr>
      <w:r w:rsidRPr="00291374">
        <w:rPr>
          <w:rFonts w:ascii="Times New Roman" w:hAnsi="Times New Roman" w:cs="Times New Roman"/>
          <w:noProof/>
          <w:lang w:val="en-GB" w:eastAsia="en-IE"/>
        </w:rPr>
        <w:t>the reconversion</w:t>
      </w:r>
      <w:r w:rsidR="7C265B55" w:rsidRPr="5ACE1A85">
        <w:rPr>
          <w:rFonts w:ascii="Times New Roman" w:hAnsi="Times New Roman" w:cs="Times New Roman"/>
          <w:noProof/>
          <w:lang w:val="en-GB" w:eastAsia="en-IE"/>
        </w:rPr>
        <w:t xml:space="preserve">, </w:t>
      </w:r>
      <w:r w:rsidR="7C265B55" w:rsidRPr="753C1539">
        <w:rPr>
          <w:rFonts w:ascii="Times New Roman" w:hAnsi="Times New Roman" w:cs="Times New Roman"/>
          <w:noProof/>
          <w:lang w:val="en-GB" w:eastAsia="en-IE"/>
        </w:rPr>
        <w:t>including renovation works,</w:t>
      </w:r>
      <w:r w:rsidRPr="00291374">
        <w:rPr>
          <w:rFonts w:ascii="Times New Roman" w:hAnsi="Times New Roman" w:cs="Times New Roman"/>
          <w:noProof/>
          <w:lang w:val="en-GB" w:eastAsia="en-IE"/>
        </w:rPr>
        <w:t xml:space="preserve"> of libraries into hubs for the development of digital skills, </w:t>
      </w:r>
    </w:p>
    <w:p w14:paraId="2C0733BA" w14:textId="77777777" w:rsidR="00A437C8" w:rsidRPr="00291374" w:rsidRDefault="00A437C8" w:rsidP="00A437C8">
      <w:pPr>
        <w:numPr>
          <w:ilvl w:val="0"/>
          <w:numId w:val="2"/>
        </w:numPr>
        <w:suppressAutoHyphens/>
        <w:autoSpaceDN w:val="0"/>
        <w:spacing w:after="0" w:line="240" w:lineRule="auto"/>
        <w:ind w:left="360"/>
        <w:jc w:val="both"/>
        <w:textAlignment w:val="baseline"/>
        <w:rPr>
          <w:rFonts w:ascii="Times New Roman" w:hAnsi="Times New Roman" w:cs="Times New Roman"/>
          <w:noProof/>
          <w:lang w:val="en-GB" w:eastAsia="en-IE"/>
        </w:rPr>
      </w:pPr>
      <w:r w:rsidRPr="00291374">
        <w:rPr>
          <w:rFonts w:ascii="Times New Roman" w:hAnsi="Times New Roman" w:cs="Times New Roman"/>
          <w:noProof/>
          <w:lang w:val="en-GB" w:eastAsia="en-IE"/>
        </w:rPr>
        <w:t>the upgrade of IT equipment for librairies, and</w:t>
      </w:r>
    </w:p>
    <w:p w14:paraId="2B5835EC" w14:textId="77777777" w:rsidR="00A437C8" w:rsidRPr="00291374" w:rsidRDefault="00A437C8" w:rsidP="00A437C8">
      <w:pPr>
        <w:numPr>
          <w:ilvl w:val="0"/>
          <w:numId w:val="2"/>
        </w:numPr>
        <w:suppressAutoHyphens/>
        <w:autoSpaceDN w:val="0"/>
        <w:spacing w:after="0" w:line="240" w:lineRule="auto"/>
        <w:ind w:left="360"/>
        <w:jc w:val="both"/>
        <w:textAlignment w:val="baseline"/>
        <w:rPr>
          <w:rFonts w:ascii="Times New Roman" w:eastAsia="NSimSun" w:hAnsi="Times New Roman" w:cs="Times New Roman"/>
          <w:noProof/>
          <w:kern w:val="3"/>
          <w:lang w:val="en-GB"/>
        </w:rPr>
      </w:pPr>
      <w:r w:rsidRPr="00291374">
        <w:rPr>
          <w:rFonts w:ascii="Times New Roman" w:hAnsi="Times New Roman" w:cs="Times New Roman"/>
          <w:noProof/>
          <w:lang w:val="en-GB" w:eastAsia="en-IE"/>
        </w:rPr>
        <w:t>the provision of training to citizens from disadvantaged communities to develop basic digital skills.</w:t>
      </w:r>
    </w:p>
    <w:p w14:paraId="72195FEB" w14:textId="77777777" w:rsidR="00A437C8" w:rsidRPr="00291374" w:rsidRDefault="00A437C8" w:rsidP="00A437C8">
      <w:pPr>
        <w:suppressAutoHyphens/>
        <w:autoSpaceDN w:val="0"/>
        <w:spacing w:before="120" w:after="0" w:line="240" w:lineRule="auto"/>
        <w:jc w:val="both"/>
        <w:textAlignment w:val="baseline"/>
        <w:rPr>
          <w:rFonts w:ascii="Times New Roman" w:eastAsia="NSimSun" w:hAnsi="Times New Roman" w:cs="Times New Roman"/>
          <w:noProof/>
          <w:kern w:val="3"/>
          <w:u w:val="single"/>
          <w:lang w:val="en-GB"/>
        </w:rPr>
      </w:pPr>
      <w:r w:rsidRPr="00291374">
        <w:rPr>
          <w:rFonts w:ascii="Times New Roman" w:eastAsia="NSimSun" w:hAnsi="Times New Roman" w:cs="Times New Roman"/>
          <w:noProof/>
          <w:kern w:val="3"/>
          <w:u w:val="single"/>
          <w:lang w:val="en-GB"/>
        </w:rPr>
        <w:t xml:space="preserve">Investment 19.a. Upskilling/reskilling of </w:t>
      </w:r>
      <w:r w:rsidRPr="00291374" w:rsidDel="00B41075">
        <w:rPr>
          <w:rFonts w:ascii="Times New Roman" w:eastAsia="NSimSun" w:hAnsi="Times New Roman" w:cs="Times New Roman"/>
          <w:noProof/>
          <w:u w:val="single"/>
          <w:lang w:val="en-GB"/>
        </w:rPr>
        <w:t>employees in firms</w:t>
      </w:r>
    </w:p>
    <w:p w14:paraId="5281BB9F" w14:textId="77777777" w:rsidR="00A437C8" w:rsidRPr="00291374" w:rsidRDefault="00A437C8" w:rsidP="00A437C8">
      <w:pPr>
        <w:spacing w:before="120" w:after="120" w:line="240" w:lineRule="auto"/>
        <w:jc w:val="both"/>
        <w:textAlignment w:val="baseline"/>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support the digital transformation of small and medium sized enterprises by increasing the digital skills of their employees. </w:t>
      </w:r>
    </w:p>
    <w:p w14:paraId="5607A956" w14:textId="147F2899" w:rsidR="00A437C8" w:rsidRPr="00291374" w:rsidRDefault="00A437C8" w:rsidP="00A437C8">
      <w:pPr>
        <w:spacing w:before="120" w:after="120" w:line="240" w:lineRule="auto"/>
        <w:jc w:val="both"/>
        <w:textAlignment w:val="baseline"/>
        <w:rPr>
          <w:rFonts w:ascii="Times New Roman" w:eastAsia="Times New Roman" w:hAnsi="Times New Roman" w:cs="Times New Roman"/>
          <w:noProof/>
          <w:lang w:val="en-GB"/>
        </w:rPr>
      </w:pPr>
      <w:r w:rsidRPr="00291374">
        <w:rPr>
          <w:rFonts w:ascii="Times New Roman" w:hAnsi="Times New Roman" w:cs="Times New Roman"/>
          <w:noProof/>
          <w:lang w:val="en-GB"/>
        </w:rPr>
        <w:t>The investment consists in supporting the training in digital skills of SMEs employees.</w:t>
      </w:r>
      <w:r w:rsidR="00D23D91">
        <w:rPr>
          <w:rFonts w:ascii="Times New Roman" w:hAnsi="Times New Roman" w:cs="Times New Roman"/>
          <w:noProof/>
          <w:lang w:val="en-GB"/>
        </w:rPr>
        <w:t xml:space="preserve"> </w:t>
      </w:r>
    </w:p>
    <w:p w14:paraId="7EF83BA1"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lang w:val="en-GB"/>
        </w:rPr>
        <w:sectPr w:rsidR="00A437C8" w:rsidRPr="00291374" w:rsidSect="00A437C8">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08"/>
          <w:docGrid w:linePitch="360"/>
        </w:sectPr>
      </w:pPr>
    </w:p>
    <w:p w14:paraId="14148534" w14:textId="77777777" w:rsidR="00A437C8" w:rsidRPr="00291374" w:rsidRDefault="00A437C8" w:rsidP="00A437C8">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G.2. </w:t>
      </w:r>
      <w:r w:rsidRPr="00291374">
        <w:rPr>
          <w:rFonts w:ascii="Times New Roman" w:hAnsi="Times New Roman" w:cs="Times New Roman"/>
          <w:noProof/>
          <w:lang w:val="en-GB"/>
        </w:rPr>
        <w:tab/>
      </w:r>
      <w:r w:rsidRPr="00291374">
        <w:rPr>
          <w:rFonts w:ascii="Times New Roman" w:hAnsi="Times New Roman" w:cs="Times New Roman"/>
          <w:b/>
          <w:noProof/>
          <w:lang w:val="en-GB"/>
        </w:rPr>
        <w:t>Milestones, targets, indicators, and timetable for monitoring and implementation for non-repayable financial support</w:t>
      </w:r>
    </w:p>
    <w:tbl>
      <w:tblPr>
        <w:tblW w:w="14923" w:type="dxa"/>
        <w:jc w:val="center"/>
        <w:tblLayout w:type="fixed"/>
        <w:tblCellMar>
          <w:left w:w="28" w:type="dxa"/>
          <w:right w:w="28" w:type="dxa"/>
        </w:tblCellMar>
        <w:tblLook w:val="04A0" w:firstRow="1" w:lastRow="0" w:firstColumn="1" w:lastColumn="0" w:noHBand="0" w:noVBand="1"/>
      </w:tblPr>
      <w:tblGrid>
        <w:gridCol w:w="715"/>
        <w:gridCol w:w="2101"/>
        <w:gridCol w:w="1226"/>
        <w:gridCol w:w="1590"/>
        <w:gridCol w:w="1734"/>
        <w:gridCol w:w="970"/>
        <w:gridCol w:w="1225"/>
        <w:gridCol w:w="725"/>
        <w:gridCol w:w="908"/>
        <w:gridCol w:w="705"/>
        <w:gridCol w:w="3024"/>
      </w:tblGrid>
      <w:tr w:rsidR="00382D78" w:rsidRPr="00A025C9" w14:paraId="7E2729A6" w14:textId="77777777" w:rsidTr="0061489A">
        <w:trPr>
          <w:trHeight w:val="309"/>
          <w:tblHeader/>
          <w:jc w:val="center"/>
        </w:trPr>
        <w:tc>
          <w:tcPr>
            <w:tcW w:w="715"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7246DD27" w14:textId="77777777" w:rsidR="00A437C8" w:rsidRPr="00A025C9" w:rsidRDefault="00A437C8" w:rsidP="00A025C9">
            <w:pPr>
              <w:spacing w:after="0" w:line="240" w:lineRule="auto"/>
              <w:jc w:val="center"/>
              <w:rPr>
                <w:rFonts w:ascii="Times New Roman" w:hAnsi="Times New Roman" w:cs="Times New Roman"/>
                <w:b/>
                <w:noProof/>
                <w:sz w:val="20"/>
                <w:szCs w:val="20"/>
                <w:lang w:val="en-GB"/>
              </w:rPr>
            </w:pPr>
            <w:r w:rsidRPr="00A025C9">
              <w:rPr>
                <w:rFonts w:ascii="Times New Roman" w:hAnsi="Times New Roman" w:cs="Times New Roman"/>
                <w:b/>
                <w:noProof/>
                <w:sz w:val="20"/>
                <w:szCs w:val="20"/>
                <w:lang w:val="en-GB"/>
              </w:rPr>
              <w:t>Seq Num</w:t>
            </w:r>
          </w:p>
        </w:tc>
        <w:tc>
          <w:tcPr>
            <w:tcW w:w="2101"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239F0307" w14:textId="77777777" w:rsidR="00A437C8" w:rsidRPr="00A025C9" w:rsidRDefault="00A437C8" w:rsidP="00A025C9">
            <w:pPr>
              <w:spacing w:after="0" w:line="240" w:lineRule="auto"/>
              <w:jc w:val="center"/>
              <w:rPr>
                <w:rFonts w:ascii="Times New Roman" w:hAnsi="Times New Roman" w:cs="Times New Roman"/>
                <w:b/>
                <w:noProof/>
                <w:sz w:val="20"/>
                <w:szCs w:val="20"/>
                <w:lang w:val="en-GB"/>
              </w:rPr>
            </w:pPr>
            <w:r w:rsidRPr="00A025C9">
              <w:rPr>
                <w:rFonts w:ascii="Times New Roman" w:hAnsi="Times New Roman" w:cs="Times New Roman"/>
                <w:b/>
                <w:noProof/>
                <w:sz w:val="20"/>
                <w:szCs w:val="20"/>
                <w:lang w:val="en-GB"/>
              </w:rPr>
              <w:t>Related Measure (Reform or Investment)</w:t>
            </w:r>
          </w:p>
        </w:tc>
        <w:tc>
          <w:tcPr>
            <w:tcW w:w="1226"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2643DFB6" w14:textId="77777777" w:rsidR="00A437C8" w:rsidRPr="00A025C9" w:rsidRDefault="00A437C8" w:rsidP="00A025C9">
            <w:pPr>
              <w:spacing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Milestone / Target</w:t>
            </w:r>
          </w:p>
        </w:tc>
        <w:tc>
          <w:tcPr>
            <w:tcW w:w="1590"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14EA1D7D" w14:textId="77777777" w:rsidR="00A437C8" w:rsidRPr="00A025C9" w:rsidRDefault="00A437C8" w:rsidP="00A025C9">
            <w:pPr>
              <w:spacing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Name</w:t>
            </w:r>
          </w:p>
        </w:tc>
        <w:tc>
          <w:tcPr>
            <w:tcW w:w="1734"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747A0C1D" w14:textId="77777777" w:rsidR="00A437C8" w:rsidRPr="00A025C9" w:rsidRDefault="00A437C8" w:rsidP="00A025C9">
            <w:pPr>
              <w:spacing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 xml:space="preserve">Qualitative indicators </w:t>
            </w:r>
            <w:r w:rsidRPr="00A025C9">
              <w:rPr>
                <w:rFonts w:ascii="Times New Roman" w:hAnsi="Times New Roman" w:cs="Times New Roman"/>
                <w:noProof/>
                <w:sz w:val="20"/>
                <w:szCs w:val="20"/>
                <w:lang w:val="en-GB"/>
              </w:rPr>
              <w:br/>
            </w:r>
            <w:r w:rsidRPr="00A025C9">
              <w:rPr>
                <w:rFonts w:ascii="Times New Roman" w:hAnsi="Times New Roman" w:cs="Times New Roman"/>
                <w:b/>
                <w:noProof/>
                <w:sz w:val="20"/>
                <w:szCs w:val="20"/>
                <w:lang w:val="en-GB"/>
              </w:rPr>
              <w:t>(for milestones)</w:t>
            </w:r>
          </w:p>
        </w:tc>
        <w:tc>
          <w:tcPr>
            <w:tcW w:w="2920" w:type="dxa"/>
            <w:gridSpan w:val="3"/>
            <w:tcBorders>
              <w:top w:val="single" w:sz="4" w:space="0" w:color="auto"/>
              <w:left w:val="single" w:sz="4" w:space="0" w:color="auto"/>
              <w:bottom w:val="single" w:sz="4" w:space="0" w:color="auto"/>
              <w:right w:val="single" w:sz="4" w:space="0" w:color="auto"/>
            </w:tcBorders>
            <w:shd w:val="clear" w:color="auto" w:fill="BDD7EE"/>
            <w:noWrap/>
            <w:vAlign w:val="center"/>
          </w:tcPr>
          <w:p w14:paraId="092FAE39" w14:textId="77777777" w:rsidR="00A437C8" w:rsidRPr="00A025C9" w:rsidRDefault="00A437C8" w:rsidP="00A025C9">
            <w:pPr>
              <w:spacing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 xml:space="preserve">Quantitative indicators </w:t>
            </w:r>
            <w:r w:rsidRPr="00A025C9">
              <w:rPr>
                <w:rFonts w:ascii="Times New Roman" w:hAnsi="Times New Roman" w:cs="Times New Roman"/>
                <w:noProof/>
                <w:sz w:val="20"/>
                <w:szCs w:val="20"/>
                <w:lang w:val="en-GB"/>
              </w:rPr>
              <w:br/>
            </w:r>
            <w:r w:rsidRPr="00A025C9">
              <w:rPr>
                <w:rFonts w:ascii="Times New Roman" w:hAnsi="Times New Roman" w:cs="Times New Roman"/>
                <w:b/>
                <w:noProof/>
                <w:sz w:val="20"/>
                <w:szCs w:val="20"/>
                <w:lang w:val="en-GB"/>
              </w:rPr>
              <w:t>(for targets)</w:t>
            </w:r>
          </w:p>
        </w:tc>
        <w:tc>
          <w:tcPr>
            <w:tcW w:w="1613" w:type="dxa"/>
            <w:gridSpan w:val="2"/>
            <w:tcBorders>
              <w:top w:val="single" w:sz="4" w:space="0" w:color="auto"/>
              <w:left w:val="nil"/>
              <w:bottom w:val="single" w:sz="4" w:space="0" w:color="auto"/>
              <w:right w:val="single" w:sz="4" w:space="0" w:color="auto"/>
            </w:tcBorders>
            <w:shd w:val="clear" w:color="auto" w:fill="BDD7EE"/>
            <w:noWrap/>
            <w:vAlign w:val="center"/>
          </w:tcPr>
          <w:p w14:paraId="053B7396" w14:textId="77777777" w:rsidR="00A437C8" w:rsidRPr="00A025C9" w:rsidRDefault="00A437C8" w:rsidP="00A025C9">
            <w:pPr>
              <w:spacing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Indicative timeline for completion</w:t>
            </w:r>
          </w:p>
        </w:tc>
        <w:tc>
          <w:tcPr>
            <w:tcW w:w="3024" w:type="dxa"/>
            <w:vMerge w:val="restart"/>
            <w:tcBorders>
              <w:top w:val="single" w:sz="4" w:space="0" w:color="auto"/>
              <w:left w:val="nil"/>
              <w:bottom w:val="single" w:sz="4" w:space="0" w:color="auto"/>
              <w:right w:val="single" w:sz="4" w:space="0" w:color="auto"/>
            </w:tcBorders>
            <w:shd w:val="clear" w:color="auto" w:fill="BDD7EE"/>
            <w:noWrap/>
            <w:vAlign w:val="center"/>
          </w:tcPr>
          <w:p w14:paraId="54CE01C8" w14:textId="77777777" w:rsidR="00A437C8" w:rsidRPr="00A025C9" w:rsidRDefault="00A437C8" w:rsidP="00A025C9">
            <w:pPr>
              <w:spacing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Description of each milestone and target</w:t>
            </w:r>
          </w:p>
        </w:tc>
      </w:tr>
      <w:tr w:rsidR="00530BE8" w:rsidRPr="00A025C9" w14:paraId="056663D9" w14:textId="77777777" w:rsidTr="00F70443">
        <w:trPr>
          <w:trHeight w:val="309"/>
          <w:tblHeader/>
          <w:jc w:val="center"/>
        </w:trPr>
        <w:tc>
          <w:tcPr>
            <w:tcW w:w="715" w:type="dxa"/>
            <w:vMerge/>
            <w:tcBorders>
              <w:top w:val="single" w:sz="4" w:space="0" w:color="auto"/>
              <w:left w:val="single" w:sz="4" w:space="0" w:color="auto"/>
              <w:bottom w:val="single" w:sz="4" w:space="0" w:color="auto"/>
              <w:right w:val="single" w:sz="4" w:space="0" w:color="auto"/>
            </w:tcBorders>
            <w:noWrap/>
            <w:vAlign w:val="center"/>
          </w:tcPr>
          <w:p w14:paraId="3F75B6E5" w14:textId="77777777" w:rsidR="00A437C8" w:rsidRPr="00A025C9" w:rsidRDefault="00A437C8">
            <w:pPr>
              <w:spacing w:after="0" w:line="240" w:lineRule="auto"/>
              <w:jc w:val="center"/>
              <w:rPr>
                <w:rFonts w:ascii="Times New Roman" w:eastAsia="Times New Roman" w:hAnsi="Times New Roman" w:cs="Times New Roman"/>
                <w:b/>
                <w:bCs/>
                <w:noProof/>
                <w:sz w:val="20"/>
                <w:szCs w:val="20"/>
                <w:lang w:val="en-GB" w:eastAsia="en-GB"/>
              </w:rPr>
            </w:pPr>
          </w:p>
        </w:tc>
        <w:tc>
          <w:tcPr>
            <w:tcW w:w="2101" w:type="dxa"/>
            <w:vMerge/>
            <w:tcBorders>
              <w:top w:val="single" w:sz="4" w:space="0" w:color="auto"/>
              <w:left w:val="single" w:sz="4" w:space="0" w:color="auto"/>
              <w:bottom w:val="single" w:sz="4" w:space="0" w:color="auto"/>
              <w:right w:val="single" w:sz="4" w:space="0" w:color="auto"/>
            </w:tcBorders>
            <w:noWrap/>
            <w:vAlign w:val="center"/>
          </w:tcPr>
          <w:p w14:paraId="21F6571E" w14:textId="77777777" w:rsidR="00A437C8" w:rsidRPr="00A025C9" w:rsidRDefault="00A437C8">
            <w:pPr>
              <w:spacing w:after="0" w:line="240" w:lineRule="auto"/>
              <w:jc w:val="center"/>
              <w:rPr>
                <w:rFonts w:ascii="Times New Roman" w:eastAsia="Times New Roman" w:hAnsi="Times New Roman" w:cs="Times New Roman"/>
                <w:b/>
                <w:bCs/>
                <w:noProof/>
                <w:sz w:val="20"/>
                <w:szCs w:val="20"/>
                <w:lang w:val="en-GB" w:eastAsia="en-GB"/>
              </w:rPr>
            </w:pPr>
          </w:p>
        </w:tc>
        <w:tc>
          <w:tcPr>
            <w:tcW w:w="1226" w:type="dxa"/>
            <w:vMerge/>
            <w:tcBorders>
              <w:top w:val="single" w:sz="4" w:space="0" w:color="auto"/>
              <w:left w:val="single" w:sz="4" w:space="0" w:color="auto"/>
              <w:bottom w:val="single" w:sz="4" w:space="0" w:color="auto"/>
              <w:right w:val="single" w:sz="4" w:space="0" w:color="auto"/>
            </w:tcBorders>
            <w:noWrap/>
            <w:vAlign w:val="center"/>
          </w:tcPr>
          <w:p w14:paraId="0278F145" w14:textId="77777777" w:rsidR="00A437C8" w:rsidRPr="00A025C9" w:rsidRDefault="00A437C8">
            <w:pPr>
              <w:spacing w:after="0" w:line="240" w:lineRule="auto"/>
              <w:jc w:val="center"/>
              <w:rPr>
                <w:rFonts w:ascii="Times New Roman" w:eastAsia="Times New Roman" w:hAnsi="Times New Roman" w:cs="Times New Roman"/>
                <w:b/>
                <w:bCs/>
                <w:noProof/>
                <w:sz w:val="20"/>
                <w:szCs w:val="20"/>
                <w:lang w:val="en-GB" w:eastAsia="en-GB"/>
              </w:rPr>
            </w:pPr>
          </w:p>
        </w:tc>
        <w:tc>
          <w:tcPr>
            <w:tcW w:w="1590" w:type="dxa"/>
            <w:vMerge/>
            <w:tcBorders>
              <w:top w:val="single" w:sz="4" w:space="0" w:color="auto"/>
              <w:left w:val="single" w:sz="4" w:space="0" w:color="auto"/>
              <w:bottom w:val="single" w:sz="4" w:space="0" w:color="auto"/>
              <w:right w:val="single" w:sz="4" w:space="0" w:color="auto"/>
            </w:tcBorders>
            <w:noWrap/>
            <w:vAlign w:val="center"/>
          </w:tcPr>
          <w:p w14:paraId="74CC8F99" w14:textId="77777777" w:rsidR="00A437C8" w:rsidRPr="00A025C9" w:rsidRDefault="00A437C8">
            <w:pPr>
              <w:spacing w:after="0" w:line="240" w:lineRule="auto"/>
              <w:jc w:val="center"/>
              <w:rPr>
                <w:rFonts w:ascii="Times New Roman" w:eastAsia="Times New Roman" w:hAnsi="Times New Roman" w:cs="Times New Roman"/>
                <w:b/>
                <w:bCs/>
                <w:noProof/>
                <w:sz w:val="20"/>
                <w:szCs w:val="20"/>
                <w:lang w:val="en-GB" w:eastAsia="en-GB"/>
              </w:rPr>
            </w:pPr>
          </w:p>
        </w:tc>
        <w:tc>
          <w:tcPr>
            <w:tcW w:w="1734" w:type="dxa"/>
            <w:vMerge/>
            <w:tcBorders>
              <w:top w:val="single" w:sz="4" w:space="0" w:color="auto"/>
              <w:left w:val="single" w:sz="4" w:space="0" w:color="auto"/>
              <w:bottom w:val="single" w:sz="4" w:space="0" w:color="auto"/>
              <w:right w:val="single" w:sz="4" w:space="0" w:color="auto"/>
            </w:tcBorders>
            <w:noWrap/>
            <w:vAlign w:val="center"/>
          </w:tcPr>
          <w:p w14:paraId="66ADCEE0" w14:textId="77777777" w:rsidR="00A437C8" w:rsidRPr="00A025C9" w:rsidRDefault="00A437C8">
            <w:pPr>
              <w:spacing w:after="0" w:line="240" w:lineRule="auto"/>
              <w:jc w:val="center"/>
              <w:rPr>
                <w:rFonts w:ascii="Times New Roman" w:eastAsia="Times New Roman" w:hAnsi="Times New Roman" w:cs="Times New Roman"/>
                <w:b/>
                <w:bCs/>
                <w:noProof/>
                <w:sz w:val="20"/>
                <w:szCs w:val="20"/>
                <w:lang w:val="en-GB" w:eastAsia="en-GB"/>
              </w:rPr>
            </w:pPr>
          </w:p>
        </w:tc>
        <w:tc>
          <w:tcPr>
            <w:tcW w:w="970"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34E666AE"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b/>
                <w:noProof/>
                <w:sz w:val="20"/>
                <w:szCs w:val="20"/>
                <w:lang w:val="en-GB"/>
              </w:rPr>
              <w:t>Unit of measure</w:t>
            </w:r>
          </w:p>
        </w:tc>
        <w:tc>
          <w:tcPr>
            <w:tcW w:w="1225"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05FDEBFE"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b/>
                <w:noProof/>
                <w:sz w:val="20"/>
                <w:szCs w:val="20"/>
                <w:lang w:val="en-GB"/>
              </w:rPr>
              <w:t>Baseline</w:t>
            </w:r>
          </w:p>
        </w:tc>
        <w:tc>
          <w:tcPr>
            <w:tcW w:w="725"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79532D63"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b/>
                <w:noProof/>
                <w:sz w:val="20"/>
                <w:szCs w:val="20"/>
                <w:lang w:val="en-GB"/>
              </w:rPr>
              <w:t>Goal</w:t>
            </w:r>
          </w:p>
        </w:tc>
        <w:tc>
          <w:tcPr>
            <w:tcW w:w="908"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07011F10"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b/>
                <w:noProof/>
                <w:sz w:val="20"/>
                <w:szCs w:val="20"/>
                <w:lang w:val="en-GB"/>
              </w:rPr>
              <w:t>Quarter</w:t>
            </w:r>
          </w:p>
        </w:tc>
        <w:tc>
          <w:tcPr>
            <w:tcW w:w="705"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51115219"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b/>
                <w:noProof/>
                <w:sz w:val="20"/>
                <w:szCs w:val="20"/>
                <w:lang w:val="en-GB"/>
              </w:rPr>
              <w:t>Year</w:t>
            </w:r>
          </w:p>
        </w:tc>
        <w:tc>
          <w:tcPr>
            <w:tcW w:w="3024" w:type="dxa"/>
            <w:vMerge/>
            <w:tcBorders>
              <w:top w:val="single" w:sz="4" w:space="0" w:color="auto"/>
              <w:bottom w:val="single" w:sz="4" w:space="0" w:color="auto"/>
              <w:right w:val="single" w:sz="4" w:space="0" w:color="auto"/>
            </w:tcBorders>
            <w:noWrap/>
          </w:tcPr>
          <w:p w14:paraId="20876625"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r>
      <w:tr w:rsidR="00A437C8" w:rsidRPr="00A025C9" w14:paraId="08B1C44D" w14:textId="77777777" w:rsidTr="0061489A">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4113D78"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142</w:t>
            </w:r>
          </w:p>
        </w:tc>
        <w:tc>
          <w:tcPr>
            <w:tcW w:w="2101" w:type="dxa"/>
            <w:tcBorders>
              <w:top w:val="single" w:sz="4" w:space="0" w:color="auto"/>
              <w:left w:val="nil"/>
              <w:bottom w:val="single" w:sz="4" w:space="0" w:color="auto"/>
              <w:right w:val="single" w:sz="4" w:space="0" w:color="auto"/>
            </w:tcBorders>
            <w:shd w:val="clear" w:color="auto" w:fill="C6EFCE"/>
            <w:noWrap/>
          </w:tcPr>
          <w:p w14:paraId="647002E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Reform 1. Development of a unitary framework for defining the architecture of a government cloud system </w:t>
            </w:r>
          </w:p>
          <w:p w14:paraId="382D323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226" w:type="dxa"/>
            <w:tcBorders>
              <w:top w:val="single" w:sz="4" w:space="0" w:color="auto"/>
              <w:left w:val="nil"/>
              <w:bottom w:val="single" w:sz="4" w:space="0" w:color="auto"/>
              <w:right w:val="single" w:sz="4" w:space="0" w:color="auto"/>
            </w:tcBorders>
            <w:shd w:val="clear" w:color="auto" w:fill="C6EFCE"/>
            <w:noWrap/>
          </w:tcPr>
          <w:p w14:paraId="38ED1677"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7A83B7EE"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Task-force to implement and monitor Digital Transformation reforms and investments established and operational</w:t>
            </w:r>
          </w:p>
        </w:tc>
        <w:tc>
          <w:tcPr>
            <w:tcW w:w="1734" w:type="dxa"/>
            <w:tcBorders>
              <w:top w:val="single" w:sz="4" w:space="0" w:color="auto"/>
              <w:left w:val="nil"/>
              <w:bottom w:val="single" w:sz="4" w:space="0" w:color="auto"/>
              <w:right w:val="single" w:sz="4" w:space="0" w:color="auto"/>
            </w:tcBorders>
            <w:shd w:val="clear" w:color="auto" w:fill="C6EFCE"/>
            <w:noWrap/>
          </w:tcPr>
          <w:p w14:paraId="2A342A7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Entry into force of the ministerial Order for the establishment of the Task force</w:t>
            </w:r>
          </w:p>
        </w:tc>
        <w:tc>
          <w:tcPr>
            <w:tcW w:w="970" w:type="dxa"/>
            <w:tcBorders>
              <w:top w:val="single" w:sz="4" w:space="0" w:color="auto"/>
              <w:left w:val="nil"/>
              <w:bottom w:val="single" w:sz="4" w:space="0" w:color="auto"/>
              <w:right w:val="single" w:sz="4" w:space="0" w:color="auto"/>
            </w:tcBorders>
            <w:shd w:val="clear" w:color="auto" w:fill="C6EFCE"/>
            <w:noWrap/>
          </w:tcPr>
          <w:p w14:paraId="2E4DB43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225" w:type="dxa"/>
            <w:tcBorders>
              <w:top w:val="single" w:sz="4" w:space="0" w:color="auto"/>
              <w:left w:val="nil"/>
              <w:bottom w:val="single" w:sz="4" w:space="0" w:color="auto"/>
              <w:right w:val="single" w:sz="4" w:space="0" w:color="auto"/>
            </w:tcBorders>
            <w:shd w:val="clear" w:color="auto" w:fill="C6EFCE"/>
            <w:noWrap/>
          </w:tcPr>
          <w:p w14:paraId="7607FA3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725" w:type="dxa"/>
            <w:tcBorders>
              <w:top w:val="single" w:sz="4" w:space="0" w:color="auto"/>
              <w:left w:val="nil"/>
              <w:bottom w:val="single" w:sz="4" w:space="0" w:color="auto"/>
              <w:right w:val="single" w:sz="4" w:space="0" w:color="auto"/>
            </w:tcBorders>
            <w:shd w:val="clear" w:color="auto" w:fill="C6EFCE"/>
            <w:noWrap/>
          </w:tcPr>
          <w:p w14:paraId="2B173ECA"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908" w:type="dxa"/>
            <w:tcBorders>
              <w:top w:val="single" w:sz="4" w:space="0" w:color="auto"/>
              <w:left w:val="nil"/>
              <w:bottom w:val="single" w:sz="4" w:space="0" w:color="auto"/>
              <w:right w:val="single" w:sz="4" w:space="0" w:color="auto"/>
            </w:tcBorders>
            <w:shd w:val="clear" w:color="auto" w:fill="C6EFCE"/>
            <w:noWrap/>
          </w:tcPr>
          <w:p w14:paraId="35D09C6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705" w:type="dxa"/>
            <w:tcBorders>
              <w:top w:val="single" w:sz="4" w:space="0" w:color="auto"/>
              <w:left w:val="nil"/>
              <w:bottom w:val="single" w:sz="4" w:space="0" w:color="auto"/>
              <w:right w:val="single" w:sz="4" w:space="0" w:color="auto"/>
            </w:tcBorders>
            <w:shd w:val="clear" w:color="auto" w:fill="C6EFCE"/>
            <w:noWrap/>
          </w:tcPr>
          <w:p w14:paraId="1F0C1CA4"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2021</w:t>
            </w:r>
          </w:p>
        </w:tc>
        <w:tc>
          <w:tcPr>
            <w:tcW w:w="3024" w:type="dxa"/>
            <w:tcBorders>
              <w:top w:val="single" w:sz="4" w:space="0" w:color="auto"/>
              <w:left w:val="nil"/>
              <w:bottom w:val="single" w:sz="4" w:space="0" w:color="auto"/>
              <w:right w:val="single" w:sz="4" w:space="0" w:color="auto"/>
            </w:tcBorders>
            <w:shd w:val="clear" w:color="auto" w:fill="C6EFCE"/>
            <w:noWrap/>
          </w:tcPr>
          <w:p w14:paraId="2EB38C8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The operationalisation of a temporary Digital Transformation Task force that shall employ during the implementation period of the Recovery and Resilience Plan 17 highly specialised contractual posts in the field of digital technologies and project management specialists. The main tasks of this unit are:</w:t>
            </w:r>
          </w:p>
          <w:p w14:paraId="392305CA" w14:textId="77777777" w:rsidR="00A437C8" w:rsidRPr="00A025C9" w:rsidRDefault="00A437C8" w:rsidP="003221A9">
            <w:pPr>
              <w:numPr>
                <w:ilvl w:val="0"/>
                <w:numId w:val="39"/>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the development and implementation of the sectoral components of the national recovery and resilience plan;</w:t>
            </w:r>
          </w:p>
          <w:p w14:paraId="0FA1DBB2"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monitoring the implementation of the digital related reforms and investments within the national recovery and resilience plan focusing on key projects, and proposing immediate remedial measures for critical blocks in close collaboration with the other institutions involved;</w:t>
            </w:r>
          </w:p>
          <w:p w14:paraId="4F75EFD0"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development of project performance management systems in covering specific objectives of the digital pillar;</w:t>
            </w:r>
          </w:p>
          <w:p w14:paraId="7A7DE895"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development and regulation of the regulatory, methodological framework and of the functional, operational and financial procedures in its field of activity;</w:t>
            </w:r>
          </w:p>
          <w:p w14:paraId="4B509D28"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development of tools for implementing the digital related policies;</w:t>
            </w:r>
          </w:p>
          <w:p w14:paraId="6EA9D947"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project management and reporting of all the stages of completing the objectives established within the digital related measures in the national recovery and resilience plan;</w:t>
            </w:r>
          </w:p>
          <w:p w14:paraId="05015928"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fulfilment of any other attributes necessary to cover the implementation of the digital related national recovery and resilience plan reforms and investments.</w:t>
            </w:r>
          </w:p>
          <w:p w14:paraId="1FC5F76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The task force shall be under the coordination of a director, subordinated to the minister who holds the portfolio of digitalisation.</w:t>
            </w:r>
          </w:p>
        </w:tc>
      </w:tr>
      <w:tr w:rsidR="00A437C8" w:rsidRPr="00A025C9" w14:paraId="0B185DE6"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26C47E30"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143</w:t>
            </w:r>
          </w:p>
        </w:tc>
        <w:tc>
          <w:tcPr>
            <w:tcW w:w="2101" w:type="dxa"/>
            <w:tcBorders>
              <w:top w:val="single" w:sz="4" w:space="0" w:color="auto"/>
              <w:left w:val="nil"/>
              <w:bottom w:val="single" w:sz="4" w:space="0" w:color="auto"/>
              <w:right w:val="single" w:sz="4" w:space="0" w:color="auto"/>
            </w:tcBorders>
            <w:shd w:val="clear" w:color="auto" w:fill="C6EFCE"/>
            <w:noWrap/>
          </w:tcPr>
          <w:p w14:paraId="5B29C47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Reform 1. Development of a unitary framework for defining the architecture of a government cloud system </w:t>
            </w:r>
          </w:p>
          <w:p w14:paraId="6C62D894"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271B8D5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6709377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Completed analysis for the options for the government cloud architecture </w:t>
            </w:r>
          </w:p>
          <w:p w14:paraId="67A19E4E"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734" w:type="dxa"/>
            <w:tcBorders>
              <w:top w:val="single" w:sz="4" w:space="0" w:color="auto"/>
              <w:left w:val="nil"/>
              <w:bottom w:val="single" w:sz="4" w:space="0" w:color="auto"/>
              <w:right w:val="single" w:sz="4" w:space="0" w:color="auto"/>
            </w:tcBorders>
            <w:shd w:val="clear" w:color="auto" w:fill="C6EFCE"/>
            <w:noWrap/>
          </w:tcPr>
          <w:p w14:paraId="3E42FA84"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Output report with assessment and recommendations submitted</w:t>
            </w:r>
          </w:p>
          <w:p w14:paraId="2A916E2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970" w:type="dxa"/>
            <w:tcBorders>
              <w:top w:val="single" w:sz="4" w:space="0" w:color="auto"/>
              <w:left w:val="nil"/>
              <w:bottom w:val="single" w:sz="4" w:space="0" w:color="auto"/>
              <w:right w:val="single" w:sz="4" w:space="0" w:color="auto"/>
            </w:tcBorders>
            <w:shd w:val="clear" w:color="auto" w:fill="C6EFCE"/>
            <w:noWrap/>
          </w:tcPr>
          <w:p w14:paraId="283C6E1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225" w:type="dxa"/>
            <w:tcBorders>
              <w:top w:val="single" w:sz="4" w:space="0" w:color="auto"/>
              <w:left w:val="nil"/>
              <w:bottom w:val="single" w:sz="4" w:space="0" w:color="auto"/>
              <w:right w:val="single" w:sz="4" w:space="0" w:color="auto"/>
            </w:tcBorders>
            <w:shd w:val="clear" w:color="auto" w:fill="C6EFCE"/>
            <w:noWrap/>
          </w:tcPr>
          <w:p w14:paraId="3159507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725" w:type="dxa"/>
            <w:tcBorders>
              <w:top w:val="single" w:sz="4" w:space="0" w:color="auto"/>
              <w:left w:val="nil"/>
              <w:bottom w:val="single" w:sz="4" w:space="0" w:color="auto"/>
              <w:right w:val="single" w:sz="4" w:space="0" w:color="auto"/>
            </w:tcBorders>
            <w:shd w:val="clear" w:color="auto" w:fill="C6EFCE"/>
            <w:noWrap/>
          </w:tcPr>
          <w:p w14:paraId="4A70975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908" w:type="dxa"/>
            <w:tcBorders>
              <w:top w:val="single" w:sz="4" w:space="0" w:color="auto"/>
              <w:left w:val="nil"/>
              <w:bottom w:val="single" w:sz="4" w:space="0" w:color="auto"/>
              <w:right w:val="single" w:sz="4" w:space="0" w:color="auto"/>
            </w:tcBorders>
            <w:shd w:val="clear" w:color="auto" w:fill="C6EFCE"/>
            <w:noWrap/>
          </w:tcPr>
          <w:p w14:paraId="5C6B6BC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Q1</w:t>
            </w:r>
          </w:p>
        </w:tc>
        <w:tc>
          <w:tcPr>
            <w:tcW w:w="705" w:type="dxa"/>
            <w:tcBorders>
              <w:top w:val="single" w:sz="4" w:space="0" w:color="auto"/>
              <w:left w:val="nil"/>
              <w:bottom w:val="single" w:sz="4" w:space="0" w:color="auto"/>
              <w:right w:val="single" w:sz="4" w:space="0" w:color="auto"/>
            </w:tcBorders>
            <w:shd w:val="clear" w:color="auto" w:fill="C6EFCE"/>
            <w:noWrap/>
          </w:tcPr>
          <w:p w14:paraId="2011A1F5"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024" w:type="dxa"/>
            <w:tcBorders>
              <w:top w:val="single" w:sz="4" w:space="0" w:color="auto"/>
              <w:left w:val="nil"/>
              <w:bottom w:val="single" w:sz="4" w:space="0" w:color="auto"/>
              <w:right w:val="single" w:sz="4" w:space="0" w:color="auto"/>
            </w:tcBorders>
            <w:shd w:val="clear" w:color="auto" w:fill="C6EFCE"/>
            <w:noWrap/>
          </w:tcPr>
          <w:p w14:paraId="5F7EFB7C"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The analysis shall present: </w:t>
            </w:r>
          </w:p>
          <w:p w14:paraId="2582A8D4"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the strategic and technological options and the legislative and regulatory package to determine the achievement of the Government Cloud, including interoperability rules and government data governance model;</w:t>
            </w:r>
          </w:p>
          <w:p w14:paraId="20938C42"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the possibilities for the construction, delivery, installation and operation of civilian and technological infrastructures in accordance with the deadlines laid down in the Plan; </w:t>
            </w:r>
          </w:p>
          <w:p w14:paraId="57787F24"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mapping of public digital applications/services currently offered by state authorities of, design of processes and procedures implemented in production and/or at implementation stages; </w:t>
            </w:r>
          </w:p>
          <w:p w14:paraId="44B266A3"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the cloud development/migration plan of the mapped applications.</w:t>
            </w:r>
          </w:p>
        </w:tc>
      </w:tr>
      <w:tr w:rsidR="00A437C8" w:rsidRPr="00A025C9" w14:paraId="02F896E8"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0D6FC7F"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144</w:t>
            </w:r>
          </w:p>
        </w:tc>
        <w:tc>
          <w:tcPr>
            <w:tcW w:w="2101" w:type="dxa"/>
            <w:tcBorders>
              <w:top w:val="single" w:sz="4" w:space="0" w:color="auto"/>
              <w:left w:val="nil"/>
              <w:bottom w:val="single" w:sz="4" w:space="0" w:color="auto"/>
              <w:right w:val="single" w:sz="4" w:space="0" w:color="auto"/>
            </w:tcBorders>
            <w:shd w:val="clear" w:color="auto" w:fill="C6EFCE"/>
            <w:noWrap/>
          </w:tcPr>
          <w:p w14:paraId="12A179F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Reform 1. Development of a unitary framework for defining the architecture of a government cloud system </w:t>
            </w:r>
          </w:p>
          <w:p w14:paraId="57D0CCC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226" w:type="dxa"/>
            <w:tcBorders>
              <w:top w:val="single" w:sz="4" w:space="0" w:color="auto"/>
              <w:left w:val="nil"/>
              <w:bottom w:val="single" w:sz="4" w:space="0" w:color="auto"/>
              <w:right w:val="single" w:sz="4" w:space="0" w:color="auto"/>
            </w:tcBorders>
            <w:shd w:val="clear" w:color="auto" w:fill="C6EFCE"/>
            <w:noWrap/>
          </w:tcPr>
          <w:p w14:paraId="004DA6AC"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3DFFD1E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Entry into force of the law for the governance of cloud services for the government area</w:t>
            </w:r>
          </w:p>
        </w:tc>
        <w:tc>
          <w:tcPr>
            <w:tcW w:w="1734" w:type="dxa"/>
            <w:tcBorders>
              <w:top w:val="single" w:sz="4" w:space="0" w:color="auto"/>
              <w:left w:val="nil"/>
              <w:bottom w:val="single" w:sz="4" w:space="0" w:color="auto"/>
              <w:right w:val="single" w:sz="4" w:space="0" w:color="auto"/>
            </w:tcBorders>
            <w:shd w:val="clear" w:color="auto" w:fill="C6EFCE"/>
            <w:noWrap/>
          </w:tcPr>
          <w:p w14:paraId="1A2548D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Provision in the law indicating the entry into force of the cloud services governance law</w:t>
            </w:r>
          </w:p>
        </w:tc>
        <w:tc>
          <w:tcPr>
            <w:tcW w:w="970" w:type="dxa"/>
            <w:tcBorders>
              <w:top w:val="single" w:sz="4" w:space="0" w:color="auto"/>
              <w:left w:val="nil"/>
              <w:bottom w:val="single" w:sz="4" w:space="0" w:color="auto"/>
              <w:right w:val="single" w:sz="4" w:space="0" w:color="auto"/>
            </w:tcBorders>
            <w:shd w:val="clear" w:color="auto" w:fill="C6EFCE"/>
            <w:noWrap/>
          </w:tcPr>
          <w:p w14:paraId="23683CDE"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225" w:type="dxa"/>
            <w:tcBorders>
              <w:top w:val="single" w:sz="4" w:space="0" w:color="auto"/>
              <w:left w:val="nil"/>
              <w:bottom w:val="single" w:sz="4" w:space="0" w:color="auto"/>
              <w:right w:val="single" w:sz="4" w:space="0" w:color="auto"/>
            </w:tcBorders>
            <w:shd w:val="clear" w:color="auto" w:fill="C6EFCE"/>
            <w:noWrap/>
          </w:tcPr>
          <w:p w14:paraId="70F3E58A"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725" w:type="dxa"/>
            <w:tcBorders>
              <w:top w:val="single" w:sz="4" w:space="0" w:color="auto"/>
              <w:left w:val="nil"/>
              <w:bottom w:val="single" w:sz="4" w:space="0" w:color="auto"/>
              <w:right w:val="single" w:sz="4" w:space="0" w:color="auto"/>
            </w:tcBorders>
            <w:shd w:val="clear" w:color="auto" w:fill="C6EFCE"/>
            <w:noWrap/>
          </w:tcPr>
          <w:p w14:paraId="57B9D79E"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908" w:type="dxa"/>
            <w:tcBorders>
              <w:top w:val="single" w:sz="4" w:space="0" w:color="auto"/>
              <w:left w:val="nil"/>
              <w:bottom w:val="single" w:sz="4" w:space="0" w:color="auto"/>
              <w:right w:val="single" w:sz="4" w:space="0" w:color="auto"/>
            </w:tcBorders>
            <w:shd w:val="clear" w:color="auto" w:fill="C6EFCE"/>
            <w:noWrap/>
          </w:tcPr>
          <w:p w14:paraId="0F91A53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617CCAA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024" w:type="dxa"/>
            <w:tcBorders>
              <w:top w:val="single" w:sz="4" w:space="0" w:color="auto"/>
              <w:left w:val="nil"/>
              <w:bottom w:val="single" w:sz="4" w:space="0" w:color="auto"/>
              <w:right w:val="single" w:sz="4" w:space="0" w:color="auto"/>
            </w:tcBorders>
            <w:shd w:val="clear" w:color="auto" w:fill="C6EFCE"/>
            <w:noWrap/>
          </w:tcPr>
          <w:p w14:paraId="0B77836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The new law shall establish a general framework for the development and management of a cloud infrastructure, consisting of a set of information technology, communications and cybersecurity resources and services, shared by the public sector in accordance with the European Cloud Computing Strategy and aligned with the National Interoperability Framework. </w:t>
            </w:r>
          </w:p>
        </w:tc>
      </w:tr>
      <w:tr w:rsidR="00A437C8" w:rsidRPr="00A025C9" w14:paraId="68CB2B8C"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5C1F443"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145</w:t>
            </w:r>
          </w:p>
        </w:tc>
        <w:tc>
          <w:tcPr>
            <w:tcW w:w="2101" w:type="dxa"/>
            <w:tcBorders>
              <w:top w:val="single" w:sz="4" w:space="0" w:color="auto"/>
              <w:left w:val="nil"/>
              <w:bottom w:val="single" w:sz="4" w:space="0" w:color="auto"/>
              <w:right w:val="single" w:sz="4" w:space="0" w:color="auto"/>
            </w:tcBorders>
            <w:shd w:val="clear" w:color="auto" w:fill="C6EFCE"/>
            <w:noWrap/>
          </w:tcPr>
          <w:p w14:paraId="4CC467B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Reform 1. Development of a unitary framework for defining the architecture of a government cloud system </w:t>
            </w:r>
          </w:p>
          <w:p w14:paraId="25CC8D63"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226" w:type="dxa"/>
            <w:tcBorders>
              <w:top w:val="single" w:sz="4" w:space="0" w:color="auto"/>
              <w:left w:val="nil"/>
              <w:bottom w:val="single" w:sz="4" w:space="0" w:color="auto"/>
              <w:right w:val="single" w:sz="4" w:space="0" w:color="auto"/>
            </w:tcBorders>
            <w:shd w:val="clear" w:color="auto" w:fill="C6EFCE"/>
            <w:noWrap/>
          </w:tcPr>
          <w:p w14:paraId="3358CCA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70AF292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Entry into force of the interoperability law</w:t>
            </w:r>
          </w:p>
        </w:tc>
        <w:tc>
          <w:tcPr>
            <w:tcW w:w="1734" w:type="dxa"/>
            <w:tcBorders>
              <w:top w:val="single" w:sz="4" w:space="0" w:color="auto"/>
              <w:left w:val="nil"/>
              <w:bottom w:val="single" w:sz="4" w:space="0" w:color="auto"/>
              <w:right w:val="single" w:sz="4" w:space="0" w:color="auto"/>
            </w:tcBorders>
            <w:shd w:val="clear" w:color="auto" w:fill="C6EFCE"/>
            <w:noWrap/>
          </w:tcPr>
          <w:p w14:paraId="0AC9E5BB" w14:textId="77777777" w:rsidR="00A437C8" w:rsidRPr="00A025C9" w:rsidRDefault="00A437C8">
            <w:pPr>
              <w:spacing w:after="0" w:line="240" w:lineRule="auto"/>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Provision in the law indicating the entry into force of the interoperability law</w:t>
            </w:r>
          </w:p>
        </w:tc>
        <w:tc>
          <w:tcPr>
            <w:tcW w:w="970" w:type="dxa"/>
            <w:tcBorders>
              <w:top w:val="single" w:sz="4" w:space="0" w:color="auto"/>
              <w:left w:val="nil"/>
              <w:bottom w:val="single" w:sz="4" w:space="0" w:color="auto"/>
              <w:right w:val="single" w:sz="4" w:space="0" w:color="auto"/>
            </w:tcBorders>
            <w:shd w:val="clear" w:color="auto" w:fill="C6EFCE"/>
            <w:noWrap/>
          </w:tcPr>
          <w:p w14:paraId="7E7EEB74"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225" w:type="dxa"/>
            <w:tcBorders>
              <w:top w:val="single" w:sz="4" w:space="0" w:color="auto"/>
              <w:left w:val="nil"/>
              <w:bottom w:val="single" w:sz="4" w:space="0" w:color="auto"/>
              <w:right w:val="single" w:sz="4" w:space="0" w:color="auto"/>
            </w:tcBorders>
            <w:shd w:val="clear" w:color="auto" w:fill="C6EFCE"/>
            <w:noWrap/>
          </w:tcPr>
          <w:p w14:paraId="661BCE0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725" w:type="dxa"/>
            <w:tcBorders>
              <w:top w:val="single" w:sz="4" w:space="0" w:color="auto"/>
              <w:left w:val="nil"/>
              <w:bottom w:val="single" w:sz="4" w:space="0" w:color="auto"/>
              <w:right w:val="single" w:sz="4" w:space="0" w:color="auto"/>
            </w:tcBorders>
            <w:shd w:val="clear" w:color="auto" w:fill="C6EFCE"/>
            <w:noWrap/>
          </w:tcPr>
          <w:p w14:paraId="53BAE8C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908" w:type="dxa"/>
            <w:tcBorders>
              <w:top w:val="single" w:sz="4" w:space="0" w:color="auto"/>
              <w:left w:val="nil"/>
              <w:bottom w:val="single" w:sz="4" w:space="0" w:color="auto"/>
              <w:right w:val="single" w:sz="4" w:space="0" w:color="auto"/>
            </w:tcBorders>
            <w:shd w:val="clear" w:color="auto" w:fill="C6EFCE"/>
            <w:noWrap/>
          </w:tcPr>
          <w:p w14:paraId="44813A7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Q2</w:t>
            </w:r>
          </w:p>
          <w:p w14:paraId="2CADB497"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705" w:type="dxa"/>
            <w:tcBorders>
              <w:top w:val="single" w:sz="4" w:space="0" w:color="auto"/>
              <w:left w:val="nil"/>
              <w:bottom w:val="single" w:sz="4" w:space="0" w:color="auto"/>
              <w:right w:val="single" w:sz="4" w:space="0" w:color="auto"/>
            </w:tcBorders>
            <w:shd w:val="clear" w:color="auto" w:fill="C6EFCE"/>
            <w:noWrap/>
          </w:tcPr>
          <w:p w14:paraId="1EF5BCE7"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p w14:paraId="545CBEA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3024" w:type="dxa"/>
            <w:tcBorders>
              <w:top w:val="single" w:sz="4" w:space="0" w:color="auto"/>
              <w:left w:val="nil"/>
              <w:bottom w:val="single" w:sz="4" w:space="0" w:color="auto"/>
              <w:right w:val="single" w:sz="4" w:space="0" w:color="auto"/>
            </w:tcBorders>
            <w:shd w:val="clear" w:color="auto" w:fill="C6EFCE"/>
            <w:noWrap/>
          </w:tcPr>
          <w:p w14:paraId="050B43F2" w14:textId="77777777" w:rsidR="00A437C8" w:rsidRPr="00A025C9" w:rsidRDefault="00A437C8">
            <w:pPr>
              <w:tabs>
                <w:tab w:val="left" w:pos="207"/>
              </w:tabs>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The new law shall:</w:t>
            </w:r>
          </w:p>
          <w:p w14:paraId="1C3A59A2"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be aligned with the provisions of the European Interoperability Framework </w:t>
            </w:r>
            <w:r w:rsidRPr="00B837E7">
              <w:rPr>
                <w:rFonts w:ascii="Times New Roman" w:eastAsia="Times New Roman" w:hAnsi="Times New Roman" w:cs="Times New Roman"/>
                <w:noProof/>
                <w:sz w:val="20"/>
                <w:szCs w:val="20"/>
                <w:vertAlign w:val="superscript"/>
                <w:lang w:val="en-GB" w:eastAsia="en-IE"/>
              </w:rPr>
              <w:footnoteReference w:id="3"/>
            </w:r>
            <w:r w:rsidRPr="00A025C9">
              <w:rPr>
                <w:rFonts w:ascii="Times New Roman" w:hAnsi="Times New Roman" w:cs="Times New Roman"/>
                <w:noProof/>
                <w:sz w:val="20"/>
                <w:szCs w:val="20"/>
                <w:lang w:val="en-GB"/>
              </w:rPr>
              <w:t>;</w:t>
            </w:r>
          </w:p>
          <w:p w14:paraId="058D509B"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put in place a framework/governance to support the selection of relevant standards and rules for the development of applications and services by the public sector in a secure and sustainable environment;</w:t>
            </w:r>
          </w:p>
          <w:p w14:paraId="1959F8FE"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operationalise the migration and integration into existing data structures of data, while ensuring interoperability;</w:t>
            </w:r>
          </w:p>
          <w:p w14:paraId="2BB1E1F8"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ensure that the implementation of functionalities involves aligning the national identification and authorisation infrastructures with EU Member States in a transnational scheme, in accordance with the European rules laid down in the eIDAS Regulation (EU) 2014/910 on electronic identification and trust services for electronic transactions in the internal market;</w:t>
            </w:r>
          </w:p>
          <w:p w14:paraId="6236BBB0"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take into account the once only principle embedded in the Single Digital Gateway Regulation (EU) 2018/1724.</w:t>
            </w:r>
          </w:p>
        </w:tc>
      </w:tr>
      <w:tr w:rsidR="00A437C8" w:rsidRPr="00A025C9" w14:paraId="2B8594F4"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552872E"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146</w:t>
            </w:r>
          </w:p>
        </w:tc>
        <w:tc>
          <w:tcPr>
            <w:tcW w:w="2101" w:type="dxa"/>
            <w:tcBorders>
              <w:top w:val="single" w:sz="4" w:space="0" w:color="auto"/>
              <w:left w:val="nil"/>
              <w:bottom w:val="single" w:sz="4" w:space="0" w:color="auto"/>
              <w:right w:val="single" w:sz="4" w:space="0" w:color="auto"/>
            </w:tcBorders>
            <w:shd w:val="clear" w:color="auto" w:fill="C6EFCE"/>
            <w:noWrap/>
          </w:tcPr>
          <w:p w14:paraId="5A18CA13"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Reform 2.</w:t>
            </w:r>
          </w:p>
          <w:p w14:paraId="040D16FE"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Transition to EU 2025 connectivity targets and stimulate private investment for the deployment of very high-capacity networks </w:t>
            </w:r>
          </w:p>
        </w:tc>
        <w:tc>
          <w:tcPr>
            <w:tcW w:w="1226" w:type="dxa"/>
            <w:tcBorders>
              <w:top w:val="single" w:sz="4" w:space="0" w:color="auto"/>
              <w:left w:val="nil"/>
              <w:bottom w:val="single" w:sz="4" w:space="0" w:color="auto"/>
              <w:right w:val="single" w:sz="4" w:space="0" w:color="auto"/>
            </w:tcBorders>
            <w:shd w:val="clear" w:color="auto" w:fill="C6EFCE"/>
            <w:noWrap/>
          </w:tcPr>
          <w:p w14:paraId="0537CAD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486C84C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Entry into force of the 5G network security law </w:t>
            </w:r>
          </w:p>
        </w:tc>
        <w:tc>
          <w:tcPr>
            <w:tcW w:w="1734" w:type="dxa"/>
            <w:tcBorders>
              <w:top w:val="single" w:sz="4" w:space="0" w:color="auto"/>
              <w:left w:val="nil"/>
              <w:bottom w:val="single" w:sz="4" w:space="0" w:color="auto"/>
              <w:right w:val="single" w:sz="4" w:space="0" w:color="auto"/>
            </w:tcBorders>
            <w:shd w:val="clear" w:color="auto" w:fill="C6EFCE"/>
            <w:noWrap/>
          </w:tcPr>
          <w:p w14:paraId="062E796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Provision in the law indicating the entry into force of the 5G security law</w:t>
            </w:r>
          </w:p>
        </w:tc>
        <w:tc>
          <w:tcPr>
            <w:tcW w:w="970" w:type="dxa"/>
            <w:tcBorders>
              <w:top w:val="single" w:sz="4" w:space="0" w:color="auto"/>
              <w:left w:val="nil"/>
              <w:bottom w:val="single" w:sz="4" w:space="0" w:color="auto"/>
              <w:right w:val="single" w:sz="4" w:space="0" w:color="auto"/>
            </w:tcBorders>
            <w:shd w:val="clear" w:color="auto" w:fill="C6EFCE"/>
            <w:noWrap/>
          </w:tcPr>
          <w:p w14:paraId="3FF3ECE3"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w:t>
            </w:r>
          </w:p>
        </w:tc>
        <w:tc>
          <w:tcPr>
            <w:tcW w:w="1225" w:type="dxa"/>
            <w:tcBorders>
              <w:top w:val="single" w:sz="4" w:space="0" w:color="auto"/>
              <w:left w:val="nil"/>
              <w:bottom w:val="single" w:sz="4" w:space="0" w:color="auto"/>
              <w:right w:val="single" w:sz="4" w:space="0" w:color="auto"/>
            </w:tcBorders>
            <w:shd w:val="clear" w:color="auto" w:fill="C6EFCE"/>
            <w:noWrap/>
          </w:tcPr>
          <w:p w14:paraId="0BD3881A"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w:t>
            </w:r>
          </w:p>
        </w:tc>
        <w:tc>
          <w:tcPr>
            <w:tcW w:w="725" w:type="dxa"/>
            <w:tcBorders>
              <w:top w:val="single" w:sz="4" w:space="0" w:color="auto"/>
              <w:left w:val="nil"/>
              <w:bottom w:val="single" w:sz="4" w:space="0" w:color="auto"/>
              <w:right w:val="single" w:sz="4" w:space="0" w:color="auto"/>
            </w:tcBorders>
            <w:shd w:val="clear" w:color="auto" w:fill="C6EFCE"/>
            <w:noWrap/>
          </w:tcPr>
          <w:p w14:paraId="4D18F36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w:t>
            </w:r>
          </w:p>
        </w:tc>
        <w:tc>
          <w:tcPr>
            <w:tcW w:w="908" w:type="dxa"/>
            <w:tcBorders>
              <w:top w:val="single" w:sz="4" w:space="0" w:color="auto"/>
              <w:left w:val="nil"/>
              <w:bottom w:val="single" w:sz="4" w:space="0" w:color="auto"/>
              <w:right w:val="single" w:sz="4" w:space="0" w:color="auto"/>
            </w:tcBorders>
            <w:shd w:val="clear" w:color="auto" w:fill="C6EFCE"/>
            <w:noWrap/>
          </w:tcPr>
          <w:p w14:paraId="513FC6A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16B60DD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2021</w:t>
            </w:r>
          </w:p>
        </w:tc>
        <w:tc>
          <w:tcPr>
            <w:tcW w:w="3024" w:type="dxa"/>
            <w:tcBorders>
              <w:top w:val="single" w:sz="4" w:space="0" w:color="auto"/>
              <w:left w:val="nil"/>
              <w:bottom w:val="single" w:sz="4" w:space="0" w:color="auto"/>
              <w:right w:val="single" w:sz="4" w:space="0" w:color="auto"/>
            </w:tcBorders>
            <w:shd w:val="clear" w:color="auto" w:fill="C6EFCE"/>
            <w:noWrap/>
          </w:tcPr>
          <w:p w14:paraId="613E3BB6" w14:textId="77777777" w:rsidR="00A437C8" w:rsidRPr="00A025C9" w:rsidRDefault="00A437C8">
            <w:pPr>
              <w:spacing w:after="0" w:line="240" w:lineRule="auto"/>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Entry into force of the 5G network security law. The main provisions shall target communications providers which shall only be able to use technologies, equipment and software in 5G networks from manufacturers authorised in advance by decision of the Prime Minister, on the basis of the opinion of the Supreme Council of National Defence. Each manufacturer of 5G equipment and software shall have to apply for this authorisation, which shall be submitted to the Ministry responsible for Communications.</w:t>
            </w:r>
          </w:p>
        </w:tc>
      </w:tr>
      <w:tr w:rsidR="00A437C8" w:rsidRPr="00A025C9" w14:paraId="5672559C"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EB01455"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147</w:t>
            </w:r>
          </w:p>
        </w:tc>
        <w:tc>
          <w:tcPr>
            <w:tcW w:w="2101" w:type="dxa"/>
            <w:tcBorders>
              <w:top w:val="single" w:sz="4" w:space="0" w:color="auto"/>
              <w:left w:val="nil"/>
              <w:bottom w:val="single" w:sz="4" w:space="0" w:color="auto"/>
              <w:right w:val="single" w:sz="4" w:space="0" w:color="auto"/>
            </w:tcBorders>
            <w:shd w:val="clear" w:color="auto" w:fill="C6EFCE"/>
            <w:noWrap/>
          </w:tcPr>
          <w:p w14:paraId="0408C37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Reform 2.</w:t>
            </w:r>
          </w:p>
          <w:p w14:paraId="5F407E9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Transition to EU 2025 connectivity targets and stimulate private investment for the deployment of very high- capacity networks </w:t>
            </w:r>
          </w:p>
        </w:tc>
        <w:tc>
          <w:tcPr>
            <w:tcW w:w="1226" w:type="dxa"/>
            <w:tcBorders>
              <w:top w:val="single" w:sz="4" w:space="0" w:color="auto"/>
              <w:left w:val="nil"/>
              <w:bottom w:val="single" w:sz="4" w:space="0" w:color="auto"/>
              <w:right w:val="single" w:sz="4" w:space="0" w:color="auto"/>
            </w:tcBorders>
            <w:shd w:val="clear" w:color="auto" w:fill="C6EFCE"/>
            <w:noWrap/>
          </w:tcPr>
          <w:p w14:paraId="4845E53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3C78225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Publication of the call for tender for the authorisation of telecommuni-cations operators to grant 5G licences </w:t>
            </w:r>
          </w:p>
        </w:tc>
        <w:tc>
          <w:tcPr>
            <w:tcW w:w="1734" w:type="dxa"/>
            <w:tcBorders>
              <w:top w:val="single" w:sz="4" w:space="0" w:color="auto"/>
              <w:left w:val="nil"/>
              <w:bottom w:val="single" w:sz="4" w:space="0" w:color="auto"/>
              <w:right w:val="single" w:sz="4" w:space="0" w:color="auto"/>
            </w:tcBorders>
            <w:shd w:val="clear" w:color="auto" w:fill="C6EFCE"/>
            <w:noWrap/>
          </w:tcPr>
          <w:p w14:paraId="67CA1A87"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Call for tender is published on ANCOM’s website </w:t>
            </w:r>
          </w:p>
        </w:tc>
        <w:tc>
          <w:tcPr>
            <w:tcW w:w="970" w:type="dxa"/>
            <w:tcBorders>
              <w:top w:val="single" w:sz="4" w:space="0" w:color="auto"/>
              <w:left w:val="nil"/>
              <w:bottom w:val="single" w:sz="4" w:space="0" w:color="auto"/>
              <w:right w:val="single" w:sz="4" w:space="0" w:color="auto"/>
            </w:tcBorders>
            <w:shd w:val="clear" w:color="auto" w:fill="C6EFCE"/>
            <w:noWrap/>
          </w:tcPr>
          <w:p w14:paraId="4F688C5A"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w:t>
            </w:r>
          </w:p>
        </w:tc>
        <w:tc>
          <w:tcPr>
            <w:tcW w:w="1225" w:type="dxa"/>
            <w:tcBorders>
              <w:top w:val="single" w:sz="4" w:space="0" w:color="auto"/>
              <w:left w:val="nil"/>
              <w:bottom w:val="single" w:sz="4" w:space="0" w:color="auto"/>
              <w:right w:val="single" w:sz="4" w:space="0" w:color="auto"/>
            </w:tcBorders>
            <w:shd w:val="clear" w:color="auto" w:fill="C6EFCE"/>
            <w:noWrap/>
          </w:tcPr>
          <w:p w14:paraId="78DD3454"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w:t>
            </w:r>
          </w:p>
        </w:tc>
        <w:tc>
          <w:tcPr>
            <w:tcW w:w="725" w:type="dxa"/>
            <w:tcBorders>
              <w:top w:val="single" w:sz="4" w:space="0" w:color="auto"/>
              <w:left w:val="nil"/>
              <w:bottom w:val="single" w:sz="4" w:space="0" w:color="auto"/>
              <w:right w:val="single" w:sz="4" w:space="0" w:color="auto"/>
            </w:tcBorders>
            <w:shd w:val="clear" w:color="auto" w:fill="C6EFCE"/>
            <w:noWrap/>
          </w:tcPr>
          <w:p w14:paraId="592D805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w:t>
            </w:r>
          </w:p>
        </w:tc>
        <w:tc>
          <w:tcPr>
            <w:tcW w:w="908" w:type="dxa"/>
            <w:tcBorders>
              <w:top w:val="single" w:sz="4" w:space="0" w:color="auto"/>
              <w:left w:val="nil"/>
              <w:bottom w:val="single" w:sz="4" w:space="0" w:color="auto"/>
              <w:right w:val="single" w:sz="4" w:space="0" w:color="auto"/>
            </w:tcBorders>
            <w:shd w:val="clear" w:color="auto" w:fill="C6EFCE"/>
            <w:noWrap/>
          </w:tcPr>
          <w:p w14:paraId="41A14CF7"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641284E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024" w:type="dxa"/>
            <w:tcBorders>
              <w:top w:val="single" w:sz="4" w:space="0" w:color="auto"/>
              <w:left w:val="nil"/>
              <w:bottom w:val="single" w:sz="4" w:space="0" w:color="auto"/>
              <w:right w:val="single" w:sz="4" w:space="0" w:color="auto"/>
            </w:tcBorders>
            <w:shd w:val="clear" w:color="auto" w:fill="C6EFCE"/>
            <w:noWrap/>
          </w:tcPr>
          <w:p w14:paraId="3580B42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Publication and organisation of a competitive selection procedure (auction) for granting the so called ”5G licenses” (i.e. in the 700 MHz, 1500MHz and 3,4 – 3,8GHz bands). </w:t>
            </w:r>
          </w:p>
          <w:p w14:paraId="258D4000"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Long term licences are envisaged as per the European Electronic Communications Code criteria, to efficiently stimulate 5G, promote competition and end-users’ rights.</w:t>
            </w:r>
          </w:p>
          <w:p w14:paraId="36DCFA1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The auction procedure shall build on the experiences with past spectrum auctions in Romania (2012 and 2015) and with similar recent proceedings in the EU, and shall incorporate competitive safeguards, market shaping mechanisms and conditions attached to the licences, all of them fit for the Romanian market specificities and dynamics. </w:t>
            </w:r>
          </w:p>
        </w:tc>
      </w:tr>
      <w:tr w:rsidR="00A437C8" w:rsidRPr="00A025C9" w14:paraId="2DE541BF"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B4B300A"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148</w:t>
            </w:r>
          </w:p>
        </w:tc>
        <w:tc>
          <w:tcPr>
            <w:tcW w:w="2101" w:type="dxa"/>
            <w:tcBorders>
              <w:top w:val="single" w:sz="4" w:space="0" w:color="auto"/>
              <w:left w:val="nil"/>
              <w:bottom w:val="single" w:sz="4" w:space="0" w:color="auto"/>
              <w:right w:val="single" w:sz="4" w:space="0" w:color="auto"/>
            </w:tcBorders>
            <w:shd w:val="clear" w:color="auto" w:fill="C6EFCE"/>
            <w:noWrap/>
          </w:tcPr>
          <w:p w14:paraId="0E7EDED4"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Reform 2.</w:t>
            </w:r>
          </w:p>
          <w:p w14:paraId="343733C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Transition to EU 2025 connectivity targets and stimulate private investment for the deployment of very high-capacity networks </w:t>
            </w:r>
          </w:p>
        </w:tc>
        <w:tc>
          <w:tcPr>
            <w:tcW w:w="1226" w:type="dxa"/>
            <w:tcBorders>
              <w:top w:val="single" w:sz="4" w:space="0" w:color="auto"/>
              <w:left w:val="nil"/>
              <w:bottom w:val="single" w:sz="4" w:space="0" w:color="auto"/>
              <w:right w:val="single" w:sz="4" w:space="0" w:color="auto"/>
            </w:tcBorders>
            <w:shd w:val="clear" w:color="auto" w:fill="C6EFCE"/>
            <w:noWrap/>
          </w:tcPr>
          <w:p w14:paraId="44C9F4B7"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12BDFCC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Recommendations from the EU connectivity toolbox are implemented</w:t>
            </w:r>
          </w:p>
        </w:tc>
        <w:tc>
          <w:tcPr>
            <w:tcW w:w="1734" w:type="dxa"/>
            <w:tcBorders>
              <w:top w:val="single" w:sz="4" w:space="0" w:color="auto"/>
              <w:left w:val="nil"/>
              <w:bottom w:val="single" w:sz="4" w:space="0" w:color="auto"/>
              <w:right w:val="single" w:sz="4" w:space="0" w:color="auto"/>
            </w:tcBorders>
            <w:shd w:val="clear" w:color="auto" w:fill="C6EFCE"/>
            <w:noWrap/>
          </w:tcPr>
          <w:p w14:paraId="1D963DA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970" w:type="dxa"/>
            <w:tcBorders>
              <w:top w:val="single" w:sz="4" w:space="0" w:color="auto"/>
              <w:left w:val="nil"/>
              <w:bottom w:val="single" w:sz="4" w:space="0" w:color="auto"/>
              <w:right w:val="single" w:sz="4" w:space="0" w:color="auto"/>
            </w:tcBorders>
            <w:shd w:val="clear" w:color="auto" w:fill="C6EFCE"/>
            <w:noWrap/>
          </w:tcPr>
          <w:p w14:paraId="27C7D25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37DDF115"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58768E6A"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574265E7"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Q3</w:t>
            </w:r>
          </w:p>
        </w:tc>
        <w:tc>
          <w:tcPr>
            <w:tcW w:w="705" w:type="dxa"/>
            <w:tcBorders>
              <w:top w:val="single" w:sz="4" w:space="0" w:color="auto"/>
              <w:left w:val="nil"/>
              <w:bottom w:val="single" w:sz="4" w:space="0" w:color="auto"/>
              <w:right w:val="single" w:sz="4" w:space="0" w:color="auto"/>
            </w:tcBorders>
            <w:shd w:val="clear" w:color="auto" w:fill="C6EFCE"/>
            <w:noWrap/>
          </w:tcPr>
          <w:p w14:paraId="294C3040"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024" w:type="dxa"/>
            <w:tcBorders>
              <w:top w:val="single" w:sz="4" w:space="0" w:color="auto"/>
              <w:left w:val="nil"/>
              <w:bottom w:val="single" w:sz="4" w:space="0" w:color="auto"/>
              <w:right w:val="single" w:sz="4" w:space="0" w:color="auto"/>
            </w:tcBorders>
            <w:shd w:val="clear" w:color="auto" w:fill="C6EFCE"/>
            <w:noWrap/>
          </w:tcPr>
          <w:p w14:paraId="6AE3DF37"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Implementation of Romania’s Roadmap in application of the Connectivity Toolbox</w:t>
            </w:r>
            <w:r w:rsidRPr="00A025C9">
              <w:rPr>
                <w:rFonts w:ascii="Times New Roman" w:eastAsia="Times New Roman" w:hAnsi="Times New Roman" w:cs="Times New Roman"/>
                <w:noProof/>
                <w:sz w:val="20"/>
                <w:szCs w:val="20"/>
                <w:vertAlign w:val="superscript"/>
                <w:lang w:val="en-GB"/>
              </w:rPr>
              <w:footnoteReference w:id="4"/>
            </w:r>
            <w:r w:rsidRPr="00A025C9">
              <w:rPr>
                <w:rFonts w:ascii="Times New Roman" w:hAnsi="Times New Roman" w:cs="Times New Roman"/>
                <w:noProof/>
                <w:sz w:val="20"/>
                <w:szCs w:val="20"/>
                <w:lang w:val="en-GB"/>
              </w:rPr>
              <w:t xml:space="preserve"> is a joint multi-stakeholder effort.</w:t>
            </w:r>
          </w:p>
          <w:p w14:paraId="42F72443"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As per draft roadmap currently under analysis between relevant ministries, Romania shall implement for 12 out of 39 recommendations:</w:t>
            </w:r>
          </w:p>
          <w:p w14:paraId="1E36EBBE"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24 – Promote adequate reserve prices</w:t>
            </w:r>
          </w:p>
          <w:p w14:paraId="3BFEA3DA"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25 – Timely availability of 5G harmonised bands</w:t>
            </w:r>
          </w:p>
          <w:p w14:paraId="32E0B524"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28 – Individual authorisation regime for the 24,25-27,5GHz frequency band</w:t>
            </w:r>
          </w:p>
          <w:p w14:paraId="719202D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31 – Structure of recurrent spectrum fees to incentivise roll-out</w:t>
            </w:r>
          </w:p>
          <w:p w14:paraId="0983C70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38 – Coordinated and targeted communication for informing and educating on 5G implementation</w:t>
            </w:r>
          </w:p>
          <w:p w14:paraId="1F761D33"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39 – Inform the public on the compliance of Radio Base Stations installations with applicable EMF safe limits.</w:t>
            </w:r>
          </w:p>
          <w:p w14:paraId="114AEAF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All these recommendations are expected to be finalised by 2021, while</w:t>
            </w:r>
          </w:p>
          <w:p w14:paraId="022503D7"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 – Provide model regulations on electronic communications network deployment</w:t>
            </w:r>
          </w:p>
          <w:p w14:paraId="6110F71E"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3 – Provide informative materials and workshops for municipalities and other competent authorities</w:t>
            </w:r>
          </w:p>
          <w:p w14:paraId="62E51397"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11 – Ensure the availability of information from different sources and enhance transparency of planned civil works</w:t>
            </w:r>
          </w:p>
          <w:p w14:paraId="092D629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26 – review National Spectrum Plans on a regular basis</w:t>
            </w:r>
          </w:p>
          <w:p w14:paraId="2D2C39C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32 – Use financial aid as a complement to incentivise investments</w:t>
            </w:r>
          </w:p>
          <w:p w14:paraId="14B1A253"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35 – Make use of harmonised technical conditions developed by the European Conference of Postal and Telecommunications Administrations (CEPT)/Electronic Communications Committee (ECC), if common dedicated frequency ranges are deemed necessary</w:t>
            </w:r>
          </w:p>
          <w:p w14:paraId="7DACF682" w14:textId="77777777" w:rsidR="00A437C8" w:rsidRPr="00A025C9" w:rsidRDefault="00A437C8">
            <w:pPr>
              <w:spacing w:after="0"/>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All shall be finalised in 2022.</w:t>
            </w:r>
          </w:p>
          <w:p w14:paraId="6F79C772" w14:textId="77777777" w:rsidR="00A437C8" w:rsidRPr="00A025C9" w:rsidRDefault="00A437C8">
            <w:pPr>
              <w:spacing w:after="0"/>
              <w:contextualSpacing/>
              <w:jc w:val="both"/>
              <w:rPr>
                <w:rFonts w:ascii="Times New Roman" w:eastAsia="Times New Roman" w:hAnsi="Times New Roman" w:cs="Times New Roman"/>
                <w:noProof/>
                <w:sz w:val="20"/>
                <w:szCs w:val="20"/>
                <w:lang w:val="en-GB"/>
              </w:rPr>
            </w:pPr>
          </w:p>
        </w:tc>
      </w:tr>
      <w:tr w:rsidR="00A437C8" w:rsidRPr="00A025C9" w14:paraId="7BFC4A84"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F18146D"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149</w:t>
            </w:r>
          </w:p>
        </w:tc>
        <w:tc>
          <w:tcPr>
            <w:tcW w:w="2101" w:type="dxa"/>
            <w:tcBorders>
              <w:top w:val="single" w:sz="4" w:space="0" w:color="auto"/>
              <w:left w:val="nil"/>
              <w:bottom w:val="single" w:sz="4" w:space="0" w:color="auto"/>
              <w:right w:val="single" w:sz="4" w:space="0" w:color="auto"/>
            </w:tcBorders>
            <w:shd w:val="clear" w:color="auto" w:fill="C6EFCE"/>
            <w:noWrap/>
          </w:tcPr>
          <w:p w14:paraId="69D483D8" w14:textId="77777777" w:rsidR="00A437C8" w:rsidRPr="00A025C9" w:rsidRDefault="00A437C8">
            <w:pPr>
              <w:spacing w:after="0" w:line="240" w:lineRule="auto"/>
              <w:jc w:val="both"/>
              <w:rPr>
                <w:rFonts w:ascii="Times New Roman" w:eastAsia="Times New Roman" w:hAnsi="Times New Roman" w:cs="Times New Roman"/>
                <w:noProof/>
                <w:sz w:val="20"/>
                <w:szCs w:val="20"/>
                <w:highlight w:val="yellow"/>
                <w:lang w:val="en-GB"/>
              </w:rPr>
            </w:pPr>
            <w:r w:rsidRPr="00A025C9">
              <w:rPr>
                <w:rFonts w:ascii="Times New Roman" w:hAnsi="Times New Roman" w:cs="Times New Roman"/>
                <w:noProof/>
                <w:sz w:val="20"/>
                <w:szCs w:val="20"/>
                <w:lang w:val="en-GB"/>
              </w:rPr>
              <w:t>Reform 2.</w:t>
            </w:r>
          </w:p>
          <w:p w14:paraId="18D2E50A" w14:textId="77777777" w:rsidR="00A437C8" w:rsidRPr="00A025C9" w:rsidRDefault="00A437C8">
            <w:pPr>
              <w:spacing w:after="0" w:line="240" w:lineRule="auto"/>
              <w:jc w:val="both"/>
              <w:rPr>
                <w:rFonts w:ascii="Times New Roman" w:eastAsia="Times New Roman" w:hAnsi="Times New Roman" w:cs="Times New Roman"/>
                <w:noProof/>
                <w:sz w:val="20"/>
                <w:szCs w:val="20"/>
                <w:highlight w:val="yellow"/>
                <w:lang w:val="en-GB"/>
              </w:rPr>
            </w:pPr>
            <w:r w:rsidRPr="00A025C9">
              <w:rPr>
                <w:rFonts w:ascii="Times New Roman" w:hAnsi="Times New Roman" w:cs="Times New Roman"/>
                <w:noProof/>
                <w:sz w:val="20"/>
                <w:szCs w:val="20"/>
                <w:lang w:val="en-GB"/>
              </w:rPr>
              <w:t xml:space="preserve">Transition to EU 2025 connectivity targets and stimulate private investment for the deployment of very high-capacity networks </w:t>
            </w:r>
          </w:p>
        </w:tc>
        <w:tc>
          <w:tcPr>
            <w:tcW w:w="1226" w:type="dxa"/>
            <w:tcBorders>
              <w:top w:val="single" w:sz="4" w:space="0" w:color="auto"/>
              <w:left w:val="nil"/>
              <w:bottom w:val="single" w:sz="4" w:space="0" w:color="auto"/>
              <w:right w:val="single" w:sz="4" w:space="0" w:color="auto"/>
            </w:tcBorders>
            <w:shd w:val="clear" w:color="auto" w:fill="C6EFCE"/>
            <w:noWrap/>
          </w:tcPr>
          <w:p w14:paraId="6DA975D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191B993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Assignment of the rights of use of radio spectrum</w:t>
            </w:r>
          </w:p>
        </w:tc>
        <w:tc>
          <w:tcPr>
            <w:tcW w:w="1734" w:type="dxa"/>
            <w:tcBorders>
              <w:top w:val="single" w:sz="4" w:space="0" w:color="auto"/>
              <w:left w:val="nil"/>
              <w:bottom w:val="single" w:sz="4" w:space="0" w:color="auto"/>
              <w:right w:val="single" w:sz="4" w:space="0" w:color="auto"/>
            </w:tcBorders>
            <w:shd w:val="clear" w:color="auto" w:fill="C6EFCE"/>
            <w:noWrap/>
          </w:tcPr>
          <w:p w14:paraId="52D0DB05"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Rights of use assigned</w:t>
            </w:r>
          </w:p>
        </w:tc>
        <w:tc>
          <w:tcPr>
            <w:tcW w:w="970" w:type="dxa"/>
            <w:tcBorders>
              <w:top w:val="single" w:sz="4" w:space="0" w:color="auto"/>
              <w:left w:val="nil"/>
              <w:bottom w:val="single" w:sz="4" w:space="0" w:color="auto"/>
              <w:right w:val="single" w:sz="4" w:space="0" w:color="auto"/>
            </w:tcBorders>
            <w:shd w:val="clear" w:color="auto" w:fill="C6EFCE"/>
            <w:noWrap/>
          </w:tcPr>
          <w:p w14:paraId="316F3013"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w:t>
            </w:r>
          </w:p>
        </w:tc>
        <w:tc>
          <w:tcPr>
            <w:tcW w:w="1225" w:type="dxa"/>
            <w:tcBorders>
              <w:top w:val="single" w:sz="4" w:space="0" w:color="auto"/>
              <w:left w:val="nil"/>
              <w:bottom w:val="single" w:sz="4" w:space="0" w:color="auto"/>
              <w:right w:val="single" w:sz="4" w:space="0" w:color="auto"/>
            </w:tcBorders>
            <w:shd w:val="clear" w:color="auto" w:fill="C6EFCE"/>
            <w:noWrap/>
          </w:tcPr>
          <w:p w14:paraId="119419E7"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w:t>
            </w:r>
          </w:p>
        </w:tc>
        <w:tc>
          <w:tcPr>
            <w:tcW w:w="725" w:type="dxa"/>
            <w:tcBorders>
              <w:top w:val="single" w:sz="4" w:space="0" w:color="auto"/>
              <w:left w:val="nil"/>
              <w:bottom w:val="single" w:sz="4" w:space="0" w:color="auto"/>
              <w:right w:val="single" w:sz="4" w:space="0" w:color="auto"/>
            </w:tcBorders>
            <w:shd w:val="clear" w:color="auto" w:fill="C6EFCE"/>
            <w:noWrap/>
          </w:tcPr>
          <w:p w14:paraId="79B273F4"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w:t>
            </w:r>
          </w:p>
        </w:tc>
        <w:tc>
          <w:tcPr>
            <w:tcW w:w="908" w:type="dxa"/>
            <w:tcBorders>
              <w:top w:val="single" w:sz="4" w:space="0" w:color="auto"/>
              <w:left w:val="nil"/>
              <w:bottom w:val="single" w:sz="4" w:space="0" w:color="auto"/>
              <w:right w:val="single" w:sz="4" w:space="0" w:color="auto"/>
            </w:tcBorders>
            <w:shd w:val="clear" w:color="auto" w:fill="C6EFCE"/>
            <w:noWrap/>
          </w:tcPr>
          <w:p w14:paraId="4E174AF4"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Q3</w:t>
            </w:r>
          </w:p>
        </w:tc>
        <w:tc>
          <w:tcPr>
            <w:tcW w:w="705" w:type="dxa"/>
            <w:tcBorders>
              <w:top w:val="single" w:sz="4" w:space="0" w:color="auto"/>
              <w:left w:val="nil"/>
              <w:bottom w:val="single" w:sz="4" w:space="0" w:color="auto"/>
              <w:right w:val="single" w:sz="4" w:space="0" w:color="auto"/>
            </w:tcBorders>
            <w:shd w:val="clear" w:color="auto" w:fill="C6EFCE"/>
            <w:noWrap/>
          </w:tcPr>
          <w:p w14:paraId="6EA36175"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024" w:type="dxa"/>
            <w:tcBorders>
              <w:top w:val="single" w:sz="4" w:space="0" w:color="auto"/>
              <w:left w:val="nil"/>
              <w:bottom w:val="single" w:sz="4" w:space="0" w:color="auto"/>
              <w:right w:val="single" w:sz="4" w:space="0" w:color="auto"/>
            </w:tcBorders>
            <w:shd w:val="clear" w:color="auto" w:fill="C6EFCE"/>
            <w:noWrap/>
          </w:tcPr>
          <w:p w14:paraId="0CDEB82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The “5G” radio frequency licences shall be assigned based on the results of the competitive selection procedure/auction in milestone 147.</w:t>
            </w:r>
          </w:p>
          <w:p w14:paraId="574B39FC" w14:textId="77777777" w:rsidR="00A437C8" w:rsidRPr="00A025C9" w:rsidRDefault="00A437C8">
            <w:pPr>
              <w:spacing w:after="0" w:line="240" w:lineRule="auto"/>
              <w:ind w:left="282"/>
              <w:contextualSpacing/>
              <w:jc w:val="both"/>
              <w:rPr>
                <w:rFonts w:ascii="Times New Roman" w:eastAsia="Times New Roman" w:hAnsi="Times New Roman" w:cs="Times New Roman"/>
                <w:noProof/>
                <w:sz w:val="20"/>
                <w:szCs w:val="20"/>
                <w:lang w:val="en-GB"/>
              </w:rPr>
            </w:pPr>
          </w:p>
        </w:tc>
      </w:tr>
      <w:tr w:rsidR="00A437C8" w:rsidRPr="00A025C9" w14:paraId="50B8C58E"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8C39F38"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150</w:t>
            </w:r>
          </w:p>
        </w:tc>
        <w:tc>
          <w:tcPr>
            <w:tcW w:w="2101" w:type="dxa"/>
            <w:tcBorders>
              <w:top w:val="single" w:sz="4" w:space="0" w:color="auto"/>
              <w:left w:val="nil"/>
              <w:bottom w:val="single" w:sz="4" w:space="0" w:color="auto"/>
              <w:right w:val="single" w:sz="4" w:space="0" w:color="auto"/>
            </w:tcBorders>
            <w:shd w:val="clear" w:color="auto" w:fill="C6EFCE"/>
            <w:noWrap/>
          </w:tcPr>
          <w:p w14:paraId="23BFE52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Reform 3. Ensuring cybersecurity of public and private entities owning critical value infrastructure </w:t>
            </w:r>
          </w:p>
        </w:tc>
        <w:tc>
          <w:tcPr>
            <w:tcW w:w="1226" w:type="dxa"/>
            <w:tcBorders>
              <w:top w:val="single" w:sz="4" w:space="0" w:color="auto"/>
              <w:left w:val="nil"/>
              <w:bottom w:val="single" w:sz="4" w:space="0" w:color="auto"/>
              <w:right w:val="single" w:sz="4" w:space="0" w:color="auto"/>
            </w:tcBorders>
            <w:shd w:val="clear" w:color="auto" w:fill="C6EFCE"/>
            <w:noWrap/>
          </w:tcPr>
          <w:p w14:paraId="13C72A1E"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5AA77AA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Adoption of the National Cybersecurity Strategy 2021-2026</w:t>
            </w:r>
          </w:p>
        </w:tc>
        <w:tc>
          <w:tcPr>
            <w:tcW w:w="1734" w:type="dxa"/>
            <w:tcBorders>
              <w:top w:val="single" w:sz="4" w:space="0" w:color="auto"/>
              <w:left w:val="nil"/>
              <w:bottom w:val="single" w:sz="4" w:space="0" w:color="auto"/>
              <w:right w:val="single" w:sz="4" w:space="0" w:color="auto"/>
            </w:tcBorders>
            <w:shd w:val="clear" w:color="auto" w:fill="C6EFCE"/>
            <w:noWrap/>
          </w:tcPr>
          <w:p w14:paraId="6619CDAE"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Adoption of the National Cybersecurity Strategy 2021-2026 by the government</w:t>
            </w:r>
          </w:p>
        </w:tc>
        <w:tc>
          <w:tcPr>
            <w:tcW w:w="970" w:type="dxa"/>
            <w:tcBorders>
              <w:top w:val="single" w:sz="4" w:space="0" w:color="auto"/>
              <w:left w:val="nil"/>
              <w:bottom w:val="single" w:sz="4" w:space="0" w:color="auto"/>
              <w:right w:val="single" w:sz="4" w:space="0" w:color="auto"/>
            </w:tcBorders>
            <w:shd w:val="clear" w:color="auto" w:fill="C6EFCE"/>
            <w:noWrap/>
          </w:tcPr>
          <w:p w14:paraId="06F48B1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225" w:type="dxa"/>
            <w:tcBorders>
              <w:top w:val="single" w:sz="4" w:space="0" w:color="auto"/>
              <w:left w:val="nil"/>
              <w:bottom w:val="single" w:sz="4" w:space="0" w:color="auto"/>
              <w:right w:val="single" w:sz="4" w:space="0" w:color="auto"/>
            </w:tcBorders>
            <w:shd w:val="clear" w:color="auto" w:fill="C6EFCE"/>
            <w:noWrap/>
          </w:tcPr>
          <w:p w14:paraId="6E87D28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725" w:type="dxa"/>
            <w:tcBorders>
              <w:top w:val="single" w:sz="4" w:space="0" w:color="auto"/>
              <w:left w:val="nil"/>
              <w:bottom w:val="single" w:sz="4" w:space="0" w:color="auto"/>
              <w:right w:val="single" w:sz="4" w:space="0" w:color="auto"/>
            </w:tcBorders>
            <w:shd w:val="clear" w:color="auto" w:fill="C6EFCE"/>
            <w:noWrap/>
          </w:tcPr>
          <w:p w14:paraId="6BA39C1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908" w:type="dxa"/>
            <w:tcBorders>
              <w:top w:val="single" w:sz="4" w:space="0" w:color="auto"/>
              <w:left w:val="nil"/>
              <w:bottom w:val="single" w:sz="4" w:space="0" w:color="auto"/>
              <w:right w:val="single" w:sz="4" w:space="0" w:color="auto"/>
            </w:tcBorders>
            <w:shd w:val="clear" w:color="auto" w:fill="C6EFCE"/>
            <w:noWrap/>
          </w:tcPr>
          <w:p w14:paraId="7EA7261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705" w:type="dxa"/>
            <w:tcBorders>
              <w:top w:val="single" w:sz="4" w:space="0" w:color="auto"/>
              <w:left w:val="nil"/>
              <w:bottom w:val="single" w:sz="4" w:space="0" w:color="auto"/>
              <w:right w:val="single" w:sz="4" w:space="0" w:color="auto"/>
            </w:tcBorders>
            <w:shd w:val="clear" w:color="auto" w:fill="C6EFCE"/>
            <w:noWrap/>
          </w:tcPr>
          <w:p w14:paraId="6D6D528A"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2021</w:t>
            </w:r>
          </w:p>
        </w:tc>
        <w:tc>
          <w:tcPr>
            <w:tcW w:w="3024" w:type="dxa"/>
            <w:tcBorders>
              <w:top w:val="single" w:sz="4" w:space="0" w:color="auto"/>
              <w:left w:val="nil"/>
              <w:bottom w:val="single" w:sz="4" w:space="0" w:color="auto"/>
              <w:right w:val="single" w:sz="4" w:space="0" w:color="auto"/>
            </w:tcBorders>
            <w:shd w:val="clear" w:color="auto" w:fill="C6EFCE"/>
            <w:noWrap/>
          </w:tcPr>
          <w:p w14:paraId="160460A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The National Cybersecurity Strategy 2021-2026 shall be adopted and shall include provisions regarding:</w:t>
            </w:r>
          </w:p>
          <w:p w14:paraId="40FCF5DB"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regular assessments and updates of the cybersecurity regulatory and institutional framework, </w:t>
            </w:r>
          </w:p>
          <w:p w14:paraId="4370B0D2"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strengthening the public-private-academic partnership to increase the cyber resilience of society as a whole, </w:t>
            </w:r>
          </w:p>
          <w:p w14:paraId="553C2F18"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development of the capacity to respond to cyber-attacks and the resilience of systems, networks and services </w:t>
            </w:r>
          </w:p>
          <w:p w14:paraId="00E79E83"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consolidation of the role of Romania in the cybersecurity architecture at international level.</w:t>
            </w:r>
          </w:p>
        </w:tc>
      </w:tr>
      <w:tr w:rsidR="00A437C8" w:rsidRPr="00A025C9" w14:paraId="67931842"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B7FBABE"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151</w:t>
            </w:r>
          </w:p>
        </w:tc>
        <w:tc>
          <w:tcPr>
            <w:tcW w:w="2101" w:type="dxa"/>
            <w:tcBorders>
              <w:top w:val="single" w:sz="4" w:space="0" w:color="auto"/>
              <w:left w:val="nil"/>
              <w:bottom w:val="single" w:sz="4" w:space="0" w:color="auto"/>
              <w:right w:val="single" w:sz="4" w:space="0" w:color="auto"/>
            </w:tcBorders>
            <w:shd w:val="clear" w:color="auto" w:fill="C6EFCE"/>
            <w:noWrap/>
          </w:tcPr>
          <w:p w14:paraId="4E2BEE6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Reform 3. Ensuring cybersecurity of public and private entities owning critical value infrastructure</w:t>
            </w:r>
          </w:p>
        </w:tc>
        <w:tc>
          <w:tcPr>
            <w:tcW w:w="1226" w:type="dxa"/>
            <w:tcBorders>
              <w:top w:val="single" w:sz="4" w:space="0" w:color="auto"/>
              <w:left w:val="nil"/>
              <w:bottom w:val="single" w:sz="4" w:space="0" w:color="auto"/>
              <w:right w:val="single" w:sz="4" w:space="0" w:color="auto"/>
            </w:tcBorders>
            <w:shd w:val="clear" w:color="auto" w:fill="C6EFCE"/>
            <w:noWrap/>
          </w:tcPr>
          <w:p w14:paraId="0664D38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6513EF8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Entry into force of the law on Defence and Cyber Security of Romania</w:t>
            </w:r>
          </w:p>
        </w:tc>
        <w:tc>
          <w:tcPr>
            <w:tcW w:w="1734" w:type="dxa"/>
            <w:tcBorders>
              <w:top w:val="single" w:sz="4" w:space="0" w:color="auto"/>
              <w:left w:val="nil"/>
              <w:bottom w:val="single" w:sz="4" w:space="0" w:color="auto"/>
              <w:right w:val="single" w:sz="4" w:space="0" w:color="auto"/>
            </w:tcBorders>
            <w:shd w:val="clear" w:color="auto" w:fill="C6EFCE"/>
            <w:noWrap/>
          </w:tcPr>
          <w:p w14:paraId="48D825A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Provision in the law indicating the entry into force of the law on Defence and Cyber and Security of Romania</w:t>
            </w:r>
          </w:p>
        </w:tc>
        <w:tc>
          <w:tcPr>
            <w:tcW w:w="970" w:type="dxa"/>
            <w:tcBorders>
              <w:top w:val="single" w:sz="4" w:space="0" w:color="auto"/>
              <w:left w:val="nil"/>
              <w:bottom w:val="single" w:sz="4" w:space="0" w:color="auto"/>
              <w:right w:val="single" w:sz="4" w:space="0" w:color="auto"/>
            </w:tcBorders>
            <w:shd w:val="clear" w:color="auto" w:fill="C6EFCE"/>
            <w:noWrap/>
          </w:tcPr>
          <w:p w14:paraId="2729E9F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0E0252B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0A2C457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5F70EFC4"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705" w:type="dxa"/>
            <w:tcBorders>
              <w:top w:val="single" w:sz="4" w:space="0" w:color="auto"/>
              <w:left w:val="nil"/>
              <w:bottom w:val="single" w:sz="4" w:space="0" w:color="auto"/>
              <w:right w:val="single" w:sz="4" w:space="0" w:color="auto"/>
            </w:tcBorders>
            <w:shd w:val="clear" w:color="auto" w:fill="C6EFCE"/>
            <w:noWrap/>
          </w:tcPr>
          <w:p w14:paraId="0AAB2BBE"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024" w:type="dxa"/>
            <w:tcBorders>
              <w:top w:val="single" w:sz="4" w:space="0" w:color="auto"/>
              <w:left w:val="nil"/>
              <w:bottom w:val="single" w:sz="4" w:space="0" w:color="auto"/>
              <w:right w:val="single" w:sz="4" w:space="0" w:color="auto"/>
            </w:tcBorders>
            <w:shd w:val="clear" w:color="auto" w:fill="C6EFCE"/>
            <w:noWrap/>
          </w:tcPr>
          <w:p w14:paraId="63B9BCF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The law on Defence and Cyber Security of Romania shall establish the legal and institutional framework for organising and conducting activities in the fields of cybersecurity and cyber defence, cooperation mechanisms and responses of institutions in the fields concerned.</w:t>
            </w:r>
          </w:p>
        </w:tc>
      </w:tr>
      <w:tr w:rsidR="00A437C8" w:rsidRPr="00A025C9" w14:paraId="3E2CF734"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1169597"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152</w:t>
            </w:r>
          </w:p>
        </w:tc>
        <w:tc>
          <w:tcPr>
            <w:tcW w:w="2101" w:type="dxa"/>
            <w:tcBorders>
              <w:top w:val="single" w:sz="4" w:space="0" w:color="auto"/>
              <w:left w:val="nil"/>
              <w:bottom w:val="single" w:sz="4" w:space="0" w:color="auto"/>
              <w:right w:val="single" w:sz="4" w:space="0" w:color="auto"/>
            </w:tcBorders>
            <w:shd w:val="clear" w:color="auto" w:fill="C6EFCE"/>
            <w:noWrap/>
          </w:tcPr>
          <w:p w14:paraId="2A756DC4"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Reform 4.</w:t>
            </w:r>
          </w:p>
          <w:p w14:paraId="7600BC9C"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Increasing digital competence for public service and digital education throughout life for citizens</w:t>
            </w:r>
          </w:p>
        </w:tc>
        <w:tc>
          <w:tcPr>
            <w:tcW w:w="1226" w:type="dxa"/>
            <w:tcBorders>
              <w:top w:val="single" w:sz="4" w:space="0" w:color="auto"/>
              <w:left w:val="nil"/>
              <w:bottom w:val="single" w:sz="4" w:space="0" w:color="auto"/>
              <w:right w:val="single" w:sz="4" w:space="0" w:color="auto"/>
            </w:tcBorders>
            <w:shd w:val="clear" w:color="auto" w:fill="C6EFCE"/>
            <w:noWrap/>
          </w:tcPr>
          <w:p w14:paraId="1550A6A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521649C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Entry into force of the ministerial order of the Minister of Labour and the National Institute of Statistics President for the definition of new digital occupations in the Classification of Occupations (COR) </w:t>
            </w:r>
          </w:p>
          <w:p w14:paraId="3C1953D3"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734" w:type="dxa"/>
            <w:tcBorders>
              <w:top w:val="single" w:sz="4" w:space="0" w:color="auto"/>
              <w:left w:val="nil"/>
              <w:bottom w:val="single" w:sz="4" w:space="0" w:color="auto"/>
              <w:right w:val="single" w:sz="4" w:space="0" w:color="auto"/>
            </w:tcBorders>
            <w:shd w:val="clear" w:color="auto" w:fill="C6EFCE"/>
            <w:noWrap/>
          </w:tcPr>
          <w:p w14:paraId="32B19B2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Provision in the order of the Minister of Labour and National Institute of Statistics President indicating the entry into force of the amendment defining new digital occupations in the COR.</w:t>
            </w:r>
          </w:p>
        </w:tc>
        <w:tc>
          <w:tcPr>
            <w:tcW w:w="970" w:type="dxa"/>
            <w:tcBorders>
              <w:top w:val="single" w:sz="4" w:space="0" w:color="auto"/>
              <w:left w:val="nil"/>
              <w:bottom w:val="single" w:sz="4" w:space="0" w:color="auto"/>
              <w:right w:val="single" w:sz="4" w:space="0" w:color="auto"/>
            </w:tcBorders>
            <w:shd w:val="clear" w:color="auto" w:fill="C6EFCE"/>
            <w:noWrap/>
          </w:tcPr>
          <w:p w14:paraId="6299BDF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w:t>
            </w:r>
          </w:p>
        </w:tc>
        <w:tc>
          <w:tcPr>
            <w:tcW w:w="1225" w:type="dxa"/>
            <w:tcBorders>
              <w:top w:val="single" w:sz="4" w:space="0" w:color="auto"/>
              <w:left w:val="nil"/>
              <w:bottom w:val="single" w:sz="4" w:space="0" w:color="auto"/>
              <w:right w:val="single" w:sz="4" w:space="0" w:color="auto"/>
            </w:tcBorders>
            <w:shd w:val="clear" w:color="auto" w:fill="C6EFCE"/>
            <w:noWrap/>
          </w:tcPr>
          <w:p w14:paraId="3F18CF25"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w:t>
            </w:r>
          </w:p>
        </w:tc>
        <w:tc>
          <w:tcPr>
            <w:tcW w:w="725" w:type="dxa"/>
            <w:tcBorders>
              <w:top w:val="single" w:sz="4" w:space="0" w:color="auto"/>
              <w:left w:val="nil"/>
              <w:bottom w:val="single" w:sz="4" w:space="0" w:color="auto"/>
              <w:right w:val="single" w:sz="4" w:space="0" w:color="auto"/>
            </w:tcBorders>
            <w:shd w:val="clear" w:color="auto" w:fill="C6EFCE"/>
            <w:noWrap/>
          </w:tcPr>
          <w:p w14:paraId="35CF9D4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w:t>
            </w:r>
          </w:p>
        </w:tc>
        <w:tc>
          <w:tcPr>
            <w:tcW w:w="908" w:type="dxa"/>
            <w:tcBorders>
              <w:top w:val="single" w:sz="4" w:space="0" w:color="auto"/>
              <w:left w:val="nil"/>
              <w:bottom w:val="single" w:sz="4" w:space="0" w:color="auto"/>
              <w:right w:val="single" w:sz="4" w:space="0" w:color="auto"/>
            </w:tcBorders>
            <w:shd w:val="clear" w:color="auto" w:fill="C6EFCE"/>
            <w:noWrap/>
          </w:tcPr>
          <w:p w14:paraId="78D26B2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Q3</w:t>
            </w:r>
          </w:p>
        </w:tc>
        <w:tc>
          <w:tcPr>
            <w:tcW w:w="705" w:type="dxa"/>
            <w:tcBorders>
              <w:top w:val="single" w:sz="4" w:space="0" w:color="auto"/>
              <w:left w:val="nil"/>
              <w:bottom w:val="single" w:sz="4" w:space="0" w:color="auto"/>
              <w:right w:val="single" w:sz="4" w:space="0" w:color="auto"/>
            </w:tcBorders>
            <w:shd w:val="clear" w:color="auto" w:fill="C6EFCE"/>
            <w:noWrap/>
          </w:tcPr>
          <w:p w14:paraId="3B65FC15"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024" w:type="dxa"/>
            <w:tcBorders>
              <w:top w:val="single" w:sz="4" w:space="0" w:color="auto"/>
              <w:left w:val="nil"/>
              <w:bottom w:val="single" w:sz="4" w:space="0" w:color="auto"/>
              <w:right w:val="single" w:sz="4" w:space="0" w:color="auto"/>
            </w:tcBorders>
            <w:shd w:val="clear" w:color="auto" w:fill="C6EFCE"/>
            <w:noWrap/>
          </w:tcPr>
          <w:p w14:paraId="52847297"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The ministerial order of the minister of Labour and the National Institute of Statistics President shall define the new digital occupations at the level of the Romanian Classification of Occupations (COR) equivalent to those existing in the countries of the European Union with good practices in digitalisation. A diagnosis study/analysis shall be carried out to provide a forecasting for the next five years of the labour needs in the context of the digital transformation of the economy and the transition to industry 4.0 including recommendations for defining new digital occupations in the official classification of occupations.</w:t>
            </w:r>
          </w:p>
        </w:tc>
      </w:tr>
      <w:tr w:rsidR="00A437C8" w:rsidRPr="00A025C9" w14:paraId="253482A6"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E145264"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153</w:t>
            </w:r>
          </w:p>
        </w:tc>
        <w:tc>
          <w:tcPr>
            <w:tcW w:w="2101" w:type="dxa"/>
            <w:tcBorders>
              <w:top w:val="single" w:sz="4" w:space="0" w:color="auto"/>
              <w:left w:val="nil"/>
              <w:bottom w:val="single" w:sz="4" w:space="0" w:color="auto"/>
              <w:right w:val="single" w:sz="4" w:space="0" w:color="auto"/>
            </w:tcBorders>
            <w:shd w:val="clear" w:color="auto" w:fill="C6EFCE"/>
            <w:noWrap/>
          </w:tcPr>
          <w:p w14:paraId="4CA9B1A0"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Investment 1.</w:t>
            </w:r>
          </w:p>
          <w:p w14:paraId="2510252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Deployment of the Government Cloud Infrastructure </w:t>
            </w:r>
          </w:p>
          <w:p w14:paraId="776E6E2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226" w:type="dxa"/>
            <w:tcBorders>
              <w:top w:val="single" w:sz="4" w:space="0" w:color="auto"/>
              <w:left w:val="nil"/>
              <w:bottom w:val="single" w:sz="4" w:space="0" w:color="auto"/>
              <w:right w:val="single" w:sz="4" w:space="0" w:color="auto"/>
            </w:tcBorders>
            <w:shd w:val="clear" w:color="auto" w:fill="C6EFCE"/>
            <w:noWrap/>
          </w:tcPr>
          <w:p w14:paraId="6284F3A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218563D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Signature of the contract to implement the investment based on the call for tenders procedure to implement the investment</w:t>
            </w:r>
          </w:p>
        </w:tc>
        <w:tc>
          <w:tcPr>
            <w:tcW w:w="1734" w:type="dxa"/>
            <w:tcBorders>
              <w:top w:val="single" w:sz="4" w:space="0" w:color="auto"/>
              <w:left w:val="nil"/>
              <w:bottom w:val="single" w:sz="4" w:space="0" w:color="auto"/>
              <w:right w:val="single" w:sz="4" w:space="0" w:color="auto"/>
            </w:tcBorders>
            <w:shd w:val="clear" w:color="auto" w:fill="C6EFCE"/>
            <w:noWrap/>
          </w:tcPr>
          <w:p w14:paraId="155495E3"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Signature of contract</w:t>
            </w:r>
          </w:p>
        </w:tc>
        <w:tc>
          <w:tcPr>
            <w:tcW w:w="970" w:type="dxa"/>
            <w:tcBorders>
              <w:top w:val="single" w:sz="4" w:space="0" w:color="auto"/>
              <w:left w:val="nil"/>
              <w:bottom w:val="single" w:sz="4" w:space="0" w:color="auto"/>
              <w:right w:val="single" w:sz="4" w:space="0" w:color="auto"/>
            </w:tcBorders>
            <w:shd w:val="clear" w:color="auto" w:fill="C6EFCE"/>
            <w:noWrap/>
          </w:tcPr>
          <w:p w14:paraId="6906EA5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225" w:type="dxa"/>
            <w:tcBorders>
              <w:top w:val="single" w:sz="4" w:space="0" w:color="auto"/>
              <w:left w:val="nil"/>
              <w:bottom w:val="single" w:sz="4" w:space="0" w:color="auto"/>
              <w:right w:val="single" w:sz="4" w:space="0" w:color="auto"/>
            </w:tcBorders>
            <w:shd w:val="clear" w:color="auto" w:fill="C6EFCE"/>
            <w:noWrap/>
          </w:tcPr>
          <w:p w14:paraId="4958493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725" w:type="dxa"/>
            <w:tcBorders>
              <w:top w:val="single" w:sz="4" w:space="0" w:color="auto"/>
              <w:left w:val="nil"/>
              <w:bottom w:val="single" w:sz="4" w:space="0" w:color="auto"/>
              <w:right w:val="single" w:sz="4" w:space="0" w:color="auto"/>
            </w:tcBorders>
            <w:shd w:val="clear" w:color="auto" w:fill="C6EFCE"/>
            <w:noWrap/>
          </w:tcPr>
          <w:p w14:paraId="5AFDC5B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908" w:type="dxa"/>
            <w:tcBorders>
              <w:top w:val="single" w:sz="4" w:space="0" w:color="auto"/>
              <w:left w:val="nil"/>
              <w:bottom w:val="single" w:sz="4" w:space="0" w:color="auto"/>
              <w:right w:val="single" w:sz="4" w:space="0" w:color="auto"/>
            </w:tcBorders>
            <w:shd w:val="clear" w:color="auto" w:fill="C6EFCE"/>
            <w:noWrap/>
          </w:tcPr>
          <w:p w14:paraId="54976F5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5097900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024" w:type="dxa"/>
            <w:tcBorders>
              <w:top w:val="single" w:sz="4" w:space="0" w:color="auto"/>
              <w:left w:val="nil"/>
              <w:bottom w:val="single" w:sz="4" w:space="0" w:color="auto"/>
              <w:right w:val="single" w:sz="4" w:space="0" w:color="auto"/>
            </w:tcBorders>
            <w:shd w:val="clear" w:color="auto" w:fill="C6EFCE"/>
            <w:noWrap/>
          </w:tcPr>
          <w:p w14:paraId="617E6A69" w14:textId="77777777" w:rsidR="00A437C8" w:rsidRPr="00A025C9" w:rsidRDefault="00A437C8">
            <w:pPr>
              <w:spacing w:after="0" w:line="240" w:lineRule="auto"/>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Signature of the contract for the implementation of government cloud infrastructure.</w:t>
            </w:r>
          </w:p>
          <w:p w14:paraId="49C52B9D" w14:textId="77777777" w:rsidR="00A437C8" w:rsidRPr="00A025C9" w:rsidRDefault="00A437C8">
            <w:pPr>
              <w:spacing w:after="0" w:line="240" w:lineRule="auto"/>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The institutions responsible for the call for tender and the implementation of this investment are the Special Telecommunication Services and the Authority for the Digitization of Romania.</w:t>
            </w:r>
          </w:p>
          <w:p w14:paraId="2C270E5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The implementation of the Government Cloud shall involve at least the following stages:</w:t>
            </w:r>
          </w:p>
          <w:p w14:paraId="715DCD16"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construction of Tier IV by design data centres for the two main centres and Tier III by design for the secondary ones;</w:t>
            </w:r>
          </w:p>
          <w:p w14:paraId="3691A8A6"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providing specific communications infrastructure and information technology (optic fibre cables and high-capacity communications equipment);</w:t>
            </w:r>
          </w:p>
          <w:p w14:paraId="0CFFB243"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development / expansion of the electricity supply network for each data centre in order to ensure redundancy and electricity demand;</w:t>
            </w:r>
          </w:p>
          <w:p w14:paraId="48667288"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achieving a scalable and redundant air conditioning infrastructure, energy efficient for each data centre;</w:t>
            </w:r>
          </w:p>
          <w:p w14:paraId="1D449C1B"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installation of the inert gas fire detection and extinguishing system to ensure the protection for the entire infrastructure of each data centre;</w:t>
            </w:r>
          </w:p>
          <w:p w14:paraId="6C258355"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implementation of the physical security system (access control, video monitoring, anti-burglary) for the developed infrastructure;</w:t>
            </w:r>
          </w:p>
          <w:p w14:paraId="762C57AD"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implementation of the infrastructure monitoring and management network within the realized facility;</w:t>
            </w:r>
          </w:p>
          <w:p w14:paraId="1E2C752C"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realization of scalable and high availability IT&amp;C infrastructure (processing equipment, storage, communications, virtualization software) within each data centre;</w:t>
            </w:r>
          </w:p>
          <w:p w14:paraId="2A97CD10"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acquisition of the necessary licenses and specialized equipment for the perimeter cyber security. </w:t>
            </w:r>
          </w:p>
          <w:p w14:paraId="1CA29B82"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Security shall be provided by the government cloud infrastructure administrator.</w:t>
            </w:r>
          </w:p>
        </w:tc>
      </w:tr>
      <w:tr w:rsidR="00A437C8" w:rsidRPr="00A025C9" w14:paraId="46DB9DD0"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A84EB86"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154</w:t>
            </w:r>
          </w:p>
        </w:tc>
        <w:tc>
          <w:tcPr>
            <w:tcW w:w="2101" w:type="dxa"/>
            <w:tcBorders>
              <w:top w:val="single" w:sz="4" w:space="0" w:color="auto"/>
              <w:left w:val="nil"/>
              <w:bottom w:val="single" w:sz="4" w:space="0" w:color="auto"/>
              <w:right w:val="single" w:sz="4" w:space="0" w:color="auto"/>
            </w:tcBorders>
            <w:shd w:val="clear" w:color="auto" w:fill="C6EFCE"/>
            <w:noWrap/>
          </w:tcPr>
          <w:p w14:paraId="084C6FF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Investment 1.</w:t>
            </w:r>
          </w:p>
          <w:p w14:paraId="7770FD7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Deployment of the Government Cloud Infrastructure </w:t>
            </w:r>
          </w:p>
          <w:p w14:paraId="44B9E10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29F9C48C"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90" w:type="dxa"/>
            <w:tcBorders>
              <w:top w:val="single" w:sz="4" w:space="0" w:color="auto"/>
              <w:left w:val="nil"/>
              <w:bottom w:val="single" w:sz="4" w:space="0" w:color="auto"/>
              <w:right w:val="single" w:sz="4" w:space="0" w:color="auto"/>
            </w:tcBorders>
            <w:shd w:val="clear" w:color="auto" w:fill="C6EFCE"/>
            <w:noWrap/>
          </w:tcPr>
          <w:p w14:paraId="6DF5F8E3"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Public institutions connected through the government cloud</w:t>
            </w:r>
          </w:p>
        </w:tc>
        <w:tc>
          <w:tcPr>
            <w:tcW w:w="1734" w:type="dxa"/>
            <w:tcBorders>
              <w:top w:val="single" w:sz="4" w:space="0" w:color="auto"/>
              <w:left w:val="nil"/>
              <w:bottom w:val="single" w:sz="4" w:space="0" w:color="auto"/>
              <w:right w:val="single" w:sz="4" w:space="0" w:color="auto"/>
            </w:tcBorders>
            <w:shd w:val="clear" w:color="auto" w:fill="C6EFCE"/>
            <w:noWrap/>
          </w:tcPr>
          <w:p w14:paraId="105A07F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970" w:type="dxa"/>
            <w:tcBorders>
              <w:top w:val="single" w:sz="4" w:space="0" w:color="auto"/>
              <w:left w:val="nil"/>
              <w:bottom w:val="single" w:sz="4" w:space="0" w:color="auto"/>
              <w:right w:val="single" w:sz="4" w:space="0" w:color="auto"/>
            </w:tcBorders>
            <w:shd w:val="clear" w:color="auto" w:fill="C6EFCE"/>
            <w:noWrap/>
          </w:tcPr>
          <w:p w14:paraId="68F1418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Number</w:t>
            </w:r>
          </w:p>
        </w:tc>
        <w:tc>
          <w:tcPr>
            <w:tcW w:w="1225" w:type="dxa"/>
            <w:tcBorders>
              <w:top w:val="single" w:sz="4" w:space="0" w:color="auto"/>
              <w:left w:val="nil"/>
              <w:bottom w:val="single" w:sz="4" w:space="0" w:color="auto"/>
              <w:right w:val="single" w:sz="4" w:space="0" w:color="auto"/>
            </w:tcBorders>
            <w:shd w:val="clear" w:color="auto" w:fill="C6EFCE"/>
            <w:noWrap/>
          </w:tcPr>
          <w:p w14:paraId="0A6D0430"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0</w:t>
            </w:r>
          </w:p>
        </w:tc>
        <w:tc>
          <w:tcPr>
            <w:tcW w:w="725" w:type="dxa"/>
            <w:tcBorders>
              <w:top w:val="single" w:sz="4" w:space="0" w:color="auto"/>
              <w:left w:val="nil"/>
              <w:bottom w:val="single" w:sz="4" w:space="0" w:color="auto"/>
              <w:right w:val="single" w:sz="4" w:space="0" w:color="auto"/>
            </w:tcBorders>
            <w:shd w:val="clear" w:color="auto" w:fill="C6EFCE"/>
            <w:noWrap/>
          </w:tcPr>
          <w:p w14:paraId="134654D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30</w:t>
            </w:r>
          </w:p>
        </w:tc>
        <w:tc>
          <w:tcPr>
            <w:tcW w:w="908" w:type="dxa"/>
            <w:tcBorders>
              <w:top w:val="single" w:sz="4" w:space="0" w:color="auto"/>
              <w:left w:val="nil"/>
              <w:bottom w:val="single" w:sz="4" w:space="0" w:color="auto"/>
              <w:right w:val="single" w:sz="4" w:space="0" w:color="auto"/>
            </w:tcBorders>
            <w:shd w:val="clear" w:color="auto" w:fill="C6EFCE"/>
            <w:noWrap/>
          </w:tcPr>
          <w:p w14:paraId="0C32A1A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705" w:type="dxa"/>
            <w:tcBorders>
              <w:top w:val="single" w:sz="4" w:space="0" w:color="auto"/>
              <w:left w:val="nil"/>
              <w:bottom w:val="single" w:sz="4" w:space="0" w:color="auto"/>
              <w:right w:val="single" w:sz="4" w:space="0" w:color="auto"/>
            </w:tcBorders>
            <w:shd w:val="clear" w:color="auto" w:fill="C6EFCE"/>
            <w:noWrap/>
          </w:tcPr>
          <w:p w14:paraId="0D70C88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2024</w:t>
            </w:r>
          </w:p>
        </w:tc>
        <w:tc>
          <w:tcPr>
            <w:tcW w:w="3024" w:type="dxa"/>
            <w:tcBorders>
              <w:top w:val="single" w:sz="4" w:space="0" w:color="auto"/>
              <w:left w:val="nil"/>
              <w:bottom w:val="single" w:sz="4" w:space="0" w:color="auto"/>
              <w:right w:val="single" w:sz="4" w:space="0" w:color="auto"/>
            </w:tcBorders>
            <w:shd w:val="clear" w:color="auto" w:fill="C6EFCE"/>
            <w:noWrap/>
          </w:tcPr>
          <w:p w14:paraId="3AC8DD3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At least 30 public institutions connected to and using the Government Cloud with the possibility for them to exchange data with each other through the Government cloud infrastructure.</w:t>
            </w:r>
          </w:p>
        </w:tc>
      </w:tr>
      <w:tr w:rsidR="00A437C8" w:rsidRPr="00A025C9" w14:paraId="610A3ED2"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24200B0"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155</w:t>
            </w:r>
          </w:p>
        </w:tc>
        <w:tc>
          <w:tcPr>
            <w:tcW w:w="2101" w:type="dxa"/>
            <w:tcBorders>
              <w:top w:val="single" w:sz="4" w:space="0" w:color="auto"/>
              <w:left w:val="nil"/>
              <w:bottom w:val="single" w:sz="4" w:space="0" w:color="auto"/>
              <w:right w:val="single" w:sz="4" w:space="0" w:color="auto"/>
            </w:tcBorders>
            <w:shd w:val="clear" w:color="auto" w:fill="C6EFCE"/>
            <w:noWrap/>
          </w:tcPr>
          <w:p w14:paraId="69214EC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1. </w:t>
            </w:r>
          </w:p>
          <w:p w14:paraId="3DD734D4" w14:textId="51101625"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Deployment</w:t>
            </w:r>
            <w:r w:rsidR="00E7080B">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 xml:space="preserve">of the Government Cloud Infrastructure </w:t>
            </w:r>
          </w:p>
          <w:p w14:paraId="0412866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226" w:type="dxa"/>
            <w:tcBorders>
              <w:top w:val="single" w:sz="4" w:space="0" w:color="auto"/>
              <w:left w:val="nil"/>
              <w:bottom w:val="single" w:sz="4" w:space="0" w:color="auto"/>
              <w:right w:val="single" w:sz="4" w:space="0" w:color="auto"/>
            </w:tcBorders>
            <w:shd w:val="clear" w:color="auto" w:fill="C6EFCE"/>
            <w:noWrap/>
          </w:tcPr>
          <w:p w14:paraId="55B9F727"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90" w:type="dxa"/>
            <w:tcBorders>
              <w:top w:val="single" w:sz="4" w:space="0" w:color="auto"/>
              <w:left w:val="nil"/>
              <w:bottom w:val="single" w:sz="4" w:space="0" w:color="auto"/>
              <w:right w:val="single" w:sz="4" w:space="0" w:color="auto"/>
            </w:tcBorders>
            <w:shd w:val="clear" w:color="auto" w:fill="C6EFCE"/>
            <w:noWrap/>
          </w:tcPr>
          <w:p w14:paraId="5A4B6AA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Tier III and Tier IV data centres functional </w:t>
            </w:r>
          </w:p>
        </w:tc>
        <w:tc>
          <w:tcPr>
            <w:tcW w:w="1734" w:type="dxa"/>
            <w:tcBorders>
              <w:top w:val="single" w:sz="4" w:space="0" w:color="auto"/>
              <w:left w:val="nil"/>
              <w:bottom w:val="single" w:sz="4" w:space="0" w:color="auto"/>
              <w:right w:val="single" w:sz="4" w:space="0" w:color="auto"/>
            </w:tcBorders>
            <w:shd w:val="clear" w:color="auto" w:fill="C6EFCE"/>
            <w:noWrap/>
          </w:tcPr>
          <w:p w14:paraId="1A489B6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w:t>
            </w:r>
          </w:p>
        </w:tc>
        <w:tc>
          <w:tcPr>
            <w:tcW w:w="970" w:type="dxa"/>
            <w:tcBorders>
              <w:top w:val="single" w:sz="4" w:space="0" w:color="auto"/>
              <w:left w:val="nil"/>
              <w:bottom w:val="single" w:sz="4" w:space="0" w:color="auto"/>
              <w:right w:val="single" w:sz="4" w:space="0" w:color="auto"/>
            </w:tcBorders>
            <w:shd w:val="clear" w:color="auto" w:fill="C6EFCE"/>
            <w:noWrap/>
          </w:tcPr>
          <w:p w14:paraId="6E7ECAD5"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Number</w:t>
            </w:r>
          </w:p>
        </w:tc>
        <w:tc>
          <w:tcPr>
            <w:tcW w:w="1225" w:type="dxa"/>
            <w:tcBorders>
              <w:top w:val="single" w:sz="4" w:space="0" w:color="auto"/>
              <w:left w:val="nil"/>
              <w:bottom w:val="single" w:sz="4" w:space="0" w:color="auto"/>
              <w:right w:val="single" w:sz="4" w:space="0" w:color="auto"/>
            </w:tcBorders>
            <w:shd w:val="clear" w:color="auto" w:fill="C6EFCE"/>
            <w:noWrap/>
          </w:tcPr>
          <w:p w14:paraId="1138365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0</w:t>
            </w:r>
          </w:p>
        </w:tc>
        <w:tc>
          <w:tcPr>
            <w:tcW w:w="725" w:type="dxa"/>
            <w:tcBorders>
              <w:top w:val="single" w:sz="4" w:space="0" w:color="auto"/>
              <w:left w:val="nil"/>
              <w:bottom w:val="single" w:sz="4" w:space="0" w:color="auto"/>
              <w:right w:val="single" w:sz="4" w:space="0" w:color="auto"/>
            </w:tcBorders>
            <w:shd w:val="clear" w:color="auto" w:fill="C6EFCE"/>
            <w:noWrap/>
          </w:tcPr>
          <w:p w14:paraId="348A06F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4</w:t>
            </w:r>
          </w:p>
        </w:tc>
        <w:tc>
          <w:tcPr>
            <w:tcW w:w="908" w:type="dxa"/>
            <w:tcBorders>
              <w:top w:val="single" w:sz="4" w:space="0" w:color="auto"/>
              <w:left w:val="nil"/>
              <w:bottom w:val="single" w:sz="4" w:space="0" w:color="auto"/>
              <w:right w:val="single" w:sz="4" w:space="0" w:color="auto"/>
            </w:tcBorders>
            <w:shd w:val="clear" w:color="auto" w:fill="C6EFCE"/>
            <w:noWrap/>
          </w:tcPr>
          <w:p w14:paraId="2E3A1DA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705" w:type="dxa"/>
            <w:tcBorders>
              <w:top w:val="single" w:sz="4" w:space="0" w:color="auto"/>
              <w:left w:val="nil"/>
              <w:bottom w:val="single" w:sz="4" w:space="0" w:color="auto"/>
              <w:right w:val="single" w:sz="4" w:space="0" w:color="auto"/>
            </w:tcBorders>
            <w:shd w:val="clear" w:color="auto" w:fill="C6EFCE"/>
            <w:noWrap/>
          </w:tcPr>
          <w:p w14:paraId="068F728C"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2025</w:t>
            </w:r>
          </w:p>
        </w:tc>
        <w:tc>
          <w:tcPr>
            <w:tcW w:w="3024" w:type="dxa"/>
            <w:tcBorders>
              <w:top w:val="single" w:sz="4" w:space="0" w:color="auto"/>
              <w:left w:val="nil"/>
              <w:bottom w:val="single" w:sz="4" w:space="0" w:color="auto"/>
              <w:right w:val="single" w:sz="4" w:space="0" w:color="auto"/>
            </w:tcBorders>
            <w:shd w:val="clear" w:color="auto" w:fill="C6EFCE"/>
            <w:noWrap/>
          </w:tcPr>
          <w:p w14:paraId="482A1C2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Two Tier III and two Tier IV data centres designed with both hardware and software cloud capabilities, providing IaaS, PaaS and SaaS services (Infrastructure-as-a-Service - IaaS/Platform-as-a-Service - PaaS/Software-as-a Service - SaaS) functional, in accordance with the provisions under milestone 153.</w:t>
            </w:r>
          </w:p>
          <w:p w14:paraId="12870652" w14:textId="4F92E7EB"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The Data Centres shall</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comply with the “European Code of Conduct on Data Centre Energy Efficiency”.</w:t>
            </w:r>
          </w:p>
        </w:tc>
      </w:tr>
      <w:tr w:rsidR="00A437C8" w:rsidRPr="00A025C9" w14:paraId="567E7B00"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118DF9F"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157</w:t>
            </w:r>
          </w:p>
        </w:tc>
        <w:tc>
          <w:tcPr>
            <w:tcW w:w="2101" w:type="dxa"/>
            <w:tcBorders>
              <w:top w:val="single" w:sz="4" w:space="0" w:color="auto"/>
              <w:left w:val="nil"/>
              <w:bottom w:val="single" w:sz="4" w:space="0" w:color="auto"/>
              <w:right w:val="single" w:sz="4" w:space="0" w:color="auto"/>
            </w:tcBorders>
            <w:shd w:val="clear" w:color="auto" w:fill="C6EFCE"/>
            <w:noWrap/>
          </w:tcPr>
          <w:p w14:paraId="1247AEB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Investment 2.</w:t>
            </w:r>
          </w:p>
          <w:p w14:paraId="6306F8D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Cloud development and migration </w:t>
            </w:r>
          </w:p>
          <w:p w14:paraId="1D85908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w:t>
            </w:r>
          </w:p>
          <w:p w14:paraId="2806298A"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226" w:type="dxa"/>
            <w:tcBorders>
              <w:top w:val="single" w:sz="4" w:space="0" w:color="auto"/>
              <w:left w:val="nil"/>
              <w:bottom w:val="single" w:sz="4" w:space="0" w:color="auto"/>
              <w:right w:val="single" w:sz="4" w:space="0" w:color="auto"/>
            </w:tcBorders>
            <w:shd w:val="clear" w:color="auto" w:fill="C6EFCE"/>
            <w:noWrap/>
          </w:tcPr>
          <w:p w14:paraId="0F746A34"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90" w:type="dxa"/>
            <w:tcBorders>
              <w:top w:val="single" w:sz="4" w:space="0" w:color="auto"/>
              <w:left w:val="nil"/>
              <w:bottom w:val="single" w:sz="4" w:space="0" w:color="auto"/>
              <w:right w:val="single" w:sz="4" w:space="0" w:color="auto"/>
            </w:tcBorders>
            <w:shd w:val="clear" w:color="auto" w:fill="C6EFCE"/>
            <w:noWrap/>
          </w:tcPr>
          <w:p w14:paraId="001B02EB" w14:textId="09B6E4D1"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eastAsia="Times New Roman" w:hAnsi="Times New Roman" w:cs="Times New Roman"/>
                <w:noProof/>
                <w:sz w:val="20"/>
                <w:szCs w:val="20"/>
                <w:lang w:val="en-GB"/>
              </w:rPr>
              <w:t>Government cloud-native or cloud-ready digital service applications developed or migrated in Platform-as-a-Service (PaaS) or Infrastructure-as-a-Service (IaaS)</w:t>
            </w:r>
          </w:p>
        </w:tc>
        <w:tc>
          <w:tcPr>
            <w:tcW w:w="1734" w:type="dxa"/>
            <w:tcBorders>
              <w:top w:val="single" w:sz="4" w:space="0" w:color="auto"/>
              <w:left w:val="nil"/>
              <w:bottom w:val="single" w:sz="4" w:space="0" w:color="auto"/>
              <w:right w:val="single" w:sz="4" w:space="0" w:color="auto"/>
            </w:tcBorders>
            <w:shd w:val="clear" w:color="auto" w:fill="C6EFCE"/>
            <w:noWrap/>
          </w:tcPr>
          <w:p w14:paraId="274BA36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w:t>
            </w:r>
          </w:p>
        </w:tc>
        <w:tc>
          <w:tcPr>
            <w:tcW w:w="970" w:type="dxa"/>
            <w:tcBorders>
              <w:top w:val="single" w:sz="4" w:space="0" w:color="auto"/>
              <w:left w:val="nil"/>
              <w:bottom w:val="single" w:sz="4" w:space="0" w:color="auto"/>
              <w:right w:val="single" w:sz="4" w:space="0" w:color="auto"/>
            </w:tcBorders>
            <w:shd w:val="clear" w:color="auto" w:fill="C6EFCE"/>
            <w:noWrap/>
          </w:tcPr>
          <w:p w14:paraId="1BC94CF7"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Number</w:t>
            </w:r>
          </w:p>
        </w:tc>
        <w:tc>
          <w:tcPr>
            <w:tcW w:w="1225" w:type="dxa"/>
            <w:tcBorders>
              <w:top w:val="single" w:sz="4" w:space="0" w:color="auto"/>
              <w:left w:val="nil"/>
              <w:bottom w:val="single" w:sz="4" w:space="0" w:color="auto"/>
              <w:right w:val="single" w:sz="4" w:space="0" w:color="auto"/>
            </w:tcBorders>
            <w:shd w:val="clear" w:color="auto" w:fill="C6EFCE"/>
            <w:noWrap/>
          </w:tcPr>
          <w:p w14:paraId="149A62B8"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0</w:t>
            </w:r>
          </w:p>
        </w:tc>
        <w:tc>
          <w:tcPr>
            <w:tcW w:w="725" w:type="dxa"/>
            <w:tcBorders>
              <w:top w:val="single" w:sz="4" w:space="0" w:color="auto"/>
              <w:left w:val="nil"/>
              <w:bottom w:val="single" w:sz="4" w:space="0" w:color="auto"/>
              <w:right w:val="single" w:sz="4" w:space="0" w:color="auto"/>
            </w:tcBorders>
            <w:shd w:val="clear" w:color="auto" w:fill="C6EFCE"/>
            <w:noWrap/>
          </w:tcPr>
          <w:p w14:paraId="01C9EF2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30</w:t>
            </w:r>
          </w:p>
        </w:tc>
        <w:tc>
          <w:tcPr>
            <w:tcW w:w="908" w:type="dxa"/>
            <w:tcBorders>
              <w:top w:val="single" w:sz="4" w:space="0" w:color="auto"/>
              <w:left w:val="nil"/>
              <w:bottom w:val="single" w:sz="4" w:space="0" w:color="auto"/>
              <w:right w:val="single" w:sz="4" w:space="0" w:color="auto"/>
            </w:tcBorders>
            <w:shd w:val="clear" w:color="auto" w:fill="C6EFCE"/>
            <w:noWrap/>
          </w:tcPr>
          <w:p w14:paraId="3AE8A1D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09961D9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5EFACC5A" w14:textId="644448B0"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eastAsia="Times New Roman" w:hAnsi="Times New Roman" w:cs="Times New Roman"/>
                <w:noProof/>
                <w:sz w:val="20"/>
                <w:szCs w:val="20"/>
                <w:lang w:val="en-GB"/>
              </w:rPr>
              <w:t>Number of government cloud-native or cloud-ready digital service applications built or transitioned in Platform-as-a-Service (PaaS) or Infrastructure-as-a-Service (IaaS) based on the analysis conducted to support the establishment of the government cloud.</w:t>
            </w:r>
            <w:r w:rsidR="00D23D91" w:rsidRPr="00A025C9">
              <w:rPr>
                <w:rFonts w:ascii="Times New Roman" w:eastAsia="Times New Roman" w:hAnsi="Times New Roman" w:cs="Times New Roman"/>
                <w:noProof/>
                <w:sz w:val="20"/>
                <w:szCs w:val="20"/>
                <w:lang w:val="en-GB"/>
              </w:rPr>
              <w:t xml:space="preserve"> </w:t>
            </w:r>
          </w:p>
        </w:tc>
      </w:tr>
      <w:tr w:rsidR="00A437C8" w:rsidRPr="00A025C9" w14:paraId="439BB258" w14:textId="77777777" w:rsidTr="00A025C9">
        <w:trPr>
          <w:trHeight w:val="6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D4194D4" w14:textId="77777777" w:rsidR="00A437C8" w:rsidRPr="00A025C9" w:rsidRDefault="00A437C8">
            <w:pPr>
              <w:spacing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158</w:t>
            </w:r>
          </w:p>
        </w:tc>
        <w:tc>
          <w:tcPr>
            <w:tcW w:w="2101" w:type="dxa"/>
            <w:tcBorders>
              <w:top w:val="single" w:sz="4" w:space="0" w:color="auto"/>
              <w:left w:val="nil"/>
              <w:bottom w:val="single" w:sz="4" w:space="0" w:color="auto"/>
              <w:right w:val="single" w:sz="4" w:space="0" w:color="auto"/>
            </w:tcBorders>
            <w:shd w:val="clear" w:color="auto" w:fill="C6EFCE"/>
            <w:noWrap/>
          </w:tcPr>
          <w:p w14:paraId="67F75D15" w14:textId="77777777" w:rsidR="00A437C8" w:rsidRPr="00A025C9" w:rsidRDefault="00A437C8">
            <w:pPr>
              <w:spacing w:after="12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Investment 3. Establishment of eHealth</w:t>
            </w:r>
          </w:p>
        </w:tc>
        <w:tc>
          <w:tcPr>
            <w:tcW w:w="1226" w:type="dxa"/>
            <w:tcBorders>
              <w:top w:val="single" w:sz="4" w:space="0" w:color="auto"/>
              <w:left w:val="nil"/>
              <w:bottom w:val="single" w:sz="4" w:space="0" w:color="auto"/>
              <w:right w:val="single" w:sz="4" w:space="0" w:color="auto"/>
            </w:tcBorders>
            <w:shd w:val="clear" w:color="auto" w:fill="C6EFCE"/>
            <w:noWrap/>
          </w:tcPr>
          <w:p w14:paraId="17BAE731"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7844003D" w14:textId="77777777" w:rsidR="00A437C8" w:rsidRPr="00A025C9" w:rsidRDefault="00A437C8">
            <w:pPr>
              <w:spacing w:line="240" w:lineRule="auto"/>
              <w:jc w:val="both"/>
              <w:rPr>
                <w:rFonts w:ascii="Times New Roman" w:eastAsia="Calibri" w:hAnsi="Times New Roman" w:cs="Times New Roman"/>
                <w:noProof/>
                <w:sz w:val="20"/>
                <w:szCs w:val="20"/>
                <w:lang w:val="en-GB"/>
              </w:rPr>
            </w:pPr>
            <w:r w:rsidRPr="00A025C9">
              <w:rPr>
                <w:rFonts w:ascii="Times New Roman" w:hAnsi="Times New Roman" w:cs="Times New Roman"/>
                <w:noProof/>
                <w:sz w:val="20"/>
                <w:szCs w:val="20"/>
                <w:lang w:val="en-GB"/>
              </w:rPr>
              <w:t>Public health institutions have received funding for digitalisation</w:t>
            </w:r>
          </w:p>
        </w:tc>
        <w:tc>
          <w:tcPr>
            <w:tcW w:w="1734" w:type="dxa"/>
            <w:tcBorders>
              <w:top w:val="single" w:sz="4" w:space="0" w:color="auto"/>
              <w:left w:val="nil"/>
              <w:bottom w:val="single" w:sz="4" w:space="0" w:color="auto"/>
              <w:right w:val="single" w:sz="4" w:space="0" w:color="auto"/>
            </w:tcBorders>
            <w:shd w:val="clear" w:color="auto" w:fill="C6EFCE"/>
            <w:noWrap/>
          </w:tcPr>
          <w:p w14:paraId="63CA2243"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Funding to institutions</w:t>
            </w:r>
          </w:p>
        </w:tc>
        <w:tc>
          <w:tcPr>
            <w:tcW w:w="970" w:type="dxa"/>
            <w:tcBorders>
              <w:top w:val="single" w:sz="4" w:space="0" w:color="auto"/>
              <w:left w:val="nil"/>
              <w:bottom w:val="single" w:sz="4" w:space="0" w:color="auto"/>
              <w:right w:val="single" w:sz="4" w:space="0" w:color="auto"/>
            </w:tcBorders>
            <w:shd w:val="clear" w:color="auto" w:fill="C6EFCE"/>
            <w:noWrap/>
          </w:tcPr>
          <w:p w14:paraId="5C915927"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4F160DD3"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1C1D3DA2"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28D22B7F"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21DB7118"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7A8E63E8" w14:textId="263A5A3E"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Payments made for at least 60 projects</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 xml:space="preserve">for digitization of institutions with responsibilities in the health field subordinated to the Ministry of Health to fund the installation of hardware, the creation of software solutions, the interconnection and interoperability of IT systems/applications. </w:t>
            </w:r>
            <w:r w:rsidRPr="00A025C9">
              <w:rPr>
                <w:rFonts w:ascii="Times New Roman" w:hAnsi="Times New Roman" w:cs="Times New Roman"/>
                <w:noProof/>
                <w:sz w:val="20"/>
                <w:szCs w:val="20"/>
              </w:rPr>
              <w:br/>
            </w:r>
          </w:p>
        </w:tc>
      </w:tr>
      <w:tr w:rsidR="00A437C8" w:rsidRPr="00A025C9" w14:paraId="2281FD97" w14:textId="77777777" w:rsidTr="00A025C9">
        <w:trPr>
          <w:trHeight w:val="225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715A592" w14:textId="77777777" w:rsidR="00A437C8" w:rsidRPr="00A025C9" w:rsidRDefault="00A437C8">
            <w:pPr>
              <w:spacing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160</w:t>
            </w:r>
          </w:p>
        </w:tc>
        <w:tc>
          <w:tcPr>
            <w:tcW w:w="2101" w:type="dxa"/>
            <w:tcBorders>
              <w:top w:val="single" w:sz="4" w:space="0" w:color="auto"/>
              <w:left w:val="nil"/>
              <w:bottom w:val="single" w:sz="4" w:space="0" w:color="auto"/>
              <w:right w:val="single" w:sz="4" w:space="0" w:color="auto"/>
            </w:tcBorders>
            <w:shd w:val="clear" w:color="auto" w:fill="C6EFCE"/>
            <w:noWrap/>
          </w:tcPr>
          <w:p w14:paraId="247DB67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Investment 3.</w:t>
            </w:r>
          </w:p>
          <w:p w14:paraId="05CCF62E" w14:textId="77777777" w:rsidR="00A437C8" w:rsidRPr="00A025C9" w:rsidRDefault="00A437C8">
            <w:pPr>
              <w:spacing w:after="12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Establishment of eHealth</w:t>
            </w:r>
          </w:p>
        </w:tc>
        <w:tc>
          <w:tcPr>
            <w:tcW w:w="1226" w:type="dxa"/>
            <w:tcBorders>
              <w:top w:val="single" w:sz="4" w:space="0" w:color="auto"/>
              <w:left w:val="nil"/>
              <w:bottom w:val="single" w:sz="4" w:space="0" w:color="auto"/>
              <w:right w:val="single" w:sz="4" w:space="0" w:color="auto"/>
            </w:tcBorders>
            <w:shd w:val="clear" w:color="auto" w:fill="C6EFCE"/>
            <w:noWrap/>
          </w:tcPr>
          <w:p w14:paraId="230CF01F" w14:textId="77777777" w:rsidR="00A437C8" w:rsidRPr="00A025C9" w:rsidDel="00315B60"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42648B96"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New PIA (Health insurance IT platform) is functional</w:t>
            </w:r>
          </w:p>
        </w:tc>
        <w:tc>
          <w:tcPr>
            <w:tcW w:w="1734" w:type="dxa"/>
            <w:tcBorders>
              <w:top w:val="single" w:sz="4" w:space="0" w:color="auto"/>
              <w:left w:val="nil"/>
              <w:bottom w:val="single" w:sz="4" w:space="0" w:color="auto"/>
              <w:right w:val="single" w:sz="4" w:space="0" w:color="auto"/>
            </w:tcBorders>
            <w:shd w:val="clear" w:color="auto" w:fill="C6EFCE"/>
            <w:noWrap/>
          </w:tcPr>
          <w:p w14:paraId="264BC76B"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PIA (Health Insurance IT platform functional </w:t>
            </w:r>
          </w:p>
        </w:tc>
        <w:tc>
          <w:tcPr>
            <w:tcW w:w="970" w:type="dxa"/>
            <w:tcBorders>
              <w:top w:val="single" w:sz="4" w:space="0" w:color="auto"/>
              <w:left w:val="nil"/>
              <w:bottom w:val="single" w:sz="4" w:space="0" w:color="auto"/>
              <w:right w:val="single" w:sz="4" w:space="0" w:color="auto"/>
            </w:tcBorders>
            <w:shd w:val="clear" w:color="auto" w:fill="C6EFCE"/>
            <w:noWrap/>
          </w:tcPr>
          <w:p w14:paraId="442E2A1D" w14:textId="77777777" w:rsidR="00A437C8" w:rsidRPr="00A025C9" w:rsidDel="00315B60" w:rsidRDefault="00A437C8">
            <w:pPr>
              <w:spacing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3A1276FF" w14:textId="77777777" w:rsidR="00A437C8" w:rsidRPr="00A025C9" w:rsidDel="00315B60" w:rsidRDefault="00A437C8">
            <w:pPr>
              <w:spacing w:line="240" w:lineRule="auto"/>
              <w:jc w:val="both"/>
              <w:rPr>
                <w:rFonts w:ascii="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716BF405" w14:textId="77777777" w:rsidR="00A437C8" w:rsidRPr="00A025C9" w:rsidDel="00315B60" w:rsidRDefault="00A437C8">
            <w:pPr>
              <w:spacing w:line="240" w:lineRule="auto"/>
              <w:jc w:val="both"/>
              <w:rPr>
                <w:rFonts w:ascii="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557D466C"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42037892"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1A3562FE" w14:textId="7650E70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new PIA (Health Insurance IT platform)</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shall:</w:t>
            </w:r>
          </w:p>
          <w:p w14:paraId="0D23579C" w14:textId="77777777" w:rsidR="00A437C8" w:rsidRPr="00A025C9" w:rsidRDefault="00A437C8" w:rsidP="003221A9">
            <w:pPr>
              <w:numPr>
                <w:ilvl w:val="0"/>
                <w:numId w:val="41"/>
              </w:numPr>
              <w:spacing w:after="0" w:line="240" w:lineRule="auto"/>
              <w:ind w:left="259" w:hanging="218"/>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support the interconnection and interoperability; </w:t>
            </w:r>
          </w:p>
          <w:p w14:paraId="1FE4AB07" w14:textId="77777777" w:rsidR="00A437C8" w:rsidRPr="00A025C9" w:rsidRDefault="00A437C8" w:rsidP="003221A9">
            <w:pPr>
              <w:numPr>
                <w:ilvl w:val="0"/>
                <w:numId w:val="41"/>
              </w:numPr>
              <w:spacing w:after="0" w:line="240" w:lineRule="auto"/>
              <w:ind w:left="259" w:hanging="218"/>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allow for new functionalities (e.g. digitalisation of medical related documents).</w:t>
            </w:r>
          </w:p>
        </w:tc>
      </w:tr>
      <w:tr w:rsidR="00A437C8" w:rsidRPr="00A025C9" w14:paraId="7A50C5C7" w14:textId="77777777" w:rsidTr="00A025C9">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FEA5FB8" w14:textId="77777777" w:rsidR="00A437C8" w:rsidRPr="00A025C9" w:rsidRDefault="00A437C8">
            <w:pPr>
              <w:spacing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161</w:t>
            </w:r>
          </w:p>
        </w:tc>
        <w:tc>
          <w:tcPr>
            <w:tcW w:w="2101" w:type="dxa"/>
            <w:tcBorders>
              <w:top w:val="single" w:sz="4" w:space="0" w:color="auto"/>
              <w:left w:val="nil"/>
              <w:bottom w:val="single" w:sz="4" w:space="0" w:color="auto"/>
              <w:right w:val="single" w:sz="4" w:space="0" w:color="auto"/>
            </w:tcBorders>
            <w:shd w:val="clear" w:color="auto" w:fill="C6EFCE"/>
            <w:noWrap/>
          </w:tcPr>
          <w:p w14:paraId="0D671C32"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3. Establishment of eHealth </w:t>
            </w:r>
          </w:p>
          <w:p w14:paraId="47B15180" w14:textId="77777777" w:rsidR="00A437C8" w:rsidRPr="00A025C9" w:rsidRDefault="00A437C8">
            <w:pPr>
              <w:spacing w:after="120" w:line="240" w:lineRule="auto"/>
              <w:jc w:val="both"/>
              <w:rPr>
                <w:rFonts w:ascii="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78908333" w14:textId="77777777" w:rsidR="00A437C8" w:rsidRPr="00A025C9" w:rsidDel="00315B60"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5B06245A"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IT infrastructure of public hospitals in Romania replaced or upgraded.</w:t>
            </w:r>
          </w:p>
          <w:p w14:paraId="15AD6F08" w14:textId="77777777" w:rsidR="00A437C8" w:rsidRPr="00A025C9" w:rsidRDefault="00A437C8">
            <w:pPr>
              <w:spacing w:after="0" w:line="240" w:lineRule="auto"/>
              <w:jc w:val="both"/>
              <w:rPr>
                <w:rFonts w:ascii="Times New Roman" w:hAnsi="Times New Roman" w:cs="Times New Roman"/>
                <w:noProof/>
                <w:sz w:val="20"/>
                <w:szCs w:val="20"/>
                <w:lang w:val="en-GB"/>
              </w:rPr>
            </w:pPr>
          </w:p>
          <w:p w14:paraId="398953AF"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1734" w:type="dxa"/>
            <w:tcBorders>
              <w:top w:val="single" w:sz="4" w:space="0" w:color="auto"/>
              <w:left w:val="nil"/>
              <w:bottom w:val="single" w:sz="4" w:space="0" w:color="auto"/>
              <w:right w:val="single" w:sz="4" w:space="0" w:color="auto"/>
            </w:tcBorders>
            <w:shd w:val="clear" w:color="auto" w:fill="C6EFCE"/>
            <w:noWrap/>
          </w:tcPr>
          <w:p w14:paraId="645C28E1"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eastAsia="Times New Roman" w:hAnsi="Times New Roman" w:cs="Times New Roman"/>
                <w:noProof/>
                <w:sz w:val="20"/>
                <w:szCs w:val="20"/>
                <w:lang w:val="en-GB" w:eastAsia="en-GB"/>
              </w:rPr>
              <w:t xml:space="preserve">Upgrade of IT infrastructure of public hospitals </w:t>
            </w:r>
          </w:p>
        </w:tc>
        <w:tc>
          <w:tcPr>
            <w:tcW w:w="970" w:type="dxa"/>
            <w:tcBorders>
              <w:top w:val="single" w:sz="4" w:space="0" w:color="auto"/>
              <w:left w:val="nil"/>
              <w:bottom w:val="single" w:sz="4" w:space="0" w:color="auto"/>
              <w:right w:val="single" w:sz="4" w:space="0" w:color="auto"/>
            </w:tcBorders>
            <w:shd w:val="clear" w:color="auto" w:fill="C6EFCE"/>
            <w:noWrap/>
          </w:tcPr>
          <w:p w14:paraId="3E992471" w14:textId="77777777" w:rsidR="00A437C8" w:rsidRPr="00A025C9" w:rsidDel="00315B60" w:rsidRDefault="00A437C8">
            <w:pPr>
              <w:spacing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1417E1B0" w14:textId="77777777" w:rsidR="00A437C8" w:rsidRPr="00A025C9" w:rsidDel="00315B60" w:rsidRDefault="00A437C8">
            <w:pPr>
              <w:spacing w:line="240" w:lineRule="auto"/>
              <w:jc w:val="both"/>
              <w:rPr>
                <w:rFonts w:ascii="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7339E038" w14:textId="77777777" w:rsidR="00A437C8" w:rsidRPr="00A025C9" w:rsidDel="00315B60" w:rsidRDefault="00A437C8">
            <w:pPr>
              <w:spacing w:line="240" w:lineRule="auto"/>
              <w:jc w:val="both"/>
              <w:rPr>
                <w:rFonts w:ascii="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0E5BC8E5"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7236B91A"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38681853"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Payments made to at least 160 public health facilities for IT systems and digital infrastructure of public health units. Hospital IT systems shall be interoperable with telemedicine systems.</w:t>
            </w:r>
          </w:p>
          <w:p w14:paraId="0C7A07FD"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Payments made for the training of at least 3000 medical personnel to learn how to operate the IT applications. </w:t>
            </w:r>
          </w:p>
          <w:p w14:paraId="40913499" w14:textId="77777777" w:rsidR="00A437C8" w:rsidRPr="00A025C9" w:rsidRDefault="00A437C8">
            <w:pPr>
              <w:spacing w:after="0" w:line="240" w:lineRule="auto"/>
              <w:jc w:val="both"/>
              <w:rPr>
                <w:rFonts w:ascii="Times New Roman" w:hAnsi="Times New Roman" w:cs="Times New Roman"/>
                <w:noProof/>
                <w:sz w:val="20"/>
                <w:szCs w:val="20"/>
                <w:lang w:val="en-GB"/>
              </w:rPr>
            </w:pPr>
          </w:p>
          <w:p w14:paraId="1D9BBA8F" w14:textId="77777777" w:rsidR="00A437C8" w:rsidRPr="00A025C9" w:rsidRDefault="00A437C8">
            <w:pPr>
              <w:spacing w:after="0" w:line="240" w:lineRule="auto"/>
              <w:jc w:val="both"/>
              <w:rPr>
                <w:rFonts w:ascii="Times New Roman" w:hAnsi="Times New Roman" w:cs="Times New Roman"/>
                <w:noProof/>
                <w:sz w:val="20"/>
                <w:szCs w:val="20"/>
                <w:lang w:val="en-GB"/>
              </w:rPr>
            </w:pPr>
          </w:p>
        </w:tc>
      </w:tr>
      <w:tr w:rsidR="00A437C8" w:rsidRPr="00A025C9" w14:paraId="13667382"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7C06E97" w14:textId="77777777" w:rsidR="00A437C8" w:rsidRPr="00A025C9" w:rsidRDefault="00A437C8">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163</w:t>
            </w:r>
          </w:p>
        </w:tc>
        <w:tc>
          <w:tcPr>
            <w:tcW w:w="2101" w:type="dxa"/>
            <w:tcBorders>
              <w:top w:val="single" w:sz="4" w:space="0" w:color="auto"/>
              <w:left w:val="nil"/>
              <w:bottom w:val="single" w:sz="4" w:space="0" w:color="auto"/>
              <w:right w:val="single" w:sz="4" w:space="0" w:color="auto"/>
            </w:tcBorders>
            <w:shd w:val="clear" w:color="auto" w:fill="C6EFCE"/>
            <w:noWrap/>
          </w:tcPr>
          <w:p w14:paraId="7C5F3DB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4. Digitalisation of the judiciary </w:t>
            </w:r>
          </w:p>
          <w:p w14:paraId="6CD08646"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16BC2D22"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4C1C3503" w14:textId="77777777" w:rsidR="00A437C8" w:rsidRPr="00A025C9" w:rsidDel="7F64715D" w:rsidRDefault="00A437C8">
            <w:pPr>
              <w:spacing w:after="0" w:line="240" w:lineRule="auto"/>
              <w:jc w:val="both"/>
              <w:rPr>
                <w:rFonts w:ascii="Times New Roman" w:eastAsia="Calibri" w:hAnsi="Times New Roman" w:cs="Times New Roman"/>
                <w:noProof/>
                <w:sz w:val="20"/>
                <w:szCs w:val="20"/>
                <w:lang w:val="en-GB"/>
              </w:rPr>
            </w:pPr>
            <w:r w:rsidRPr="00A025C9">
              <w:rPr>
                <w:rFonts w:ascii="Times New Roman" w:hAnsi="Times New Roman" w:cs="Times New Roman"/>
                <w:noProof/>
                <w:sz w:val="20"/>
                <w:szCs w:val="20"/>
                <w:lang w:val="en-GB"/>
              </w:rPr>
              <w:t xml:space="preserve">Centralisation of applications </w:t>
            </w:r>
          </w:p>
        </w:tc>
        <w:tc>
          <w:tcPr>
            <w:tcW w:w="1734" w:type="dxa"/>
            <w:tcBorders>
              <w:top w:val="single" w:sz="4" w:space="0" w:color="auto"/>
              <w:left w:val="nil"/>
              <w:bottom w:val="single" w:sz="4" w:space="0" w:color="auto"/>
              <w:right w:val="single" w:sz="4" w:space="0" w:color="auto"/>
            </w:tcBorders>
            <w:shd w:val="clear" w:color="auto" w:fill="C6EFCE"/>
            <w:noWrap/>
          </w:tcPr>
          <w:p w14:paraId="712A8EC0"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National (centralized) Electronic File (e-file) </w:t>
            </w:r>
          </w:p>
          <w:p w14:paraId="08B353B7"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and judicial case management virtualized in fewer location</w:t>
            </w:r>
          </w:p>
        </w:tc>
        <w:tc>
          <w:tcPr>
            <w:tcW w:w="970" w:type="dxa"/>
            <w:tcBorders>
              <w:top w:val="single" w:sz="4" w:space="0" w:color="auto"/>
              <w:left w:val="nil"/>
              <w:bottom w:val="single" w:sz="4" w:space="0" w:color="auto"/>
              <w:right w:val="single" w:sz="4" w:space="0" w:color="auto"/>
            </w:tcBorders>
            <w:shd w:val="clear" w:color="auto" w:fill="C6EFCE"/>
            <w:noWrap/>
          </w:tcPr>
          <w:p w14:paraId="629F3F9D"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1258435A"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5F1C9AF3"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67715283"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01775D8F"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2023</w:t>
            </w:r>
          </w:p>
        </w:tc>
        <w:tc>
          <w:tcPr>
            <w:tcW w:w="3024" w:type="dxa"/>
            <w:tcBorders>
              <w:top w:val="single" w:sz="4" w:space="0" w:color="auto"/>
              <w:left w:val="nil"/>
              <w:bottom w:val="single" w:sz="4" w:space="0" w:color="auto"/>
              <w:right w:val="single" w:sz="4" w:space="0" w:color="auto"/>
            </w:tcBorders>
            <w:shd w:val="clear" w:color="auto" w:fill="C6EFCE"/>
            <w:noWrap/>
          </w:tcPr>
          <w:p w14:paraId="5B4CF4F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 order to introduce a modern alternative for electronic access of the case files (“e-file”), </w:t>
            </w:r>
            <w:r w:rsidRPr="00A025C9" w:rsidDel="00500CF9">
              <w:rPr>
                <w:rFonts w:ascii="Times New Roman" w:hAnsi="Times New Roman" w:cs="Times New Roman"/>
                <w:noProof/>
                <w:sz w:val="20"/>
                <w:szCs w:val="20"/>
                <w:lang w:val="en-GB"/>
              </w:rPr>
              <w:t xml:space="preserve">this investment shall </w:t>
            </w:r>
          </w:p>
          <w:p w14:paraId="325F7709" w14:textId="7D4D3571" w:rsidR="00A437C8" w:rsidRPr="00A025C9" w:rsidDel="7F64715D" w:rsidRDefault="00A437C8">
            <w:pPr>
              <w:spacing w:line="240" w:lineRule="auto"/>
              <w:contextualSpacing/>
              <w:jc w:val="both"/>
              <w:rPr>
                <w:rFonts w:ascii="Times New Roman" w:hAnsi="Times New Roman" w:cs="Times New Roman"/>
                <w:noProof/>
                <w:sz w:val="20"/>
                <w:szCs w:val="20"/>
                <w:lang w:val="en-GB"/>
              </w:rPr>
            </w:pPr>
            <w:r w:rsidRPr="00A025C9" w:rsidDel="00500CF9">
              <w:rPr>
                <w:rFonts w:ascii="Times New Roman" w:hAnsi="Times New Roman" w:cs="Times New Roman"/>
                <w:noProof/>
                <w:sz w:val="20"/>
                <w:szCs w:val="20"/>
                <w:lang w:val="en-GB"/>
              </w:rPr>
              <w:t>centralize the</w:t>
            </w:r>
            <w:r w:rsidR="00D23D91" w:rsidRPr="00A025C9">
              <w:rPr>
                <w:rFonts w:ascii="Times New Roman" w:hAnsi="Times New Roman" w:cs="Times New Roman"/>
                <w:noProof/>
                <w:sz w:val="20"/>
                <w:szCs w:val="20"/>
                <w:lang w:val="en-GB"/>
              </w:rPr>
              <w:t xml:space="preserve"> </w:t>
            </w:r>
            <w:r w:rsidRPr="00A025C9" w:rsidDel="00500CF9">
              <w:rPr>
                <w:rFonts w:ascii="Times New Roman" w:hAnsi="Times New Roman" w:cs="Times New Roman"/>
                <w:noProof/>
                <w:sz w:val="20"/>
                <w:szCs w:val="20"/>
                <w:lang w:val="en-GB"/>
              </w:rPr>
              <w:t>existing extensions of e-file in a single national “e-file” through which litigants shall be able to easily and securely access documents in court files.</w:t>
            </w:r>
          </w:p>
        </w:tc>
      </w:tr>
      <w:tr w:rsidR="00A437C8" w:rsidRPr="00A025C9" w14:paraId="55972837"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C69F088"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164</w:t>
            </w:r>
          </w:p>
        </w:tc>
        <w:tc>
          <w:tcPr>
            <w:tcW w:w="2101" w:type="dxa"/>
            <w:tcBorders>
              <w:top w:val="single" w:sz="4" w:space="0" w:color="auto"/>
              <w:left w:val="nil"/>
              <w:bottom w:val="single" w:sz="4" w:space="0" w:color="auto"/>
              <w:right w:val="single" w:sz="4" w:space="0" w:color="auto"/>
            </w:tcBorders>
            <w:shd w:val="clear" w:color="auto" w:fill="C6EFCE"/>
            <w:noWrap/>
          </w:tcPr>
          <w:p w14:paraId="673D74FC"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4. Digitalisation of the judiciary </w:t>
            </w:r>
          </w:p>
          <w:p w14:paraId="3BBDD0B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7BFE0A1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5BD74630"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Electronic case record and information system ECRIS V and the digital transformation of the judicial s</w:t>
            </w:r>
            <w:r w:rsidRPr="00A025C9">
              <w:rPr>
                <w:rFonts w:ascii="Times New Roman" w:hAnsi="Times New Roman" w:cs="Times New Roman"/>
                <w:noProof/>
                <w:sz w:val="20"/>
                <w:szCs w:val="20"/>
              </w:rPr>
              <w:t>ystem</w:t>
            </w:r>
            <w:r w:rsidRPr="00A025C9">
              <w:rPr>
                <w:rFonts w:ascii="Times New Roman" w:hAnsi="Times New Roman" w:cs="Times New Roman"/>
                <w:noProof/>
                <w:sz w:val="20"/>
                <w:szCs w:val="20"/>
                <w:lang w:val="en-GB"/>
              </w:rPr>
              <w:t xml:space="preserve"> </w:t>
            </w:r>
          </w:p>
          <w:p w14:paraId="6CAC9440"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734" w:type="dxa"/>
            <w:tcBorders>
              <w:top w:val="single" w:sz="4" w:space="0" w:color="auto"/>
              <w:left w:val="nil"/>
              <w:bottom w:val="single" w:sz="4" w:space="0" w:color="auto"/>
              <w:right w:val="single" w:sz="4" w:space="0" w:color="auto"/>
            </w:tcBorders>
            <w:shd w:val="clear" w:color="auto" w:fill="C6EFCE"/>
            <w:noWrap/>
          </w:tcPr>
          <w:p w14:paraId="33C03BE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ECRIS V system functional</w:t>
            </w:r>
          </w:p>
        </w:tc>
        <w:tc>
          <w:tcPr>
            <w:tcW w:w="970" w:type="dxa"/>
            <w:tcBorders>
              <w:top w:val="single" w:sz="4" w:space="0" w:color="auto"/>
              <w:left w:val="nil"/>
              <w:bottom w:val="single" w:sz="4" w:space="0" w:color="auto"/>
              <w:right w:val="single" w:sz="4" w:space="0" w:color="auto"/>
            </w:tcBorders>
            <w:shd w:val="clear" w:color="auto" w:fill="C6EFCE"/>
            <w:noWrap/>
          </w:tcPr>
          <w:p w14:paraId="70C7196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21269ABA"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610A936E"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6DC6D633"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00144A4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25735BD8" w14:textId="368D6EB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The</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delivery of a new case management system (ECRIS V) allows the digital interaction of the litigant and any interested entity with the judiciary, and an upgraded digital interaction between the institutions at level of the judicial system. The digital transformation in the judicial sector shall also be supported through the purchase of IT&amp;C equipment, software, services</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and technological upgrade.</w:t>
            </w:r>
          </w:p>
        </w:tc>
      </w:tr>
      <w:tr w:rsidR="00A437C8" w:rsidRPr="00A025C9" w14:paraId="35E8B48E"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22EE96AE"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166</w:t>
            </w:r>
          </w:p>
        </w:tc>
        <w:tc>
          <w:tcPr>
            <w:tcW w:w="2101" w:type="dxa"/>
            <w:tcBorders>
              <w:top w:val="single" w:sz="4" w:space="0" w:color="auto"/>
              <w:left w:val="nil"/>
              <w:bottom w:val="single" w:sz="4" w:space="0" w:color="auto"/>
              <w:right w:val="single" w:sz="4" w:space="0" w:color="auto"/>
            </w:tcBorders>
            <w:shd w:val="clear" w:color="auto" w:fill="C6EFCE"/>
            <w:noWrap/>
          </w:tcPr>
          <w:p w14:paraId="36175CB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4. Digitalisation of the judiciary </w:t>
            </w:r>
          </w:p>
          <w:p w14:paraId="394D9C1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716A31F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120BA42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r w:rsidRPr="00A025C9">
              <w:rPr>
                <w:rFonts w:ascii="Times New Roman" w:hAnsi="Times New Roman" w:cs="Times New Roman"/>
                <w:noProof/>
                <w:sz w:val="20"/>
                <w:szCs w:val="20"/>
                <w:lang w:val="en-GB"/>
              </w:rPr>
              <w:t>Data centre set up</w:t>
            </w:r>
          </w:p>
        </w:tc>
        <w:tc>
          <w:tcPr>
            <w:tcW w:w="1734" w:type="dxa"/>
            <w:tcBorders>
              <w:top w:val="single" w:sz="4" w:space="0" w:color="auto"/>
              <w:left w:val="nil"/>
              <w:bottom w:val="single" w:sz="4" w:space="0" w:color="auto"/>
              <w:right w:val="single" w:sz="4" w:space="0" w:color="auto"/>
            </w:tcBorders>
            <w:shd w:val="clear" w:color="auto" w:fill="C6EFCE"/>
            <w:noWrap/>
          </w:tcPr>
          <w:p w14:paraId="63A43FE8" w14:textId="453D3D81"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Data centre is set up</w:t>
            </w:r>
            <w:r w:rsidR="00D23D91" w:rsidRPr="00A025C9">
              <w:rPr>
                <w:rFonts w:ascii="Times New Roman" w:hAnsi="Times New Roman" w:cs="Times New Roman"/>
                <w:noProof/>
                <w:sz w:val="20"/>
                <w:szCs w:val="20"/>
                <w:lang w:val="en-GB"/>
              </w:rPr>
              <w:t xml:space="preserve"> </w:t>
            </w:r>
          </w:p>
        </w:tc>
        <w:tc>
          <w:tcPr>
            <w:tcW w:w="970" w:type="dxa"/>
            <w:tcBorders>
              <w:top w:val="single" w:sz="4" w:space="0" w:color="auto"/>
              <w:left w:val="nil"/>
              <w:bottom w:val="single" w:sz="4" w:space="0" w:color="auto"/>
              <w:right w:val="single" w:sz="4" w:space="0" w:color="auto"/>
            </w:tcBorders>
            <w:shd w:val="clear" w:color="auto" w:fill="C6EFCE"/>
            <w:noWrap/>
          </w:tcPr>
          <w:p w14:paraId="2F3490C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0EA318E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21FF445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58EE7395"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4ED50620"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5D58E226" w14:textId="49F0B3C6" w:rsidR="00A437C8" w:rsidRPr="00A025C9" w:rsidRDefault="00A437C8">
            <w:pPr>
              <w:spacing w:after="0" w:line="240" w:lineRule="auto"/>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A new data centre is used by the Ministry of Justice, the Public Ministry and the subordinated institutions, courts and other institutions at the level of the judicial system, interoperable with the government cloud.</w:t>
            </w:r>
          </w:p>
        </w:tc>
      </w:tr>
      <w:tr w:rsidR="00A437C8" w:rsidRPr="00A025C9" w14:paraId="67531400"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B6382E1"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167</w:t>
            </w:r>
          </w:p>
        </w:tc>
        <w:tc>
          <w:tcPr>
            <w:tcW w:w="2101" w:type="dxa"/>
            <w:tcBorders>
              <w:top w:val="single" w:sz="4" w:space="0" w:color="auto"/>
              <w:left w:val="nil"/>
              <w:bottom w:val="single" w:sz="4" w:space="0" w:color="auto"/>
              <w:right w:val="single" w:sz="4" w:space="0" w:color="auto"/>
            </w:tcBorders>
            <w:shd w:val="clear" w:color="auto" w:fill="C6EFCE"/>
            <w:noWrap/>
          </w:tcPr>
          <w:p w14:paraId="73A0BCAA"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Investment 5.</w:t>
            </w:r>
          </w:p>
          <w:p w14:paraId="7872B82C"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Digitalisation in the field of the environment </w:t>
            </w:r>
          </w:p>
          <w:p w14:paraId="641057E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62095D1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1C44EDDC"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Functional system to monitor Romanian forests, with measures against illegal logging</w:t>
            </w:r>
          </w:p>
        </w:tc>
        <w:tc>
          <w:tcPr>
            <w:tcW w:w="1734" w:type="dxa"/>
            <w:tcBorders>
              <w:top w:val="single" w:sz="4" w:space="0" w:color="auto"/>
              <w:left w:val="nil"/>
              <w:bottom w:val="single" w:sz="4" w:space="0" w:color="auto"/>
              <w:right w:val="single" w:sz="4" w:space="0" w:color="auto"/>
            </w:tcBorders>
            <w:shd w:val="clear" w:color="auto" w:fill="C6EFCE"/>
            <w:noWrap/>
          </w:tcPr>
          <w:p w14:paraId="1B65D4BC"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Functional system to monitor Romanian forests, with measures against illegal logging</w:t>
            </w:r>
          </w:p>
        </w:tc>
        <w:tc>
          <w:tcPr>
            <w:tcW w:w="970" w:type="dxa"/>
            <w:tcBorders>
              <w:top w:val="single" w:sz="4" w:space="0" w:color="auto"/>
              <w:left w:val="nil"/>
              <w:bottom w:val="single" w:sz="4" w:space="0" w:color="auto"/>
              <w:right w:val="single" w:sz="4" w:space="0" w:color="auto"/>
            </w:tcBorders>
            <w:shd w:val="clear" w:color="auto" w:fill="C6EFCE"/>
            <w:noWrap/>
          </w:tcPr>
          <w:p w14:paraId="2C9EF28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68CB3B1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57A80DC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65261669"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0136A90B"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28FFB7E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The system to monitor Romanian forests and combat illegal logging shall be integrated with SUMAL 2.0 (the Romanian Timber-Tracking System) and shall monitor legal obligations related to wood harvesting, forest regeneration, forest health and habitat conservation status.</w:t>
            </w:r>
          </w:p>
          <w:p w14:paraId="753E0502"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The forested land registry, as provided by the eTerra3 national system (land ownership database), shall be included in SUMAL 2.0 via application programming interface (API) to obtain a complete dataset of ownership and administration rights. </w:t>
            </w:r>
          </w:p>
        </w:tc>
      </w:tr>
      <w:tr w:rsidR="00A437C8" w:rsidRPr="00A025C9" w14:paraId="7C9A6042" w14:textId="77777777" w:rsidTr="00A025C9">
        <w:trPr>
          <w:trHeight w:val="315"/>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9332661" w14:textId="77777777" w:rsidR="00A437C8" w:rsidRPr="00A025C9" w:rsidRDefault="00A437C8">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168</w:t>
            </w:r>
          </w:p>
        </w:tc>
        <w:tc>
          <w:tcPr>
            <w:tcW w:w="2101" w:type="dxa"/>
            <w:tcBorders>
              <w:top w:val="single" w:sz="4" w:space="0" w:color="auto"/>
              <w:left w:val="nil"/>
              <w:bottom w:val="single" w:sz="4" w:space="0" w:color="auto"/>
              <w:right w:val="single" w:sz="4" w:space="0" w:color="auto"/>
            </w:tcBorders>
            <w:shd w:val="clear" w:color="auto" w:fill="C6EFCE"/>
            <w:noWrap/>
          </w:tcPr>
          <w:p w14:paraId="3A54440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Investment 5.</w:t>
            </w:r>
          </w:p>
          <w:p w14:paraId="4DC2DD3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Digitalisation in the field of the environment </w:t>
            </w:r>
          </w:p>
          <w:p w14:paraId="47AD7FEA"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6611144A"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90" w:type="dxa"/>
            <w:tcBorders>
              <w:top w:val="single" w:sz="4" w:space="0" w:color="auto"/>
              <w:left w:val="nil"/>
              <w:bottom w:val="single" w:sz="4" w:space="0" w:color="auto"/>
              <w:right w:val="single" w:sz="4" w:space="0" w:color="auto"/>
            </w:tcBorders>
            <w:shd w:val="clear" w:color="auto" w:fill="C6EFCE"/>
            <w:noWrap/>
          </w:tcPr>
          <w:p w14:paraId="38444462" w14:textId="77777777" w:rsidR="00A437C8" w:rsidRPr="00A025C9" w:rsidRDefault="00A437C8">
            <w:pPr>
              <w:spacing w:after="0" w:line="240" w:lineRule="auto"/>
              <w:jc w:val="both"/>
              <w:rPr>
                <w:rFonts w:ascii="Times New Roman" w:hAnsi="Times New Roman" w:cs="Times New Roman"/>
                <w:noProof/>
                <w:sz w:val="20"/>
                <w:szCs w:val="20"/>
                <w:lang w:val="fr-BE"/>
              </w:rPr>
            </w:pPr>
            <w:r w:rsidRPr="00A025C9">
              <w:rPr>
                <w:rFonts w:ascii="Times New Roman" w:hAnsi="Times New Roman" w:cs="Times New Roman"/>
                <w:noProof/>
                <w:sz w:val="20"/>
                <w:szCs w:val="20"/>
                <w:lang w:val="fr-BE"/>
              </w:rPr>
              <w:t>Public environmental services available online</w:t>
            </w:r>
          </w:p>
        </w:tc>
        <w:tc>
          <w:tcPr>
            <w:tcW w:w="1734" w:type="dxa"/>
            <w:tcBorders>
              <w:top w:val="single" w:sz="4" w:space="0" w:color="auto"/>
              <w:left w:val="nil"/>
              <w:bottom w:val="single" w:sz="4" w:space="0" w:color="auto"/>
              <w:right w:val="single" w:sz="4" w:space="0" w:color="auto"/>
            </w:tcBorders>
            <w:shd w:val="clear" w:color="auto" w:fill="C6EFCE"/>
            <w:noWrap/>
          </w:tcPr>
          <w:p w14:paraId="2E0033DA" w14:textId="77777777" w:rsidR="00A437C8" w:rsidRPr="00A025C9" w:rsidRDefault="00A437C8">
            <w:pPr>
              <w:spacing w:after="0" w:line="240" w:lineRule="auto"/>
              <w:jc w:val="both"/>
              <w:rPr>
                <w:rFonts w:ascii="Times New Roman" w:hAnsi="Times New Roman" w:cs="Times New Roman"/>
                <w:noProof/>
                <w:sz w:val="20"/>
                <w:szCs w:val="20"/>
                <w:lang w:val="fr-BE"/>
              </w:rPr>
            </w:pPr>
            <w:r w:rsidRPr="00A025C9">
              <w:rPr>
                <w:rFonts w:ascii="Times New Roman" w:hAnsi="Times New Roman" w:cs="Times New Roman"/>
                <w:noProof/>
                <w:sz w:val="20"/>
                <w:szCs w:val="20"/>
                <w:lang w:val="fr-BE"/>
              </w:rPr>
              <w:t xml:space="preserve"> </w:t>
            </w:r>
          </w:p>
        </w:tc>
        <w:tc>
          <w:tcPr>
            <w:tcW w:w="970" w:type="dxa"/>
            <w:tcBorders>
              <w:top w:val="single" w:sz="4" w:space="0" w:color="auto"/>
              <w:left w:val="nil"/>
              <w:bottom w:val="single" w:sz="4" w:space="0" w:color="auto"/>
              <w:right w:val="single" w:sz="4" w:space="0" w:color="auto"/>
            </w:tcBorders>
            <w:shd w:val="clear" w:color="auto" w:fill="C6EFCE"/>
            <w:noWrap/>
          </w:tcPr>
          <w:p w14:paraId="58D1FA4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Number</w:t>
            </w:r>
          </w:p>
        </w:tc>
        <w:tc>
          <w:tcPr>
            <w:tcW w:w="1225" w:type="dxa"/>
            <w:tcBorders>
              <w:top w:val="single" w:sz="4" w:space="0" w:color="auto"/>
              <w:left w:val="nil"/>
              <w:bottom w:val="single" w:sz="4" w:space="0" w:color="auto"/>
              <w:right w:val="single" w:sz="4" w:space="0" w:color="auto"/>
            </w:tcBorders>
            <w:shd w:val="clear" w:color="auto" w:fill="C6EFCE"/>
            <w:noWrap/>
          </w:tcPr>
          <w:p w14:paraId="0A7B459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0</w:t>
            </w:r>
          </w:p>
        </w:tc>
        <w:tc>
          <w:tcPr>
            <w:tcW w:w="725" w:type="dxa"/>
            <w:tcBorders>
              <w:top w:val="single" w:sz="4" w:space="0" w:color="auto"/>
              <w:left w:val="nil"/>
              <w:bottom w:val="single" w:sz="4" w:space="0" w:color="auto"/>
              <w:right w:val="single" w:sz="4" w:space="0" w:color="auto"/>
            </w:tcBorders>
            <w:shd w:val="clear" w:color="auto" w:fill="C6EFCE"/>
            <w:noWrap/>
          </w:tcPr>
          <w:p w14:paraId="36299CD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32</w:t>
            </w:r>
          </w:p>
        </w:tc>
        <w:tc>
          <w:tcPr>
            <w:tcW w:w="908" w:type="dxa"/>
            <w:tcBorders>
              <w:top w:val="single" w:sz="4" w:space="0" w:color="auto"/>
              <w:left w:val="nil"/>
              <w:bottom w:val="single" w:sz="4" w:space="0" w:color="auto"/>
              <w:right w:val="single" w:sz="4" w:space="0" w:color="auto"/>
            </w:tcBorders>
            <w:shd w:val="clear" w:color="auto" w:fill="C6EFCE"/>
            <w:noWrap/>
          </w:tcPr>
          <w:p w14:paraId="75733FB8"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61605E98"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4919C4A9" w14:textId="512C78AF" w:rsidR="00A437C8" w:rsidRPr="00A025C9" w:rsidRDefault="00A437C8">
            <w:pPr>
              <w:spacing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32 environment-related public services shall be functional and available online, enabling the electronic submission, transmission and tracking of applications, data and information through a unified digital platform.</w:t>
            </w:r>
            <w:r w:rsidR="00D23D91" w:rsidRPr="00A025C9">
              <w:rPr>
                <w:rFonts w:ascii="Times New Roman" w:hAnsi="Times New Roman" w:cs="Times New Roman"/>
                <w:noProof/>
                <w:sz w:val="20"/>
                <w:szCs w:val="20"/>
                <w:lang w:val="en-GB"/>
              </w:rPr>
              <w:t xml:space="preserve"> </w:t>
            </w:r>
          </w:p>
        </w:tc>
      </w:tr>
      <w:tr w:rsidR="00A437C8" w:rsidRPr="00A025C9" w14:paraId="09A77DDE" w14:textId="77777777" w:rsidTr="00A025C9">
        <w:trPr>
          <w:trHeight w:val="1763"/>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96BAE26"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169</w:t>
            </w:r>
          </w:p>
        </w:tc>
        <w:tc>
          <w:tcPr>
            <w:tcW w:w="2101" w:type="dxa"/>
            <w:tcBorders>
              <w:top w:val="single" w:sz="4" w:space="0" w:color="auto"/>
              <w:left w:val="nil"/>
              <w:bottom w:val="single" w:sz="4" w:space="0" w:color="auto"/>
              <w:right w:val="single" w:sz="4" w:space="0" w:color="auto"/>
            </w:tcBorders>
            <w:shd w:val="clear" w:color="auto" w:fill="C6EFCE"/>
            <w:noWrap/>
          </w:tcPr>
          <w:p w14:paraId="4304D07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6. Digitalisation in employment and social protection </w:t>
            </w:r>
          </w:p>
          <w:p w14:paraId="2ABECF0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75184EC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4092F3F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Functional REGES online system</w:t>
            </w:r>
          </w:p>
        </w:tc>
        <w:tc>
          <w:tcPr>
            <w:tcW w:w="1734" w:type="dxa"/>
            <w:tcBorders>
              <w:top w:val="single" w:sz="4" w:space="0" w:color="auto"/>
              <w:left w:val="nil"/>
              <w:bottom w:val="single" w:sz="4" w:space="0" w:color="auto"/>
              <w:right w:val="single" w:sz="4" w:space="0" w:color="auto"/>
            </w:tcBorders>
            <w:shd w:val="clear" w:color="auto" w:fill="C6EFCE"/>
            <w:noWrap/>
          </w:tcPr>
          <w:p w14:paraId="60A65C9D"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Functional REGES online system </w:t>
            </w:r>
          </w:p>
        </w:tc>
        <w:tc>
          <w:tcPr>
            <w:tcW w:w="970" w:type="dxa"/>
            <w:tcBorders>
              <w:top w:val="single" w:sz="4" w:space="0" w:color="auto"/>
              <w:left w:val="nil"/>
              <w:bottom w:val="single" w:sz="4" w:space="0" w:color="auto"/>
              <w:right w:val="single" w:sz="4" w:space="0" w:color="auto"/>
            </w:tcBorders>
            <w:shd w:val="clear" w:color="auto" w:fill="C6EFCE"/>
            <w:noWrap/>
          </w:tcPr>
          <w:p w14:paraId="693BE5F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39F273B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254E5A1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49E42FE7"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705" w:type="dxa"/>
            <w:tcBorders>
              <w:top w:val="single" w:sz="4" w:space="0" w:color="auto"/>
              <w:left w:val="nil"/>
              <w:bottom w:val="single" w:sz="4" w:space="0" w:color="auto"/>
              <w:right w:val="single" w:sz="4" w:space="0" w:color="auto"/>
            </w:tcBorders>
            <w:shd w:val="clear" w:color="auto" w:fill="C6EFCE"/>
            <w:noWrap/>
          </w:tcPr>
          <w:p w14:paraId="520E8630"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2024</w:t>
            </w:r>
          </w:p>
        </w:tc>
        <w:tc>
          <w:tcPr>
            <w:tcW w:w="3024" w:type="dxa"/>
            <w:tcBorders>
              <w:top w:val="single" w:sz="4" w:space="0" w:color="auto"/>
              <w:left w:val="nil"/>
              <w:bottom w:val="single" w:sz="4" w:space="0" w:color="auto"/>
              <w:right w:val="single" w:sz="4" w:space="0" w:color="auto"/>
            </w:tcBorders>
            <w:shd w:val="clear" w:color="auto" w:fill="C6EFCE"/>
            <w:noWrap/>
          </w:tcPr>
          <w:p w14:paraId="123EAE0A" w14:textId="77777777" w:rsidR="00A437C8" w:rsidRPr="00A025C9" w:rsidRDefault="00A437C8">
            <w:pPr>
              <w:spacing w:after="12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The REGES-ONLINE IT system is functional and interoperable, ensuring access by public authorities and institutions to register data at Application Programming Interface (API) level. </w:t>
            </w:r>
          </w:p>
        </w:tc>
      </w:tr>
      <w:tr w:rsidR="00A437C8" w:rsidRPr="00A025C9" w14:paraId="44AEE8E0"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9946504" w14:textId="77777777" w:rsidR="00A437C8" w:rsidRPr="00A025C9" w:rsidRDefault="00A437C8">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170</w:t>
            </w:r>
          </w:p>
        </w:tc>
        <w:tc>
          <w:tcPr>
            <w:tcW w:w="2101" w:type="dxa"/>
            <w:tcBorders>
              <w:top w:val="single" w:sz="4" w:space="0" w:color="auto"/>
              <w:left w:val="nil"/>
              <w:bottom w:val="single" w:sz="4" w:space="0" w:color="auto"/>
              <w:right w:val="single" w:sz="4" w:space="0" w:color="auto"/>
            </w:tcBorders>
            <w:shd w:val="clear" w:color="auto" w:fill="C6EFCE"/>
            <w:noWrap/>
          </w:tcPr>
          <w:p w14:paraId="4CF4539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6. Digitalisation in employment and social protection </w:t>
            </w:r>
          </w:p>
          <w:p w14:paraId="5436F176"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5ADA2B82"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90" w:type="dxa"/>
            <w:tcBorders>
              <w:top w:val="single" w:sz="4" w:space="0" w:color="auto"/>
              <w:left w:val="nil"/>
              <w:bottom w:val="single" w:sz="4" w:space="0" w:color="auto"/>
              <w:right w:val="single" w:sz="4" w:space="0" w:color="auto"/>
            </w:tcBorders>
            <w:shd w:val="clear" w:color="auto" w:fill="C6EFCE"/>
            <w:noWrap/>
          </w:tcPr>
          <w:p w14:paraId="7EC40CCA"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Digital services in the field of employment and social protection functional </w:t>
            </w:r>
          </w:p>
        </w:tc>
        <w:tc>
          <w:tcPr>
            <w:tcW w:w="1734" w:type="dxa"/>
            <w:tcBorders>
              <w:top w:val="single" w:sz="4" w:space="0" w:color="auto"/>
              <w:left w:val="nil"/>
              <w:bottom w:val="single" w:sz="4" w:space="0" w:color="auto"/>
              <w:right w:val="single" w:sz="4" w:space="0" w:color="auto"/>
            </w:tcBorders>
            <w:shd w:val="clear" w:color="auto" w:fill="C6EFCE"/>
            <w:noWrap/>
          </w:tcPr>
          <w:p w14:paraId="422B972C"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w:t>
            </w:r>
          </w:p>
        </w:tc>
        <w:tc>
          <w:tcPr>
            <w:tcW w:w="970" w:type="dxa"/>
            <w:tcBorders>
              <w:top w:val="single" w:sz="4" w:space="0" w:color="auto"/>
              <w:left w:val="nil"/>
              <w:bottom w:val="single" w:sz="4" w:space="0" w:color="auto"/>
              <w:right w:val="single" w:sz="4" w:space="0" w:color="auto"/>
            </w:tcBorders>
            <w:shd w:val="clear" w:color="auto" w:fill="C6EFCE"/>
            <w:noWrap/>
          </w:tcPr>
          <w:p w14:paraId="1D533B25"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Number</w:t>
            </w:r>
          </w:p>
        </w:tc>
        <w:tc>
          <w:tcPr>
            <w:tcW w:w="1225" w:type="dxa"/>
            <w:tcBorders>
              <w:top w:val="single" w:sz="4" w:space="0" w:color="auto"/>
              <w:left w:val="nil"/>
              <w:bottom w:val="single" w:sz="4" w:space="0" w:color="auto"/>
              <w:right w:val="single" w:sz="4" w:space="0" w:color="auto"/>
            </w:tcBorders>
            <w:shd w:val="clear" w:color="auto" w:fill="C6EFCE"/>
            <w:noWrap/>
          </w:tcPr>
          <w:p w14:paraId="1D10AAD9"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0</w:t>
            </w:r>
          </w:p>
        </w:tc>
        <w:tc>
          <w:tcPr>
            <w:tcW w:w="725" w:type="dxa"/>
            <w:tcBorders>
              <w:top w:val="single" w:sz="4" w:space="0" w:color="auto"/>
              <w:left w:val="nil"/>
              <w:bottom w:val="single" w:sz="4" w:space="0" w:color="auto"/>
              <w:right w:val="single" w:sz="4" w:space="0" w:color="auto"/>
            </w:tcBorders>
            <w:shd w:val="clear" w:color="auto" w:fill="C6EFCE"/>
            <w:noWrap/>
          </w:tcPr>
          <w:p w14:paraId="23770759"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3</w:t>
            </w:r>
          </w:p>
        </w:tc>
        <w:tc>
          <w:tcPr>
            <w:tcW w:w="908" w:type="dxa"/>
            <w:tcBorders>
              <w:top w:val="single" w:sz="4" w:space="0" w:color="auto"/>
              <w:left w:val="nil"/>
              <w:bottom w:val="single" w:sz="4" w:space="0" w:color="auto"/>
              <w:right w:val="single" w:sz="4" w:space="0" w:color="auto"/>
            </w:tcBorders>
            <w:shd w:val="clear" w:color="auto" w:fill="C6EFCE"/>
            <w:noWrap/>
          </w:tcPr>
          <w:p w14:paraId="2861A3DF"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44D860E0"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3C095A6D"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The following e-government digital services in the field of employment and social protection shall be functional: </w:t>
            </w:r>
          </w:p>
          <w:p w14:paraId="4DDED466"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Digitalisation of the services offered by the Public Employment Service (ANOFM) </w:t>
            </w:r>
          </w:p>
          <w:p w14:paraId="78872DDC"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Digitalisation of control activity in the Labour Inspectorate (IM) </w:t>
            </w:r>
          </w:p>
          <w:p w14:paraId="74F744D5"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Digitalisation of the processing and payments of social assistance benefits managed by the National Agency for Payments and Social Inspection (ANPIS). The National Integrated Social Assistance System (SNIAS) shall retain functionalities that allow the introduction of requests at the town hall. </w:t>
            </w:r>
          </w:p>
          <w:p w14:paraId="4D189F95" w14:textId="77777777" w:rsidR="00A437C8" w:rsidRPr="00A025C9" w:rsidDel="00500CF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digital platform for introduction of the Minimum Inclusion Income (VMI) is functional.</w:t>
            </w:r>
          </w:p>
        </w:tc>
      </w:tr>
      <w:tr w:rsidR="00A437C8" w:rsidRPr="00A025C9" w14:paraId="4BD7272D"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528B9BD" w14:textId="77777777" w:rsidR="00A437C8" w:rsidRPr="00A025C9" w:rsidRDefault="00A437C8">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171</w:t>
            </w:r>
          </w:p>
        </w:tc>
        <w:tc>
          <w:tcPr>
            <w:tcW w:w="2101" w:type="dxa"/>
            <w:tcBorders>
              <w:top w:val="single" w:sz="4" w:space="0" w:color="auto"/>
              <w:left w:val="nil"/>
              <w:bottom w:val="single" w:sz="4" w:space="0" w:color="auto"/>
              <w:right w:val="single" w:sz="4" w:space="0" w:color="auto"/>
            </w:tcBorders>
            <w:shd w:val="clear" w:color="auto" w:fill="C6EFCE"/>
            <w:noWrap/>
          </w:tcPr>
          <w:p w14:paraId="066A2B6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6. Digitalisation in employment and social protection </w:t>
            </w:r>
          </w:p>
          <w:p w14:paraId="320FDA8C"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253FF551" w14:textId="77777777" w:rsidR="00A437C8" w:rsidRPr="00A025C9" w:rsidRDefault="00A437C8">
            <w:pPr>
              <w:spacing w:after="0" w:line="240" w:lineRule="auto"/>
              <w:jc w:val="both"/>
              <w:rPr>
                <w:rFonts w:ascii="Times New Roman" w:hAnsi="Times New Roman" w:cs="Times New Roman"/>
                <w:noProof/>
                <w:sz w:val="20"/>
                <w:szCs w:val="20"/>
                <w:highlight w:val="yellow"/>
                <w:lang w:val="en-GB"/>
              </w:rPr>
            </w:pPr>
            <w:r w:rsidRPr="00A025C9">
              <w:rPr>
                <w:rFonts w:ascii="Times New Roman" w:hAnsi="Times New Roman" w:cs="Times New Roman"/>
                <w:noProof/>
                <w:sz w:val="20"/>
                <w:szCs w:val="20"/>
                <w:lang w:val="en-GB"/>
              </w:rPr>
              <w:t xml:space="preserve">Milestone </w:t>
            </w:r>
          </w:p>
        </w:tc>
        <w:tc>
          <w:tcPr>
            <w:tcW w:w="1590" w:type="dxa"/>
            <w:tcBorders>
              <w:top w:val="single" w:sz="4" w:space="0" w:color="auto"/>
              <w:left w:val="nil"/>
              <w:bottom w:val="single" w:sz="4" w:space="0" w:color="auto"/>
              <w:right w:val="single" w:sz="4" w:space="0" w:color="auto"/>
            </w:tcBorders>
            <w:shd w:val="clear" w:color="auto" w:fill="C6EFCE"/>
            <w:noWrap/>
          </w:tcPr>
          <w:p w14:paraId="21B2F0B4" w14:textId="77777777" w:rsidR="00A437C8" w:rsidRPr="00A025C9" w:rsidDel="001872D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Trainings on digital skills for employees </w:t>
            </w:r>
          </w:p>
        </w:tc>
        <w:tc>
          <w:tcPr>
            <w:tcW w:w="1734" w:type="dxa"/>
            <w:tcBorders>
              <w:top w:val="single" w:sz="4" w:space="0" w:color="auto"/>
              <w:left w:val="nil"/>
              <w:bottom w:val="single" w:sz="4" w:space="0" w:color="auto"/>
              <w:right w:val="single" w:sz="4" w:space="0" w:color="auto"/>
            </w:tcBorders>
            <w:shd w:val="clear" w:color="auto" w:fill="C6EFCE"/>
            <w:noWrap/>
          </w:tcPr>
          <w:p w14:paraId="68C8FFC8" w14:textId="77777777" w:rsidR="00A437C8" w:rsidRPr="00A025C9" w:rsidRDefault="00A437C8">
            <w:pPr>
              <w:spacing w:after="0" w:line="240" w:lineRule="auto"/>
              <w:jc w:val="both"/>
              <w:rPr>
                <w:rFonts w:ascii="Times New Roman" w:hAnsi="Times New Roman" w:cs="Times New Roman"/>
                <w:noProof/>
                <w:sz w:val="20"/>
                <w:szCs w:val="20"/>
                <w:highlight w:val="yellow"/>
                <w:lang w:val="en-GB"/>
              </w:rPr>
            </w:pPr>
            <w:r w:rsidRPr="00A025C9">
              <w:rPr>
                <w:rFonts w:ascii="Times New Roman" w:hAnsi="Times New Roman" w:cs="Times New Roman"/>
                <w:noProof/>
                <w:sz w:val="20"/>
                <w:szCs w:val="20"/>
                <w:lang w:val="en-GB"/>
              </w:rPr>
              <w:t xml:space="preserve">Delivery of trainings </w:t>
            </w:r>
          </w:p>
        </w:tc>
        <w:tc>
          <w:tcPr>
            <w:tcW w:w="970" w:type="dxa"/>
            <w:tcBorders>
              <w:top w:val="single" w:sz="4" w:space="0" w:color="auto"/>
              <w:left w:val="nil"/>
              <w:bottom w:val="single" w:sz="4" w:space="0" w:color="auto"/>
              <w:right w:val="single" w:sz="4" w:space="0" w:color="auto"/>
            </w:tcBorders>
            <w:shd w:val="clear" w:color="auto" w:fill="C6EFCE"/>
            <w:noWrap/>
          </w:tcPr>
          <w:p w14:paraId="0209860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42689E3A"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428AFA6E"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68B612E5"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2BFFB93A"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0C71BE57"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Acceptance certificates signed by the contracting entity demonstrating the delivery of trainings in digital skills of: </w:t>
            </w:r>
          </w:p>
          <w:p w14:paraId="029FC209" w14:textId="77777777" w:rsidR="00A437C8" w:rsidRPr="00A025C9" w:rsidRDefault="00A437C8" w:rsidP="003221A9">
            <w:pPr>
              <w:numPr>
                <w:ilvl w:val="0"/>
                <w:numId w:val="42"/>
              </w:numPr>
              <w:spacing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1200 employees in the National Employment Agency (ANOFM)</w:t>
            </w:r>
          </w:p>
          <w:p w14:paraId="45E3901C" w14:textId="3E41BE9A" w:rsidR="00A437C8" w:rsidRPr="00A025C9" w:rsidRDefault="00A437C8" w:rsidP="003221A9">
            <w:pPr>
              <w:numPr>
                <w:ilvl w:val="0"/>
                <w:numId w:val="42"/>
              </w:numPr>
              <w:spacing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w:t>
            </w:r>
            <w:r w:rsidR="00B837E7">
              <w:rPr>
                <w:rFonts w:ascii="Times New Roman" w:hAnsi="Times New Roman" w:cs="Times New Roman"/>
                <w:noProof/>
                <w:sz w:val="20"/>
                <w:szCs w:val="20"/>
                <w:lang w:val="en-GB"/>
              </w:rPr>
              <w:t> </w:t>
            </w:r>
            <w:r w:rsidRPr="00A025C9">
              <w:rPr>
                <w:rFonts w:ascii="Times New Roman" w:hAnsi="Times New Roman" w:cs="Times New Roman"/>
                <w:noProof/>
                <w:sz w:val="20"/>
                <w:szCs w:val="20"/>
                <w:lang w:val="en-GB"/>
              </w:rPr>
              <w:t>595 employees in the National Agency for Payments and Social Inspection (ANPIS)</w:t>
            </w:r>
          </w:p>
          <w:p w14:paraId="461C6EE5" w14:textId="7B39FF2C" w:rsidR="00A437C8" w:rsidRPr="00A025C9" w:rsidRDefault="00A437C8" w:rsidP="003221A9">
            <w:pPr>
              <w:numPr>
                <w:ilvl w:val="0"/>
                <w:numId w:val="42"/>
              </w:numPr>
              <w:spacing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w:t>
            </w:r>
            <w:r w:rsidR="00B837E7">
              <w:rPr>
                <w:rFonts w:ascii="Times New Roman" w:hAnsi="Times New Roman" w:cs="Times New Roman"/>
                <w:noProof/>
                <w:sz w:val="20"/>
                <w:szCs w:val="20"/>
                <w:lang w:val="en-GB"/>
              </w:rPr>
              <w:t> </w:t>
            </w:r>
            <w:r w:rsidRPr="00A025C9">
              <w:rPr>
                <w:rFonts w:ascii="Times New Roman" w:hAnsi="Times New Roman" w:cs="Times New Roman"/>
                <w:noProof/>
                <w:sz w:val="20"/>
                <w:szCs w:val="20"/>
                <w:lang w:val="en-GB"/>
              </w:rPr>
              <w:t>700</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employees in the Labour Inspectorate (IM)</w:t>
            </w:r>
          </w:p>
        </w:tc>
      </w:tr>
      <w:tr w:rsidR="00A437C8" w:rsidRPr="00A025C9" w14:paraId="1AD46387"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806B6FA"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172</w:t>
            </w:r>
          </w:p>
        </w:tc>
        <w:tc>
          <w:tcPr>
            <w:tcW w:w="2101" w:type="dxa"/>
            <w:tcBorders>
              <w:top w:val="single" w:sz="4" w:space="0" w:color="auto"/>
              <w:left w:val="nil"/>
              <w:bottom w:val="single" w:sz="4" w:space="0" w:color="auto"/>
              <w:right w:val="single" w:sz="4" w:space="0" w:color="auto"/>
            </w:tcBorders>
            <w:shd w:val="clear" w:color="auto" w:fill="C6EFCE"/>
            <w:noWrap/>
          </w:tcPr>
          <w:p w14:paraId="54A64F30"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Investment 7. Introduction of electronic forms (eForms) in the field of public procurement</w:t>
            </w:r>
          </w:p>
          <w:p w14:paraId="0B38D163"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1DC57A7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3BF8D7BD"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Entry into use of standard electronic forms in public procurement procedures </w:t>
            </w:r>
          </w:p>
        </w:tc>
        <w:tc>
          <w:tcPr>
            <w:tcW w:w="1734" w:type="dxa"/>
            <w:tcBorders>
              <w:top w:val="single" w:sz="4" w:space="0" w:color="auto"/>
              <w:left w:val="nil"/>
              <w:bottom w:val="single" w:sz="4" w:space="0" w:color="auto"/>
              <w:right w:val="single" w:sz="4" w:space="0" w:color="auto"/>
            </w:tcBorders>
            <w:shd w:val="clear" w:color="auto" w:fill="C6EFCE"/>
            <w:noWrap/>
          </w:tcPr>
          <w:p w14:paraId="54794EB1"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Standard electronic forms for procurement procedures in use</w:t>
            </w:r>
          </w:p>
        </w:tc>
        <w:tc>
          <w:tcPr>
            <w:tcW w:w="970" w:type="dxa"/>
            <w:tcBorders>
              <w:top w:val="single" w:sz="4" w:space="0" w:color="auto"/>
              <w:left w:val="nil"/>
              <w:bottom w:val="single" w:sz="4" w:space="0" w:color="auto"/>
              <w:right w:val="single" w:sz="4" w:space="0" w:color="auto"/>
            </w:tcBorders>
            <w:shd w:val="clear" w:color="auto" w:fill="C6EFCE"/>
            <w:noWrap/>
          </w:tcPr>
          <w:p w14:paraId="4CCCBEC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65BEE5E0"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6785B490"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0F6CF1A0"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617E3D85"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2023</w:t>
            </w:r>
          </w:p>
        </w:tc>
        <w:tc>
          <w:tcPr>
            <w:tcW w:w="3024" w:type="dxa"/>
            <w:tcBorders>
              <w:top w:val="single" w:sz="4" w:space="0" w:color="auto"/>
              <w:left w:val="nil"/>
              <w:bottom w:val="single" w:sz="4" w:space="0" w:color="auto"/>
              <w:right w:val="single" w:sz="4" w:space="0" w:color="auto"/>
            </w:tcBorders>
            <w:shd w:val="clear" w:color="auto" w:fill="C6EFCE"/>
            <w:noWrap/>
          </w:tcPr>
          <w:p w14:paraId="430B1293" w14:textId="461AB478" w:rsidR="00A437C8" w:rsidRPr="00A025C9" w:rsidRDefault="00A437C8">
            <w:pPr>
              <w:spacing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Standard electronic forms for public procurement process are used</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 xml:space="preserve">and integrated in the Romanian Public Procurement service SEAP. </w:t>
            </w:r>
          </w:p>
        </w:tc>
      </w:tr>
      <w:tr w:rsidR="00A437C8" w:rsidRPr="00A025C9" w14:paraId="0A6D64AD"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0FAE884" w14:textId="77777777" w:rsidR="00A437C8" w:rsidRPr="00A025C9" w:rsidRDefault="00A437C8">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173</w:t>
            </w:r>
          </w:p>
        </w:tc>
        <w:tc>
          <w:tcPr>
            <w:tcW w:w="2101" w:type="dxa"/>
            <w:tcBorders>
              <w:top w:val="single" w:sz="4" w:space="0" w:color="auto"/>
              <w:left w:val="nil"/>
              <w:bottom w:val="single" w:sz="4" w:space="0" w:color="auto"/>
              <w:right w:val="single" w:sz="4" w:space="0" w:color="auto"/>
            </w:tcBorders>
            <w:shd w:val="clear" w:color="auto" w:fill="C6EFCE"/>
            <w:noWrap/>
          </w:tcPr>
          <w:p w14:paraId="14B6EBD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Investment 8.</w:t>
            </w:r>
          </w:p>
          <w:p w14:paraId="48817EE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Electronic identity card and digital signature</w:t>
            </w:r>
          </w:p>
          <w:p w14:paraId="2AEF274F"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33C3DA0A"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7B909163"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Issuance of electronic identity cards</w:t>
            </w:r>
          </w:p>
        </w:tc>
        <w:tc>
          <w:tcPr>
            <w:tcW w:w="1734" w:type="dxa"/>
            <w:tcBorders>
              <w:top w:val="single" w:sz="4" w:space="0" w:color="auto"/>
              <w:left w:val="nil"/>
              <w:bottom w:val="single" w:sz="4" w:space="0" w:color="auto"/>
              <w:right w:val="single" w:sz="4" w:space="0" w:color="auto"/>
            </w:tcBorders>
            <w:shd w:val="clear" w:color="auto" w:fill="C6EFCE"/>
            <w:noWrap/>
          </w:tcPr>
          <w:p w14:paraId="74268869"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Issuance of eIDs</w:t>
            </w:r>
          </w:p>
        </w:tc>
        <w:tc>
          <w:tcPr>
            <w:tcW w:w="970" w:type="dxa"/>
            <w:tcBorders>
              <w:top w:val="single" w:sz="4" w:space="0" w:color="auto"/>
              <w:left w:val="nil"/>
              <w:bottom w:val="single" w:sz="4" w:space="0" w:color="auto"/>
              <w:right w:val="single" w:sz="4" w:space="0" w:color="auto"/>
            </w:tcBorders>
            <w:shd w:val="clear" w:color="auto" w:fill="C6EFCE"/>
            <w:noWrap/>
          </w:tcPr>
          <w:p w14:paraId="054C1152"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52411CED"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26FF9B66"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36F94FBA"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15746AD7"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2E336C89" w14:textId="03AA987D"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Issuance of 2</w:t>
            </w:r>
            <w:r w:rsidR="0075416A" w:rsidRPr="00A025C9">
              <w:rPr>
                <w:rFonts w:ascii="Times New Roman" w:hAnsi="Times New Roman" w:cs="Times New Roman"/>
                <w:noProof/>
                <w:sz w:val="20"/>
                <w:szCs w:val="20"/>
                <w:lang w:val="en-GB"/>
              </w:rPr>
              <w:t> </w:t>
            </w:r>
            <w:r w:rsidRPr="00A025C9">
              <w:rPr>
                <w:rFonts w:ascii="Times New Roman" w:hAnsi="Times New Roman" w:cs="Times New Roman"/>
                <w:noProof/>
                <w:sz w:val="20"/>
                <w:szCs w:val="20"/>
                <w:lang w:val="en-GB"/>
              </w:rPr>
              <w:t>100</w:t>
            </w:r>
            <w:r w:rsidR="0075416A" w:rsidRPr="00A025C9">
              <w:rPr>
                <w:rFonts w:ascii="Times New Roman" w:hAnsi="Times New Roman" w:cs="Times New Roman"/>
                <w:noProof/>
                <w:sz w:val="20"/>
                <w:szCs w:val="20"/>
                <w:lang w:val="en-GB"/>
              </w:rPr>
              <w:t> </w:t>
            </w:r>
            <w:r w:rsidRPr="00A025C9">
              <w:rPr>
                <w:rFonts w:ascii="Times New Roman" w:hAnsi="Times New Roman" w:cs="Times New Roman"/>
                <w:noProof/>
                <w:sz w:val="20"/>
                <w:szCs w:val="20"/>
                <w:lang w:val="en-GB"/>
              </w:rPr>
              <w:t>000 electronic identity cards that have the capability to store two digital certificates:</w:t>
            </w:r>
          </w:p>
          <w:p w14:paraId="05D7809D" w14:textId="77777777" w:rsidR="00A437C8" w:rsidRPr="00A025C9" w:rsidRDefault="00A437C8" w:rsidP="003221A9">
            <w:pPr>
              <w:numPr>
                <w:ilvl w:val="0"/>
                <w:numId w:val="42"/>
              </w:numPr>
              <w:spacing w:after="0" w:line="240" w:lineRule="auto"/>
              <w:ind w:left="260" w:hanging="215"/>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a mandatory one for advanced electronic signature, stored and usable once the electronic identity card is issued.</w:t>
            </w:r>
          </w:p>
          <w:p w14:paraId="376DCD65" w14:textId="77777777" w:rsidR="00A437C8" w:rsidRPr="00A025C9" w:rsidRDefault="00A437C8" w:rsidP="003221A9">
            <w:pPr>
              <w:numPr>
                <w:ilvl w:val="0"/>
                <w:numId w:val="42"/>
              </w:numPr>
              <w:spacing w:after="0" w:line="240" w:lineRule="auto"/>
              <w:ind w:left="260" w:hanging="215"/>
              <w:contextualSpacing/>
              <w:jc w:val="both"/>
              <w:rPr>
                <w:rFonts w:ascii="Times New Roman" w:hAnsi="Times New Roman" w:cs="Times New Roman"/>
                <w:noProof/>
                <w:sz w:val="20"/>
                <w:szCs w:val="20"/>
                <w:lang w:val="en-GB"/>
              </w:rPr>
            </w:pPr>
            <w:r w:rsidRPr="00A025C9">
              <w:rPr>
                <w:rFonts w:ascii="Times New Roman" w:eastAsia="Times New Roman" w:hAnsi="Times New Roman" w:cs="Times New Roman"/>
                <w:noProof/>
                <w:sz w:val="20"/>
                <w:szCs w:val="20"/>
                <w:lang w:val="en-GB"/>
              </w:rPr>
              <w:t xml:space="preserve">A </w:t>
            </w:r>
            <w:r w:rsidRPr="00A025C9">
              <w:rPr>
                <w:rFonts w:ascii="Times New Roman" w:hAnsi="Times New Roman" w:cs="Times New Roman"/>
                <w:noProof/>
                <w:sz w:val="20"/>
                <w:szCs w:val="20"/>
                <w:lang w:val="en-GB"/>
              </w:rPr>
              <w:t xml:space="preserve">certificate for qualified electronic signature issued by qualified certification service providers, available to be purchased by citizens from any qualified certification service provider, after the card is issued. </w:t>
            </w:r>
          </w:p>
        </w:tc>
      </w:tr>
      <w:tr w:rsidR="00A437C8" w:rsidRPr="00A025C9" w14:paraId="28814A93" w14:textId="77777777" w:rsidTr="00A025C9">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21BBF12E" w14:textId="77777777" w:rsidR="00A437C8" w:rsidRPr="00A025C9" w:rsidRDefault="00A437C8">
            <w:pPr>
              <w:spacing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174</w:t>
            </w:r>
          </w:p>
        </w:tc>
        <w:tc>
          <w:tcPr>
            <w:tcW w:w="2101" w:type="dxa"/>
            <w:tcBorders>
              <w:top w:val="single" w:sz="4" w:space="0" w:color="auto"/>
              <w:left w:val="nil"/>
              <w:bottom w:val="single" w:sz="4" w:space="0" w:color="auto"/>
              <w:right w:val="single" w:sz="4" w:space="0" w:color="auto"/>
            </w:tcBorders>
            <w:shd w:val="clear" w:color="auto" w:fill="C6EFCE"/>
            <w:noWrap/>
          </w:tcPr>
          <w:p w14:paraId="42202B4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Investment 8.</w:t>
            </w:r>
          </w:p>
          <w:p w14:paraId="672849A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Electronic identity card and digital signature</w:t>
            </w:r>
          </w:p>
          <w:p w14:paraId="0F9DB0B5"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2F90D5F7"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626D1FC6" w14:textId="6327A63E"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Support measures for the use of electronic identity card</w:t>
            </w:r>
            <w:r w:rsidR="00D23D91" w:rsidRPr="00A025C9">
              <w:rPr>
                <w:rFonts w:ascii="Times New Roman" w:hAnsi="Times New Roman" w:cs="Times New Roman"/>
                <w:noProof/>
                <w:sz w:val="20"/>
                <w:szCs w:val="20"/>
                <w:lang w:val="en-GB"/>
              </w:rPr>
              <w:t xml:space="preserve"> </w:t>
            </w:r>
          </w:p>
        </w:tc>
        <w:tc>
          <w:tcPr>
            <w:tcW w:w="1734" w:type="dxa"/>
            <w:tcBorders>
              <w:top w:val="single" w:sz="4" w:space="0" w:color="auto"/>
              <w:left w:val="nil"/>
              <w:bottom w:val="single" w:sz="4" w:space="0" w:color="auto"/>
              <w:right w:val="single" w:sz="4" w:space="0" w:color="auto"/>
            </w:tcBorders>
            <w:shd w:val="clear" w:color="auto" w:fill="C6EFCE"/>
            <w:noWrap/>
          </w:tcPr>
          <w:p w14:paraId="0F68CDDE"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Online public services developed, early warning system developed, awareness campaign developed</w:t>
            </w:r>
          </w:p>
        </w:tc>
        <w:tc>
          <w:tcPr>
            <w:tcW w:w="970" w:type="dxa"/>
            <w:tcBorders>
              <w:top w:val="single" w:sz="4" w:space="0" w:color="auto"/>
              <w:left w:val="nil"/>
              <w:bottom w:val="single" w:sz="4" w:space="0" w:color="auto"/>
              <w:right w:val="single" w:sz="4" w:space="0" w:color="auto"/>
            </w:tcBorders>
            <w:shd w:val="clear" w:color="auto" w:fill="C6EFCE"/>
            <w:noWrap/>
          </w:tcPr>
          <w:p w14:paraId="42AE7672"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3A02C11E"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16B75D3D"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1380AFA0"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4ADE4505"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4C0ABDFD" w14:textId="4729581C" w:rsidR="00A437C8" w:rsidRPr="00A025C9" w:rsidRDefault="00A437C8">
            <w:pPr>
              <w:spacing w:before="120" w:after="0" w:line="240" w:lineRule="auto"/>
              <w:jc w:val="both"/>
              <w:textAlignment w:val="baseline"/>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Accessibility of 11 online public services with the electronic identity card. These online public services shall include the necessary</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IT &amp; C infrastructure for</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service continuity</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availability and data recovery. An</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early warning system regarding security risks, including cyber risks shall be</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functional.</w:t>
            </w:r>
          </w:p>
          <w:p w14:paraId="53275F56"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An awareness campaign encouraging the use of electronic identity cards shall be organised.</w:t>
            </w:r>
          </w:p>
        </w:tc>
      </w:tr>
      <w:tr w:rsidR="00A437C8" w:rsidRPr="00A025C9" w14:paraId="17220B9D"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316A533"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175</w:t>
            </w:r>
          </w:p>
        </w:tc>
        <w:tc>
          <w:tcPr>
            <w:tcW w:w="2101" w:type="dxa"/>
            <w:tcBorders>
              <w:top w:val="single" w:sz="4" w:space="0" w:color="auto"/>
              <w:left w:val="nil"/>
              <w:bottom w:val="single" w:sz="4" w:space="0" w:color="auto"/>
              <w:right w:val="single" w:sz="4" w:space="0" w:color="auto"/>
            </w:tcBorders>
            <w:shd w:val="clear" w:color="auto" w:fill="C6EFCE"/>
            <w:noWrap/>
          </w:tcPr>
          <w:p w14:paraId="16CC470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9. Digitisation of the non-governmental organisations sector </w:t>
            </w:r>
          </w:p>
        </w:tc>
        <w:tc>
          <w:tcPr>
            <w:tcW w:w="1226" w:type="dxa"/>
            <w:tcBorders>
              <w:top w:val="single" w:sz="4" w:space="0" w:color="auto"/>
              <w:left w:val="nil"/>
              <w:bottom w:val="single" w:sz="4" w:space="0" w:color="auto"/>
              <w:right w:val="single" w:sz="4" w:space="0" w:color="auto"/>
            </w:tcBorders>
            <w:shd w:val="clear" w:color="auto" w:fill="C6EFCE"/>
            <w:noWrap/>
          </w:tcPr>
          <w:p w14:paraId="35CEC067"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90" w:type="dxa"/>
            <w:tcBorders>
              <w:top w:val="single" w:sz="4" w:space="0" w:color="auto"/>
              <w:left w:val="nil"/>
              <w:bottom w:val="single" w:sz="4" w:space="0" w:color="auto"/>
              <w:right w:val="single" w:sz="4" w:space="0" w:color="auto"/>
            </w:tcBorders>
            <w:shd w:val="clear" w:color="auto" w:fill="C6EFCE"/>
            <w:noWrap/>
          </w:tcPr>
          <w:p w14:paraId="57B7F18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Award of financing agreements to NGOs for digitalisation projects</w:t>
            </w:r>
          </w:p>
        </w:tc>
        <w:tc>
          <w:tcPr>
            <w:tcW w:w="1734" w:type="dxa"/>
            <w:tcBorders>
              <w:top w:val="single" w:sz="4" w:space="0" w:color="auto"/>
              <w:left w:val="nil"/>
              <w:bottom w:val="single" w:sz="4" w:space="0" w:color="auto"/>
              <w:right w:val="single" w:sz="4" w:space="0" w:color="auto"/>
            </w:tcBorders>
            <w:shd w:val="clear" w:color="auto" w:fill="C6EFCE"/>
            <w:noWrap/>
          </w:tcPr>
          <w:p w14:paraId="46B8C3A5"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970" w:type="dxa"/>
            <w:tcBorders>
              <w:top w:val="single" w:sz="4" w:space="0" w:color="auto"/>
              <w:left w:val="nil"/>
              <w:bottom w:val="single" w:sz="4" w:space="0" w:color="auto"/>
              <w:right w:val="single" w:sz="4" w:space="0" w:color="auto"/>
            </w:tcBorders>
            <w:shd w:val="clear" w:color="auto" w:fill="C6EFCE"/>
            <w:noWrap/>
          </w:tcPr>
          <w:p w14:paraId="39366C5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Number</w:t>
            </w:r>
          </w:p>
        </w:tc>
        <w:tc>
          <w:tcPr>
            <w:tcW w:w="1225" w:type="dxa"/>
            <w:tcBorders>
              <w:top w:val="single" w:sz="4" w:space="0" w:color="auto"/>
              <w:left w:val="nil"/>
              <w:bottom w:val="single" w:sz="4" w:space="0" w:color="auto"/>
              <w:right w:val="single" w:sz="4" w:space="0" w:color="auto"/>
            </w:tcBorders>
            <w:shd w:val="clear" w:color="auto" w:fill="C6EFCE"/>
            <w:noWrap/>
          </w:tcPr>
          <w:p w14:paraId="77E7A99C"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eastAsia="Times New Roman" w:hAnsi="Times New Roman" w:cs="Times New Roman"/>
                <w:noProof/>
                <w:sz w:val="20"/>
                <w:szCs w:val="20"/>
                <w:lang w:val="en-GB"/>
              </w:rPr>
              <w:t>0</w:t>
            </w:r>
          </w:p>
        </w:tc>
        <w:tc>
          <w:tcPr>
            <w:tcW w:w="725" w:type="dxa"/>
            <w:tcBorders>
              <w:top w:val="single" w:sz="4" w:space="0" w:color="auto"/>
              <w:left w:val="nil"/>
              <w:bottom w:val="single" w:sz="4" w:space="0" w:color="auto"/>
              <w:right w:val="single" w:sz="4" w:space="0" w:color="auto"/>
            </w:tcBorders>
            <w:shd w:val="clear" w:color="auto" w:fill="C6EFCE"/>
            <w:noWrap/>
          </w:tcPr>
          <w:p w14:paraId="0D62BB9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200</w:t>
            </w:r>
          </w:p>
        </w:tc>
        <w:tc>
          <w:tcPr>
            <w:tcW w:w="908" w:type="dxa"/>
            <w:tcBorders>
              <w:top w:val="single" w:sz="4" w:space="0" w:color="auto"/>
              <w:left w:val="nil"/>
              <w:bottom w:val="single" w:sz="4" w:space="0" w:color="auto"/>
              <w:right w:val="single" w:sz="4" w:space="0" w:color="auto"/>
            </w:tcBorders>
            <w:shd w:val="clear" w:color="auto" w:fill="C6EFCE"/>
            <w:noWrap/>
          </w:tcPr>
          <w:p w14:paraId="1FC425E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705" w:type="dxa"/>
            <w:tcBorders>
              <w:top w:val="single" w:sz="4" w:space="0" w:color="auto"/>
              <w:left w:val="nil"/>
              <w:bottom w:val="single" w:sz="4" w:space="0" w:color="auto"/>
              <w:right w:val="single" w:sz="4" w:space="0" w:color="auto"/>
            </w:tcBorders>
            <w:shd w:val="clear" w:color="auto" w:fill="C6EFCE"/>
            <w:noWrap/>
          </w:tcPr>
          <w:p w14:paraId="42EF5E78"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2025</w:t>
            </w:r>
          </w:p>
        </w:tc>
        <w:tc>
          <w:tcPr>
            <w:tcW w:w="3024" w:type="dxa"/>
            <w:tcBorders>
              <w:top w:val="single" w:sz="4" w:space="0" w:color="auto"/>
              <w:left w:val="nil"/>
              <w:bottom w:val="single" w:sz="4" w:space="0" w:color="auto"/>
              <w:right w:val="single" w:sz="4" w:space="0" w:color="auto"/>
            </w:tcBorders>
            <w:shd w:val="clear" w:color="auto" w:fill="C6EFCE"/>
            <w:noWrap/>
          </w:tcPr>
          <w:p w14:paraId="740800FA"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Signature of 200 financing agreements with NGOs for digitalisation projects. </w:t>
            </w:r>
          </w:p>
          <w:p w14:paraId="721A596C"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The selected projects shall support among others: </w:t>
            </w:r>
          </w:p>
          <w:p w14:paraId="77E585EF" w14:textId="77777777" w:rsidR="00A437C8" w:rsidRPr="00A025C9" w:rsidRDefault="00A437C8" w:rsidP="003221A9">
            <w:pPr>
              <w:numPr>
                <w:ilvl w:val="0"/>
                <w:numId w:val="43"/>
              </w:numPr>
              <w:spacing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digital infrastructure</w:t>
            </w:r>
          </w:p>
          <w:p w14:paraId="3B500BD9" w14:textId="77777777" w:rsidR="00A437C8" w:rsidRPr="00A025C9" w:rsidRDefault="00A437C8" w:rsidP="003221A9">
            <w:pPr>
              <w:numPr>
                <w:ilvl w:val="0"/>
                <w:numId w:val="43"/>
              </w:numPr>
              <w:spacing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increasing the digital competence of staff and volunteers in delivering remote services to beneficiaries,</w:t>
            </w:r>
          </w:p>
          <w:p w14:paraId="08E35E93" w14:textId="77777777" w:rsidR="00A437C8" w:rsidRPr="00A025C9" w:rsidRDefault="00A437C8" w:rsidP="003221A9">
            <w:pPr>
              <w:numPr>
                <w:ilvl w:val="0"/>
                <w:numId w:val="43"/>
              </w:numPr>
              <w:spacing w:after="0" w:line="240" w:lineRule="auto"/>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developing platforms and CRM (Customer Relationship Management)​ solutions. </w:t>
            </w:r>
          </w:p>
          <w:p w14:paraId="15AFDF9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The support shall be up to EUR 70 000 per project for a period of maximum 30 months.</w:t>
            </w:r>
          </w:p>
        </w:tc>
      </w:tr>
      <w:tr w:rsidR="00A437C8" w:rsidRPr="00A025C9" w14:paraId="6BA8B977" w14:textId="77777777" w:rsidTr="00A025C9">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0243265" w14:textId="77777777" w:rsidR="00A437C8" w:rsidRPr="00A025C9" w:rsidRDefault="00A437C8">
            <w:pPr>
              <w:spacing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177</w:t>
            </w:r>
          </w:p>
        </w:tc>
        <w:tc>
          <w:tcPr>
            <w:tcW w:w="2101" w:type="dxa"/>
            <w:tcBorders>
              <w:top w:val="single" w:sz="4" w:space="0" w:color="auto"/>
              <w:left w:val="nil"/>
              <w:bottom w:val="single" w:sz="4" w:space="0" w:color="auto"/>
              <w:right w:val="single" w:sz="4" w:space="0" w:color="auto"/>
            </w:tcBorders>
            <w:shd w:val="clear" w:color="auto" w:fill="C6EFCE"/>
            <w:noWrap/>
          </w:tcPr>
          <w:p w14:paraId="57AE148C"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Investment 10.</w:t>
            </w:r>
          </w:p>
          <w:p w14:paraId="4C57201E"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Digital transformation in civil service management</w:t>
            </w:r>
          </w:p>
        </w:tc>
        <w:tc>
          <w:tcPr>
            <w:tcW w:w="1226" w:type="dxa"/>
            <w:tcBorders>
              <w:top w:val="single" w:sz="4" w:space="0" w:color="auto"/>
              <w:left w:val="nil"/>
              <w:bottom w:val="single" w:sz="4" w:space="0" w:color="auto"/>
              <w:right w:val="single" w:sz="4" w:space="0" w:color="auto"/>
            </w:tcBorders>
            <w:shd w:val="clear" w:color="auto" w:fill="C6EFCE"/>
            <w:noWrap/>
          </w:tcPr>
          <w:p w14:paraId="4577EFE5"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253B0B98"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Interoperable platforms for standardised human resources management in central public administration are functional</w:t>
            </w:r>
          </w:p>
        </w:tc>
        <w:tc>
          <w:tcPr>
            <w:tcW w:w="1734" w:type="dxa"/>
            <w:tcBorders>
              <w:top w:val="single" w:sz="4" w:space="0" w:color="auto"/>
              <w:left w:val="nil"/>
              <w:bottom w:val="single" w:sz="4" w:space="0" w:color="auto"/>
              <w:right w:val="single" w:sz="4" w:space="0" w:color="auto"/>
            </w:tcBorders>
            <w:shd w:val="clear" w:color="auto" w:fill="C6EFCE"/>
            <w:noWrap/>
          </w:tcPr>
          <w:p w14:paraId="6538932B"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Functional platforms</w:t>
            </w:r>
          </w:p>
        </w:tc>
        <w:tc>
          <w:tcPr>
            <w:tcW w:w="970" w:type="dxa"/>
            <w:tcBorders>
              <w:top w:val="single" w:sz="4" w:space="0" w:color="auto"/>
              <w:left w:val="nil"/>
              <w:bottom w:val="single" w:sz="4" w:space="0" w:color="auto"/>
              <w:right w:val="single" w:sz="4" w:space="0" w:color="auto"/>
            </w:tcBorders>
            <w:shd w:val="clear" w:color="auto" w:fill="C6EFCE"/>
            <w:noWrap/>
          </w:tcPr>
          <w:p w14:paraId="4672C75D"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3C572675"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766B3104"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0944507B"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705" w:type="dxa"/>
            <w:tcBorders>
              <w:top w:val="single" w:sz="4" w:space="0" w:color="auto"/>
              <w:left w:val="nil"/>
              <w:bottom w:val="single" w:sz="4" w:space="0" w:color="auto"/>
              <w:right w:val="single" w:sz="4" w:space="0" w:color="auto"/>
            </w:tcBorders>
            <w:shd w:val="clear" w:color="auto" w:fill="C6EFCE"/>
            <w:noWrap/>
          </w:tcPr>
          <w:p w14:paraId="1CD03310"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2025</w:t>
            </w:r>
          </w:p>
        </w:tc>
        <w:tc>
          <w:tcPr>
            <w:tcW w:w="3024" w:type="dxa"/>
            <w:tcBorders>
              <w:top w:val="single" w:sz="4" w:space="0" w:color="auto"/>
              <w:left w:val="nil"/>
              <w:bottom w:val="single" w:sz="4" w:space="0" w:color="auto"/>
              <w:right w:val="single" w:sz="4" w:space="0" w:color="auto"/>
            </w:tcBorders>
            <w:shd w:val="clear" w:color="auto" w:fill="C6EFCE"/>
            <w:noWrap/>
          </w:tcPr>
          <w:p w14:paraId="7A439F03"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Two interoperable platforms shall be functional: </w:t>
            </w:r>
          </w:p>
          <w:p w14:paraId="0F382AC2" w14:textId="77777777" w:rsidR="00A437C8" w:rsidRPr="00A025C9" w:rsidRDefault="00A437C8" w:rsidP="00A437C8">
            <w:pPr>
              <w:numPr>
                <w:ilvl w:val="0"/>
                <w:numId w:val="2"/>
              </w:numPr>
              <w:spacing w:before="120" w:after="120" w:line="240" w:lineRule="auto"/>
              <w:ind w:left="360"/>
              <w:jc w:val="both"/>
              <w:rPr>
                <w:rFonts w:ascii="Times New Roman" w:hAnsi="Times New Roman" w:cs="Times New Roman"/>
                <w:noProof/>
                <w:sz w:val="20"/>
                <w:szCs w:val="20"/>
                <w:bdr w:val="none" w:sz="0" w:space="0" w:color="auto" w:frame="1"/>
                <w:lang w:val="en-GB"/>
              </w:rPr>
            </w:pPr>
            <w:r w:rsidRPr="00A025C9">
              <w:rPr>
                <w:rFonts w:ascii="Times New Roman" w:hAnsi="Times New Roman" w:cs="Times New Roman"/>
                <w:noProof/>
                <w:sz w:val="20"/>
                <w:szCs w:val="20"/>
                <w:lang w:val="en-GB"/>
              </w:rPr>
              <w:t>e-ANFP – development and extension of the civil service management platform (central, territorial, local level) for career processes (recruitment, assessment, promotion, exit from the public system, based on a standardised competency framework and job descriptions) and interconnection with collaborating institutions.</w:t>
            </w:r>
          </w:p>
          <w:p w14:paraId="78CD00E8" w14:textId="77777777" w:rsidR="00A437C8" w:rsidRPr="00A025C9" w:rsidRDefault="00A437C8" w:rsidP="00A437C8">
            <w:pPr>
              <w:numPr>
                <w:ilvl w:val="0"/>
                <w:numId w:val="2"/>
              </w:numPr>
              <w:spacing w:before="120" w:after="120" w:line="240" w:lineRule="auto"/>
              <w:ind w:left="36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SIMRU (Integrated Human Resources Management System) – development of the internal management platform for public authorities for human resources processes (personnel data management, organisational management, time management, objective setting, and reporting).</w:t>
            </w:r>
          </w:p>
        </w:tc>
      </w:tr>
      <w:tr w:rsidR="00A437C8" w:rsidRPr="00A025C9" w14:paraId="717BCF8E"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2E00DBB" w14:textId="77777777" w:rsidR="00A437C8" w:rsidRPr="00A025C9" w:rsidRDefault="00A437C8">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178</w:t>
            </w:r>
          </w:p>
        </w:tc>
        <w:tc>
          <w:tcPr>
            <w:tcW w:w="2101" w:type="dxa"/>
            <w:tcBorders>
              <w:top w:val="single" w:sz="4" w:space="0" w:color="auto"/>
              <w:left w:val="nil"/>
              <w:bottom w:val="single" w:sz="4" w:space="0" w:color="auto"/>
              <w:right w:val="single" w:sz="4" w:space="0" w:color="auto"/>
            </w:tcBorders>
            <w:shd w:val="clear" w:color="auto" w:fill="C6EFCE"/>
            <w:noWrap/>
          </w:tcPr>
          <w:p w14:paraId="287B9062" w14:textId="77777777" w:rsidR="00A437C8" w:rsidRPr="00A025C9" w:rsidRDefault="00A437C8">
            <w:pPr>
              <w:spacing w:after="0" w:line="240" w:lineRule="auto"/>
              <w:jc w:val="both"/>
              <w:rPr>
                <w:rFonts w:ascii="Times New Roman" w:hAnsi="Times New Roman" w:cs="Times New Roman"/>
                <w:noProof/>
                <w:sz w:val="20"/>
                <w:szCs w:val="20"/>
              </w:rPr>
            </w:pPr>
            <w:r w:rsidRPr="00A025C9">
              <w:rPr>
                <w:rFonts w:ascii="Times New Roman" w:hAnsi="Times New Roman" w:cs="Times New Roman"/>
                <w:noProof/>
                <w:sz w:val="20"/>
                <w:szCs w:val="20"/>
                <w:lang w:val="en-GB"/>
              </w:rPr>
              <w:t>Investment 11.</w:t>
            </w:r>
            <w:r w:rsidRPr="00A025C9">
              <w:rPr>
                <w:rFonts w:ascii="Times New Roman" w:hAnsi="Times New Roman" w:cs="Times New Roman"/>
                <w:noProof/>
                <w:sz w:val="20"/>
                <w:szCs w:val="20"/>
              </w:rPr>
              <w:t> </w:t>
            </w:r>
          </w:p>
          <w:p w14:paraId="275EC416" w14:textId="066ECD84" w:rsidR="00A437C8" w:rsidRPr="00A025C9" w:rsidRDefault="00A437C8">
            <w:pPr>
              <w:spacing w:after="0" w:line="240" w:lineRule="auto"/>
              <w:jc w:val="both"/>
              <w:rPr>
                <w:rFonts w:ascii="Times New Roman" w:hAnsi="Times New Roman" w:cs="Times New Roman"/>
                <w:noProof/>
                <w:sz w:val="20"/>
                <w:szCs w:val="20"/>
              </w:rPr>
            </w:pPr>
            <w:r w:rsidRPr="00A025C9">
              <w:rPr>
                <w:rFonts w:ascii="Times New Roman" w:hAnsi="Times New Roman" w:cs="Times New Roman"/>
                <w:noProof/>
                <w:sz w:val="20"/>
                <w:szCs w:val="20"/>
                <w:lang w:val="en-GB"/>
              </w:rPr>
              <w:t>Support to the use of communication services in white areas</w:t>
            </w:r>
            <w:r w:rsidR="00D23D91" w:rsidRPr="00A025C9">
              <w:rPr>
                <w:rFonts w:ascii="Times New Roman" w:hAnsi="Times New Roman" w:cs="Times New Roman"/>
                <w:noProof/>
                <w:sz w:val="20"/>
                <w:szCs w:val="20"/>
                <w:lang w:val="en-GB"/>
              </w:rPr>
              <w:t xml:space="preserve"> </w:t>
            </w:r>
          </w:p>
          <w:p w14:paraId="79955A94" w14:textId="77777777" w:rsidR="00A437C8" w:rsidRPr="00A025C9" w:rsidRDefault="00A437C8">
            <w:pPr>
              <w:spacing w:after="0" w:line="240" w:lineRule="auto"/>
              <w:jc w:val="both"/>
              <w:rPr>
                <w:rFonts w:ascii="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71C0D0C1"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0D157906" w14:textId="77777777" w:rsidR="00A437C8" w:rsidRPr="00A025C9" w:rsidDel="001872D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Villages in white areas connected to very high speed internet</w:t>
            </w:r>
          </w:p>
        </w:tc>
        <w:tc>
          <w:tcPr>
            <w:tcW w:w="1734" w:type="dxa"/>
            <w:tcBorders>
              <w:top w:val="single" w:sz="4" w:space="0" w:color="auto"/>
              <w:left w:val="nil"/>
              <w:bottom w:val="single" w:sz="4" w:space="0" w:color="auto"/>
              <w:right w:val="single" w:sz="4" w:space="0" w:color="auto"/>
            </w:tcBorders>
            <w:shd w:val="clear" w:color="auto" w:fill="C6EFCE"/>
            <w:noWrap/>
          </w:tcPr>
          <w:p w14:paraId="0BD086DE"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Technical report demonstrating connection</w:t>
            </w:r>
          </w:p>
        </w:tc>
        <w:tc>
          <w:tcPr>
            <w:tcW w:w="970" w:type="dxa"/>
            <w:tcBorders>
              <w:top w:val="single" w:sz="4" w:space="0" w:color="auto"/>
              <w:left w:val="nil"/>
              <w:bottom w:val="single" w:sz="4" w:space="0" w:color="auto"/>
              <w:right w:val="single" w:sz="4" w:space="0" w:color="auto"/>
            </w:tcBorders>
            <w:shd w:val="clear" w:color="auto" w:fill="C6EFCE"/>
            <w:noWrap/>
          </w:tcPr>
          <w:p w14:paraId="59D2A227"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00A39228"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1E2AAFCC"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66A6DF7A"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705" w:type="dxa"/>
            <w:tcBorders>
              <w:top w:val="single" w:sz="4" w:space="0" w:color="auto"/>
              <w:left w:val="nil"/>
              <w:bottom w:val="single" w:sz="4" w:space="0" w:color="auto"/>
              <w:right w:val="single" w:sz="4" w:space="0" w:color="auto"/>
            </w:tcBorders>
            <w:shd w:val="clear" w:color="auto" w:fill="C6EFCE"/>
            <w:noWrap/>
          </w:tcPr>
          <w:p w14:paraId="2AD843C5"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2025</w:t>
            </w:r>
          </w:p>
        </w:tc>
        <w:tc>
          <w:tcPr>
            <w:tcW w:w="3024" w:type="dxa"/>
            <w:tcBorders>
              <w:top w:val="single" w:sz="4" w:space="0" w:color="auto"/>
              <w:left w:val="nil"/>
              <w:bottom w:val="single" w:sz="4" w:space="0" w:color="auto"/>
              <w:right w:val="single" w:sz="4" w:space="0" w:color="auto"/>
            </w:tcBorders>
            <w:shd w:val="clear" w:color="auto" w:fill="C6EFCE"/>
            <w:noWrap/>
          </w:tcPr>
          <w:p w14:paraId="45ACA2B3" w14:textId="77777777" w:rsidR="00A437C8" w:rsidRPr="00A025C9" w:rsidRDefault="00A437C8">
            <w:pPr>
              <w:spacing w:after="0" w:line="240" w:lineRule="auto"/>
              <w:jc w:val="both"/>
              <w:rPr>
                <w:rFonts w:ascii="Times New Roman" w:hAnsi="Times New Roman" w:cs="Times New Roman"/>
                <w:noProof/>
                <w:sz w:val="20"/>
                <w:szCs w:val="20"/>
              </w:rPr>
            </w:pPr>
            <w:r w:rsidRPr="00A025C9">
              <w:rPr>
                <w:rFonts w:ascii="Times New Roman" w:hAnsi="Times New Roman" w:cs="Times New Roman"/>
                <w:noProof/>
                <w:sz w:val="20"/>
                <w:szCs w:val="20"/>
                <w:lang w:val="en-GB"/>
              </w:rPr>
              <w:t>Provision of technical reports by an independent auditor demonstrating the established internet connections of 945 villages in white areas. Villages shall be connected to very high-speed internet access services at a fixed location where the market cannot deliver services, according to ANCOM data. The villages shall be prioritised as follows:</w:t>
            </w:r>
            <w:r w:rsidRPr="00A025C9">
              <w:rPr>
                <w:rFonts w:ascii="Times New Roman" w:hAnsi="Times New Roman" w:cs="Times New Roman"/>
                <w:noProof/>
                <w:sz w:val="20"/>
                <w:szCs w:val="20"/>
              </w:rPr>
              <w:t> </w:t>
            </w:r>
          </w:p>
          <w:p w14:paraId="0AEA8778"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rPr>
              <w:t xml:space="preserve">- </w:t>
            </w:r>
            <w:r w:rsidRPr="00A025C9">
              <w:rPr>
                <w:rFonts w:ascii="Times New Roman" w:hAnsi="Times New Roman" w:cs="Times New Roman"/>
                <w:noProof/>
                <w:sz w:val="20"/>
                <w:szCs w:val="20"/>
                <w:lang w:val="en-GB"/>
              </w:rPr>
              <w:t>top priority for the rural or remote municipalities not served with fixed networks, as in the ANCOM list.</w:t>
            </w:r>
          </w:p>
          <w:p w14:paraId="625BC349" w14:textId="1375E94D" w:rsidR="00A437C8" w:rsidRPr="00A025C9" w:rsidRDefault="00A437C8">
            <w:pPr>
              <w:spacing w:after="0" w:line="240" w:lineRule="auto"/>
              <w:jc w:val="both"/>
              <w:rPr>
                <w:rFonts w:ascii="Times New Roman" w:hAnsi="Times New Roman" w:cs="Times New Roman"/>
                <w:noProof/>
                <w:sz w:val="20"/>
                <w:szCs w:val="20"/>
              </w:rPr>
            </w:pPr>
            <w:r w:rsidRPr="00A025C9">
              <w:rPr>
                <w:rFonts w:ascii="Times New Roman" w:hAnsi="Times New Roman" w:cs="Times New Roman"/>
                <w:noProof/>
                <w:sz w:val="20"/>
                <w:szCs w:val="20"/>
                <w:lang w:val="en-GB"/>
              </w:rPr>
              <w:t>- second-order</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priority for rural and remote municipialities underserved with fixed networks.</w:t>
            </w:r>
            <w:r w:rsidRPr="00A025C9">
              <w:rPr>
                <w:rFonts w:ascii="Times New Roman" w:hAnsi="Times New Roman" w:cs="Times New Roman"/>
                <w:noProof/>
                <w:sz w:val="20"/>
                <w:szCs w:val="20"/>
              </w:rPr>
              <w:t> </w:t>
            </w:r>
          </w:p>
          <w:p w14:paraId="755FA64D" w14:textId="77777777" w:rsidR="00A437C8" w:rsidRPr="00A025C9" w:rsidRDefault="00A437C8">
            <w:pPr>
              <w:spacing w:after="0" w:line="240" w:lineRule="auto"/>
              <w:jc w:val="both"/>
              <w:rPr>
                <w:rFonts w:ascii="Times New Roman" w:hAnsi="Times New Roman" w:cs="Times New Roman"/>
                <w:noProof/>
                <w:sz w:val="20"/>
                <w:szCs w:val="20"/>
              </w:rPr>
            </w:pPr>
            <w:r w:rsidRPr="00A025C9">
              <w:rPr>
                <w:rFonts w:ascii="Times New Roman" w:hAnsi="Times New Roman" w:cs="Times New Roman"/>
                <w:noProof/>
                <w:sz w:val="20"/>
                <w:szCs w:val="20"/>
                <w:lang w:val="en-GB"/>
              </w:rPr>
              <w:t>The minimum speed shall be at least 100 Mbps upgradeable and the networks shall be FTTB/H and/or 5G.</w:t>
            </w:r>
            <w:r w:rsidRPr="00A025C9">
              <w:rPr>
                <w:rFonts w:ascii="Times New Roman" w:hAnsi="Times New Roman" w:cs="Times New Roman"/>
                <w:noProof/>
                <w:sz w:val="20"/>
                <w:szCs w:val="20"/>
              </w:rPr>
              <w:t> </w:t>
            </w:r>
          </w:p>
        </w:tc>
      </w:tr>
      <w:tr w:rsidR="00A437C8" w:rsidRPr="00A025C9" w14:paraId="67FFEABB"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5D676E5" w14:textId="77777777" w:rsidR="00A437C8" w:rsidRPr="00A025C9" w:rsidRDefault="00A437C8">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179</w:t>
            </w:r>
          </w:p>
        </w:tc>
        <w:tc>
          <w:tcPr>
            <w:tcW w:w="2101" w:type="dxa"/>
            <w:tcBorders>
              <w:top w:val="single" w:sz="4" w:space="0" w:color="auto"/>
              <w:left w:val="nil"/>
              <w:bottom w:val="single" w:sz="4" w:space="0" w:color="auto"/>
              <w:right w:val="single" w:sz="4" w:space="0" w:color="auto"/>
            </w:tcBorders>
            <w:shd w:val="clear" w:color="auto" w:fill="C6EFCE"/>
            <w:noWrap/>
          </w:tcPr>
          <w:p w14:paraId="7F9BEFDA" w14:textId="3B4A9CA5" w:rsidR="00A437C8" w:rsidRPr="00A025C9" w:rsidRDefault="00A437C8">
            <w:pPr>
              <w:spacing w:after="0" w:line="240" w:lineRule="auto"/>
              <w:jc w:val="both"/>
              <w:rPr>
                <w:rFonts w:ascii="Times New Roman" w:hAnsi="Times New Roman" w:cs="Times New Roman"/>
                <w:noProof/>
                <w:sz w:val="20"/>
                <w:szCs w:val="20"/>
              </w:rPr>
            </w:pPr>
            <w:r w:rsidRPr="00A025C9">
              <w:rPr>
                <w:rFonts w:ascii="Times New Roman" w:hAnsi="Times New Roman" w:cs="Times New Roman"/>
                <w:noProof/>
                <w:sz w:val="20"/>
                <w:szCs w:val="20"/>
                <w:lang w:val="en-GB"/>
              </w:rPr>
              <w:t>Investment 12.</w:t>
            </w:r>
            <w:r w:rsidR="00D23D91" w:rsidRPr="00A025C9">
              <w:rPr>
                <w:rFonts w:ascii="Times New Roman" w:hAnsi="Times New Roman" w:cs="Times New Roman"/>
                <w:noProof/>
                <w:sz w:val="20"/>
                <w:szCs w:val="20"/>
                <w:lang w:val="en-GB"/>
              </w:rPr>
              <w:t xml:space="preserve"> </w:t>
            </w:r>
          </w:p>
          <w:p w14:paraId="1C4D7509" w14:textId="77777777" w:rsidR="00A437C8" w:rsidRPr="00A025C9" w:rsidRDefault="00A437C8">
            <w:pPr>
              <w:spacing w:after="0" w:line="240" w:lineRule="auto"/>
              <w:jc w:val="both"/>
              <w:rPr>
                <w:rFonts w:ascii="Times New Roman" w:hAnsi="Times New Roman" w:cs="Times New Roman"/>
                <w:noProof/>
                <w:sz w:val="20"/>
                <w:szCs w:val="20"/>
              </w:rPr>
            </w:pPr>
            <w:r w:rsidRPr="00A025C9">
              <w:rPr>
                <w:rFonts w:ascii="Times New Roman" w:hAnsi="Times New Roman" w:cs="Times New Roman"/>
                <w:noProof/>
                <w:sz w:val="20"/>
                <w:szCs w:val="20"/>
                <w:lang w:val="en-GB"/>
              </w:rPr>
              <w:t>Ensuring cybersecurity protection for both public and private ITC infrastructures important for national security.</w:t>
            </w:r>
          </w:p>
          <w:p w14:paraId="628F910A" w14:textId="77777777" w:rsidR="00A437C8" w:rsidRPr="00A025C9" w:rsidRDefault="00A437C8">
            <w:pPr>
              <w:spacing w:after="0" w:line="240" w:lineRule="auto"/>
              <w:jc w:val="both"/>
              <w:rPr>
                <w:rFonts w:ascii="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38BC245E"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90" w:type="dxa"/>
            <w:tcBorders>
              <w:top w:val="single" w:sz="4" w:space="0" w:color="auto"/>
              <w:left w:val="nil"/>
              <w:bottom w:val="single" w:sz="4" w:space="0" w:color="auto"/>
              <w:right w:val="single" w:sz="4" w:space="0" w:color="auto"/>
            </w:tcBorders>
            <w:shd w:val="clear" w:color="auto" w:fill="C6EFCE"/>
            <w:noWrap/>
          </w:tcPr>
          <w:p w14:paraId="24CC0E08" w14:textId="77777777" w:rsidR="00A437C8" w:rsidRPr="00A025C9" w:rsidDel="001872D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Support to the infrastructure security of entities</w:t>
            </w:r>
          </w:p>
        </w:tc>
        <w:tc>
          <w:tcPr>
            <w:tcW w:w="1734" w:type="dxa"/>
            <w:tcBorders>
              <w:top w:val="single" w:sz="4" w:space="0" w:color="auto"/>
              <w:left w:val="nil"/>
              <w:bottom w:val="single" w:sz="4" w:space="0" w:color="auto"/>
              <w:right w:val="single" w:sz="4" w:space="0" w:color="auto"/>
            </w:tcBorders>
            <w:shd w:val="clear" w:color="auto" w:fill="C6EFCE"/>
            <w:noWrap/>
          </w:tcPr>
          <w:p w14:paraId="43430141"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970" w:type="dxa"/>
            <w:tcBorders>
              <w:top w:val="single" w:sz="4" w:space="0" w:color="auto"/>
              <w:left w:val="nil"/>
              <w:bottom w:val="single" w:sz="4" w:space="0" w:color="auto"/>
              <w:right w:val="single" w:sz="4" w:space="0" w:color="auto"/>
            </w:tcBorders>
            <w:shd w:val="clear" w:color="auto" w:fill="C6EFCE"/>
            <w:noWrap/>
          </w:tcPr>
          <w:p w14:paraId="7C93E4DD"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Number</w:t>
            </w:r>
          </w:p>
        </w:tc>
        <w:tc>
          <w:tcPr>
            <w:tcW w:w="1225" w:type="dxa"/>
            <w:tcBorders>
              <w:top w:val="single" w:sz="4" w:space="0" w:color="auto"/>
              <w:left w:val="nil"/>
              <w:bottom w:val="single" w:sz="4" w:space="0" w:color="auto"/>
              <w:right w:val="single" w:sz="4" w:space="0" w:color="auto"/>
            </w:tcBorders>
            <w:shd w:val="clear" w:color="auto" w:fill="C6EFCE"/>
            <w:noWrap/>
          </w:tcPr>
          <w:p w14:paraId="50BFF2B6"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0</w:t>
            </w:r>
          </w:p>
        </w:tc>
        <w:tc>
          <w:tcPr>
            <w:tcW w:w="725" w:type="dxa"/>
            <w:tcBorders>
              <w:top w:val="single" w:sz="4" w:space="0" w:color="auto"/>
              <w:left w:val="nil"/>
              <w:bottom w:val="single" w:sz="4" w:space="0" w:color="auto"/>
              <w:right w:val="single" w:sz="4" w:space="0" w:color="auto"/>
            </w:tcBorders>
            <w:shd w:val="clear" w:color="auto" w:fill="C6EFCE"/>
            <w:noWrap/>
          </w:tcPr>
          <w:p w14:paraId="6ECF16D7"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101</w:t>
            </w:r>
          </w:p>
        </w:tc>
        <w:tc>
          <w:tcPr>
            <w:tcW w:w="908" w:type="dxa"/>
            <w:tcBorders>
              <w:top w:val="single" w:sz="4" w:space="0" w:color="auto"/>
              <w:left w:val="nil"/>
              <w:bottom w:val="single" w:sz="4" w:space="0" w:color="auto"/>
              <w:right w:val="single" w:sz="4" w:space="0" w:color="auto"/>
            </w:tcBorders>
            <w:shd w:val="clear" w:color="auto" w:fill="C6EFCE"/>
            <w:noWrap/>
          </w:tcPr>
          <w:p w14:paraId="19AC376F"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7ED76494"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283A7801" w14:textId="77777777" w:rsidR="00A437C8" w:rsidRPr="00A025C9" w:rsidRDefault="00A437C8">
            <w:pPr>
              <w:spacing w:after="0" w:line="240" w:lineRule="auto"/>
              <w:contextualSpacing/>
              <w:jc w:val="both"/>
              <w:rPr>
                <w:rFonts w:ascii="Times New Roman" w:hAnsi="Times New Roman" w:cs="Times New Roman"/>
                <w:noProof/>
                <w:sz w:val="20"/>
                <w:szCs w:val="20"/>
                <w:highlight w:val="yellow"/>
              </w:rPr>
            </w:pPr>
            <w:r w:rsidRPr="00A025C9">
              <w:rPr>
                <w:rFonts w:ascii="Times New Roman" w:hAnsi="Times New Roman" w:cs="Times New Roman"/>
                <w:noProof/>
                <w:sz w:val="20"/>
                <w:szCs w:val="20"/>
              </w:rPr>
              <w:t xml:space="preserve">Upgrade the IT&amp;C security infrastructure of 101 public and private entities. </w:t>
            </w:r>
          </w:p>
          <w:p w14:paraId="661A8A1D" w14:textId="0F1F32F7" w:rsidR="00A437C8" w:rsidRPr="00A025C9" w:rsidRDefault="00A437C8">
            <w:pPr>
              <w:contextualSpacing/>
              <w:rPr>
                <w:rFonts w:ascii="Times New Roman" w:hAnsi="Times New Roman" w:cs="Times New Roman"/>
                <w:noProof/>
                <w:sz w:val="20"/>
                <w:szCs w:val="20"/>
              </w:rPr>
            </w:pPr>
            <w:r w:rsidRPr="00A025C9">
              <w:rPr>
                <w:rFonts w:ascii="Times New Roman" w:hAnsi="Times New Roman" w:cs="Times New Roman"/>
                <w:noProof/>
                <w:sz w:val="20"/>
                <w:szCs w:val="20"/>
              </w:rPr>
              <w:t>The following elements shall be available, among others, for the 101 entities:</w:t>
            </w:r>
            <w:r w:rsidR="00D23D91" w:rsidRPr="00A025C9">
              <w:rPr>
                <w:rFonts w:ascii="Times New Roman" w:hAnsi="Times New Roman" w:cs="Times New Roman"/>
                <w:noProof/>
                <w:sz w:val="20"/>
                <w:szCs w:val="20"/>
              </w:rPr>
              <w:t xml:space="preserve"> </w:t>
            </w:r>
          </w:p>
          <w:p w14:paraId="23316CE1" w14:textId="14238F81" w:rsidR="00A437C8" w:rsidRPr="00A025C9" w:rsidRDefault="00A437C8" w:rsidP="00A437C8">
            <w:pPr>
              <w:numPr>
                <w:ilvl w:val="0"/>
                <w:numId w:val="2"/>
              </w:numPr>
              <w:spacing w:line="259" w:lineRule="auto"/>
              <w:ind w:left="360"/>
              <w:contextualSpacing/>
              <w:rPr>
                <w:rFonts w:ascii="Times New Roman" w:hAnsi="Times New Roman" w:cs="Times New Roman"/>
                <w:noProof/>
                <w:sz w:val="20"/>
                <w:szCs w:val="20"/>
              </w:rPr>
            </w:pPr>
            <w:r w:rsidRPr="00A025C9">
              <w:rPr>
                <w:rFonts w:ascii="Times New Roman" w:hAnsi="Times New Roman" w:cs="Times New Roman"/>
                <w:noProof/>
                <w:sz w:val="20"/>
                <w:szCs w:val="20"/>
              </w:rPr>
              <w:t>an Advanced Vulnerability Detection System in Information Systems and Communication Equipment (software and hardware solutions);</w:t>
            </w:r>
            <w:r w:rsidR="00D23D91" w:rsidRPr="00A025C9">
              <w:rPr>
                <w:rFonts w:ascii="Times New Roman" w:hAnsi="Times New Roman" w:cs="Times New Roman"/>
                <w:noProof/>
                <w:sz w:val="20"/>
                <w:szCs w:val="20"/>
              </w:rPr>
              <w:t xml:space="preserve"> </w:t>
            </w:r>
          </w:p>
          <w:p w14:paraId="3A2AAE42" w14:textId="7A67D362" w:rsidR="00A437C8" w:rsidRPr="00A025C9" w:rsidRDefault="00A437C8" w:rsidP="00A437C8">
            <w:pPr>
              <w:numPr>
                <w:ilvl w:val="0"/>
                <w:numId w:val="2"/>
              </w:numPr>
              <w:spacing w:line="259" w:lineRule="auto"/>
              <w:ind w:left="360"/>
              <w:contextualSpacing/>
              <w:rPr>
                <w:rFonts w:ascii="Times New Roman" w:hAnsi="Times New Roman" w:cs="Times New Roman"/>
                <w:noProof/>
                <w:sz w:val="20"/>
                <w:szCs w:val="20"/>
              </w:rPr>
            </w:pPr>
            <w:r w:rsidRPr="00A025C9">
              <w:rPr>
                <w:rFonts w:ascii="Times New Roman" w:hAnsi="Times New Roman" w:cs="Times New Roman"/>
                <w:noProof/>
                <w:sz w:val="20"/>
                <w:szCs w:val="20"/>
              </w:rPr>
              <w:t>an integrated system to identify TTPs associated with cyber-attacks on network and information systems (software solutions and hardware);</w:t>
            </w:r>
            <w:r w:rsidR="00D23D91" w:rsidRPr="00A025C9">
              <w:rPr>
                <w:rFonts w:ascii="Times New Roman" w:hAnsi="Times New Roman" w:cs="Times New Roman"/>
                <w:noProof/>
                <w:sz w:val="20"/>
                <w:szCs w:val="20"/>
              </w:rPr>
              <w:t xml:space="preserve"> </w:t>
            </w:r>
          </w:p>
          <w:p w14:paraId="126BEE80" w14:textId="77777777" w:rsidR="00A437C8" w:rsidRPr="00A025C9" w:rsidRDefault="00A437C8" w:rsidP="00A437C8">
            <w:pPr>
              <w:numPr>
                <w:ilvl w:val="0"/>
                <w:numId w:val="2"/>
              </w:numPr>
              <w:spacing w:line="259" w:lineRule="auto"/>
              <w:ind w:left="360"/>
              <w:contextualSpacing/>
              <w:rPr>
                <w:rFonts w:ascii="Times New Roman" w:hAnsi="Times New Roman" w:cs="Times New Roman"/>
                <w:noProof/>
                <w:sz w:val="20"/>
                <w:szCs w:val="20"/>
              </w:rPr>
            </w:pPr>
            <w:r w:rsidRPr="00A025C9">
              <w:rPr>
                <w:rFonts w:ascii="Times New Roman" w:hAnsi="Times New Roman" w:cs="Times New Roman"/>
                <w:noProof/>
                <w:sz w:val="20"/>
                <w:szCs w:val="20"/>
              </w:rPr>
              <w:t>a Complex Security Platform for Automatic Analysis and Processing of Cyber Incidents (Software and Hardware Solutions). </w:t>
            </w:r>
          </w:p>
          <w:p w14:paraId="51A953C7" w14:textId="77777777" w:rsidR="00A437C8" w:rsidRPr="00A025C9" w:rsidRDefault="00A437C8">
            <w:pPr>
              <w:rPr>
                <w:rFonts w:ascii="Times New Roman" w:hAnsi="Times New Roman" w:cs="Times New Roman"/>
                <w:noProof/>
                <w:sz w:val="20"/>
                <w:szCs w:val="20"/>
              </w:rPr>
            </w:pPr>
            <w:r w:rsidRPr="00A025C9">
              <w:rPr>
                <w:rFonts w:ascii="Times New Roman" w:hAnsi="Times New Roman" w:cs="Times New Roman"/>
                <w:noProof/>
                <w:sz w:val="20"/>
                <w:szCs w:val="20"/>
              </w:rPr>
              <w:t>Furthermore, 9 entities out of the 101 which have OT infrastructures, shall benefit from cyber security solutions for industrial control (ICS). </w:t>
            </w:r>
          </w:p>
        </w:tc>
      </w:tr>
      <w:tr w:rsidR="00A437C8" w:rsidRPr="00A025C9" w14:paraId="7EA5ECFF"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FDD0849" w14:textId="77777777" w:rsidR="00A437C8" w:rsidRPr="00A025C9" w:rsidRDefault="00A437C8">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180</w:t>
            </w:r>
          </w:p>
        </w:tc>
        <w:tc>
          <w:tcPr>
            <w:tcW w:w="2101" w:type="dxa"/>
            <w:tcBorders>
              <w:top w:val="single" w:sz="4" w:space="0" w:color="auto"/>
              <w:left w:val="nil"/>
              <w:bottom w:val="single" w:sz="4" w:space="0" w:color="auto"/>
              <w:right w:val="single" w:sz="4" w:space="0" w:color="auto"/>
            </w:tcBorders>
            <w:shd w:val="clear" w:color="auto" w:fill="C6EFCE"/>
            <w:noWrap/>
          </w:tcPr>
          <w:p w14:paraId="3D93B82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Investment 12. Ensuring cybersecurity protection for both public and private ITC infrastructures important for national security.</w:t>
            </w:r>
          </w:p>
          <w:p w14:paraId="670B9B22"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434B5CB0"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3D2FB703" w14:textId="77777777" w:rsidR="00A437C8" w:rsidRPr="00A025C9" w:rsidDel="001872D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Cyberint national centres’ capacity increased</w:t>
            </w:r>
          </w:p>
        </w:tc>
        <w:tc>
          <w:tcPr>
            <w:tcW w:w="1734" w:type="dxa"/>
            <w:tcBorders>
              <w:top w:val="single" w:sz="4" w:space="0" w:color="auto"/>
              <w:left w:val="nil"/>
              <w:bottom w:val="single" w:sz="4" w:space="0" w:color="auto"/>
              <w:right w:val="single" w:sz="4" w:space="0" w:color="auto"/>
            </w:tcBorders>
            <w:shd w:val="clear" w:color="auto" w:fill="C6EFCE"/>
            <w:noWrap/>
          </w:tcPr>
          <w:p w14:paraId="6A8CB738"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Additional capacities</w:t>
            </w:r>
          </w:p>
        </w:tc>
        <w:tc>
          <w:tcPr>
            <w:tcW w:w="970" w:type="dxa"/>
            <w:tcBorders>
              <w:top w:val="single" w:sz="4" w:space="0" w:color="auto"/>
              <w:left w:val="nil"/>
              <w:bottom w:val="single" w:sz="4" w:space="0" w:color="auto"/>
              <w:right w:val="single" w:sz="4" w:space="0" w:color="auto"/>
            </w:tcBorders>
            <w:shd w:val="clear" w:color="auto" w:fill="C6EFCE"/>
            <w:noWrap/>
          </w:tcPr>
          <w:p w14:paraId="335DC3F9"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2F33FF20"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78CF3607"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4058AEB7"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25338C35"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45968C0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The Cyberint national centre structure shall integrate cybersecurity protection of ICT IT and OT infrastructures. Furthermore, the centre shall benefit from:</w:t>
            </w:r>
          </w:p>
          <w:p w14:paraId="3B876414" w14:textId="77777777" w:rsidR="00A437C8" w:rsidRPr="00A025C9" w:rsidRDefault="00A437C8" w:rsidP="003221A9">
            <w:pPr>
              <w:numPr>
                <w:ilvl w:val="0"/>
                <w:numId w:val="41"/>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Development of a technical infrastructure to identify, monitor, manage and respond to cybersecurity incidents aimed at protecting ICT infrastructures of critical value for national security that do not/no longer benefit from the protection offered by the National System for Protection of ICT Infrastructures of National Interest against threats from cyberspace, with a complementary role.</w:t>
            </w:r>
          </w:p>
          <w:p w14:paraId="54172430" w14:textId="77777777" w:rsidR="00A437C8" w:rsidRPr="00A025C9" w:rsidRDefault="00A437C8" w:rsidP="003221A9">
            <w:pPr>
              <w:numPr>
                <w:ilvl w:val="0"/>
                <w:numId w:val="41"/>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Establishment of a national cybersecurity risk assessment and management platform of new technologies;</w:t>
            </w:r>
          </w:p>
          <w:p w14:paraId="16D425E0" w14:textId="77777777" w:rsidR="00A437C8" w:rsidRPr="00A025C9" w:rsidRDefault="00A437C8" w:rsidP="003221A9">
            <w:pPr>
              <w:numPr>
                <w:ilvl w:val="0"/>
                <w:numId w:val="41"/>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a platform for security and channelling of data for transfer between networks of different confidence levels;</w:t>
            </w:r>
          </w:p>
          <w:p w14:paraId="63BDAD15" w14:textId="77777777" w:rsidR="00A437C8" w:rsidRPr="00A025C9" w:rsidRDefault="00A437C8" w:rsidP="003221A9">
            <w:pPr>
              <w:numPr>
                <w:ilvl w:val="0"/>
                <w:numId w:val="41"/>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Increase the investigative capacity of the National Cyberint Center by equipping it with software and hardware solutions.</w:t>
            </w:r>
          </w:p>
        </w:tc>
      </w:tr>
      <w:tr w:rsidR="00A437C8" w:rsidRPr="00A025C9" w14:paraId="70F0C70D"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E81E1D5" w14:textId="77777777" w:rsidR="00A437C8" w:rsidRPr="00A025C9" w:rsidRDefault="00A437C8">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181</w:t>
            </w:r>
          </w:p>
        </w:tc>
        <w:tc>
          <w:tcPr>
            <w:tcW w:w="2101" w:type="dxa"/>
            <w:tcBorders>
              <w:top w:val="single" w:sz="4" w:space="0" w:color="auto"/>
              <w:left w:val="nil"/>
              <w:bottom w:val="single" w:sz="4" w:space="0" w:color="auto"/>
              <w:right w:val="single" w:sz="4" w:space="0" w:color="auto"/>
            </w:tcBorders>
            <w:shd w:val="clear" w:color="auto" w:fill="C6EFCE"/>
            <w:noWrap/>
          </w:tcPr>
          <w:p w14:paraId="17C17123"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Investment 13.</w:t>
            </w:r>
          </w:p>
          <w:p w14:paraId="731E0D80"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Development of security systems for the protection of government spectrum </w:t>
            </w:r>
          </w:p>
        </w:tc>
        <w:tc>
          <w:tcPr>
            <w:tcW w:w="1226" w:type="dxa"/>
            <w:tcBorders>
              <w:top w:val="single" w:sz="4" w:space="0" w:color="auto"/>
              <w:left w:val="nil"/>
              <w:bottom w:val="single" w:sz="4" w:space="0" w:color="auto"/>
              <w:right w:val="single" w:sz="4" w:space="0" w:color="auto"/>
            </w:tcBorders>
            <w:shd w:val="clear" w:color="auto" w:fill="C6EFCE"/>
            <w:noWrap/>
          </w:tcPr>
          <w:p w14:paraId="62F8D3C5"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7EE11889" w14:textId="77777777" w:rsidR="00A437C8" w:rsidRPr="00A025C9" w:rsidDel="001872D9" w:rsidRDefault="00A437C8">
            <w:pPr>
              <w:spacing w:after="0" w:line="240" w:lineRule="auto"/>
              <w:jc w:val="both"/>
              <w:rPr>
                <w:rFonts w:ascii="Times New Roman" w:hAnsi="Times New Roman" w:cs="Times New Roman"/>
                <w:noProof/>
                <w:sz w:val="20"/>
                <w:szCs w:val="20"/>
                <w:lang w:val="en-GB"/>
              </w:rPr>
            </w:pPr>
            <w:r w:rsidRPr="00A025C9">
              <w:rPr>
                <w:rFonts w:ascii="Times New Roman" w:eastAsia="Times New Roman" w:hAnsi="Times New Roman" w:cs="Times New Roman"/>
                <w:noProof/>
                <w:sz w:val="20"/>
                <w:szCs w:val="20"/>
                <w:lang w:val="en-GB"/>
              </w:rPr>
              <w:t>Installation of reception sites at national level</w:t>
            </w:r>
          </w:p>
        </w:tc>
        <w:tc>
          <w:tcPr>
            <w:tcW w:w="1734" w:type="dxa"/>
            <w:tcBorders>
              <w:top w:val="single" w:sz="4" w:space="0" w:color="auto"/>
              <w:left w:val="nil"/>
              <w:bottom w:val="single" w:sz="4" w:space="0" w:color="auto"/>
              <w:right w:val="single" w:sz="4" w:space="0" w:color="auto"/>
            </w:tcBorders>
            <w:shd w:val="clear" w:color="auto" w:fill="C6EFCE"/>
            <w:noWrap/>
          </w:tcPr>
          <w:p w14:paraId="1C773629"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Installation of network of sensors</w:t>
            </w:r>
          </w:p>
        </w:tc>
        <w:tc>
          <w:tcPr>
            <w:tcW w:w="970" w:type="dxa"/>
            <w:tcBorders>
              <w:top w:val="single" w:sz="4" w:space="0" w:color="auto"/>
              <w:left w:val="nil"/>
              <w:bottom w:val="single" w:sz="4" w:space="0" w:color="auto"/>
              <w:right w:val="single" w:sz="4" w:space="0" w:color="auto"/>
            </w:tcBorders>
            <w:shd w:val="clear" w:color="auto" w:fill="C6EFCE"/>
            <w:noWrap/>
          </w:tcPr>
          <w:p w14:paraId="24657613"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636F6CB3"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44A9F8E7"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w:t>
            </w:r>
          </w:p>
        </w:tc>
        <w:tc>
          <w:tcPr>
            <w:tcW w:w="908" w:type="dxa"/>
            <w:tcBorders>
              <w:top w:val="single" w:sz="4" w:space="0" w:color="auto"/>
              <w:left w:val="nil"/>
              <w:bottom w:val="single" w:sz="4" w:space="0" w:color="auto"/>
              <w:right w:val="single" w:sz="4" w:space="0" w:color="auto"/>
            </w:tcBorders>
            <w:shd w:val="clear" w:color="auto" w:fill="C6EFCE"/>
            <w:noWrap/>
          </w:tcPr>
          <w:p w14:paraId="47BE82A5"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Q1</w:t>
            </w:r>
          </w:p>
        </w:tc>
        <w:tc>
          <w:tcPr>
            <w:tcW w:w="705" w:type="dxa"/>
            <w:tcBorders>
              <w:top w:val="single" w:sz="4" w:space="0" w:color="auto"/>
              <w:left w:val="nil"/>
              <w:bottom w:val="single" w:sz="4" w:space="0" w:color="auto"/>
              <w:right w:val="single" w:sz="4" w:space="0" w:color="auto"/>
            </w:tcBorders>
            <w:shd w:val="clear" w:color="auto" w:fill="C6EFCE"/>
            <w:noWrap/>
          </w:tcPr>
          <w:p w14:paraId="72A6CDC7"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04314355"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Acceptance certificates of installation by the Special Telecommunications Service (STS) of a new network of 65 sensors distributed at the national level, placed on reception sites to detect and alert automatically in case of disturbances in the radio governmental spectrum.</w:t>
            </w:r>
          </w:p>
        </w:tc>
      </w:tr>
      <w:tr w:rsidR="00A437C8" w:rsidRPr="00A025C9" w14:paraId="4951F000"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011403F" w14:textId="77777777" w:rsidR="00A437C8" w:rsidRPr="00A025C9" w:rsidRDefault="00A437C8">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182</w:t>
            </w:r>
          </w:p>
        </w:tc>
        <w:tc>
          <w:tcPr>
            <w:tcW w:w="2101" w:type="dxa"/>
            <w:tcBorders>
              <w:top w:val="single" w:sz="4" w:space="0" w:color="auto"/>
              <w:left w:val="nil"/>
              <w:bottom w:val="single" w:sz="4" w:space="0" w:color="auto"/>
              <w:right w:val="single" w:sz="4" w:space="0" w:color="auto"/>
            </w:tcBorders>
            <w:shd w:val="clear" w:color="auto" w:fill="C6EFCE"/>
            <w:noWrap/>
          </w:tcPr>
          <w:p w14:paraId="10DA9AEA"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14. </w:t>
            </w:r>
          </w:p>
          <w:p w14:paraId="2D75B74F"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Increase of the resilience and cybersecurity of Internet Service Provider infrastructure services provided to public authorities in Romania</w:t>
            </w:r>
          </w:p>
        </w:tc>
        <w:tc>
          <w:tcPr>
            <w:tcW w:w="1226" w:type="dxa"/>
            <w:tcBorders>
              <w:top w:val="single" w:sz="4" w:space="0" w:color="auto"/>
              <w:left w:val="nil"/>
              <w:bottom w:val="single" w:sz="4" w:space="0" w:color="auto"/>
              <w:right w:val="single" w:sz="4" w:space="0" w:color="auto"/>
            </w:tcBorders>
            <w:shd w:val="clear" w:color="auto" w:fill="C6EFCE"/>
            <w:noWrap/>
          </w:tcPr>
          <w:p w14:paraId="1806234D"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90" w:type="dxa"/>
            <w:tcBorders>
              <w:top w:val="single" w:sz="4" w:space="0" w:color="auto"/>
              <w:left w:val="nil"/>
              <w:bottom w:val="single" w:sz="4" w:space="0" w:color="auto"/>
              <w:right w:val="single" w:sz="4" w:space="0" w:color="auto"/>
            </w:tcBorders>
            <w:shd w:val="clear" w:color="auto" w:fill="C6EFCE"/>
            <w:noWrap/>
          </w:tcPr>
          <w:p w14:paraId="3E84ED08" w14:textId="77777777" w:rsidR="00A437C8" w:rsidRPr="00A025C9" w:rsidDel="001872D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Hubs that shall allow access to Internet Service Provider (ISP) services for public-interest institutions and entities</w:t>
            </w:r>
          </w:p>
        </w:tc>
        <w:tc>
          <w:tcPr>
            <w:tcW w:w="1734" w:type="dxa"/>
            <w:tcBorders>
              <w:top w:val="single" w:sz="4" w:space="0" w:color="auto"/>
              <w:left w:val="nil"/>
              <w:bottom w:val="single" w:sz="4" w:space="0" w:color="auto"/>
              <w:right w:val="single" w:sz="4" w:space="0" w:color="auto"/>
            </w:tcBorders>
            <w:shd w:val="clear" w:color="auto" w:fill="C6EFCE"/>
            <w:noWrap/>
          </w:tcPr>
          <w:p w14:paraId="0C861E42"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w:t>
            </w:r>
          </w:p>
        </w:tc>
        <w:tc>
          <w:tcPr>
            <w:tcW w:w="970" w:type="dxa"/>
            <w:tcBorders>
              <w:top w:val="single" w:sz="4" w:space="0" w:color="auto"/>
              <w:left w:val="nil"/>
              <w:bottom w:val="single" w:sz="4" w:space="0" w:color="auto"/>
              <w:right w:val="single" w:sz="4" w:space="0" w:color="auto"/>
            </w:tcBorders>
            <w:shd w:val="clear" w:color="auto" w:fill="C6EFCE"/>
            <w:noWrap/>
          </w:tcPr>
          <w:p w14:paraId="10436EFF"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Number</w:t>
            </w:r>
          </w:p>
        </w:tc>
        <w:tc>
          <w:tcPr>
            <w:tcW w:w="1225" w:type="dxa"/>
            <w:tcBorders>
              <w:top w:val="single" w:sz="4" w:space="0" w:color="auto"/>
              <w:left w:val="nil"/>
              <w:bottom w:val="single" w:sz="4" w:space="0" w:color="auto"/>
              <w:right w:val="single" w:sz="4" w:space="0" w:color="auto"/>
            </w:tcBorders>
            <w:shd w:val="clear" w:color="auto" w:fill="C6EFCE"/>
            <w:noWrap/>
          </w:tcPr>
          <w:p w14:paraId="0605D5C7"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0</w:t>
            </w:r>
          </w:p>
        </w:tc>
        <w:tc>
          <w:tcPr>
            <w:tcW w:w="725" w:type="dxa"/>
            <w:tcBorders>
              <w:top w:val="single" w:sz="4" w:space="0" w:color="auto"/>
              <w:left w:val="nil"/>
              <w:bottom w:val="single" w:sz="4" w:space="0" w:color="auto"/>
              <w:right w:val="single" w:sz="4" w:space="0" w:color="auto"/>
            </w:tcBorders>
            <w:shd w:val="clear" w:color="auto" w:fill="C6EFCE"/>
            <w:noWrap/>
          </w:tcPr>
          <w:p w14:paraId="28E6DC0E"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41</w:t>
            </w:r>
          </w:p>
        </w:tc>
        <w:tc>
          <w:tcPr>
            <w:tcW w:w="908" w:type="dxa"/>
            <w:tcBorders>
              <w:top w:val="single" w:sz="4" w:space="0" w:color="auto"/>
              <w:left w:val="nil"/>
              <w:bottom w:val="single" w:sz="4" w:space="0" w:color="auto"/>
              <w:right w:val="single" w:sz="4" w:space="0" w:color="auto"/>
            </w:tcBorders>
            <w:shd w:val="clear" w:color="auto" w:fill="C6EFCE"/>
            <w:noWrap/>
          </w:tcPr>
          <w:p w14:paraId="3B94D7BC"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705" w:type="dxa"/>
            <w:tcBorders>
              <w:top w:val="single" w:sz="4" w:space="0" w:color="auto"/>
              <w:left w:val="nil"/>
              <w:bottom w:val="single" w:sz="4" w:space="0" w:color="auto"/>
              <w:right w:val="single" w:sz="4" w:space="0" w:color="auto"/>
            </w:tcBorders>
            <w:shd w:val="clear" w:color="auto" w:fill="C6EFCE"/>
            <w:noWrap/>
          </w:tcPr>
          <w:p w14:paraId="5825082F"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2024</w:t>
            </w:r>
          </w:p>
        </w:tc>
        <w:tc>
          <w:tcPr>
            <w:tcW w:w="3024" w:type="dxa"/>
            <w:tcBorders>
              <w:top w:val="single" w:sz="4" w:space="0" w:color="auto"/>
              <w:left w:val="nil"/>
              <w:bottom w:val="single" w:sz="4" w:space="0" w:color="auto"/>
              <w:right w:val="single" w:sz="4" w:space="0" w:color="auto"/>
            </w:tcBorders>
            <w:shd w:val="clear" w:color="auto" w:fill="C6EFCE"/>
            <w:noWrap/>
          </w:tcPr>
          <w:p w14:paraId="1FB7D874"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Every county in Romania shall have a hub. Each of these hubs shall be connected to a national Internet distribution network, with multiple Tier I suppliers and associated Security mechanisms. </w:t>
            </w:r>
          </w:p>
          <w:p w14:paraId="6AF7AAC3"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Security services which shall be provided:</w:t>
            </w:r>
          </w:p>
          <w:p w14:paraId="3A5EE5C3" w14:textId="77777777" w:rsidR="00A437C8" w:rsidRPr="00A025C9" w:rsidRDefault="00A437C8" w:rsidP="003221A9">
            <w:pPr>
              <w:numPr>
                <w:ilvl w:val="0"/>
                <w:numId w:val="41"/>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Anti-dos (denial-of-service) protection at multiples of 10Gbps</w:t>
            </w:r>
          </w:p>
          <w:p w14:paraId="65A14B78" w14:textId="77777777" w:rsidR="00A437C8" w:rsidRPr="00A025C9" w:rsidRDefault="00A437C8" w:rsidP="003221A9">
            <w:pPr>
              <w:numPr>
                <w:ilvl w:val="0"/>
                <w:numId w:val="41"/>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Associated Computer Emergency Response Team (CERT) services (security audiences, monitoring of security events throughout the network, response to security incidents)</w:t>
            </w:r>
          </w:p>
          <w:p w14:paraId="77D92E6E" w14:textId="77777777" w:rsidR="00A437C8" w:rsidRPr="00A025C9" w:rsidRDefault="00A437C8" w:rsidP="003221A9">
            <w:pPr>
              <w:numPr>
                <w:ilvl w:val="0"/>
                <w:numId w:val="41"/>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Associated Security Operations Centres services (notification and escalation mechanisms for beneficiaries)</w:t>
            </w:r>
          </w:p>
          <w:p w14:paraId="61D72B1E" w14:textId="77777777" w:rsidR="00A437C8" w:rsidRPr="00A025C9" w:rsidRDefault="00A437C8" w:rsidP="003221A9">
            <w:pPr>
              <w:numPr>
                <w:ilvl w:val="0"/>
                <w:numId w:val="41"/>
              </w:numPr>
              <w:spacing w:after="0" w:line="240" w:lineRule="auto"/>
              <w:ind w:left="259"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Reputation and filtering mechanisms for malicious traffic based on reputation and malicious residence at the level of DNS services provided to beneficiaries</w:t>
            </w:r>
          </w:p>
          <w:p w14:paraId="169E132A" w14:textId="77777777" w:rsidR="00A437C8" w:rsidRPr="00A025C9" w:rsidRDefault="00A437C8" w:rsidP="003221A9">
            <w:pPr>
              <w:numPr>
                <w:ilvl w:val="0"/>
                <w:numId w:val="41"/>
              </w:numPr>
              <w:spacing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Sandbox analysis for the provided services.</w:t>
            </w:r>
          </w:p>
        </w:tc>
      </w:tr>
      <w:tr w:rsidR="00A437C8" w:rsidRPr="00A025C9" w14:paraId="0FAF003C"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770FD40" w14:textId="77777777" w:rsidR="00A437C8" w:rsidRPr="00A025C9" w:rsidRDefault="00A437C8">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184</w:t>
            </w:r>
          </w:p>
        </w:tc>
        <w:tc>
          <w:tcPr>
            <w:tcW w:w="2101" w:type="dxa"/>
            <w:tcBorders>
              <w:top w:val="single" w:sz="4" w:space="0" w:color="auto"/>
              <w:left w:val="nil"/>
              <w:bottom w:val="single" w:sz="4" w:space="0" w:color="auto"/>
              <w:right w:val="single" w:sz="4" w:space="0" w:color="auto"/>
            </w:tcBorders>
            <w:shd w:val="clear" w:color="auto" w:fill="C6EFCE"/>
            <w:noWrap/>
          </w:tcPr>
          <w:p w14:paraId="74B06480"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15. Cybersecurity skills for the identified entities </w:t>
            </w:r>
          </w:p>
        </w:tc>
        <w:tc>
          <w:tcPr>
            <w:tcW w:w="1226" w:type="dxa"/>
            <w:tcBorders>
              <w:top w:val="single" w:sz="4" w:space="0" w:color="auto"/>
              <w:left w:val="nil"/>
              <w:bottom w:val="single" w:sz="4" w:space="0" w:color="auto"/>
              <w:right w:val="single" w:sz="4" w:space="0" w:color="auto"/>
            </w:tcBorders>
            <w:shd w:val="clear" w:color="auto" w:fill="C6EFCE"/>
            <w:noWrap/>
          </w:tcPr>
          <w:p w14:paraId="2E0C840D"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90" w:type="dxa"/>
            <w:tcBorders>
              <w:top w:val="single" w:sz="4" w:space="0" w:color="auto"/>
              <w:left w:val="nil"/>
              <w:bottom w:val="single" w:sz="4" w:space="0" w:color="auto"/>
              <w:right w:val="single" w:sz="4" w:space="0" w:color="auto"/>
            </w:tcBorders>
            <w:shd w:val="clear" w:color="auto" w:fill="C6EFCE"/>
            <w:noWrap/>
          </w:tcPr>
          <w:p w14:paraId="0368621C" w14:textId="68716239" w:rsidR="00A437C8" w:rsidRPr="00A025C9" w:rsidDel="001872D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Cybersecurity skills for the identified entities</w:t>
            </w:r>
          </w:p>
        </w:tc>
        <w:tc>
          <w:tcPr>
            <w:tcW w:w="1734" w:type="dxa"/>
            <w:tcBorders>
              <w:top w:val="single" w:sz="4" w:space="0" w:color="auto"/>
              <w:left w:val="nil"/>
              <w:bottom w:val="single" w:sz="4" w:space="0" w:color="auto"/>
              <w:right w:val="single" w:sz="4" w:space="0" w:color="auto"/>
            </w:tcBorders>
            <w:shd w:val="clear" w:color="auto" w:fill="C6EFCE"/>
            <w:noWrap/>
          </w:tcPr>
          <w:p w14:paraId="568876A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970" w:type="dxa"/>
            <w:tcBorders>
              <w:top w:val="single" w:sz="4" w:space="0" w:color="auto"/>
              <w:left w:val="nil"/>
              <w:bottom w:val="single" w:sz="4" w:space="0" w:color="auto"/>
              <w:right w:val="single" w:sz="4" w:space="0" w:color="auto"/>
            </w:tcBorders>
            <w:shd w:val="clear" w:color="auto" w:fill="C6EFCE"/>
            <w:noWrap/>
          </w:tcPr>
          <w:p w14:paraId="4C3CE47F"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Number</w:t>
            </w:r>
          </w:p>
        </w:tc>
        <w:tc>
          <w:tcPr>
            <w:tcW w:w="1225" w:type="dxa"/>
            <w:tcBorders>
              <w:top w:val="single" w:sz="4" w:space="0" w:color="auto"/>
              <w:left w:val="nil"/>
              <w:bottom w:val="single" w:sz="4" w:space="0" w:color="auto"/>
              <w:right w:val="single" w:sz="4" w:space="0" w:color="auto"/>
            </w:tcBorders>
            <w:shd w:val="clear" w:color="auto" w:fill="C6EFCE"/>
            <w:noWrap/>
          </w:tcPr>
          <w:p w14:paraId="5716B154"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0</w:t>
            </w:r>
          </w:p>
        </w:tc>
        <w:tc>
          <w:tcPr>
            <w:tcW w:w="725" w:type="dxa"/>
            <w:tcBorders>
              <w:top w:val="single" w:sz="4" w:space="0" w:color="auto"/>
              <w:left w:val="nil"/>
              <w:bottom w:val="single" w:sz="4" w:space="0" w:color="auto"/>
              <w:right w:val="single" w:sz="4" w:space="0" w:color="auto"/>
            </w:tcBorders>
            <w:shd w:val="clear" w:color="auto" w:fill="C6EFCE"/>
            <w:noWrap/>
          </w:tcPr>
          <w:p w14:paraId="1C9DD183" w14:textId="7AFF2408"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w:t>
            </w:r>
            <w:r w:rsidR="00B837E7">
              <w:rPr>
                <w:rFonts w:ascii="Times New Roman" w:hAnsi="Times New Roman" w:cs="Times New Roman"/>
                <w:noProof/>
                <w:sz w:val="20"/>
                <w:szCs w:val="20"/>
                <w:lang w:val="en-GB"/>
              </w:rPr>
              <w:t> </w:t>
            </w:r>
            <w:r w:rsidRPr="00A025C9">
              <w:rPr>
                <w:rFonts w:ascii="Times New Roman" w:hAnsi="Times New Roman" w:cs="Times New Roman"/>
                <w:noProof/>
                <w:sz w:val="20"/>
                <w:szCs w:val="20"/>
                <w:lang w:val="en-GB"/>
              </w:rPr>
              <w:t>000</w:t>
            </w:r>
          </w:p>
        </w:tc>
        <w:tc>
          <w:tcPr>
            <w:tcW w:w="908" w:type="dxa"/>
            <w:tcBorders>
              <w:top w:val="single" w:sz="4" w:space="0" w:color="auto"/>
              <w:left w:val="nil"/>
              <w:bottom w:val="single" w:sz="4" w:space="0" w:color="auto"/>
              <w:right w:val="single" w:sz="4" w:space="0" w:color="auto"/>
            </w:tcBorders>
            <w:shd w:val="clear" w:color="auto" w:fill="C6EFCE"/>
            <w:noWrap/>
          </w:tcPr>
          <w:p w14:paraId="6D7B5AF0"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305CACEA"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6E624D12" w14:textId="77777777" w:rsidR="00A437C8" w:rsidRPr="00A025C9" w:rsidRDefault="00A437C8">
            <w:pPr>
              <w:spacing w:after="0"/>
              <w:jc w:val="both"/>
              <w:rPr>
                <w:rFonts w:ascii="Times New Roman" w:hAnsi="Times New Roman" w:cs="Times New Roman"/>
                <w:noProof/>
                <w:sz w:val="20"/>
                <w:szCs w:val="20"/>
              </w:rPr>
            </w:pPr>
            <w:r w:rsidRPr="00A025C9">
              <w:rPr>
                <w:rFonts w:ascii="Times New Roman" w:hAnsi="Times New Roman" w:cs="Times New Roman"/>
                <w:noProof/>
                <w:sz w:val="20"/>
                <w:szCs w:val="20"/>
              </w:rPr>
              <w:t>Delivery of a national programme to identify cyber skills needs, with a focus on the impact on key sectors of the economy and society.</w:t>
            </w:r>
          </w:p>
          <w:p w14:paraId="4C3390FE" w14:textId="54327EA4" w:rsidR="00A437C8" w:rsidRPr="00A025C9" w:rsidRDefault="00A437C8">
            <w:pPr>
              <w:spacing w:after="0"/>
              <w:jc w:val="both"/>
              <w:rPr>
                <w:rFonts w:ascii="Times New Roman" w:hAnsi="Times New Roman" w:cs="Times New Roman"/>
                <w:noProof/>
                <w:sz w:val="20"/>
                <w:szCs w:val="20"/>
              </w:rPr>
            </w:pPr>
            <w:r w:rsidRPr="00A025C9">
              <w:rPr>
                <w:rFonts w:ascii="Times New Roman" w:hAnsi="Times New Roman" w:cs="Times New Roman"/>
                <w:noProof/>
                <w:sz w:val="20"/>
                <w:szCs w:val="20"/>
              </w:rPr>
              <w:t>Delivery of a set of governmental tools and services (“toolkit”) for the cybersecurity of 1000</w:t>
            </w:r>
            <w:r w:rsidR="00D23D91" w:rsidRPr="00A025C9">
              <w:rPr>
                <w:rFonts w:ascii="Times New Roman" w:hAnsi="Times New Roman" w:cs="Times New Roman"/>
                <w:noProof/>
                <w:sz w:val="20"/>
                <w:szCs w:val="20"/>
              </w:rPr>
              <w:t xml:space="preserve"> </w:t>
            </w:r>
            <w:r w:rsidRPr="00A025C9">
              <w:rPr>
                <w:rFonts w:ascii="Times New Roman" w:hAnsi="Times New Roman" w:cs="Times New Roman"/>
                <w:noProof/>
                <w:sz w:val="20"/>
                <w:szCs w:val="20"/>
              </w:rPr>
              <w:t>entities</w:t>
            </w:r>
            <w:r w:rsidR="00D23D91" w:rsidRPr="00A025C9">
              <w:rPr>
                <w:rFonts w:ascii="Times New Roman" w:hAnsi="Times New Roman" w:cs="Times New Roman"/>
                <w:noProof/>
                <w:sz w:val="20"/>
                <w:szCs w:val="20"/>
              </w:rPr>
              <w:t xml:space="preserve"> </w:t>
            </w:r>
            <w:r w:rsidRPr="00A025C9">
              <w:rPr>
                <w:rFonts w:ascii="Times New Roman" w:hAnsi="Times New Roman" w:cs="Times New Roman"/>
                <w:noProof/>
                <w:sz w:val="20"/>
                <w:szCs w:val="20"/>
              </w:rPr>
              <w:t xml:space="preserve">identified based on two criteria: </w:t>
            </w:r>
          </w:p>
          <w:p w14:paraId="714E3803" w14:textId="54DE1D99" w:rsidR="00A437C8" w:rsidRPr="00A025C9" w:rsidRDefault="00A437C8">
            <w:pPr>
              <w:spacing w:after="0"/>
              <w:jc w:val="both"/>
              <w:rPr>
                <w:rFonts w:ascii="Times New Roman" w:hAnsi="Times New Roman" w:cs="Times New Roman"/>
                <w:noProof/>
                <w:sz w:val="20"/>
                <w:szCs w:val="20"/>
              </w:rPr>
            </w:pPr>
            <w:r w:rsidRPr="00A025C9">
              <w:rPr>
                <w:rFonts w:ascii="Times New Roman" w:hAnsi="Times New Roman" w:cs="Times New Roman"/>
                <w:noProof/>
                <w:sz w:val="20"/>
                <w:szCs w:val="20"/>
                <w:lang w:val="en"/>
              </w:rPr>
              <w:t>-</w:t>
            </w:r>
            <w:r w:rsidR="00D23D91" w:rsidRPr="00A025C9">
              <w:rPr>
                <w:rFonts w:ascii="Times New Roman" w:hAnsi="Times New Roman" w:cs="Times New Roman"/>
                <w:noProof/>
                <w:sz w:val="20"/>
                <w:szCs w:val="20"/>
                <w:lang w:val="en"/>
              </w:rPr>
              <w:t xml:space="preserve"> </w:t>
            </w:r>
            <w:r w:rsidRPr="00A025C9">
              <w:rPr>
                <w:rFonts w:ascii="Times New Roman" w:hAnsi="Times New Roman" w:cs="Times New Roman"/>
                <w:noProof/>
                <w:sz w:val="20"/>
                <w:szCs w:val="20"/>
                <w:lang w:val="en"/>
              </w:rPr>
              <w:t>sectors</w:t>
            </w:r>
            <w:r w:rsidR="00D23D91" w:rsidRPr="00A025C9">
              <w:rPr>
                <w:rFonts w:ascii="Times New Roman" w:hAnsi="Times New Roman" w:cs="Times New Roman"/>
                <w:noProof/>
                <w:sz w:val="20"/>
                <w:szCs w:val="20"/>
                <w:lang w:val="en"/>
              </w:rPr>
              <w:t xml:space="preserve"> </w:t>
            </w:r>
            <w:r w:rsidRPr="00A025C9">
              <w:rPr>
                <w:rFonts w:ascii="Times New Roman" w:hAnsi="Times New Roman" w:cs="Times New Roman"/>
                <w:noProof/>
                <w:sz w:val="20"/>
                <w:szCs w:val="20"/>
                <w:lang w:val="en"/>
              </w:rPr>
              <w:t>covered by the NIS2 Directive and</w:t>
            </w:r>
            <w:r w:rsidR="00D23D91" w:rsidRPr="00A025C9">
              <w:rPr>
                <w:rFonts w:ascii="Times New Roman" w:hAnsi="Times New Roman" w:cs="Times New Roman"/>
                <w:noProof/>
                <w:sz w:val="20"/>
                <w:szCs w:val="20"/>
                <w:lang w:val="en"/>
              </w:rPr>
              <w:t xml:space="preserve"> </w:t>
            </w:r>
            <w:r w:rsidRPr="00A025C9">
              <w:rPr>
                <w:rFonts w:ascii="Times New Roman" w:hAnsi="Times New Roman" w:cs="Times New Roman"/>
                <w:noProof/>
                <w:sz w:val="20"/>
                <w:szCs w:val="20"/>
                <w:lang w:val="en"/>
              </w:rPr>
              <w:t xml:space="preserve">by Law 124/2025 </w:t>
            </w:r>
          </w:p>
          <w:p w14:paraId="60C7BFD4" w14:textId="77777777" w:rsidR="00A437C8" w:rsidRPr="00A025C9" w:rsidRDefault="00A437C8">
            <w:pPr>
              <w:spacing w:after="0"/>
              <w:jc w:val="both"/>
              <w:rPr>
                <w:rFonts w:ascii="Times New Roman" w:hAnsi="Times New Roman" w:cs="Times New Roman"/>
                <w:noProof/>
                <w:sz w:val="20"/>
                <w:szCs w:val="20"/>
              </w:rPr>
            </w:pPr>
            <w:r w:rsidRPr="00A025C9">
              <w:rPr>
                <w:rFonts w:ascii="Times New Roman" w:hAnsi="Times New Roman" w:cs="Times New Roman"/>
                <w:noProof/>
                <w:sz w:val="20"/>
                <w:szCs w:val="20"/>
              </w:rPr>
              <w:t>- Cybersecurity maturity level identified by CERT-RO, based on a standardised self-assessment. </w:t>
            </w:r>
          </w:p>
          <w:p w14:paraId="6A1701DA" w14:textId="77777777" w:rsidR="00A437C8" w:rsidRPr="00A025C9" w:rsidRDefault="00A437C8">
            <w:pPr>
              <w:spacing w:after="0"/>
              <w:jc w:val="both"/>
              <w:rPr>
                <w:rFonts w:ascii="Times New Roman" w:hAnsi="Times New Roman" w:cs="Times New Roman"/>
                <w:noProof/>
                <w:sz w:val="20"/>
                <w:szCs w:val="20"/>
                <w:lang w:val="en-GB"/>
              </w:rPr>
            </w:pPr>
          </w:p>
        </w:tc>
      </w:tr>
      <w:tr w:rsidR="00A437C8" w:rsidRPr="00A025C9" w14:paraId="6C824358"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7A8B0D3"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185</w:t>
            </w:r>
          </w:p>
        </w:tc>
        <w:tc>
          <w:tcPr>
            <w:tcW w:w="2101" w:type="dxa"/>
            <w:tcBorders>
              <w:top w:val="single" w:sz="4" w:space="0" w:color="auto"/>
              <w:left w:val="nil"/>
              <w:bottom w:val="single" w:sz="4" w:space="0" w:color="auto"/>
              <w:right w:val="single" w:sz="4" w:space="0" w:color="auto"/>
            </w:tcBorders>
            <w:shd w:val="clear" w:color="auto" w:fill="C6EFCE"/>
            <w:noWrap/>
          </w:tcPr>
          <w:p w14:paraId="2D945CE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Investment 16.</w:t>
            </w:r>
          </w:p>
          <w:p w14:paraId="2FBBEF7E"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Training programme for civil servants on digital skills </w:t>
            </w:r>
          </w:p>
        </w:tc>
        <w:tc>
          <w:tcPr>
            <w:tcW w:w="1226" w:type="dxa"/>
            <w:tcBorders>
              <w:top w:val="single" w:sz="4" w:space="0" w:color="auto"/>
              <w:left w:val="nil"/>
              <w:bottom w:val="single" w:sz="4" w:space="0" w:color="auto"/>
              <w:right w:val="single" w:sz="4" w:space="0" w:color="auto"/>
            </w:tcBorders>
            <w:shd w:val="clear" w:color="auto" w:fill="C6EFCE"/>
            <w:noWrap/>
          </w:tcPr>
          <w:p w14:paraId="57DF80C0" w14:textId="77777777" w:rsidR="00A437C8" w:rsidRPr="00A025C9" w:rsidRDefault="00A437C8">
            <w:pPr>
              <w:spacing w:after="0" w:line="240" w:lineRule="auto"/>
              <w:jc w:val="both"/>
              <w:rPr>
                <w:rFonts w:ascii="Times New Roman" w:hAnsi="Times New Roman" w:cs="Times New Roman"/>
                <w:noProof/>
                <w:sz w:val="20"/>
                <w:szCs w:val="20"/>
                <w:highlight w:val="yellow"/>
                <w:lang w:val="en-GB"/>
              </w:rPr>
            </w:pPr>
            <w:r w:rsidRPr="00A025C9">
              <w:rPr>
                <w:rFonts w:ascii="Times New Roman" w:hAnsi="Times New Roman" w:cs="Times New Roman"/>
                <w:noProof/>
                <w:sz w:val="20"/>
                <w:szCs w:val="20"/>
                <w:lang w:val="en-GB"/>
              </w:rPr>
              <w:t xml:space="preserve">Milestone </w:t>
            </w:r>
          </w:p>
        </w:tc>
        <w:tc>
          <w:tcPr>
            <w:tcW w:w="1590" w:type="dxa"/>
            <w:tcBorders>
              <w:top w:val="single" w:sz="4" w:space="0" w:color="auto"/>
              <w:left w:val="nil"/>
              <w:bottom w:val="single" w:sz="4" w:space="0" w:color="auto"/>
              <w:right w:val="single" w:sz="4" w:space="0" w:color="auto"/>
            </w:tcBorders>
            <w:shd w:val="clear" w:color="auto" w:fill="C6EFCE"/>
            <w:noWrap/>
          </w:tcPr>
          <w:p w14:paraId="345B26A2" w14:textId="0B22E67E" w:rsidR="00A437C8" w:rsidRPr="00A025C9" w:rsidRDefault="00A437C8">
            <w:pPr>
              <w:spacing w:after="0" w:line="240" w:lineRule="auto"/>
              <w:jc w:val="both"/>
              <w:rPr>
                <w:rFonts w:ascii="Times New Roman" w:hAnsi="Times New Roman" w:cs="Times New Roman"/>
                <w:noProof/>
                <w:sz w:val="20"/>
                <w:szCs w:val="20"/>
                <w:highlight w:val="yellow"/>
                <w:lang w:val="en-GB"/>
              </w:rPr>
            </w:pPr>
            <w:r w:rsidRPr="00A025C9">
              <w:rPr>
                <w:rFonts w:ascii="Times New Roman" w:hAnsi="Times New Roman" w:cs="Times New Roman"/>
                <w:noProof/>
                <w:sz w:val="20"/>
                <w:szCs w:val="20"/>
                <w:lang w:val="en-GB"/>
              </w:rPr>
              <w:t>Trainings provided to civil servants</w:t>
            </w:r>
            <w:r w:rsidR="00D23D91" w:rsidRPr="00A025C9">
              <w:rPr>
                <w:rFonts w:ascii="Times New Roman" w:hAnsi="Times New Roman" w:cs="Times New Roman"/>
                <w:noProof/>
                <w:sz w:val="20"/>
                <w:szCs w:val="20"/>
                <w:lang w:val="en-GB"/>
              </w:rPr>
              <w:t xml:space="preserve"> </w:t>
            </w:r>
          </w:p>
        </w:tc>
        <w:tc>
          <w:tcPr>
            <w:tcW w:w="1734" w:type="dxa"/>
            <w:tcBorders>
              <w:top w:val="single" w:sz="4" w:space="0" w:color="auto"/>
              <w:left w:val="nil"/>
              <w:bottom w:val="single" w:sz="4" w:space="0" w:color="auto"/>
              <w:right w:val="single" w:sz="4" w:space="0" w:color="auto"/>
            </w:tcBorders>
            <w:shd w:val="clear" w:color="auto" w:fill="C6EFCE"/>
            <w:noWrap/>
          </w:tcPr>
          <w:p w14:paraId="27E5E95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Delivery of trainings to civil servants </w:t>
            </w:r>
          </w:p>
        </w:tc>
        <w:tc>
          <w:tcPr>
            <w:tcW w:w="970" w:type="dxa"/>
            <w:tcBorders>
              <w:top w:val="single" w:sz="4" w:space="0" w:color="auto"/>
              <w:left w:val="nil"/>
              <w:bottom w:val="single" w:sz="4" w:space="0" w:color="auto"/>
              <w:right w:val="single" w:sz="4" w:space="0" w:color="auto"/>
            </w:tcBorders>
            <w:shd w:val="clear" w:color="auto" w:fill="C6EFCE"/>
            <w:noWrap/>
          </w:tcPr>
          <w:p w14:paraId="3A36B72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601D449C"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5DDDEEA9"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2619A90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41755C83"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4E6ADC90"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Acceptance certificates signed by the contracting entity demonstrating the delivery of trainings</w:t>
            </w:r>
            <w:r w:rsidRPr="00A025C9" w:rsidDel="0098632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 xml:space="preserve">to: </w:t>
            </w:r>
          </w:p>
          <w:p w14:paraId="749C6B62" w14:textId="596DB747" w:rsidR="00A437C8" w:rsidRPr="00A025C9" w:rsidRDefault="00A437C8" w:rsidP="003221A9">
            <w:pPr>
              <w:numPr>
                <w:ilvl w:val="0"/>
                <w:numId w:val="44"/>
              </w:numPr>
              <w:spacing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30</w:t>
            </w:r>
            <w:r w:rsidR="0075416A" w:rsidRPr="00A025C9">
              <w:rPr>
                <w:rFonts w:ascii="Times New Roman" w:hAnsi="Times New Roman" w:cs="Times New Roman"/>
                <w:noProof/>
                <w:sz w:val="20"/>
                <w:szCs w:val="20"/>
                <w:lang w:val="en-GB"/>
              </w:rPr>
              <w:t> </w:t>
            </w:r>
            <w:r w:rsidRPr="00A025C9">
              <w:rPr>
                <w:rFonts w:ascii="Times New Roman" w:hAnsi="Times New Roman" w:cs="Times New Roman"/>
                <w:noProof/>
                <w:sz w:val="20"/>
                <w:szCs w:val="20"/>
                <w:lang w:val="en-GB"/>
              </w:rPr>
              <w:t xml:space="preserve">000 civil servants, to acquire advanced digital skills. </w:t>
            </w:r>
          </w:p>
          <w:p w14:paraId="2FD07E19" w14:textId="2ED47807" w:rsidR="00A437C8" w:rsidRPr="00A025C9" w:rsidRDefault="00A437C8" w:rsidP="003221A9">
            <w:pPr>
              <w:numPr>
                <w:ilvl w:val="0"/>
                <w:numId w:val="44"/>
              </w:numPr>
              <w:spacing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w:t>
            </w:r>
            <w:r w:rsidR="0075416A" w:rsidRPr="00A025C9">
              <w:rPr>
                <w:rFonts w:ascii="Times New Roman" w:hAnsi="Times New Roman" w:cs="Times New Roman"/>
                <w:noProof/>
                <w:sz w:val="20"/>
                <w:szCs w:val="20"/>
                <w:lang w:val="en-GB"/>
              </w:rPr>
              <w:t> </w:t>
            </w:r>
            <w:r w:rsidRPr="00A025C9">
              <w:rPr>
                <w:rFonts w:ascii="Times New Roman" w:hAnsi="Times New Roman" w:cs="Times New Roman"/>
                <w:noProof/>
                <w:sz w:val="20"/>
                <w:szCs w:val="20"/>
                <w:lang w:val="en-GB"/>
              </w:rPr>
              <w:t>500 civil servants in senior career categories, on the topics of leadership and talent management, taking digital aspects into account.</w:t>
            </w:r>
          </w:p>
        </w:tc>
      </w:tr>
      <w:tr w:rsidR="00A437C8" w:rsidRPr="00A025C9" w14:paraId="492D1297"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C5E84FF" w14:textId="77777777" w:rsidR="00A437C8" w:rsidRPr="00A025C9" w:rsidRDefault="00A437C8">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186</w:t>
            </w:r>
          </w:p>
        </w:tc>
        <w:tc>
          <w:tcPr>
            <w:tcW w:w="2101" w:type="dxa"/>
            <w:tcBorders>
              <w:top w:val="single" w:sz="4" w:space="0" w:color="auto"/>
              <w:left w:val="nil"/>
              <w:bottom w:val="single" w:sz="4" w:space="0" w:color="auto"/>
              <w:right w:val="single" w:sz="4" w:space="0" w:color="auto"/>
            </w:tcBorders>
            <w:shd w:val="clear" w:color="auto" w:fill="C6EFCE"/>
            <w:noWrap/>
          </w:tcPr>
          <w:p w14:paraId="3121188F" w14:textId="77777777" w:rsidR="00A437C8" w:rsidRPr="00A025C9" w:rsidRDefault="00A437C8">
            <w:pPr>
              <w:spacing w:after="0" w:line="240" w:lineRule="auto"/>
              <w:jc w:val="both"/>
              <w:rPr>
                <w:rFonts w:ascii="Times New Roman" w:eastAsia="Times New Roman" w:hAnsi="Times New Roman" w:cs="Times New Roman"/>
                <w:noProof/>
                <w:sz w:val="20"/>
                <w:szCs w:val="20"/>
                <w:highlight w:val="yellow"/>
                <w:lang w:val="en-GB"/>
              </w:rPr>
            </w:pPr>
            <w:r w:rsidRPr="00A025C9">
              <w:rPr>
                <w:rFonts w:ascii="Times New Roman" w:hAnsi="Times New Roman" w:cs="Times New Roman"/>
                <w:noProof/>
                <w:sz w:val="20"/>
                <w:szCs w:val="20"/>
                <w:lang w:val="en-GB"/>
              </w:rPr>
              <w:t>Investment 17.</w:t>
            </w:r>
          </w:p>
          <w:p w14:paraId="5DB7EB55"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Digitalisation of libraries</w:t>
            </w:r>
          </w:p>
        </w:tc>
        <w:tc>
          <w:tcPr>
            <w:tcW w:w="1226" w:type="dxa"/>
            <w:tcBorders>
              <w:top w:val="single" w:sz="4" w:space="0" w:color="auto"/>
              <w:left w:val="nil"/>
              <w:bottom w:val="single" w:sz="4" w:space="0" w:color="auto"/>
              <w:right w:val="single" w:sz="4" w:space="0" w:color="auto"/>
            </w:tcBorders>
            <w:shd w:val="clear" w:color="auto" w:fill="C6EFCE"/>
            <w:noWrap/>
          </w:tcPr>
          <w:p w14:paraId="73CBFD5C" w14:textId="77777777" w:rsidR="00A437C8" w:rsidRPr="00A025C9" w:rsidDel="00500CF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73C39852" w14:textId="77777777" w:rsidR="00A437C8" w:rsidRPr="00A025C9" w:rsidDel="00500CF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Digitalisation of libraries</w:t>
            </w:r>
          </w:p>
        </w:tc>
        <w:tc>
          <w:tcPr>
            <w:tcW w:w="1734" w:type="dxa"/>
            <w:tcBorders>
              <w:top w:val="single" w:sz="4" w:space="0" w:color="auto"/>
              <w:left w:val="nil"/>
              <w:bottom w:val="single" w:sz="4" w:space="0" w:color="auto"/>
              <w:right w:val="single" w:sz="4" w:space="0" w:color="auto"/>
            </w:tcBorders>
            <w:shd w:val="clear" w:color="auto" w:fill="C6EFCE"/>
            <w:noWrap/>
          </w:tcPr>
          <w:p w14:paraId="31B7833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eastAsia="Times New Roman" w:hAnsi="Times New Roman" w:cs="Times New Roman"/>
                <w:noProof/>
                <w:sz w:val="20"/>
                <w:szCs w:val="20"/>
                <w:lang w:val="en-GB"/>
              </w:rPr>
              <w:t xml:space="preserve">Renovation and equipment of 560 libraries </w:t>
            </w:r>
          </w:p>
        </w:tc>
        <w:tc>
          <w:tcPr>
            <w:tcW w:w="970" w:type="dxa"/>
            <w:tcBorders>
              <w:top w:val="single" w:sz="4" w:space="0" w:color="auto"/>
              <w:left w:val="nil"/>
              <w:bottom w:val="single" w:sz="4" w:space="0" w:color="auto"/>
              <w:right w:val="single" w:sz="4" w:space="0" w:color="auto"/>
            </w:tcBorders>
            <w:shd w:val="clear" w:color="auto" w:fill="C6EFCE"/>
            <w:noWrap/>
          </w:tcPr>
          <w:p w14:paraId="6830BCF3" w14:textId="77777777" w:rsidR="00A437C8" w:rsidRPr="00A025C9" w:rsidDel="00500CF9" w:rsidRDefault="00A437C8">
            <w:pPr>
              <w:spacing w:after="0"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30CDA16D" w14:textId="77777777" w:rsidR="00A437C8" w:rsidRPr="00A025C9" w:rsidDel="00500CF9" w:rsidRDefault="00A437C8">
            <w:pPr>
              <w:spacing w:after="0" w:line="240" w:lineRule="auto"/>
              <w:jc w:val="both"/>
              <w:rPr>
                <w:rFonts w:ascii="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5BB6A2B2" w14:textId="77777777" w:rsidR="00A437C8" w:rsidRPr="00A025C9" w:rsidDel="0068522B" w:rsidRDefault="00A437C8">
            <w:pPr>
              <w:spacing w:after="0" w:line="240" w:lineRule="auto"/>
              <w:jc w:val="both"/>
              <w:rPr>
                <w:rFonts w:ascii="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088C672D"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705" w:type="dxa"/>
            <w:tcBorders>
              <w:top w:val="single" w:sz="4" w:space="0" w:color="auto"/>
              <w:left w:val="nil"/>
              <w:bottom w:val="single" w:sz="4" w:space="0" w:color="auto"/>
              <w:right w:val="single" w:sz="4" w:space="0" w:color="auto"/>
            </w:tcBorders>
            <w:shd w:val="clear" w:color="auto" w:fill="C6EFCE"/>
            <w:noWrap/>
          </w:tcPr>
          <w:p w14:paraId="0D5EDB07"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0B055F6E" w14:textId="4077F038"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Works completion reception certificates proving digitalisation of</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60 libraries, as follows:</w:t>
            </w:r>
          </w:p>
          <w:p w14:paraId="682AC82A" w14:textId="509D724D" w:rsidR="00A437C8" w:rsidRPr="00A025C9" w:rsidRDefault="00A437C8" w:rsidP="003221A9">
            <w:pPr>
              <w:numPr>
                <w:ilvl w:val="0"/>
                <w:numId w:val="45"/>
              </w:numPr>
              <w:spacing w:after="0" w:line="240" w:lineRule="auto"/>
              <w:ind w:left="259" w:hanging="214"/>
              <w:contextualSpacing/>
              <w:jc w:val="both"/>
              <w:rPr>
                <w:rFonts w:ascii="Times New Roman" w:hAnsi="Times New Roman" w:cs="Times New Roman"/>
                <w:noProof/>
                <w:sz w:val="20"/>
                <w:szCs w:val="20"/>
              </w:rPr>
            </w:pPr>
            <w:r w:rsidRPr="00A025C9">
              <w:rPr>
                <w:rFonts w:ascii="Times New Roman" w:hAnsi="Times New Roman" w:cs="Times New Roman"/>
                <w:noProof/>
                <w:sz w:val="20"/>
                <w:szCs w:val="20"/>
                <w:lang w:val="en-GB"/>
              </w:rPr>
              <w:t>5 central county libraries and 55 rural, city or municipal libraries, which are renovated and equipped with IT and technical equipment.</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The renovation shall be done in compliance with the ‘do no significant harm’ Technical Guidance (2021/C58/01).</w:t>
            </w:r>
          </w:p>
          <w:p w14:paraId="4C4DDEDB" w14:textId="29A7A90B"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Works completion reception</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certificates proving the delivery of equipment to 500 libraries, receiving new or upgraded IT equipment.</w:t>
            </w:r>
          </w:p>
          <w:p w14:paraId="626B4B1A" w14:textId="77777777" w:rsidR="00A437C8" w:rsidRPr="00A025C9" w:rsidRDefault="00A437C8">
            <w:pPr>
              <w:spacing w:after="0" w:line="240" w:lineRule="auto"/>
              <w:jc w:val="both"/>
              <w:rPr>
                <w:rFonts w:ascii="Times New Roman" w:hAnsi="Times New Roman" w:cs="Times New Roman"/>
                <w:noProof/>
                <w:sz w:val="20"/>
                <w:szCs w:val="20"/>
                <w:lang w:val="en-GB"/>
              </w:rPr>
            </w:pPr>
          </w:p>
        </w:tc>
      </w:tr>
      <w:tr w:rsidR="00A437C8" w:rsidRPr="00A025C9" w14:paraId="700D0DF8"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12F0524"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187</w:t>
            </w:r>
          </w:p>
        </w:tc>
        <w:tc>
          <w:tcPr>
            <w:tcW w:w="2101" w:type="dxa"/>
            <w:tcBorders>
              <w:top w:val="single" w:sz="4" w:space="0" w:color="auto"/>
              <w:left w:val="nil"/>
              <w:bottom w:val="single" w:sz="4" w:space="0" w:color="auto"/>
              <w:right w:val="single" w:sz="4" w:space="0" w:color="auto"/>
            </w:tcBorders>
            <w:shd w:val="clear" w:color="auto" w:fill="C6EFCE"/>
            <w:noWrap/>
          </w:tcPr>
          <w:p w14:paraId="63E5318F" w14:textId="77777777" w:rsidR="00A437C8" w:rsidRPr="00A025C9" w:rsidRDefault="00A437C8">
            <w:pPr>
              <w:spacing w:after="0" w:line="240" w:lineRule="auto"/>
              <w:jc w:val="both"/>
              <w:rPr>
                <w:rFonts w:ascii="Times New Roman" w:eastAsia="Times New Roman" w:hAnsi="Times New Roman" w:cs="Times New Roman"/>
                <w:noProof/>
                <w:sz w:val="20"/>
                <w:szCs w:val="20"/>
                <w:highlight w:val="yellow"/>
                <w:lang w:val="en-GB"/>
              </w:rPr>
            </w:pPr>
            <w:r w:rsidRPr="00A025C9">
              <w:rPr>
                <w:rFonts w:ascii="Times New Roman" w:hAnsi="Times New Roman" w:cs="Times New Roman"/>
                <w:noProof/>
                <w:sz w:val="20"/>
                <w:szCs w:val="20"/>
                <w:lang w:val="en-GB"/>
              </w:rPr>
              <w:t>Investment 17.</w:t>
            </w:r>
          </w:p>
          <w:p w14:paraId="6AAB21F9"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Digitalisation of libraries</w:t>
            </w:r>
          </w:p>
        </w:tc>
        <w:tc>
          <w:tcPr>
            <w:tcW w:w="1226" w:type="dxa"/>
            <w:tcBorders>
              <w:top w:val="single" w:sz="4" w:space="0" w:color="auto"/>
              <w:left w:val="nil"/>
              <w:bottom w:val="single" w:sz="4" w:space="0" w:color="auto"/>
              <w:right w:val="single" w:sz="4" w:space="0" w:color="auto"/>
            </w:tcBorders>
            <w:shd w:val="clear" w:color="auto" w:fill="C6EFCE"/>
            <w:noWrap/>
          </w:tcPr>
          <w:p w14:paraId="4243444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sidDel="00500CF9">
              <w:rPr>
                <w:rFonts w:ascii="Times New Roman" w:hAnsi="Times New Roman" w:cs="Times New Roman"/>
                <w:noProof/>
                <w:sz w:val="20"/>
                <w:szCs w:val="20"/>
                <w:lang w:val="en-GB"/>
              </w:rPr>
              <w:t>Target</w:t>
            </w:r>
          </w:p>
        </w:tc>
        <w:tc>
          <w:tcPr>
            <w:tcW w:w="1590" w:type="dxa"/>
            <w:tcBorders>
              <w:top w:val="single" w:sz="4" w:space="0" w:color="auto"/>
              <w:left w:val="nil"/>
              <w:bottom w:val="single" w:sz="4" w:space="0" w:color="auto"/>
              <w:right w:val="single" w:sz="4" w:space="0" w:color="auto"/>
            </w:tcBorders>
            <w:shd w:val="clear" w:color="auto" w:fill="C6EFCE"/>
            <w:noWrap/>
          </w:tcPr>
          <w:p w14:paraId="299FCE3C"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Citizens who have received training for basic digital skills</w:t>
            </w:r>
          </w:p>
        </w:tc>
        <w:tc>
          <w:tcPr>
            <w:tcW w:w="1734" w:type="dxa"/>
            <w:tcBorders>
              <w:top w:val="single" w:sz="4" w:space="0" w:color="auto"/>
              <w:left w:val="nil"/>
              <w:bottom w:val="single" w:sz="4" w:space="0" w:color="auto"/>
              <w:right w:val="single" w:sz="4" w:space="0" w:color="auto"/>
            </w:tcBorders>
            <w:shd w:val="clear" w:color="auto" w:fill="C6EFCE"/>
            <w:noWrap/>
          </w:tcPr>
          <w:p w14:paraId="72B7973B"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970" w:type="dxa"/>
            <w:tcBorders>
              <w:top w:val="single" w:sz="4" w:space="0" w:color="auto"/>
              <w:left w:val="nil"/>
              <w:bottom w:val="single" w:sz="4" w:space="0" w:color="auto"/>
              <w:right w:val="single" w:sz="4" w:space="0" w:color="auto"/>
            </w:tcBorders>
            <w:shd w:val="clear" w:color="auto" w:fill="C6EFCE"/>
            <w:noWrap/>
          </w:tcPr>
          <w:p w14:paraId="08319E8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sidDel="00500CF9">
              <w:rPr>
                <w:rFonts w:ascii="Times New Roman" w:hAnsi="Times New Roman" w:cs="Times New Roman"/>
                <w:noProof/>
                <w:sz w:val="20"/>
                <w:szCs w:val="20"/>
                <w:lang w:val="en-GB"/>
              </w:rPr>
              <w:t>Number</w:t>
            </w:r>
          </w:p>
        </w:tc>
        <w:tc>
          <w:tcPr>
            <w:tcW w:w="1225" w:type="dxa"/>
            <w:tcBorders>
              <w:top w:val="single" w:sz="4" w:space="0" w:color="auto"/>
              <w:left w:val="nil"/>
              <w:bottom w:val="single" w:sz="4" w:space="0" w:color="auto"/>
              <w:right w:val="single" w:sz="4" w:space="0" w:color="auto"/>
            </w:tcBorders>
            <w:shd w:val="clear" w:color="auto" w:fill="C6EFCE"/>
            <w:noWrap/>
          </w:tcPr>
          <w:p w14:paraId="729C8B9E"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sidDel="00500CF9">
              <w:rPr>
                <w:rFonts w:ascii="Times New Roman" w:hAnsi="Times New Roman" w:cs="Times New Roman"/>
                <w:noProof/>
                <w:sz w:val="20"/>
                <w:szCs w:val="20"/>
                <w:lang w:val="en-GB"/>
              </w:rPr>
              <w:t>0</w:t>
            </w:r>
          </w:p>
        </w:tc>
        <w:tc>
          <w:tcPr>
            <w:tcW w:w="725" w:type="dxa"/>
            <w:tcBorders>
              <w:top w:val="single" w:sz="4" w:space="0" w:color="auto"/>
              <w:left w:val="nil"/>
              <w:bottom w:val="single" w:sz="4" w:space="0" w:color="auto"/>
              <w:right w:val="single" w:sz="4" w:space="0" w:color="auto"/>
            </w:tcBorders>
            <w:shd w:val="clear" w:color="auto" w:fill="C6EFCE"/>
            <w:noWrap/>
          </w:tcPr>
          <w:p w14:paraId="7AA52B06" w14:textId="44B5F268"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sidDel="5571A214">
              <w:rPr>
                <w:rFonts w:ascii="Times New Roman" w:hAnsi="Times New Roman" w:cs="Times New Roman"/>
                <w:noProof/>
                <w:sz w:val="20"/>
                <w:szCs w:val="20"/>
                <w:lang w:val="en-GB"/>
              </w:rPr>
              <w:t>45</w:t>
            </w:r>
            <w:r w:rsidR="0075416A" w:rsidRPr="00A025C9">
              <w:rPr>
                <w:rFonts w:ascii="Times New Roman" w:hAnsi="Times New Roman" w:cs="Times New Roman"/>
                <w:noProof/>
                <w:sz w:val="20"/>
                <w:szCs w:val="20"/>
                <w:lang w:val="en-GB"/>
              </w:rPr>
              <w:t> </w:t>
            </w:r>
            <w:r w:rsidRPr="00A025C9" w:rsidDel="5571A214">
              <w:rPr>
                <w:rFonts w:ascii="Times New Roman" w:hAnsi="Times New Roman" w:cs="Times New Roman"/>
                <w:noProof/>
                <w:sz w:val="20"/>
                <w:szCs w:val="20"/>
                <w:lang w:val="en-GB"/>
              </w:rPr>
              <w:t>000</w:t>
            </w:r>
          </w:p>
        </w:tc>
        <w:tc>
          <w:tcPr>
            <w:tcW w:w="908" w:type="dxa"/>
            <w:tcBorders>
              <w:top w:val="single" w:sz="4" w:space="0" w:color="auto"/>
              <w:left w:val="nil"/>
              <w:bottom w:val="single" w:sz="4" w:space="0" w:color="auto"/>
              <w:right w:val="single" w:sz="4" w:space="0" w:color="auto"/>
            </w:tcBorders>
            <w:shd w:val="clear" w:color="auto" w:fill="C6EFCE"/>
            <w:noWrap/>
          </w:tcPr>
          <w:p w14:paraId="2D70847C"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Q1</w:t>
            </w:r>
          </w:p>
        </w:tc>
        <w:tc>
          <w:tcPr>
            <w:tcW w:w="705" w:type="dxa"/>
            <w:tcBorders>
              <w:top w:val="single" w:sz="4" w:space="0" w:color="auto"/>
              <w:left w:val="nil"/>
              <w:bottom w:val="single" w:sz="4" w:space="0" w:color="auto"/>
              <w:right w:val="single" w:sz="4" w:space="0" w:color="auto"/>
            </w:tcBorders>
            <w:shd w:val="clear" w:color="auto" w:fill="C6EFCE"/>
            <w:noWrap/>
          </w:tcPr>
          <w:p w14:paraId="509753E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587A8A00" w14:textId="24387B01" w:rsidR="00A437C8" w:rsidRPr="00A025C9" w:rsidRDefault="00A437C8">
            <w:pPr>
              <w:spacing w:after="0"/>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45</w:t>
            </w:r>
            <w:r w:rsidR="0075416A" w:rsidRPr="00A025C9">
              <w:rPr>
                <w:rFonts w:ascii="Times New Roman" w:hAnsi="Times New Roman" w:cs="Times New Roman"/>
                <w:noProof/>
                <w:sz w:val="20"/>
                <w:szCs w:val="20"/>
                <w:lang w:val="en-GB"/>
              </w:rPr>
              <w:t> </w:t>
            </w:r>
            <w:r w:rsidRPr="00A025C9">
              <w:rPr>
                <w:rFonts w:ascii="Times New Roman" w:hAnsi="Times New Roman" w:cs="Times New Roman"/>
                <w:noProof/>
                <w:sz w:val="20"/>
                <w:szCs w:val="20"/>
                <w:lang w:val="en-GB"/>
              </w:rPr>
              <w:t>000 training diplomas on basic digital skills in the areas of, among others, digital literacy, communication, media literacy, digital content creation, digital security, digital entrepreneurial education.</w:t>
            </w:r>
          </w:p>
        </w:tc>
      </w:tr>
      <w:tr w:rsidR="00A437C8" w:rsidRPr="00A025C9" w14:paraId="28779A73" w14:textId="77777777" w:rsidTr="00A025C9">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FDDD97B" w14:textId="77777777" w:rsidR="00A437C8" w:rsidRPr="00A025C9" w:rsidRDefault="00A437C8">
            <w:pPr>
              <w:spacing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190</w:t>
            </w:r>
          </w:p>
        </w:tc>
        <w:tc>
          <w:tcPr>
            <w:tcW w:w="2101" w:type="dxa"/>
            <w:tcBorders>
              <w:top w:val="single" w:sz="4" w:space="0" w:color="auto"/>
              <w:left w:val="nil"/>
              <w:bottom w:val="single" w:sz="4" w:space="0" w:color="auto"/>
              <w:right w:val="single" w:sz="4" w:space="0" w:color="auto"/>
            </w:tcBorders>
            <w:shd w:val="clear" w:color="auto" w:fill="C6EFCE"/>
            <w:noWrap/>
          </w:tcPr>
          <w:p w14:paraId="3CED1D39"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Investment 19.a. Upskilling/reskilling of employees in firms</w:t>
            </w:r>
          </w:p>
        </w:tc>
        <w:tc>
          <w:tcPr>
            <w:tcW w:w="1226" w:type="dxa"/>
            <w:tcBorders>
              <w:top w:val="single" w:sz="4" w:space="0" w:color="auto"/>
              <w:left w:val="nil"/>
              <w:bottom w:val="single" w:sz="4" w:space="0" w:color="auto"/>
              <w:right w:val="single" w:sz="4" w:space="0" w:color="auto"/>
            </w:tcBorders>
            <w:shd w:val="clear" w:color="auto" w:fill="C6EFCE"/>
            <w:noWrap/>
          </w:tcPr>
          <w:p w14:paraId="6F86EFDE"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90" w:type="dxa"/>
            <w:tcBorders>
              <w:top w:val="single" w:sz="4" w:space="0" w:color="auto"/>
              <w:left w:val="nil"/>
              <w:bottom w:val="single" w:sz="4" w:space="0" w:color="auto"/>
              <w:right w:val="single" w:sz="4" w:space="0" w:color="auto"/>
            </w:tcBorders>
            <w:shd w:val="clear" w:color="auto" w:fill="C6EFCE"/>
            <w:noWrap/>
          </w:tcPr>
          <w:p w14:paraId="26AD0186" w14:textId="77777777" w:rsidR="00A437C8" w:rsidRPr="00A025C9" w:rsidRDefault="00A437C8">
            <w:pPr>
              <w:spacing w:line="240" w:lineRule="auto"/>
              <w:jc w:val="both"/>
              <w:rPr>
                <w:rFonts w:ascii="Times New Roman" w:hAnsi="Times New Roman" w:cs="Times New Roman"/>
                <w:noProof/>
                <w:sz w:val="20"/>
                <w:szCs w:val="20"/>
              </w:rPr>
            </w:pPr>
            <w:r w:rsidRPr="00A025C9">
              <w:rPr>
                <w:rFonts w:ascii="Times New Roman" w:hAnsi="Times New Roman" w:cs="Times New Roman"/>
                <w:noProof/>
                <w:sz w:val="20"/>
                <w:szCs w:val="20"/>
              </w:rPr>
              <w:t xml:space="preserve">Training of SMEs staff in digital skills </w:t>
            </w:r>
          </w:p>
        </w:tc>
        <w:tc>
          <w:tcPr>
            <w:tcW w:w="1734" w:type="dxa"/>
            <w:tcBorders>
              <w:top w:val="single" w:sz="4" w:space="0" w:color="auto"/>
              <w:left w:val="nil"/>
              <w:bottom w:val="single" w:sz="4" w:space="0" w:color="auto"/>
              <w:right w:val="single" w:sz="4" w:space="0" w:color="auto"/>
            </w:tcBorders>
            <w:shd w:val="clear" w:color="auto" w:fill="C6EFCE"/>
            <w:noWrap/>
          </w:tcPr>
          <w:p w14:paraId="56203E7B" w14:textId="77777777" w:rsidR="00A437C8" w:rsidRPr="00A025C9" w:rsidRDefault="00A437C8">
            <w:pPr>
              <w:spacing w:line="240" w:lineRule="auto"/>
              <w:jc w:val="both"/>
              <w:rPr>
                <w:rFonts w:ascii="Times New Roman" w:hAnsi="Times New Roman" w:cs="Times New Roman"/>
                <w:noProof/>
                <w:sz w:val="20"/>
                <w:szCs w:val="20"/>
                <w:highlight w:val="yellow"/>
                <w:lang w:val="en-GB"/>
              </w:rPr>
            </w:pPr>
            <w:r w:rsidRPr="00A025C9">
              <w:rPr>
                <w:rFonts w:ascii="Times New Roman" w:hAnsi="Times New Roman" w:cs="Times New Roman"/>
                <w:noProof/>
                <w:sz w:val="20"/>
                <w:szCs w:val="20"/>
                <w:lang w:val="en-GB"/>
              </w:rPr>
              <w:t xml:space="preserve"> Delivery of the trainings </w:t>
            </w:r>
          </w:p>
        </w:tc>
        <w:tc>
          <w:tcPr>
            <w:tcW w:w="970" w:type="dxa"/>
            <w:tcBorders>
              <w:top w:val="single" w:sz="4" w:space="0" w:color="auto"/>
              <w:left w:val="nil"/>
              <w:bottom w:val="single" w:sz="4" w:space="0" w:color="auto"/>
              <w:right w:val="single" w:sz="4" w:space="0" w:color="auto"/>
            </w:tcBorders>
            <w:shd w:val="clear" w:color="auto" w:fill="C6EFCE"/>
            <w:noWrap/>
          </w:tcPr>
          <w:p w14:paraId="2E09D57E"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4A501053"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7C8F19EA" w14:textId="77777777" w:rsidR="00A437C8" w:rsidRPr="00A025C9" w:rsidRDefault="00A437C8">
            <w:pPr>
              <w:spacing w:after="0" w:line="240" w:lineRule="auto"/>
              <w:jc w:val="both"/>
              <w:rPr>
                <w:rFonts w:ascii="Times New Roman" w:hAnsi="Times New Roman" w:cs="Times New Roman"/>
                <w:noProof/>
                <w:sz w:val="20"/>
                <w:szCs w:val="20"/>
                <w:lang w:val="en-GB"/>
              </w:rPr>
            </w:pPr>
          </w:p>
          <w:p w14:paraId="18E21714"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349C117D"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Q1 </w:t>
            </w:r>
          </w:p>
        </w:tc>
        <w:tc>
          <w:tcPr>
            <w:tcW w:w="705" w:type="dxa"/>
            <w:tcBorders>
              <w:top w:val="single" w:sz="4" w:space="0" w:color="auto"/>
              <w:left w:val="nil"/>
              <w:bottom w:val="single" w:sz="4" w:space="0" w:color="auto"/>
              <w:right w:val="single" w:sz="4" w:space="0" w:color="auto"/>
            </w:tcBorders>
            <w:shd w:val="clear" w:color="auto" w:fill="C6EFCE"/>
            <w:noWrap/>
          </w:tcPr>
          <w:p w14:paraId="6257BD3A"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5B034B96"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rPr>
              <w:t xml:space="preserve">Acceptance certificates signed by the contracting entity proving the delivery of the trainings in digital skills to SMEs employees. </w:t>
            </w:r>
          </w:p>
        </w:tc>
      </w:tr>
    </w:tbl>
    <w:p w14:paraId="0F6D0945" w14:textId="77777777" w:rsidR="00A437C8" w:rsidRPr="00291374" w:rsidRDefault="00A437C8" w:rsidP="00A437C8">
      <w:pPr>
        <w:spacing w:before="120" w:after="120" w:line="240" w:lineRule="auto"/>
        <w:jc w:val="both"/>
        <w:rPr>
          <w:rFonts w:ascii="Times New Roman" w:hAnsi="Times New Roman" w:cs="Times New Roman"/>
          <w:noProof/>
          <w:lang w:val="en-GB"/>
        </w:rPr>
      </w:pPr>
    </w:p>
    <w:p w14:paraId="65094739" w14:textId="77777777" w:rsidR="00A437C8" w:rsidRPr="00291374" w:rsidRDefault="00A437C8" w:rsidP="00A437C8">
      <w:pPr>
        <w:spacing w:before="120" w:after="0" w:line="240" w:lineRule="auto"/>
        <w:ind w:left="840"/>
        <w:jc w:val="both"/>
        <w:textAlignment w:val="baseline"/>
        <w:rPr>
          <w:rFonts w:ascii="Times New Roman" w:eastAsia="Times New Roman" w:hAnsi="Times New Roman" w:cs="Times New Roman"/>
          <w:noProof/>
          <w:lang w:val="en-GB"/>
        </w:rPr>
        <w:sectPr w:rsidR="00A437C8" w:rsidRPr="00291374" w:rsidSect="00A437C8">
          <w:headerReference w:type="even" r:id="rId168"/>
          <w:headerReference w:type="default" r:id="rId169"/>
          <w:footerReference w:type="even" r:id="rId170"/>
          <w:footerReference w:type="default" r:id="rId171"/>
          <w:headerReference w:type="first" r:id="rId172"/>
          <w:footerReference w:type="first" r:id="rId173"/>
          <w:pgSz w:w="16839" w:h="11907" w:orient="landscape"/>
          <w:pgMar w:top="1134" w:right="1134" w:bottom="1134" w:left="1134" w:header="567" w:footer="567" w:gutter="0"/>
          <w:cols w:space="708"/>
          <w:docGrid w:linePitch="360"/>
        </w:sectPr>
      </w:pPr>
    </w:p>
    <w:p w14:paraId="2FFE4786" w14:textId="77777777" w:rsidR="00A437C8" w:rsidRPr="00291374" w:rsidRDefault="00A437C8" w:rsidP="00A437C8">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G.3. </w:t>
      </w:r>
      <w:r w:rsidRPr="00291374">
        <w:rPr>
          <w:rFonts w:ascii="Times New Roman" w:hAnsi="Times New Roman" w:cs="Times New Roman"/>
          <w:noProof/>
          <w:lang w:val="en-GB"/>
        </w:rPr>
        <w:tab/>
      </w:r>
      <w:r w:rsidRPr="00291374">
        <w:rPr>
          <w:rFonts w:ascii="Times New Roman" w:hAnsi="Times New Roman" w:cs="Times New Roman"/>
          <w:b/>
          <w:noProof/>
          <w:lang w:val="en-GB"/>
        </w:rPr>
        <w:t xml:space="preserve">Description of the reforms and investments for the loan </w:t>
      </w:r>
    </w:p>
    <w:p w14:paraId="490AB626" w14:textId="77777777" w:rsidR="00A437C8" w:rsidRPr="00291374" w:rsidRDefault="00A437C8" w:rsidP="00A437C8">
      <w:pPr>
        <w:suppressAutoHyphens/>
        <w:autoSpaceDN w:val="0"/>
        <w:spacing w:before="240" w:after="0" w:line="240" w:lineRule="auto"/>
        <w:jc w:val="both"/>
        <w:textAlignment w:val="baseline"/>
        <w:rPr>
          <w:rFonts w:ascii="Times New Roman" w:eastAsia="NSimSun" w:hAnsi="Times New Roman" w:cs="Times New Roman"/>
          <w:noProof/>
          <w:kern w:val="3"/>
        </w:rPr>
      </w:pPr>
      <w:r w:rsidRPr="00291374">
        <w:rPr>
          <w:rFonts w:ascii="Times New Roman" w:eastAsia="NSimSun" w:hAnsi="Times New Roman" w:cs="Times New Roman"/>
          <w:noProof/>
          <w:kern w:val="3"/>
          <w:u w:val="single"/>
          <w:lang w:val="en-GB"/>
        </w:rPr>
        <w:t xml:space="preserve">Investment 18. Digital transformation and Robotic Process Automation in public administration </w:t>
      </w:r>
    </w:p>
    <w:p w14:paraId="3AFA9ACF" w14:textId="77777777" w:rsidR="00A437C8" w:rsidRPr="00291374" w:rsidRDefault="00A437C8" w:rsidP="00A437C8">
      <w:pPr>
        <w:suppressAutoHyphens/>
        <w:autoSpaceDN w:val="0"/>
        <w:spacing w:before="240" w:after="0" w:line="240" w:lineRule="auto"/>
        <w:jc w:val="both"/>
        <w:textAlignment w:val="baseline"/>
        <w:rPr>
          <w:rFonts w:ascii="Times New Roman" w:eastAsia="Times New Roman" w:hAnsi="Times New Roman" w:cs="Times New Roman"/>
          <w:noProof/>
          <w:kern w:val="3"/>
          <w:lang w:val="en-GB"/>
        </w:rPr>
      </w:pPr>
      <w:r w:rsidRPr="00291374">
        <w:rPr>
          <w:rFonts w:ascii="Times New Roman" w:eastAsia="Times New Roman" w:hAnsi="Times New Roman" w:cs="Times New Roman"/>
          <w:noProof/>
          <w:kern w:val="3"/>
          <w:lang w:val="en-GB"/>
        </w:rPr>
        <w:t>The objective of this investment is to support the digital transformation, increase productivity and resilience, reduce errors and time to process (citizens) requests the public administration by adopting Robotic Process Automation solutions (automation of laborious, repetitive and rules-based tasks).</w:t>
      </w:r>
    </w:p>
    <w:p w14:paraId="3B11CA38" w14:textId="77777777" w:rsidR="00A437C8" w:rsidRPr="00291374" w:rsidRDefault="00A437C8" w:rsidP="00A437C8">
      <w:pPr>
        <w:suppressAutoHyphens/>
        <w:autoSpaceDN w:val="0"/>
        <w:spacing w:before="120" w:after="120" w:line="240" w:lineRule="auto"/>
        <w:jc w:val="both"/>
        <w:textAlignment w:val="baseline"/>
        <w:rPr>
          <w:rFonts w:ascii="Times New Roman" w:eastAsia="Times New Roman" w:hAnsi="Times New Roman" w:cs="Times New Roman"/>
          <w:noProof/>
          <w:color w:val="000000" w:themeColor="text1"/>
          <w:kern w:val="3"/>
          <w:lang w:val="en-GB"/>
        </w:rPr>
      </w:pPr>
      <w:r w:rsidRPr="00291374">
        <w:rPr>
          <w:rFonts w:ascii="Times New Roman" w:eastAsia="Times New Roman" w:hAnsi="Times New Roman" w:cs="Times New Roman"/>
          <w:noProof/>
          <w:kern w:val="3"/>
          <w:lang w:val="en-GB"/>
        </w:rPr>
        <w:t xml:space="preserve">The investment consists in the put into operation of advanced technologies, redefining business process reengineering and supporting the decision-making processes for the public sector. </w:t>
      </w:r>
    </w:p>
    <w:p w14:paraId="3487AA13" w14:textId="77777777" w:rsidR="00A437C8" w:rsidRPr="00291374" w:rsidRDefault="00A437C8" w:rsidP="00A437C8">
      <w:pPr>
        <w:suppressAutoHyphens/>
        <w:autoSpaceDN w:val="0"/>
        <w:spacing w:before="120" w:after="0" w:line="240" w:lineRule="auto"/>
        <w:jc w:val="both"/>
        <w:textAlignment w:val="baseline"/>
        <w:rPr>
          <w:rFonts w:ascii="Times New Roman" w:eastAsiaTheme="majorEastAsia" w:hAnsi="Times New Roman" w:cs="Times New Roman"/>
          <w:noProof/>
          <w:kern w:val="3"/>
          <w:u w:val="single"/>
          <w:lang w:val="en-GB"/>
        </w:rPr>
      </w:pPr>
      <w:r w:rsidRPr="00291374" w:rsidDel="44E2377A">
        <w:rPr>
          <w:rFonts w:ascii="Times New Roman" w:eastAsia="NSimSun" w:hAnsi="Times New Roman" w:cs="Times New Roman"/>
          <w:noProof/>
          <w:u w:val="single"/>
          <w:lang w:val="en-GB"/>
        </w:rPr>
        <w:t xml:space="preserve">Investment 19. </w:t>
      </w:r>
      <w:r w:rsidRPr="00291374">
        <w:rPr>
          <w:rFonts w:ascii="Times New Roman" w:eastAsia="NSimSun" w:hAnsi="Times New Roman" w:cs="Times New Roman"/>
          <w:noProof/>
          <w:u w:val="single"/>
          <w:lang w:val="en-GB"/>
        </w:rPr>
        <w:t xml:space="preserve">Upskilling/reskilling of employees in firms </w:t>
      </w:r>
    </w:p>
    <w:p w14:paraId="53946BAD" w14:textId="29E1B559" w:rsidR="00A437C8" w:rsidRPr="00291374" w:rsidRDefault="00A437C8" w:rsidP="00A437C8">
      <w:pPr>
        <w:spacing w:before="120" w:after="120" w:line="240" w:lineRule="auto"/>
        <w:jc w:val="both"/>
        <w:rPr>
          <w:rFonts w:ascii="Times New Roman" w:eastAsia="Times New Roman" w:hAnsi="Times New Roman" w:cs="Times New Roman"/>
          <w:noProof/>
          <w:lang w:val="en-GB"/>
        </w:rPr>
      </w:pPr>
      <w:r w:rsidRPr="00291374">
        <w:rPr>
          <w:rFonts w:ascii="Times New Roman" w:hAnsi="Times New Roman" w:cs="Times New Roman"/>
          <w:noProof/>
          <w:lang w:val="en-GB"/>
        </w:rPr>
        <w:t>The objective of this investment is to support the digital transformation of small and medium sized enterprises by increasing the digital skills of their employees.The investment consists in supporting the training in digital skills of SMEs employees.</w:t>
      </w:r>
      <w:r w:rsidR="00D23D91">
        <w:rPr>
          <w:rFonts w:ascii="Times New Roman" w:hAnsi="Times New Roman" w:cs="Times New Roman"/>
          <w:noProof/>
          <w:lang w:val="en-GB"/>
        </w:rPr>
        <w:t xml:space="preserve"> </w:t>
      </w:r>
    </w:p>
    <w:p w14:paraId="7FF39E57" w14:textId="77777777" w:rsidR="00A437C8" w:rsidRPr="00291374" w:rsidRDefault="00A437C8" w:rsidP="00A437C8">
      <w:pPr>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This measure is complementary to Investment 19a.: Upskilling/reskilling of employees in firms</w:t>
      </w:r>
    </w:p>
    <w:p w14:paraId="400E6F49" w14:textId="77777777" w:rsidR="00A437C8" w:rsidRPr="00291374" w:rsidRDefault="00A437C8" w:rsidP="00A437C8">
      <w:pPr>
        <w:suppressAutoHyphens/>
        <w:autoSpaceDN w:val="0"/>
        <w:spacing w:before="120" w:after="120" w:line="240" w:lineRule="auto"/>
        <w:jc w:val="both"/>
        <w:textAlignment w:val="baseline"/>
        <w:rPr>
          <w:rFonts w:ascii="Times New Roman" w:eastAsia="Times New Roman" w:hAnsi="Times New Roman" w:cs="Times New Roman"/>
          <w:noProof/>
          <w:kern w:val="3"/>
          <w:lang w:val="en-GB"/>
        </w:rPr>
      </w:pPr>
    </w:p>
    <w:p w14:paraId="04D00AC8" w14:textId="77777777" w:rsidR="00A437C8" w:rsidRPr="00291374" w:rsidRDefault="00A437C8" w:rsidP="00A437C8">
      <w:pPr>
        <w:suppressAutoHyphens/>
        <w:autoSpaceDN w:val="0"/>
        <w:spacing w:before="240" w:after="0" w:line="240" w:lineRule="auto"/>
        <w:jc w:val="both"/>
        <w:textAlignment w:val="baseline"/>
        <w:rPr>
          <w:rFonts w:ascii="Times New Roman" w:eastAsia="NSimSun" w:hAnsi="Times New Roman" w:cs="Times New Roman"/>
          <w:noProof/>
          <w:kern w:val="3"/>
          <w:lang w:val="en-GB"/>
        </w:rPr>
      </w:pPr>
    </w:p>
    <w:p w14:paraId="3C3A442B" w14:textId="77777777" w:rsidR="00A437C8" w:rsidRPr="00291374" w:rsidRDefault="00A437C8" w:rsidP="00A437C8">
      <w:pPr>
        <w:spacing w:before="120" w:after="120" w:line="240" w:lineRule="auto"/>
        <w:jc w:val="both"/>
        <w:rPr>
          <w:rFonts w:ascii="Times New Roman" w:hAnsi="Times New Roman" w:cs="Times New Roman"/>
          <w:noProof/>
          <w:lang w:val="en-GB"/>
        </w:rPr>
      </w:pPr>
      <w:bookmarkStart w:id="13" w:name="_Hlk207805154"/>
      <w:r w:rsidRPr="00291374">
        <w:rPr>
          <w:rFonts w:ascii="Times New Roman" w:hAnsi="Times New Roman" w:cs="Times New Roman"/>
          <w:noProof/>
          <w:lang w:val="en-GB"/>
        </w:rPr>
        <w:t xml:space="preserve"> </w:t>
      </w:r>
    </w:p>
    <w:bookmarkEnd w:id="13"/>
    <w:p w14:paraId="2255F13A" w14:textId="77777777" w:rsidR="00A437C8" w:rsidRPr="00291374" w:rsidRDefault="00A437C8" w:rsidP="00A437C8">
      <w:pPr>
        <w:spacing w:before="120" w:after="120" w:line="240" w:lineRule="auto"/>
        <w:ind w:left="850"/>
        <w:jc w:val="both"/>
        <w:rPr>
          <w:rFonts w:ascii="Times New Roman" w:hAnsi="Times New Roman" w:cs="Times New Roman"/>
          <w:noProof/>
          <w:lang w:val="en-GB"/>
        </w:rPr>
        <w:sectPr w:rsidR="00A437C8" w:rsidRPr="00291374" w:rsidSect="00A437C8">
          <w:headerReference w:type="even" r:id="rId174"/>
          <w:headerReference w:type="default" r:id="rId175"/>
          <w:footerReference w:type="even" r:id="rId176"/>
          <w:footerReference w:type="default" r:id="rId177"/>
          <w:headerReference w:type="first" r:id="rId178"/>
          <w:footerReference w:type="first" r:id="rId179"/>
          <w:pgSz w:w="11907" w:h="16839"/>
          <w:pgMar w:top="1134" w:right="1134" w:bottom="1134" w:left="1134" w:header="567" w:footer="567" w:gutter="0"/>
          <w:cols w:space="708"/>
          <w:docGrid w:linePitch="360"/>
        </w:sectPr>
      </w:pPr>
    </w:p>
    <w:p w14:paraId="5613FC1C" w14:textId="77777777" w:rsidR="00A437C8" w:rsidRPr="00291374" w:rsidRDefault="00A437C8" w:rsidP="00A437C8">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G.4. </w:t>
      </w:r>
      <w:r w:rsidRPr="00291374">
        <w:rPr>
          <w:rFonts w:ascii="Times New Roman" w:hAnsi="Times New Roman" w:cs="Times New Roman"/>
          <w:noProof/>
          <w:lang w:val="en-GB"/>
        </w:rPr>
        <w:tab/>
      </w:r>
      <w:r w:rsidRPr="00291374">
        <w:rPr>
          <w:rFonts w:ascii="Times New Roman" w:hAnsi="Times New Roman" w:cs="Times New Roman"/>
          <w:b/>
          <w:noProof/>
          <w:lang w:val="en-GB"/>
        </w:rPr>
        <w:t xml:space="preserve">Milestones, targets, indicators, and timetable for monitoring and implementation for the loan </w:t>
      </w:r>
    </w:p>
    <w:tbl>
      <w:tblPr>
        <w:tblW w:w="15026" w:type="dxa"/>
        <w:jc w:val="center"/>
        <w:tblLayout w:type="fixed"/>
        <w:tblLook w:val="04A0" w:firstRow="1" w:lastRow="0" w:firstColumn="1" w:lastColumn="0" w:noHBand="0" w:noVBand="1"/>
      </w:tblPr>
      <w:tblGrid>
        <w:gridCol w:w="828"/>
        <w:gridCol w:w="1920"/>
        <w:gridCol w:w="1320"/>
        <w:gridCol w:w="1319"/>
        <w:gridCol w:w="1561"/>
        <w:gridCol w:w="1200"/>
        <w:gridCol w:w="1080"/>
        <w:gridCol w:w="840"/>
        <w:gridCol w:w="1080"/>
        <w:gridCol w:w="840"/>
        <w:gridCol w:w="3038"/>
      </w:tblGrid>
      <w:tr w:rsidR="00382D78" w:rsidRPr="00A025C9" w14:paraId="035A0512" w14:textId="77777777" w:rsidTr="006454D6">
        <w:trPr>
          <w:trHeight w:val="939"/>
          <w:tblHeader/>
          <w:jc w:val="center"/>
        </w:trPr>
        <w:tc>
          <w:tcPr>
            <w:tcW w:w="8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7BBA74C"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Seq Num</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50DE261"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Related Measure (Reform or Investment)</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B27FEE"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Milestone / Target</w:t>
            </w:r>
          </w:p>
        </w:tc>
        <w:tc>
          <w:tcPr>
            <w:tcW w:w="131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E27506"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Name</w:t>
            </w:r>
          </w:p>
        </w:tc>
        <w:tc>
          <w:tcPr>
            <w:tcW w:w="156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B03D6C"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 xml:space="preserve">Qualitative indicators </w:t>
            </w:r>
            <w:r w:rsidRPr="00A025C9">
              <w:rPr>
                <w:rFonts w:ascii="Times New Roman" w:hAnsi="Times New Roman" w:cs="Times New Roman"/>
                <w:noProof/>
                <w:sz w:val="20"/>
                <w:szCs w:val="20"/>
                <w:lang w:val="en-GB"/>
              </w:rPr>
              <w:br/>
            </w:r>
            <w:r w:rsidRPr="00A025C9">
              <w:rPr>
                <w:rFonts w:ascii="Times New Roman" w:hAnsi="Times New Roman" w:cs="Times New Roman"/>
                <w:b/>
                <w:noProof/>
                <w:sz w:val="20"/>
                <w:szCs w:val="20"/>
                <w:lang w:val="en-GB"/>
              </w:rPr>
              <w:t>(for milestones)</w:t>
            </w:r>
          </w:p>
        </w:tc>
        <w:tc>
          <w:tcPr>
            <w:tcW w:w="312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03134B3"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 xml:space="preserve">Quantitative indicators </w:t>
            </w:r>
            <w:r w:rsidRPr="00A025C9">
              <w:rPr>
                <w:rFonts w:ascii="Times New Roman" w:hAnsi="Times New Roman" w:cs="Times New Roman"/>
                <w:noProof/>
                <w:sz w:val="20"/>
                <w:szCs w:val="20"/>
                <w:lang w:val="en-GB"/>
              </w:rPr>
              <w:br/>
            </w:r>
            <w:r w:rsidRPr="00A025C9">
              <w:rPr>
                <w:rFonts w:ascii="Times New Roman" w:hAnsi="Times New Roman" w:cs="Times New Roman"/>
                <w:b/>
                <w:noProof/>
                <w:sz w:val="20"/>
                <w:szCs w:val="20"/>
                <w:lang w:val="en-GB"/>
              </w:rPr>
              <w:t>(for targets)</w:t>
            </w:r>
          </w:p>
        </w:tc>
        <w:tc>
          <w:tcPr>
            <w:tcW w:w="1920" w:type="dxa"/>
            <w:gridSpan w:val="2"/>
            <w:tcBorders>
              <w:top w:val="single" w:sz="4" w:space="0" w:color="auto"/>
              <w:left w:val="nil"/>
              <w:bottom w:val="single" w:sz="4" w:space="0" w:color="auto"/>
              <w:right w:val="single" w:sz="4" w:space="0" w:color="auto"/>
            </w:tcBorders>
            <w:shd w:val="clear" w:color="auto" w:fill="BDD7EE"/>
            <w:vAlign w:val="center"/>
            <w:hideMark/>
          </w:tcPr>
          <w:p w14:paraId="1ABF700D"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Indicative timeline for completion</w:t>
            </w:r>
          </w:p>
        </w:tc>
        <w:tc>
          <w:tcPr>
            <w:tcW w:w="30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D3A5EF7"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Description of each milestone and target</w:t>
            </w:r>
          </w:p>
        </w:tc>
      </w:tr>
      <w:tr w:rsidR="00382D78" w:rsidRPr="00A025C9" w14:paraId="3AF62E58" w14:textId="77777777" w:rsidTr="006454D6">
        <w:trPr>
          <w:trHeight w:val="203"/>
          <w:tblHeader/>
          <w:jc w:val="center"/>
        </w:trPr>
        <w:tc>
          <w:tcPr>
            <w:tcW w:w="828" w:type="dxa"/>
            <w:vMerge/>
            <w:tcBorders>
              <w:top w:val="single" w:sz="4" w:space="0" w:color="auto"/>
              <w:left w:val="single" w:sz="4" w:space="0" w:color="auto"/>
              <w:bottom w:val="single" w:sz="4" w:space="0" w:color="auto"/>
              <w:right w:val="single" w:sz="4" w:space="0" w:color="auto"/>
            </w:tcBorders>
            <w:hideMark/>
          </w:tcPr>
          <w:p w14:paraId="2F814720" w14:textId="77777777" w:rsidR="00A437C8" w:rsidRPr="00A025C9" w:rsidRDefault="00A437C8">
            <w:pPr>
              <w:spacing w:before="120" w:after="0" w:line="240" w:lineRule="auto"/>
              <w:jc w:val="center"/>
              <w:rPr>
                <w:rFonts w:ascii="Times New Roman" w:eastAsia="Times New Roman" w:hAnsi="Times New Roman" w:cs="Times New Roman"/>
                <w:b/>
                <w:bCs/>
                <w:noProof/>
                <w:sz w:val="20"/>
                <w:szCs w:val="20"/>
                <w:lang w:val="en-GB" w:eastAsia="en-GB"/>
              </w:rPr>
            </w:pPr>
          </w:p>
        </w:tc>
        <w:tc>
          <w:tcPr>
            <w:tcW w:w="1920" w:type="dxa"/>
            <w:vMerge/>
            <w:tcBorders>
              <w:top w:val="single" w:sz="4" w:space="0" w:color="auto"/>
              <w:left w:val="single" w:sz="4" w:space="0" w:color="auto"/>
              <w:bottom w:val="single" w:sz="4" w:space="0" w:color="auto"/>
              <w:right w:val="single" w:sz="4" w:space="0" w:color="auto"/>
            </w:tcBorders>
            <w:hideMark/>
          </w:tcPr>
          <w:p w14:paraId="0D926A53" w14:textId="77777777" w:rsidR="00A437C8" w:rsidRPr="00A025C9" w:rsidRDefault="00A437C8">
            <w:pPr>
              <w:spacing w:before="120" w:after="0" w:line="240" w:lineRule="auto"/>
              <w:jc w:val="both"/>
              <w:rPr>
                <w:rFonts w:ascii="Times New Roman" w:eastAsia="Times New Roman" w:hAnsi="Times New Roman" w:cs="Times New Roman"/>
                <w:b/>
                <w:bCs/>
                <w:noProof/>
                <w:sz w:val="20"/>
                <w:szCs w:val="20"/>
                <w:lang w:val="en-GB" w:eastAsia="en-GB"/>
              </w:rPr>
            </w:pPr>
          </w:p>
        </w:tc>
        <w:tc>
          <w:tcPr>
            <w:tcW w:w="1320" w:type="dxa"/>
            <w:vMerge/>
            <w:tcBorders>
              <w:top w:val="single" w:sz="4" w:space="0" w:color="auto"/>
              <w:left w:val="single" w:sz="4" w:space="0" w:color="auto"/>
              <w:bottom w:val="single" w:sz="4" w:space="0" w:color="auto"/>
              <w:right w:val="single" w:sz="4" w:space="0" w:color="auto"/>
            </w:tcBorders>
            <w:hideMark/>
          </w:tcPr>
          <w:p w14:paraId="4505A182" w14:textId="77777777" w:rsidR="00A437C8" w:rsidRPr="00A025C9" w:rsidRDefault="00A437C8">
            <w:pPr>
              <w:spacing w:before="120" w:after="0" w:line="240" w:lineRule="auto"/>
              <w:jc w:val="both"/>
              <w:rPr>
                <w:rFonts w:ascii="Times New Roman" w:eastAsia="Times New Roman" w:hAnsi="Times New Roman" w:cs="Times New Roman"/>
                <w:b/>
                <w:bCs/>
                <w:noProof/>
                <w:sz w:val="20"/>
                <w:szCs w:val="20"/>
                <w:lang w:val="en-GB" w:eastAsia="en-GB"/>
              </w:rPr>
            </w:pPr>
          </w:p>
        </w:tc>
        <w:tc>
          <w:tcPr>
            <w:tcW w:w="1319" w:type="dxa"/>
            <w:vMerge/>
            <w:tcBorders>
              <w:top w:val="single" w:sz="4" w:space="0" w:color="auto"/>
              <w:left w:val="single" w:sz="4" w:space="0" w:color="auto"/>
              <w:bottom w:val="single" w:sz="4" w:space="0" w:color="auto"/>
              <w:right w:val="single" w:sz="4" w:space="0" w:color="auto"/>
            </w:tcBorders>
            <w:hideMark/>
          </w:tcPr>
          <w:p w14:paraId="0411CA47" w14:textId="77777777" w:rsidR="00A437C8" w:rsidRPr="00A025C9" w:rsidRDefault="00A437C8">
            <w:pPr>
              <w:spacing w:before="120" w:after="0" w:line="240" w:lineRule="auto"/>
              <w:jc w:val="both"/>
              <w:rPr>
                <w:rFonts w:ascii="Times New Roman" w:eastAsia="Times New Roman" w:hAnsi="Times New Roman" w:cs="Times New Roman"/>
                <w:b/>
                <w:bCs/>
                <w:noProof/>
                <w:sz w:val="20"/>
                <w:szCs w:val="20"/>
                <w:lang w:val="en-GB" w:eastAsia="en-GB"/>
              </w:rPr>
            </w:pPr>
          </w:p>
        </w:tc>
        <w:tc>
          <w:tcPr>
            <w:tcW w:w="1561" w:type="dxa"/>
            <w:vMerge/>
            <w:tcBorders>
              <w:top w:val="single" w:sz="4" w:space="0" w:color="auto"/>
              <w:left w:val="single" w:sz="4" w:space="0" w:color="auto"/>
              <w:bottom w:val="single" w:sz="4" w:space="0" w:color="auto"/>
              <w:right w:val="single" w:sz="4" w:space="0" w:color="auto"/>
            </w:tcBorders>
            <w:hideMark/>
          </w:tcPr>
          <w:p w14:paraId="3989B54C" w14:textId="77777777" w:rsidR="00A437C8" w:rsidRPr="00A025C9" w:rsidRDefault="00A437C8">
            <w:pPr>
              <w:spacing w:before="120" w:after="0" w:line="240" w:lineRule="auto"/>
              <w:jc w:val="both"/>
              <w:rPr>
                <w:rFonts w:ascii="Times New Roman" w:eastAsia="Times New Roman" w:hAnsi="Times New Roman" w:cs="Times New Roman"/>
                <w:b/>
                <w:bCs/>
                <w:noProof/>
                <w:sz w:val="20"/>
                <w:szCs w:val="20"/>
                <w:lang w:val="en-GB" w:eastAsia="en-GB"/>
              </w:rPr>
            </w:pPr>
          </w:p>
        </w:tc>
        <w:tc>
          <w:tcPr>
            <w:tcW w:w="1200" w:type="dxa"/>
            <w:tcBorders>
              <w:top w:val="nil"/>
              <w:left w:val="single" w:sz="4" w:space="0" w:color="auto"/>
              <w:bottom w:val="single" w:sz="4" w:space="0" w:color="auto"/>
              <w:right w:val="single" w:sz="4" w:space="0" w:color="auto"/>
            </w:tcBorders>
            <w:shd w:val="clear" w:color="auto" w:fill="BDD7EE"/>
            <w:vAlign w:val="center"/>
            <w:hideMark/>
          </w:tcPr>
          <w:p w14:paraId="72FD0497"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Unit of measure</w:t>
            </w:r>
          </w:p>
        </w:tc>
        <w:tc>
          <w:tcPr>
            <w:tcW w:w="1080" w:type="dxa"/>
            <w:tcBorders>
              <w:top w:val="nil"/>
              <w:left w:val="nil"/>
              <w:bottom w:val="single" w:sz="4" w:space="0" w:color="auto"/>
              <w:right w:val="single" w:sz="4" w:space="0" w:color="auto"/>
            </w:tcBorders>
            <w:shd w:val="clear" w:color="auto" w:fill="BDD7EE"/>
            <w:vAlign w:val="center"/>
            <w:hideMark/>
          </w:tcPr>
          <w:p w14:paraId="6FA608D8"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Baseline</w:t>
            </w:r>
          </w:p>
        </w:tc>
        <w:tc>
          <w:tcPr>
            <w:tcW w:w="840" w:type="dxa"/>
            <w:tcBorders>
              <w:top w:val="nil"/>
              <w:left w:val="nil"/>
              <w:bottom w:val="single" w:sz="4" w:space="0" w:color="auto"/>
              <w:right w:val="single" w:sz="4" w:space="0" w:color="auto"/>
            </w:tcBorders>
            <w:shd w:val="clear" w:color="auto" w:fill="BDD7EE"/>
            <w:vAlign w:val="center"/>
            <w:hideMark/>
          </w:tcPr>
          <w:p w14:paraId="4FAE2733"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Goal</w:t>
            </w:r>
          </w:p>
        </w:tc>
        <w:tc>
          <w:tcPr>
            <w:tcW w:w="1080" w:type="dxa"/>
            <w:tcBorders>
              <w:top w:val="nil"/>
              <w:left w:val="nil"/>
              <w:bottom w:val="single" w:sz="4" w:space="0" w:color="auto"/>
              <w:right w:val="single" w:sz="4" w:space="0" w:color="auto"/>
            </w:tcBorders>
            <w:shd w:val="clear" w:color="auto" w:fill="BDD7EE"/>
            <w:vAlign w:val="center"/>
            <w:hideMark/>
          </w:tcPr>
          <w:p w14:paraId="6722BC8C"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Quarter</w:t>
            </w:r>
          </w:p>
        </w:tc>
        <w:tc>
          <w:tcPr>
            <w:tcW w:w="840" w:type="dxa"/>
            <w:tcBorders>
              <w:top w:val="nil"/>
              <w:left w:val="nil"/>
              <w:bottom w:val="single" w:sz="4" w:space="0" w:color="auto"/>
              <w:right w:val="single" w:sz="4" w:space="0" w:color="auto"/>
            </w:tcBorders>
            <w:shd w:val="clear" w:color="auto" w:fill="BDD7EE"/>
            <w:vAlign w:val="center"/>
            <w:hideMark/>
          </w:tcPr>
          <w:p w14:paraId="3AA82BB7"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Year</w:t>
            </w:r>
          </w:p>
        </w:tc>
        <w:tc>
          <w:tcPr>
            <w:tcW w:w="3038" w:type="dxa"/>
            <w:vMerge/>
            <w:tcBorders>
              <w:top w:val="single" w:sz="4" w:space="0" w:color="auto"/>
              <w:bottom w:val="single" w:sz="4" w:space="0" w:color="auto"/>
              <w:right w:val="single" w:sz="4" w:space="0" w:color="auto"/>
            </w:tcBorders>
            <w:hideMark/>
          </w:tcPr>
          <w:p w14:paraId="60A1D1B0" w14:textId="77777777" w:rsidR="00A437C8" w:rsidRPr="00A025C9" w:rsidRDefault="00A437C8">
            <w:pPr>
              <w:spacing w:before="120" w:after="0" w:line="240" w:lineRule="auto"/>
              <w:jc w:val="both"/>
              <w:rPr>
                <w:rFonts w:ascii="Times New Roman" w:eastAsia="Times New Roman" w:hAnsi="Times New Roman" w:cs="Times New Roman"/>
                <w:b/>
                <w:bCs/>
                <w:noProof/>
                <w:sz w:val="20"/>
                <w:szCs w:val="20"/>
                <w:lang w:val="en-GB" w:eastAsia="en-GB"/>
              </w:rPr>
            </w:pPr>
          </w:p>
        </w:tc>
      </w:tr>
      <w:tr w:rsidR="00A437C8" w:rsidRPr="00A025C9" w14:paraId="341319CA" w14:textId="77777777">
        <w:trPr>
          <w:trHeight w:val="313"/>
          <w:jc w:val="center"/>
        </w:trPr>
        <w:tc>
          <w:tcPr>
            <w:tcW w:w="828" w:type="dxa"/>
            <w:tcBorders>
              <w:top w:val="single" w:sz="4" w:space="0" w:color="auto"/>
              <w:left w:val="single" w:sz="4" w:space="0" w:color="auto"/>
              <w:bottom w:val="single" w:sz="4" w:space="0" w:color="auto"/>
              <w:right w:val="single" w:sz="4" w:space="0" w:color="auto"/>
            </w:tcBorders>
            <w:shd w:val="clear" w:color="auto" w:fill="C6EFCE"/>
            <w:noWrap/>
            <w:hideMark/>
          </w:tcPr>
          <w:p w14:paraId="115CC4E8" w14:textId="77777777" w:rsidR="00A437C8" w:rsidRPr="00A025C9" w:rsidRDefault="00A437C8">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188</w:t>
            </w:r>
          </w:p>
        </w:tc>
        <w:tc>
          <w:tcPr>
            <w:tcW w:w="1920" w:type="dxa"/>
            <w:tcBorders>
              <w:top w:val="single" w:sz="4" w:space="0" w:color="auto"/>
              <w:left w:val="nil"/>
              <w:bottom w:val="single" w:sz="4" w:space="0" w:color="auto"/>
              <w:right w:val="single" w:sz="4" w:space="0" w:color="auto"/>
            </w:tcBorders>
            <w:shd w:val="clear" w:color="auto" w:fill="C6EFCE"/>
            <w:noWrap/>
            <w:hideMark/>
          </w:tcPr>
          <w:p w14:paraId="2EFAB114" w14:textId="77777777" w:rsidR="00A437C8" w:rsidRPr="00A025C9" w:rsidRDefault="00A437C8">
            <w:pPr>
              <w:spacing w:after="12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Investment 18. Digital transformation and Robotic Process Automation in public administration</w:t>
            </w:r>
          </w:p>
          <w:p w14:paraId="626819F7"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320" w:type="dxa"/>
            <w:tcBorders>
              <w:top w:val="single" w:sz="4" w:space="0" w:color="auto"/>
              <w:left w:val="nil"/>
              <w:bottom w:val="single" w:sz="4" w:space="0" w:color="auto"/>
              <w:right w:val="single" w:sz="4" w:space="0" w:color="auto"/>
            </w:tcBorders>
            <w:shd w:val="clear" w:color="auto" w:fill="C6EFCE"/>
            <w:noWrap/>
            <w:hideMark/>
          </w:tcPr>
          <w:p w14:paraId="4EB9006E"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319" w:type="dxa"/>
            <w:tcBorders>
              <w:top w:val="single" w:sz="4" w:space="0" w:color="auto"/>
              <w:left w:val="nil"/>
              <w:bottom w:val="single" w:sz="4" w:space="0" w:color="auto"/>
              <w:right w:val="single" w:sz="4" w:space="0" w:color="auto"/>
            </w:tcBorders>
            <w:shd w:val="clear" w:color="auto" w:fill="C6EFCE"/>
            <w:noWrap/>
            <w:hideMark/>
          </w:tcPr>
          <w:p w14:paraId="2A5264CA" w14:textId="60B0B22C"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Robotic Process Automation (RPA) and promotion of Artificial Intelligence (AI) in public administration </w:t>
            </w:r>
          </w:p>
        </w:tc>
        <w:tc>
          <w:tcPr>
            <w:tcW w:w="1561" w:type="dxa"/>
            <w:tcBorders>
              <w:top w:val="single" w:sz="4" w:space="0" w:color="auto"/>
              <w:left w:val="nil"/>
              <w:bottom w:val="single" w:sz="4" w:space="0" w:color="auto"/>
              <w:right w:val="single" w:sz="4" w:space="0" w:color="auto"/>
            </w:tcBorders>
            <w:shd w:val="clear" w:color="auto" w:fill="C6EFCE"/>
            <w:noWrap/>
            <w:hideMark/>
          </w:tcPr>
          <w:p w14:paraId="35F1514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w:t>
            </w:r>
          </w:p>
        </w:tc>
        <w:tc>
          <w:tcPr>
            <w:tcW w:w="1200" w:type="dxa"/>
            <w:tcBorders>
              <w:top w:val="nil"/>
              <w:left w:val="nil"/>
              <w:bottom w:val="single" w:sz="4" w:space="0" w:color="auto"/>
              <w:right w:val="single" w:sz="4" w:space="0" w:color="auto"/>
            </w:tcBorders>
            <w:shd w:val="clear" w:color="auto" w:fill="C6EFCE"/>
            <w:noWrap/>
            <w:hideMark/>
          </w:tcPr>
          <w:p w14:paraId="05C7FDF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Number</w:t>
            </w:r>
          </w:p>
        </w:tc>
        <w:tc>
          <w:tcPr>
            <w:tcW w:w="1080" w:type="dxa"/>
            <w:tcBorders>
              <w:top w:val="nil"/>
              <w:left w:val="nil"/>
              <w:bottom w:val="single" w:sz="4" w:space="0" w:color="auto"/>
              <w:right w:val="single" w:sz="4" w:space="0" w:color="auto"/>
            </w:tcBorders>
            <w:shd w:val="clear" w:color="auto" w:fill="C6EFCE"/>
            <w:noWrap/>
            <w:hideMark/>
          </w:tcPr>
          <w:p w14:paraId="6466B92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0</w:t>
            </w:r>
          </w:p>
        </w:tc>
        <w:tc>
          <w:tcPr>
            <w:tcW w:w="840" w:type="dxa"/>
            <w:tcBorders>
              <w:top w:val="nil"/>
              <w:left w:val="nil"/>
              <w:bottom w:val="single" w:sz="4" w:space="0" w:color="auto"/>
              <w:right w:val="single" w:sz="4" w:space="0" w:color="auto"/>
            </w:tcBorders>
            <w:shd w:val="clear" w:color="auto" w:fill="C6EFCE"/>
            <w:noWrap/>
            <w:hideMark/>
          </w:tcPr>
          <w:p w14:paraId="53DA17DC"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18</w:t>
            </w:r>
          </w:p>
        </w:tc>
        <w:tc>
          <w:tcPr>
            <w:tcW w:w="1080" w:type="dxa"/>
            <w:tcBorders>
              <w:top w:val="nil"/>
              <w:left w:val="nil"/>
              <w:bottom w:val="single" w:sz="4" w:space="0" w:color="auto"/>
              <w:right w:val="single" w:sz="4" w:space="0" w:color="auto"/>
            </w:tcBorders>
            <w:shd w:val="clear" w:color="auto" w:fill="C6EFCE"/>
            <w:noWrap/>
            <w:hideMark/>
          </w:tcPr>
          <w:p w14:paraId="70D23513"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840" w:type="dxa"/>
            <w:tcBorders>
              <w:top w:val="nil"/>
              <w:left w:val="nil"/>
              <w:bottom w:val="single" w:sz="4" w:space="0" w:color="auto"/>
              <w:right w:val="single" w:sz="4" w:space="0" w:color="auto"/>
            </w:tcBorders>
            <w:shd w:val="clear" w:color="auto" w:fill="C6EFCE"/>
            <w:noWrap/>
            <w:hideMark/>
          </w:tcPr>
          <w:p w14:paraId="4B4B182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2026</w:t>
            </w:r>
          </w:p>
        </w:tc>
        <w:tc>
          <w:tcPr>
            <w:tcW w:w="3038" w:type="dxa"/>
            <w:tcBorders>
              <w:top w:val="single" w:sz="4" w:space="0" w:color="auto"/>
              <w:left w:val="nil"/>
              <w:bottom w:val="single" w:sz="4" w:space="0" w:color="auto"/>
              <w:right w:val="single" w:sz="4" w:space="0" w:color="auto"/>
            </w:tcBorders>
            <w:shd w:val="clear" w:color="auto" w:fill="C6EFCE"/>
            <w:noWrap/>
            <w:hideMark/>
          </w:tcPr>
          <w:p w14:paraId="1AEA92EC" w14:textId="77777777" w:rsidR="00A437C8" w:rsidRPr="00A025C9" w:rsidRDefault="00A437C8">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This investment shall integrate solutions to support Robotic Process Automation and artificial intelligence for 18 public institutions of the central administration.</w:t>
            </w:r>
          </w:p>
        </w:tc>
      </w:tr>
      <w:tr w:rsidR="00A437C8" w:rsidRPr="00A025C9" w14:paraId="4B1D9D83" w14:textId="77777777">
        <w:trPr>
          <w:trHeight w:val="313"/>
          <w:jc w:val="center"/>
        </w:trPr>
        <w:tc>
          <w:tcPr>
            <w:tcW w:w="828" w:type="dxa"/>
            <w:tcBorders>
              <w:top w:val="nil"/>
              <w:left w:val="single" w:sz="4" w:space="0" w:color="auto"/>
              <w:bottom w:val="single" w:sz="4" w:space="0" w:color="auto"/>
              <w:right w:val="single" w:sz="4" w:space="0" w:color="auto"/>
            </w:tcBorders>
            <w:shd w:val="clear" w:color="auto" w:fill="C6EFCE"/>
            <w:noWrap/>
            <w:hideMark/>
          </w:tcPr>
          <w:p w14:paraId="5BD11ABF" w14:textId="77777777" w:rsidR="00A437C8" w:rsidRPr="00A025C9" w:rsidRDefault="00A437C8">
            <w:pPr>
              <w:spacing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189</w:t>
            </w:r>
          </w:p>
        </w:tc>
        <w:tc>
          <w:tcPr>
            <w:tcW w:w="1920" w:type="dxa"/>
            <w:tcBorders>
              <w:top w:val="nil"/>
              <w:left w:val="nil"/>
              <w:bottom w:val="single" w:sz="4" w:space="0" w:color="auto"/>
              <w:right w:val="single" w:sz="4" w:space="0" w:color="auto"/>
            </w:tcBorders>
            <w:shd w:val="clear" w:color="auto" w:fill="C6EFCE"/>
            <w:noWrap/>
            <w:hideMark/>
          </w:tcPr>
          <w:p w14:paraId="7FFBEC59"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19. Upskilling/reskilling of employees in firms </w:t>
            </w:r>
          </w:p>
        </w:tc>
        <w:tc>
          <w:tcPr>
            <w:tcW w:w="1320" w:type="dxa"/>
            <w:tcBorders>
              <w:top w:val="nil"/>
              <w:left w:val="nil"/>
              <w:bottom w:val="single" w:sz="4" w:space="0" w:color="auto"/>
              <w:right w:val="single" w:sz="4" w:space="0" w:color="auto"/>
            </w:tcBorders>
            <w:shd w:val="clear" w:color="auto" w:fill="C6EFCE"/>
            <w:noWrap/>
            <w:hideMark/>
          </w:tcPr>
          <w:p w14:paraId="7EA6FFCC"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319" w:type="dxa"/>
            <w:tcBorders>
              <w:top w:val="nil"/>
              <w:left w:val="nil"/>
              <w:bottom w:val="single" w:sz="4" w:space="0" w:color="auto"/>
              <w:right w:val="single" w:sz="4" w:space="0" w:color="auto"/>
            </w:tcBorders>
            <w:shd w:val="clear" w:color="auto" w:fill="C6EFCE"/>
            <w:noWrap/>
            <w:hideMark/>
          </w:tcPr>
          <w:p w14:paraId="67B043D8"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Launch of the call for ‘Grant Support for Digital Skills’</w:t>
            </w:r>
          </w:p>
        </w:tc>
        <w:tc>
          <w:tcPr>
            <w:tcW w:w="1561" w:type="dxa"/>
            <w:tcBorders>
              <w:top w:val="nil"/>
              <w:left w:val="nil"/>
              <w:bottom w:val="single" w:sz="4" w:space="0" w:color="auto"/>
              <w:right w:val="single" w:sz="4" w:space="0" w:color="auto"/>
            </w:tcBorders>
            <w:shd w:val="clear" w:color="auto" w:fill="C6EFCE"/>
            <w:noWrap/>
            <w:hideMark/>
          </w:tcPr>
          <w:p w14:paraId="7027B6B8"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Publication of the call</w:t>
            </w:r>
          </w:p>
        </w:tc>
        <w:tc>
          <w:tcPr>
            <w:tcW w:w="1200" w:type="dxa"/>
            <w:tcBorders>
              <w:top w:val="nil"/>
              <w:left w:val="nil"/>
              <w:bottom w:val="single" w:sz="4" w:space="0" w:color="auto"/>
              <w:right w:val="single" w:sz="4" w:space="0" w:color="auto"/>
            </w:tcBorders>
            <w:shd w:val="clear" w:color="auto" w:fill="C6EFCE"/>
            <w:noWrap/>
            <w:hideMark/>
          </w:tcPr>
          <w:p w14:paraId="3E999759"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1080" w:type="dxa"/>
            <w:tcBorders>
              <w:top w:val="nil"/>
              <w:left w:val="nil"/>
              <w:bottom w:val="single" w:sz="4" w:space="0" w:color="auto"/>
              <w:right w:val="single" w:sz="4" w:space="0" w:color="auto"/>
            </w:tcBorders>
            <w:shd w:val="clear" w:color="auto" w:fill="C6EFCE"/>
            <w:noWrap/>
            <w:hideMark/>
          </w:tcPr>
          <w:p w14:paraId="254FF764"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840" w:type="dxa"/>
            <w:tcBorders>
              <w:top w:val="nil"/>
              <w:left w:val="nil"/>
              <w:bottom w:val="single" w:sz="4" w:space="0" w:color="auto"/>
              <w:right w:val="single" w:sz="4" w:space="0" w:color="auto"/>
            </w:tcBorders>
            <w:shd w:val="clear" w:color="auto" w:fill="C6EFCE"/>
            <w:noWrap/>
            <w:hideMark/>
          </w:tcPr>
          <w:p w14:paraId="07D28ACD"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1080" w:type="dxa"/>
            <w:tcBorders>
              <w:top w:val="nil"/>
              <w:left w:val="nil"/>
              <w:bottom w:val="single" w:sz="4" w:space="0" w:color="auto"/>
              <w:right w:val="single" w:sz="4" w:space="0" w:color="auto"/>
            </w:tcBorders>
            <w:shd w:val="clear" w:color="auto" w:fill="C6EFCE"/>
            <w:noWrap/>
            <w:hideMark/>
          </w:tcPr>
          <w:p w14:paraId="33239B49"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Q1</w:t>
            </w:r>
          </w:p>
        </w:tc>
        <w:tc>
          <w:tcPr>
            <w:tcW w:w="840" w:type="dxa"/>
            <w:tcBorders>
              <w:top w:val="nil"/>
              <w:left w:val="nil"/>
              <w:bottom w:val="single" w:sz="4" w:space="0" w:color="auto"/>
              <w:right w:val="single" w:sz="4" w:space="0" w:color="auto"/>
            </w:tcBorders>
            <w:shd w:val="clear" w:color="auto" w:fill="C6EFCE"/>
            <w:noWrap/>
            <w:hideMark/>
          </w:tcPr>
          <w:p w14:paraId="78091DED"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038" w:type="dxa"/>
            <w:tcBorders>
              <w:top w:val="nil"/>
              <w:left w:val="nil"/>
              <w:bottom w:val="single" w:sz="4" w:space="0" w:color="auto"/>
              <w:right w:val="single" w:sz="4" w:space="0" w:color="auto"/>
            </w:tcBorders>
            <w:shd w:val="clear" w:color="auto" w:fill="C6EFCE"/>
            <w:noWrap/>
            <w:hideMark/>
          </w:tcPr>
          <w:p w14:paraId="10CE0835" w14:textId="77777777" w:rsidR="00A437C8" w:rsidRPr="00A025C9" w:rsidRDefault="00A437C8">
            <w:pPr>
              <w:spacing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Call for grants for supporting SMEs in training for digital skills such as digital tools and equipment, strengthening digital skills, including skills related to cloud technologies, and technologies specific to Industry 4.0.</w:t>
            </w:r>
          </w:p>
        </w:tc>
      </w:tr>
    </w:tbl>
    <w:p w14:paraId="4A3096A3" w14:textId="77777777" w:rsidR="00A437C8" w:rsidRPr="00291374" w:rsidRDefault="00A437C8" w:rsidP="00A437C8">
      <w:pPr>
        <w:spacing w:before="120" w:after="0" w:line="240" w:lineRule="auto"/>
        <w:textAlignment w:val="baseline"/>
        <w:rPr>
          <w:rFonts w:ascii="Times New Roman" w:hAnsi="Times New Roman" w:cs="Times New Roman"/>
          <w:noProof/>
        </w:rPr>
        <w:sectPr w:rsidR="00A437C8" w:rsidRPr="00291374" w:rsidSect="00A437C8">
          <w:headerReference w:type="even" r:id="rId180"/>
          <w:headerReference w:type="default" r:id="rId181"/>
          <w:footerReference w:type="even" r:id="rId182"/>
          <w:footerReference w:type="default" r:id="rId183"/>
          <w:headerReference w:type="first" r:id="rId184"/>
          <w:footerReference w:type="first" r:id="rId185"/>
          <w:pgSz w:w="16839" w:h="11907" w:orient="landscape"/>
          <w:pgMar w:top="1134" w:right="1134" w:bottom="1134" w:left="1134" w:header="567" w:footer="567" w:gutter="0"/>
          <w:cols w:space="720"/>
          <w:docGrid w:linePitch="360"/>
        </w:sectPr>
      </w:pPr>
    </w:p>
    <w:p w14:paraId="56792A5D" w14:textId="77777777" w:rsidR="00BE1A15" w:rsidRPr="00291374" w:rsidRDefault="00BE1A15" w:rsidP="00BE1A15">
      <w:pPr>
        <w:keepNext/>
        <w:numPr>
          <w:ilvl w:val="0"/>
          <w:numId w:val="46"/>
        </w:numPr>
        <w:tabs>
          <w:tab w:val="left" w:pos="850"/>
        </w:tabs>
        <w:spacing w:before="360" w:after="120" w:line="240" w:lineRule="auto"/>
        <w:jc w:val="both"/>
        <w:outlineLvl w:val="0"/>
        <w:rPr>
          <w:rFonts w:ascii="Times New Roman" w:hAnsi="Times New Roman" w:cs="Times New Roman"/>
          <w:b/>
          <w:bCs/>
          <w:smallCaps/>
          <w:noProof/>
          <w:lang w:val="en-GB"/>
        </w:rPr>
      </w:pPr>
      <w:r w:rsidRPr="00291374">
        <w:rPr>
          <w:rFonts w:ascii="Times New Roman" w:hAnsi="Times New Roman" w:cs="Times New Roman"/>
          <w:b/>
          <w:smallCaps/>
          <w:noProof/>
          <w:lang w:val="en-GB"/>
        </w:rPr>
        <w:t>COMPONENT 8: Tax and Pensions reforms</w:t>
      </w:r>
    </w:p>
    <w:p w14:paraId="015B03D6"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component includes a set of reforms and investments to address the key challenges in the tax administration, tax system, government budgetary framework, pension system and government support to businesses:</w:t>
      </w:r>
    </w:p>
    <w:p w14:paraId="1BAED840" w14:textId="77777777" w:rsidR="00BE1A15" w:rsidRPr="00291374" w:rsidRDefault="00BE1A15" w:rsidP="00BE1A15">
      <w:pPr>
        <w:numPr>
          <w:ilvl w:val="0"/>
          <w:numId w:val="78"/>
        </w:num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Reform of the tax administration and review of the tax framework to enhance the tax system and to increase the revenue collected by the tax administration. </w:t>
      </w:r>
    </w:p>
    <w:p w14:paraId="1DAAC8E0" w14:textId="77777777" w:rsidR="00BE1A15" w:rsidRPr="00291374" w:rsidRDefault="00BE1A15" w:rsidP="00BE1A15">
      <w:pPr>
        <w:numPr>
          <w:ilvl w:val="0"/>
          <w:numId w:val="78"/>
        </w:num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Reform of the public pension system through a new legislative framework to ensure fiscal sustainability in an environment of ageing population, to correct inequities, to ensure the sustainability and predictability of the system and respect the contributory principle in relation to the beneficiaries of pension entitlements. It also aims at the modernisation of the pension system through digital applications and services. </w:t>
      </w:r>
    </w:p>
    <w:p w14:paraId="3BE8EC24" w14:textId="77777777" w:rsidR="00BE1A15" w:rsidRPr="00291374" w:rsidRDefault="00BE1A15" w:rsidP="00BE1A15">
      <w:pPr>
        <w:numPr>
          <w:ilvl w:val="0"/>
          <w:numId w:val="78"/>
        </w:num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enhancement of the efficiency of public spending, by increasing the transparency of the budget process, enhancing the monitoring and reporting system of the budgetary programmes, prioritising large investment projects, carrying out spending reviews in all public sectors, strengthening the role of the fiscal council. The digitalisation of the budgetary procedures is expected to support these goals.</w:t>
      </w:r>
    </w:p>
    <w:p w14:paraId="71B7EA18" w14:textId="77777777" w:rsidR="00BE1A15" w:rsidRPr="00291374" w:rsidRDefault="00BE1A15" w:rsidP="00BE1A15">
      <w:pPr>
        <w:numPr>
          <w:ilvl w:val="0"/>
          <w:numId w:val="78"/>
        </w:num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Enhancing institutional capacity to forecast pension expenditure through the use of complex economic modelling tools. The main aim of the reform is to expand the capacity to estimate the impact of structural reforms of the pension system in the medium to long term, by increasing the accuracy of the projections and thereby assessing the implication for the sustainability of the pension system.</w:t>
      </w:r>
    </w:p>
    <w:p w14:paraId="379C881D" w14:textId="77777777" w:rsidR="00BE1A15" w:rsidRPr="00291374" w:rsidRDefault="00BE1A15" w:rsidP="00BE1A15">
      <w:pPr>
        <w:numPr>
          <w:ilvl w:val="0"/>
          <w:numId w:val="78"/>
        </w:num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Increasing competitiveness, innovation capacity, productivity and internationalisation of business (especially SMEs) by providing alternative sources of funding through the establishment of a National Development Bank. </w:t>
      </w:r>
    </w:p>
    <w:p w14:paraId="0B1EA1DF"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3134999E" w14:textId="77777777" w:rsidR="00BE1A15" w:rsidRPr="00291374" w:rsidRDefault="00BE1A15" w:rsidP="00BE1A15">
      <w:pPr>
        <w:spacing w:before="120" w:after="120" w:line="240" w:lineRule="auto"/>
        <w:jc w:val="both"/>
        <w:rPr>
          <w:rFonts w:ascii="Times New Roman" w:hAnsi="Times New Roman" w:cs="Times New Roman"/>
          <w:noProof/>
          <w:lang w:val="en-GB"/>
        </w:rPr>
      </w:pPr>
    </w:p>
    <w:p w14:paraId="49F5FF51" w14:textId="77777777" w:rsidR="00BE1A15" w:rsidRPr="00291374" w:rsidRDefault="00BE1A15" w:rsidP="00BE1A15">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H.1. </w:t>
      </w:r>
      <w:r w:rsidRPr="00291374">
        <w:rPr>
          <w:rFonts w:ascii="Times New Roman" w:hAnsi="Times New Roman" w:cs="Times New Roman"/>
          <w:noProof/>
          <w:lang w:val="en-GB"/>
        </w:rPr>
        <w:tab/>
      </w:r>
      <w:r w:rsidRPr="00291374">
        <w:rPr>
          <w:rFonts w:ascii="Times New Roman" w:hAnsi="Times New Roman" w:cs="Times New Roman"/>
          <w:b/>
          <w:noProof/>
          <w:lang w:val="en-GB"/>
        </w:rPr>
        <w:t>Description of the reforms and investments for non-repayable financial support</w:t>
      </w:r>
    </w:p>
    <w:p w14:paraId="7D5093C0" w14:textId="77777777" w:rsidR="00BE1A15" w:rsidRPr="00291374" w:rsidRDefault="00BE1A15" w:rsidP="00BE1A15">
      <w:pPr>
        <w:suppressAutoHyphens/>
        <w:autoSpaceDN w:val="0"/>
        <w:spacing w:before="240" w:after="0" w:line="240" w:lineRule="auto"/>
        <w:jc w:val="both"/>
        <w:textAlignment w:val="baseline"/>
        <w:rPr>
          <w:rFonts w:ascii="Times New Roman" w:eastAsia="NSimSun" w:hAnsi="Times New Roman" w:cs="Times New Roman"/>
          <w:noProof/>
          <w:kern w:val="3"/>
          <w:u w:val="single"/>
          <w:lang w:val="en-GB"/>
        </w:rPr>
      </w:pPr>
      <w:r w:rsidRPr="00291374">
        <w:rPr>
          <w:rFonts w:ascii="Times New Roman" w:eastAsia="NSimSun" w:hAnsi="Times New Roman" w:cs="Times New Roman"/>
          <w:noProof/>
          <w:kern w:val="3"/>
          <w:u w:val="single"/>
          <w:lang w:val="en-GB"/>
        </w:rPr>
        <w:t>Reform 1. Reform of the National Agency for Fiscal Administration (ANAF) through digitalisation</w:t>
      </w:r>
    </w:p>
    <w:p w14:paraId="174117FA" w14:textId="625BE706"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this reform is to address the urgent need for modernisation and digitalisation of ANAF so as to make the tax collection more efficient with the objective to increase the revenue-to-GDP ratio and to decrease the VAT gap.</w:t>
      </w:r>
      <w:r w:rsidR="00D23D91">
        <w:rPr>
          <w:rFonts w:ascii="Times New Roman" w:hAnsi="Times New Roman" w:cs="Times New Roman"/>
          <w:noProof/>
          <w:lang w:val="en-GB"/>
        </w:rPr>
        <w:t xml:space="preserve"> </w:t>
      </w:r>
    </w:p>
    <w:p w14:paraId="37418299"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This reform consists in the entry into force of the relevant legal framework. </w:t>
      </w:r>
    </w:p>
    <w:p w14:paraId="673C0AEF" w14:textId="77777777" w:rsidR="00BE1A15" w:rsidRPr="00291374" w:rsidRDefault="00BE1A15" w:rsidP="00BE1A15">
      <w:pPr>
        <w:suppressAutoHyphens/>
        <w:autoSpaceDN w:val="0"/>
        <w:spacing w:before="240" w:after="0" w:line="240" w:lineRule="auto"/>
        <w:jc w:val="both"/>
        <w:textAlignment w:val="baseline"/>
        <w:rPr>
          <w:rFonts w:ascii="Times New Roman" w:eastAsia="NSimSun" w:hAnsi="Times New Roman" w:cs="Times New Roman"/>
          <w:noProof/>
          <w:kern w:val="3"/>
          <w:u w:val="single"/>
          <w:lang w:val="en-GB"/>
        </w:rPr>
      </w:pPr>
      <w:r w:rsidRPr="00291374">
        <w:rPr>
          <w:rFonts w:ascii="Times New Roman" w:eastAsia="NSimSun" w:hAnsi="Times New Roman" w:cs="Times New Roman"/>
          <w:noProof/>
          <w:kern w:val="3"/>
          <w:u w:val="single"/>
          <w:lang w:val="en-GB"/>
        </w:rPr>
        <w:t>Reform 2. Modernisation of the customs system and establishment of electronic customs</w:t>
      </w:r>
    </w:p>
    <w:p w14:paraId="057C6D7C" w14:textId="77777777" w:rsidR="00BE1A15" w:rsidRPr="00291374" w:rsidRDefault="00BE1A15" w:rsidP="00BE1A15">
      <w:pPr>
        <w:spacing w:before="120" w:after="120" w:line="240" w:lineRule="auto"/>
        <w:jc w:val="both"/>
        <w:rPr>
          <w:rFonts w:ascii="Times New Roman" w:hAnsi="Times New Roman" w:cs="Times New Roman"/>
          <w:noProof/>
        </w:rPr>
      </w:pPr>
      <w:r w:rsidRPr="00291374">
        <w:rPr>
          <w:rFonts w:ascii="Times New Roman" w:hAnsi="Times New Roman" w:cs="Times New Roman"/>
          <w:noProof/>
          <w:lang w:val="en-GB"/>
        </w:rPr>
        <w:t xml:space="preserve">The objective of this reform is to enhance the administrative capacity of the Customs administration and to steer the customs clearance activity towards an electronic environment. </w:t>
      </w:r>
    </w:p>
    <w:p w14:paraId="1180EECA" w14:textId="77777777" w:rsidR="00BE1A15" w:rsidRPr="00291374" w:rsidRDefault="00BE1A15" w:rsidP="00BE1A15">
      <w:pPr>
        <w:spacing w:before="120" w:after="120" w:line="240" w:lineRule="auto"/>
        <w:jc w:val="both"/>
        <w:rPr>
          <w:rFonts w:ascii="Times New Roman" w:hAnsi="Times New Roman" w:cs="Times New Roman"/>
          <w:noProof/>
        </w:rPr>
      </w:pPr>
      <w:r w:rsidRPr="00291374">
        <w:rPr>
          <w:rFonts w:ascii="Times New Roman" w:hAnsi="Times New Roman" w:cs="Times New Roman"/>
          <w:noProof/>
          <w:lang w:val="en-GB"/>
        </w:rPr>
        <w:t>This reform consists in legal act(s)</w:t>
      </w:r>
      <w:r w:rsidRPr="00291374">
        <w:rPr>
          <w:rFonts w:ascii="Times New Roman" w:hAnsi="Times New Roman" w:cs="Times New Roman"/>
          <w:noProof/>
        </w:rPr>
        <w:t xml:space="preserve"> to enhance the functioning of the Customs administration.</w:t>
      </w:r>
    </w:p>
    <w:p w14:paraId="1A556C77" w14:textId="77777777" w:rsidR="00BE1A15" w:rsidRPr="00291374" w:rsidRDefault="00BE1A15" w:rsidP="00BE1A15">
      <w:pPr>
        <w:spacing w:before="120" w:after="120" w:line="240" w:lineRule="auto"/>
        <w:jc w:val="both"/>
        <w:rPr>
          <w:rFonts w:ascii="Times New Roman" w:eastAsia="NSimSun" w:hAnsi="Times New Roman" w:cs="Times New Roman"/>
          <w:noProof/>
          <w:kern w:val="3"/>
          <w:u w:val="single"/>
          <w:lang w:val="en-GB"/>
        </w:rPr>
      </w:pPr>
      <w:r w:rsidRPr="00291374">
        <w:rPr>
          <w:rFonts w:ascii="Times New Roman" w:hAnsi="Times New Roman" w:cs="Times New Roman"/>
          <w:noProof/>
          <w:u w:val="single"/>
          <w:lang w:val="en-GB"/>
        </w:rPr>
        <w:t>Reform 3. Improving the budgetary programming mechanism</w:t>
      </w:r>
    </w:p>
    <w:p w14:paraId="5A2EC3BB"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measure is to enhance the budgetary programming mechanism. </w:t>
      </w:r>
    </w:p>
    <w:p w14:paraId="4F17C71B"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This measure consists in the adoption of legal act(s) to ensure multi-annual budgetary planning, enhance the prioritisation of public investment and introduce systematic spending reviews. </w:t>
      </w:r>
    </w:p>
    <w:p w14:paraId="5E3E3F68" w14:textId="77777777" w:rsidR="00BE1A15" w:rsidRPr="00291374" w:rsidRDefault="00BE1A15" w:rsidP="00BE1A15">
      <w:pPr>
        <w:spacing w:before="120" w:after="120" w:line="240" w:lineRule="auto"/>
        <w:jc w:val="both"/>
        <w:rPr>
          <w:rFonts w:ascii="Times New Roman" w:eastAsia="NSimSun" w:hAnsi="Times New Roman" w:cs="Times New Roman"/>
          <w:noProof/>
          <w:kern w:val="3"/>
          <w:u w:val="single"/>
          <w:lang w:val="en-GB"/>
        </w:rPr>
      </w:pPr>
      <w:r w:rsidRPr="00291374">
        <w:rPr>
          <w:rFonts w:ascii="Times New Roman" w:hAnsi="Times New Roman" w:cs="Times New Roman"/>
          <w:noProof/>
          <w:u w:val="single"/>
          <w:lang w:val="en-GB"/>
        </w:rPr>
        <w:t>Reform 4. Review of the tax framework</w:t>
      </w:r>
    </w:p>
    <w:p w14:paraId="15136881"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measure is to the review Romania’s tax framework. </w:t>
      </w:r>
    </w:p>
    <w:p w14:paraId="249CC9AC"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consists in the adoption of legal act(s) to bring a fairer, and more efficient tax system capable of better supporting the economy and faciitating taxpayers’ compliance.</w:t>
      </w:r>
    </w:p>
    <w:p w14:paraId="2DF196CA" w14:textId="77777777" w:rsidR="00BE1A15" w:rsidRPr="00291374" w:rsidRDefault="00BE1A15" w:rsidP="00BE1A15">
      <w:pPr>
        <w:spacing w:before="120" w:after="120" w:line="240" w:lineRule="auto"/>
        <w:jc w:val="both"/>
        <w:rPr>
          <w:rFonts w:ascii="Times New Roman" w:hAnsi="Times New Roman" w:cs="Times New Roman"/>
          <w:noProof/>
          <w:u w:val="single"/>
          <w:lang w:val="en-GB"/>
        </w:rPr>
      </w:pPr>
      <w:r w:rsidRPr="00291374">
        <w:rPr>
          <w:rFonts w:ascii="Times New Roman" w:hAnsi="Times New Roman" w:cs="Times New Roman"/>
          <w:noProof/>
          <w:u w:val="single"/>
          <w:lang w:val="en-GB"/>
        </w:rPr>
        <w:t>Reform 5. Establishment of the National Development Bank</w:t>
      </w:r>
    </w:p>
    <w:p w14:paraId="28328BEA"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measure is to directly address financial market failures, by providing financing to projects of eligible beneficiaries with a high risk profile but with high potential to create added value and jobs and for which the private sector has little appetite to secure financing. </w:t>
      </w:r>
    </w:p>
    <w:p w14:paraId="362E6341"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This measure consists in having the BND established and active. </w:t>
      </w:r>
    </w:p>
    <w:p w14:paraId="2CA286E3" w14:textId="77777777" w:rsidR="00BE1A15" w:rsidRPr="00291374" w:rsidRDefault="00BE1A15" w:rsidP="00BE1A15">
      <w:pPr>
        <w:spacing w:before="120" w:after="120" w:line="240" w:lineRule="auto"/>
        <w:jc w:val="both"/>
        <w:rPr>
          <w:rFonts w:ascii="Times New Roman" w:eastAsia="NSimSun" w:hAnsi="Times New Roman" w:cs="Times New Roman"/>
          <w:noProof/>
          <w:kern w:val="3"/>
          <w:u w:val="single"/>
          <w:lang w:val="en-GB"/>
        </w:rPr>
      </w:pPr>
      <w:r w:rsidRPr="00291374">
        <w:rPr>
          <w:rFonts w:ascii="Times New Roman" w:hAnsi="Times New Roman" w:cs="Times New Roman"/>
          <w:noProof/>
          <w:u w:val="single"/>
          <w:lang w:val="en-GB"/>
        </w:rPr>
        <w:t>Reform 6. Reform of the public pension system</w:t>
      </w:r>
    </w:p>
    <w:p w14:paraId="721D76DF"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the reform is to introduce a new calculation formula for new pensions and pensions in payment. </w:t>
      </w:r>
    </w:p>
    <w:p w14:paraId="6F6642FE" w14:textId="6731259F"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reform consists in the adoption of legal act(s) on the public pension system, based on input from technical assistance, with the objective of ensuring fiscal sustainability.</w:t>
      </w:r>
      <w:r w:rsidR="00D23D91">
        <w:rPr>
          <w:rFonts w:ascii="Times New Roman" w:hAnsi="Times New Roman" w:cs="Times New Roman"/>
          <w:noProof/>
          <w:lang w:val="en-GB"/>
        </w:rPr>
        <w:t xml:space="preserve"> </w:t>
      </w:r>
    </w:p>
    <w:p w14:paraId="4124FF63" w14:textId="579D8B78" w:rsidR="00BE1A15" w:rsidRPr="00291374" w:rsidRDefault="00BE1A15" w:rsidP="00BE1A15">
      <w:pPr>
        <w:spacing w:before="120" w:after="120" w:line="240" w:lineRule="auto"/>
        <w:jc w:val="both"/>
        <w:rPr>
          <w:rFonts w:ascii="Times New Roman" w:eastAsia="NSimSun" w:hAnsi="Times New Roman" w:cs="Times New Roman"/>
          <w:noProof/>
          <w:kern w:val="3"/>
          <w:u w:val="single"/>
          <w:lang w:val="en-GB"/>
        </w:rPr>
      </w:pPr>
      <w:r w:rsidRPr="00291374">
        <w:rPr>
          <w:rFonts w:ascii="Times New Roman" w:hAnsi="Times New Roman" w:cs="Times New Roman"/>
          <w:noProof/>
          <w:u w:val="single"/>
          <w:lang w:val="en-GB"/>
        </w:rPr>
        <w:t>Investment 1. Facilitating taxpayers’ compliance through</w:t>
      </w:r>
      <w:r w:rsidR="00D23D91">
        <w:rPr>
          <w:rFonts w:ascii="Times New Roman" w:hAnsi="Times New Roman" w:cs="Times New Roman"/>
          <w:noProof/>
          <w:u w:val="single"/>
          <w:lang w:val="en-GB"/>
        </w:rPr>
        <w:t xml:space="preserve"> </w:t>
      </w:r>
      <w:r w:rsidRPr="00291374">
        <w:rPr>
          <w:rFonts w:ascii="Times New Roman" w:hAnsi="Times New Roman" w:cs="Times New Roman"/>
          <w:noProof/>
          <w:u w:val="single"/>
          <w:lang w:val="en-GB"/>
        </w:rPr>
        <w:t>access to digital services</w:t>
      </w:r>
    </w:p>
    <w:p w14:paraId="43664F35"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facilitate taxpayers’ compliance through access to digital services. </w:t>
      </w:r>
    </w:p>
    <w:p w14:paraId="46F980B7"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consists in the creation of different e-services accessible for taxpayers.</w:t>
      </w:r>
    </w:p>
    <w:p w14:paraId="6CCBCBDD" w14:textId="77777777" w:rsidR="00BE1A15" w:rsidRPr="00291374" w:rsidRDefault="00BE1A15" w:rsidP="00BE1A15">
      <w:pPr>
        <w:spacing w:before="120" w:after="120" w:line="240" w:lineRule="auto"/>
        <w:jc w:val="both"/>
        <w:rPr>
          <w:rFonts w:ascii="Times New Roman" w:eastAsia="NSimSun" w:hAnsi="Times New Roman" w:cs="Times New Roman"/>
          <w:noProof/>
          <w:kern w:val="3"/>
          <w:u w:val="single"/>
          <w:lang w:val="en-GB"/>
        </w:rPr>
      </w:pPr>
      <w:r w:rsidRPr="00291374">
        <w:rPr>
          <w:rFonts w:ascii="Times New Roman" w:hAnsi="Times New Roman" w:cs="Times New Roman"/>
          <w:noProof/>
          <w:u w:val="single"/>
          <w:lang w:val="en-GB"/>
        </w:rPr>
        <w:t>Investment 2. Improving tax and tax administration processes</w:t>
      </w:r>
    </w:p>
    <w:p w14:paraId="6158BFE4" w14:textId="5C50892E"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the investment is to</w:t>
      </w:r>
      <w:r w:rsidR="00D23D91">
        <w:rPr>
          <w:rFonts w:ascii="Times New Roman" w:hAnsi="Times New Roman" w:cs="Times New Roman"/>
          <w:noProof/>
          <w:lang w:val="en-GB"/>
        </w:rPr>
        <w:t xml:space="preserve"> </w:t>
      </w:r>
      <w:r w:rsidRPr="00291374">
        <w:rPr>
          <w:rFonts w:ascii="Times New Roman" w:hAnsi="Times New Roman" w:cs="Times New Roman"/>
          <w:noProof/>
          <w:lang w:val="en-GB"/>
        </w:rPr>
        <w:t xml:space="preserve">increase tax compliance, reduce tax avoidance and evasion, and support the achievement of the planned budget revenue by increasing the efficiency of tax collection. </w:t>
      </w:r>
    </w:p>
    <w:p w14:paraId="24C6692B"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consists in the creation of digital platforms, the electronic connection of cash registers, and training for relevant ministry staff.</w:t>
      </w:r>
    </w:p>
    <w:p w14:paraId="6ABD5A34" w14:textId="77777777" w:rsidR="00BE1A15" w:rsidRPr="00291374" w:rsidRDefault="00BE1A15" w:rsidP="00BE1A15">
      <w:pPr>
        <w:spacing w:before="120" w:after="120" w:line="240" w:lineRule="auto"/>
        <w:jc w:val="both"/>
        <w:rPr>
          <w:rFonts w:ascii="Times New Roman" w:eastAsia="NSimSun" w:hAnsi="Times New Roman" w:cs="Times New Roman"/>
          <w:noProof/>
          <w:kern w:val="3"/>
          <w:u w:val="single"/>
          <w:lang w:val="en-GB"/>
        </w:rPr>
      </w:pPr>
      <w:r w:rsidRPr="00291374">
        <w:rPr>
          <w:rFonts w:ascii="Times New Roman" w:hAnsi="Times New Roman" w:cs="Times New Roman"/>
          <w:noProof/>
          <w:u w:val="single"/>
          <w:lang w:val="en-GB"/>
        </w:rPr>
        <w:t>Investment 3. Ensuring the capacity to respond to current and future information challenges, including in the context of the pandemic, through the digital transformation of Ministry of Finance / National Agency for Fiscal Administration</w:t>
      </w:r>
    </w:p>
    <w:p w14:paraId="7D3A76F2"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ensure the capacity to respond to current and future information challenges through the digital transformation of the Ministry of Finance/ANAF. </w:t>
      </w:r>
    </w:p>
    <w:p w14:paraId="46F21DFF"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consists in the acquisition of infrastructure and the reinforcement of cybersecurity at the Ministry of Finance/ANAF.</w:t>
      </w:r>
    </w:p>
    <w:p w14:paraId="517591AF" w14:textId="77777777" w:rsidR="00BE1A15" w:rsidRPr="00291374" w:rsidRDefault="00BE1A15" w:rsidP="00BE1A15">
      <w:pPr>
        <w:spacing w:before="120" w:after="120" w:line="240" w:lineRule="auto"/>
        <w:jc w:val="both"/>
        <w:rPr>
          <w:rFonts w:ascii="Times New Roman" w:hAnsi="Times New Roman" w:cs="Times New Roman"/>
          <w:noProof/>
          <w:u w:val="single"/>
          <w:lang w:val="en-GB"/>
        </w:rPr>
      </w:pPr>
      <w:r w:rsidRPr="00291374">
        <w:rPr>
          <w:rFonts w:ascii="Times New Roman" w:hAnsi="Times New Roman" w:cs="Times New Roman"/>
          <w:noProof/>
          <w:u w:val="single"/>
          <w:lang w:val="en-GB"/>
        </w:rPr>
        <w:t xml:space="preserve">Investment 4. Establishment of electronic customs </w:t>
      </w:r>
    </w:p>
    <w:p w14:paraId="2662BC72"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the investment is to modernise the customs system and introduce electronic customs. </w:t>
      </w:r>
    </w:p>
    <w:p w14:paraId="34E41B09"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consists in upgrading hardware and software systems, along with installing new applications for customs procedures.</w:t>
      </w:r>
    </w:p>
    <w:p w14:paraId="2DEDF5E6"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u w:val="single"/>
          <w:lang w:val="en-GB"/>
        </w:rPr>
        <w:t>Investment 5. Enhancing the budgetary programming mechanism</w:t>
      </w:r>
    </w:p>
    <w:p w14:paraId="1CFF32ED"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enhance the budgetary programming mechanism. </w:t>
      </w:r>
    </w:p>
    <w:p w14:paraId="055174AF" w14:textId="0778032C"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consists in the update and modernisation of the IT system (BUGET_NG) for the preparation and</w:t>
      </w:r>
      <w:r w:rsidR="00D23D91">
        <w:rPr>
          <w:rFonts w:ascii="Times New Roman" w:hAnsi="Times New Roman" w:cs="Times New Roman"/>
          <w:noProof/>
          <w:lang w:val="en-GB"/>
        </w:rPr>
        <w:t xml:space="preserve"> </w:t>
      </w:r>
      <w:r w:rsidRPr="00291374">
        <w:rPr>
          <w:rFonts w:ascii="Times New Roman" w:hAnsi="Times New Roman" w:cs="Times New Roman"/>
          <w:noProof/>
          <w:lang w:val="en-GB"/>
        </w:rPr>
        <w:t xml:space="preserve">management of the national budget. </w:t>
      </w:r>
    </w:p>
    <w:p w14:paraId="20F61519" w14:textId="77777777" w:rsidR="00BE1A15" w:rsidRPr="00291374" w:rsidRDefault="00BE1A15" w:rsidP="00BE1A15">
      <w:pPr>
        <w:spacing w:before="120" w:after="120" w:line="240" w:lineRule="auto"/>
        <w:jc w:val="both"/>
        <w:rPr>
          <w:rFonts w:ascii="Times New Roman" w:hAnsi="Times New Roman" w:cs="Times New Roman"/>
          <w:noProof/>
          <w:lang w:val="en-GB"/>
        </w:rPr>
      </w:pPr>
    </w:p>
    <w:p w14:paraId="1B942A6A"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u w:val="single"/>
          <w:lang w:val="en-GB"/>
        </w:rPr>
        <w:t>Investment 6. Economic modelling instrument (Pension Reform Options Simulation Toolkit) to expand institutional capacity to forecast pension expenditures</w:t>
      </w:r>
    </w:p>
    <w:p w14:paraId="1E2BDF2E"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this investment is to expand institutional capacity to forecast pension expenditures.</w:t>
      </w:r>
    </w:p>
    <w:p w14:paraId="141DA3CE" w14:textId="242C796F"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consists in the upgrade/customise of the Pension Reform Options Simulation Toolkit to the Romanian case and in the training of staff.</w:t>
      </w:r>
      <w:r w:rsidR="00D23D91">
        <w:rPr>
          <w:rFonts w:ascii="Times New Roman" w:hAnsi="Times New Roman" w:cs="Times New Roman"/>
          <w:noProof/>
          <w:lang w:val="en-GB"/>
        </w:rPr>
        <w:t xml:space="preserve"> </w:t>
      </w:r>
    </w:p>
    <w:p w14:paraId="5021E33C" w14:textId="77777777" w:rsidR="00BE1A15" w:rsidRPr="00291374" w:rsidRDefault="00BE1A15" w:rsidP="00BE1A15">
      <w:pPr>
        <w:spacing w:before="120" w:after="120" w:line="240" w:lineRule="auto"/>
        <w:jc w:val="both"/>
        <w:rPr>
          <w:rFonts w:ascii="Times New Roman" w:hAnsi="Times New Roman" w:cs="Times New Roman"/>
          <w:noProof/>
          <w:u w:val="single"/>
          <w:lang w:val="en-GB"/>
        </w:rPr>
      </w:pPr>
      <w:r w:rsidRPr="00291374">
        <w:rPr>
          <w:rFonts w:ascii="Times New Roman" w:hAnsi="Times New Roman" w:cs="Times New Roman"/>
          <w:noProof/>
          <w:u w:val="single"/>
          <w:lang w:val="en-GB"/>
        </w:rPr>
        <w:t xml:space="preserve">Investment 8. Establishment of the National Development Bank </w:t>
      </w:r>
    </w:p>
    <w:p w14:paraId="3F1766FD" w14:textId="77777777" w:rsidR="00BE1A15" w:rsidRPr="00291374" w:rsidRDefault="00BE1A15" w:rsidP="00BE1A15">
      <w:pPr>
        <w:spacing w:before="120" w:after="120" w:line="240" w:lineRule="auto"/>
        <w:jc w:val="both"/>
        <w:rPr>
          <w:rFonts w:ascii="Times New Roman" w:hAnsi="Times New Roman" w:cs="Times New Roman"/>
          <w:noProof/>
          <w:u w:val="single"/>
          <w:lang w:val="en-GB"/>
        </w:rPr>
      </w:pPr>
      <w:r w:rsidRPr="00291374">
        <w:rPr>
          <w:rFonts w:ascii="Times New Roman" w:hAnsi="Times New Roman" w:cs="Times New Roman"/>
          <w:noProof/>
          <w:lang w:val="en-GB"/>
        </w:rPr>
        <w:t xml:space="preserve">The objective of this investment is to ensure that the National Development Bank is equipped and functioning. </w:t>
      </w:r>
    </w:p>
    <w:p w14:paraId="7FD6CADA"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consists in the purchase of software and hardware, ITC services, technical assistance and training of the staff of the National Development Bank to carry out the operations and of the Ministry of Finance staff involved in the assessment of the activity and performance of the bank.</w:t>
      </w:r>
    </w:p>
    <w:p w14:paraId="6E311051" w14:textId="77777777" w:rsidR="00BE1A15" w:rsidRPr="00291374" w:rsidRDefault="00BE1A15" w:rsidP="00BE1A15">
      <w:pPr>
        <w:spacing w:before="120" w:after="120" w:line="240" w:lineRule="auto"/>
        <w:jc w:val="both"/>
        <w:rPr>
          <w:rFonts w:ascii="Times New Roman" w:hAnsi="Times New Roman" w:cs="Times New Roman"/>
          <w:noProof/>
          <w:u w:val="single"/>
          <w:lang w:val="en-GB"/>
        </w:rPr>
      </w:pPr>
      <w:r w:rsidRPr="00291374">
        <w:rPr>
          <w:rFonts w:ascii="Times New Roman" w:hAnsi="Times New Roman" w:cs="Times New Roman"/>
          <w:noProof/>
          <w:u w:val="single"/>
          <w:lang w:val="en-GB"/>
        </w:rPr>
        <w:t>Investment 9. Supporting the process of assessing pension files</w:t>
      </w:r>
    </w:p>
    <w:p w14:paraId="6B4BEED5"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support the digitisation of the pension files, currently stored in different archives and formats, into a single database. </w:t>
      </w:r>
    </w:p>
    <w:p w14:paraId="5B164183" w14:textId="5820AD8D"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consists in the recalculation of pension files based on the new legislation and their digitisation.</w:t>
      </w:r>
      <w:r w:rsidR="00D23D91">
        <w:rPr>
          <w:rFonts w:ascii="Times New Roman" w:hAnsi="Times New Roman" w:cs="Times New Roman"/>
          <w:noProof/>
          <w:lang w:val="en-GB"/>
        </w:rPr>
        <w:t xml:space="preserve"> </w:t>
      </w:r>
    </w:p>
    <w:p w14:paraId="7FDC1A39" w14:textId="68499AF9" w:rsidR="00BE1A15" w:rsidRPr="00291374" w:rsidRDefault="00BE1A15" w:rsidP="00BE1A15">
      <w:pPr>
        <w:spacing w:before="120" w:after="120" w:line="240" w:lineRule="auto"/>
        <w:jc w:val="both"/>
        <w:rPr>
          <w:rFonts w:ascii="Times New Roman" w:hAnsi="Times New Roman" w:cs="Times New Roman"/>
          <w:noProof/>
          <w:u w:val="single"/>
          <w:lang w:val="en-GB"/>
        </w:rPr>
      </w:pPr>
      <w:r w:rsidRPr="00291374">
        <w:rPr>
          <w:rFonts w:ascii="Times New Roman" w:hAnsi="Times New Roman" w:cs="Times New Roman"/>
          <w:noProof/>
          <w:u w:val="single"/>
          <w:lang w:val="en-GB"/>
        </w:rPr>
        <w:t>Investment 10.</w:t>
      </w:r>
      <w:r w:rsidR="00D23D91">
        <w:rPr>
          <w:rFonts w:ascii="Times New Roman" w:hAnsi="Times New Roman" w:cs="Times New Roman"/>
          <w:noProof/>
          <w:u w:val="single"/>
          <w:lang w:val="en-GB"/>
        </w:rPr>
        <w:t xml:space="preserve"> </w:t>
      </w:r>
      <w:r w:rsidRPr="00291374">
        <w:rPr>
          <w:rFonts w:ascii="Times New Roman" w:hAnsi="Times New Roman" w:cs="Times New Roman"/>
          <w:noProof/>
          <w:u w:val="single"/>
          <w:lang w:val="en-GB"/>
        </w:rPr>
        <w:t>Advanced e-services through digitalisation of the pension system</w:t>
      </w:r>
    </w:p>
    <w:p w14:paraId="39E70288"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the investment is to ensure an efficient and advanced e-services through digitalisation of the pension system. </w:t>
      </w:r>
    </w:p>
    <w:p w14:paraId="6E58DEC4" w14:textId="0E6DD140"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consists in the establishment and accessibility to citizens, institutions and government of informatics systems</w:t>
      </w:r>
      <w:r w:rsidR="00D23D91">
        <w:rPr>
          <w:rFonts w:ascii="Times New Roman" w:hAnsi="Times New Roman" w:cs="Times New Roman"/>
          <w:noProof/>
          <w:lang w:val="en-GB"/>
        </w:rPr>
        <w:t xml:space="preserve"> </w:t>
      </w:r>
      <w:r w:rsidRPr="00291374">
        <w:rPr>
          <w:rFonts w:ascii="Times New Roman" w:hAnsi="Times New Roman" w:cs="Times New Roman"/>
          <w:noProof/>
          <w:lang w:val="en-GB"/>
        </w:rPr>
        <w:t>of the National House for Public Pensions (CNPP).</w:t>
      </w:r>
    </w:p>
    <w:p w14:paraId="6266EA5B" w14:textId="77777777" w:rsidR="00BE1A15" w:rsidRPr="00291374" w:rsidRDefault="00BE1A15" w:rsidP="00BE1A15">
      <w:pPr>
        <w:spacing w:before="120" w:after="120" w:line="240" w:lineRule="auto"/>
        <w:jc w:val="both"/>
        <w:rPr>
          <w:rFonts w:ascii="Times New Roman" w:hAnsi="Times New Roman" w:cs="Times New Roman"/>
          <w:noProof/>
          <w:lang w:val="en-GB"/>
        </w:rPr>
      </w:pPr>
    </w:p>
    <w:p w14:paraId="2139874B" w14:textId="77777777" w:rsidR="00BE1A15" w:rsidRPr="00291374" w:rsidRDefault="00BE1A15" w:rsidP="00BE1A15">
      <w:pPr>
        <w:spacing w:before="120" w:after="120" w:line="240" w:lineRule="auto"/>
        <w:jc w:val="both"/>
        <w:rPr>
          <w:rFonts w:ascii="Times New Roman" w:hAnsi="Times New Roman" w:cs="Times New Roman"/>
          <w:noProof/>
          <w:lang w:val="en-GB"/>
        </w:rPr>
        <w:sectPr w:rsidR="00BE1A15" w:rsidRPr="00291374" w:rsidSect="00BE1A15">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08"/>
          <w:docGrid w:linePitch="360"/>
        </w:sectPr>
      </w:pPr>
    </w:p>
    <w:p w14:paraId="370800BE" w14:textId="77777777" w:rsidR="00BE1A15" w:rsidRPr="00291374" w:rsidRDefault="00BE1A15" w:rsidP="00BE1A15">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H.2. </w:t>
      </w:r>
      <w:r w:rsidRPr="00291374">
        <w:rPr>
          <w:rFonts w:ascii="Times New Roman" w:hAnsi="Times New Roman" w:cs="Times New Roman"/>
          <w:noProof/>
          <w:lang w:val="en-GB"/>
        </w:rPr>
        <w:tab/>
      </w:r>
      <w:r w:rsidRPr="00291374">
        <w:rPr>
          <w:rFonts w:ascii="Times New Roman" w:hAnsi="Times New Roman" w:cs="Times New Roman"/>
          <w:b/>
          <w:noProof/>
          <w:lang w:val="en-GB"/>
        </w:rPr>
        <w:t>Milestones, targets, indicators, and timetable for monitoring and implementation for non-repayable financial support</w:t>
      </w:r>
    </w:p>
    <w:tbl>
      <w:tblPr>
        <w:tblW w:w="15730" w:type="dxa"/>
        <w:jc w:val="center"/>
        <w:tblLayout w:type="fixed"/>
        <w:tblLook w:val="04A0" w:firstRow="1" w:lastRow="0" w:firstColumn="1" w:lastColumn="0" w:noHBand="0" w:noVBand="1"/>
      </w:tblPr>
      <w:tblGrid>
        <w:gridCol w:w="842"/>
        <w:gridCol w:w="1833"/>
        <w:gridCol w:w="1268"/>
        <w:gridCol w:w="1557"/>
        <w:gridCol w:w="1560"/>
        <w:gridCol w:w="1197"/>
        <w:gridCol w:w="1129"/>
        <w:gridCol w:w="1269"/>
        <w:gridCol w:w="1128"/>
        <w:gridCol w:w="840"/>
        <w:gridCol w:w="3107"/>
      </w:tblGrid>
      <w:tr w:rsidR="00382D78" w:rsidRPr="00A025C9" w14:paraId="79B679CE" w14:textId="77777777" w:rsidTr="00840998">
        <w:trPr>
          <w:trHeight w:val="300"/>
          <w:tblHeader/>
          <w:jc w:val="center"/>
        </w:trPr>
        <w:tc>
          <w:tcPr>
            <w:tcW w:w="8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115137" w14:textId="77777777" w:rsidR="00BE1A15" w:rsidRPr="00A025C9" w:rsidRDefault="00BE1A15">
            <w:pPr>
              <w:spacing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Seq. Num.</w:t>
            </w:r>
          </w:p>
        </w:tc>
        <w:tc>
          <w:tcPr>
            <w:tcW w:w="18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657CCE" w14:textId="77777777" w:rsidR="00BE1A15" w:rsidRPr="00A025C9" w:rsidRDefault="00BE1A15">
            <w:pPr>
              <w:spacing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Related Measure (Reform or Investment)</w:t>
            </w:r>
          </w:p>
        </w:tc>
        <w:tc>
          <w:tcPr>
            <w:tcW w:w="12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871ABCD" w14:textId="77777777" w:rsidR="00BE1A15" w:rsidRPr="00A025C9" w:rsidRDefault="00BE1A15">
            <w:pPr>
              <w:spacing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Milestone / Target</w:t>
            </w:r>
          </w:p>
        </w:tc>
        <w:tc>
          <w:tcPr>
            <w:tcW w:w="155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D89D75" w14:textId="77777777" w:rsidR="00BE1A15" w:rsidRPr="00A025C9" w:rsidRDefault="00BE1A15">
            <w:pPr>
              <w:spacing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Name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1D5E02" w14:textId="77777777" w:rsidR="00BE1A15" w:rsidRPr="00A025C9" w:rsidRDefault="00BE1A15">
            <w:pPr>
              <w:spacing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 xml:space="preserve">Qualitative indicators </w:t>
            </w:r>
            <w:r w:rsidRPr="00A025C9">
              <w:rPr>
                <w:rFonts w:ascii="Times New Roman" w:hAnsi="Times New Roman" w:cs="Times New Roman"/>
                <w:noProof/>
                <w:sz w:val="20"/>
                <w:szCs w:val="20"/>
                <w:lang w:val="en-GB"/>
              </w:rPr>
              <w:br/>
            </w:r>
            <w:r w:rsidRPr="00A025C9">
              <w:rPr>
                <w:rFonts w:ascii="Times New Roman" w:hAnsi="Times New Roman" w:cs="Times New Roman"/>
                <w:b/>
                <w:noProof/>
                <w:sz w:val="20"/>
                <w:szCs w:val="20"/>
                <w:lang w:val="en-GB"/>
              </w:rPr>
              <w:t>(for milestones)</w:t>
            </w:r>
          </w:p>
        </w:tc>
        <w:tc>
          <w:tcPr>
            <w:tcW w:w="359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1AC37A8" w14:textId="77777777" w:rsidR="00BE1A15" w:rsidRPr="00A025C9" w:rsidRDefault="00BE1A15">
            <w:pPr>
              <w:spacing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 xml:space="preserve">Quantitative indicators </w:t>
            </w:r>
            <w:r w:rsidRPr="00A025C9">
              <w:rPr>
                <w:rFonts w:ascii="Times New Roman" w:hAnsi="Times New Roman" w:cs="Times New Roman"/>
                <w:noProof/>
                <w:sz w:val="20"/>
                <w:szCs w:val="20"/>
                <w:lang w:val="en-GB"/>
              </w:rPr>
              <w:br/>
            </w:r>
            <w:r w:rsidRPr="00A025C9">
              <w:rPr>
                <w:rFonts w:ascii="Times New Roman" w:hAnsi="Times New Roman" w:cs="Times New Roman"/>
                <w:b/>
                <w:noProof/>
                <w:sz w:val="20"/>
                <w:szCs w:val="20"/>
                <w:lang w:val="en-GB"/>
              </w:rPr>
              <w:t>(for targets)</w:t>
            </w:r>
          </w:p>
        </w:tc>
        <w:tc>
          <w:tcPr>
            <w:tcW w:w="1968"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6E02C6D" w14:textId="77777777" w:rsidR="00BE1A15" w:rsidRPr="00A025C9" w:rsidRDefault="00BE1A15">
            <w:pPr>
              <w:spacing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Indicative timeline for completion</w:t>
            </w:r>
          </w:p>
        </w:tc>
        <w:tc>
          <w:tcPr>
            <w:tcW w:w="31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115504E" w14:textId="77777777" w:rsidR="00BE1A15" w:rsidRPr="00A025C9" w:rsidRDefault="00BE1A15">
            <w:pPr>
              <w:spacing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Description of each milestone and target</w:t>
            </w:r>
          </w:p>
        </w:tc>
      </w:tr>
      <w:tr w:rsidR="00382D78" w:rsidRPr="00A025C9" w14:paraId="332E43E6" w14:textId="77777777" w:rsidTr="00840998">
        <w:trPr>
          <w:trHeight w:val="300"/>
          <w:tblHeader/>
          <w:jc w:val="center"/>
        </w:trPr>
        <w:tc>
          <w:tcPr>
            <w:tcW w:w="842" w:type="dxa"/>
            <w:vMerge/>
            <w:tcBorders>
              <w:top w:val="single" w:sz="4" w:space="0" w:color="auto"/>
              <w:left w:val="single" w:sz="4" w:space="0" w:color="auto"/>
              <w:bottom w:val="single" w:sz="4" w:space="0" w:color="auto"/>
              <w:right w:val="single" w:sz="4" w:space="0" w:color="auto"/>
            </w:tcBorders>
            <w:hideMark/>
          </w:tcPr>
          <w:p w14:paraId="686BB9E3" w14:textId="77777777" w:rsidR="00BE1A15" w:rsidRPr="00A025C9" w:rsidRDefault="00BE1A15">
            <w:pPr>
              <w:spacing w:after="0" w:line="240" w:lineRule="auto"/>
              <w:jc w:val="center"/>
              <w:rPr>
                <w:rFonts w:ascii="Times New Roman" w:eastAsia="Times New Roman" w:hAnsi="Times New Roman" w:cs="Times New Roman"/>
                <w:b/>
                <w:bCs/>
                <w:noProof/>
                <w:sz w:val="20"/>
                <w:szCs w:val="20"/>
                <w:lang w:val="en-GB" w:eastAsia="en-GB"/>
              </w:rPr>
            </w:pPr>
          </w:p>
        </w:tc>
        <w:tc>
          <w:tcPr>
            <w:tcW w:w="1833" w:type="dxa"/>
            <w:vMerge/>
            <w:tcBorders>
              <w:top w:val="single" w:sz="4" w:space="0" w:color="auto"/>
              <w:left w:val="single" w:sz="4" w:space="0" w:color="auto"/>
              <w:bottom w:val="single" w:sz="4" w:space="0" w:color="auto"/>
              <w:right w:val="single" w:sz="4" w:space="0" w:color="auto"/>
            </w:tcBorders>
            <w:hideMark/>
          </w:tcPr>
          <w:p w14:paraId="07C72298" w14:textId="77777777" w:rsidR="00BE1A15" w:rsidRPr="00A025C9" w:rsidRDefault="00BE1A15">
            <w:pPr>
              <w:spacing w:after="0" w:line="240" w:lineRule="auto"/>
              <w:jc w:val="both"/>
              <w:rPr>
                <w:rFonts w:ascii="Times New Roman" w:eastAsia="Times New Roman" w:hAnsi="Times New Roman" w:cs="Times New Roman"/>
                <w:b/>
                <w:bCs/>
                <w:noProof/>
                <w:sz w:val="20"/>
                <w:szCs w:val="20"/>
                <w:lang w:val="en-GB" w:eastAsia="en-GB"/>
              </w:rPr>
            </w:pPr>
          </w:p>
        </w:tc>
        <w:tc>
          <w:tcPr>
            <w:tcW w:w="1268" w:type="dxa"/>
            <w:vMerge/>
            <w:tcBorders>
              <w:top w:val="single" w:sz="4" w:space="0" w:color="auto"/>
              <w:left w:val="single" w:sz="4" w:space="0" w:color="auto"/>
              <w:bottom w:val="single" w:sz="4" w:space="0" w:color="auto"/>
              <w:right w:val="single" w:sz="4" w:space="0" w:color="auto"/>
            </w:tcBorders>
            <w:hideMark/>
          </w:tcPr>
          <w:p w14:paraId="7D86CE9F" w14:textId="77777777" w:rsidR="00BE1A15" w:rsidRPr="00A025C9" w:rsidRDefault="00BE1A15">
            <w:pPr>
              <w:spacing w:after="0" w:line="240" w:lineRule="auto"/>
              <w:jc w:val="center"/>
              <w:rPr>
                <w:rFonts w:ascii="Times New Roman" w:eastAsia="Times New Roman" w:hAnsi="Times New Roman" w:cs="Times New Roman"/>
                <w:b/>
                <w:bCs/>
                <w:noProof/>
                <w:sz w:val="20"/>
                <w:szCs w:val="20"/>
                <w:lang w:val="en-GB" w:eastAsia="en-GB"/>
              </w:rPr>
            </w:pPr>
          </w:p>
        </w:tc>
        <w:tc>
          <w:tcPr>
            <w:tcW w:w="1557" w:type="dxa"/>
            <w:vMerge/>
            <w:tcBorders>
              <w:top w:val="single" w:sz="4" w:space="0" w:color="auto"/>
              <w:left w:val="single" w:sz="4" w:space="0" w:color="auto"/>
              <w:bottom w:val="single" w:sz="4" w:space="0" w:color="auto"/>
              <w:right w:val="single" w:sz="4" w:space="0" w:color="auto"/>
            </w:tcBorders>
            <w:hideMark/>
          </w:tcPr>
          <w:p w14:paraId="37B1ACD0" w14:textId="77777777" w:rsidR="00BE1A15" w:rsidRPr="00A025C9" w:rsidRDefault="00BE1A15">
            <w:pPr>
              <w:spacing w:after="0" w:line="240" w:lineRule="auto"/>
              <w:jc w:val="both"/>
              <w:rPr>
                <w:rFonts w:ascii="Times New Roman" w:eastAsia="Times New Roman" w:hAnsi="Times New Roman" w:cs="Times New Roman"/>
                <w:b/>
                <w:bCs/>
                <w:noProof/>
                <w:sz w:val="20"/>
                <w:szCs w:val="20"/>
                <w:lang w:val="en-GB" w:eastAsia="en-GB"/>
              </w:rPr>
            </w:pPr>
          </w:p>
        </w:tc>
        <w:tc>
          <w:tcPr>
            <w:tcW w:w="1560" w:type="dxa"/>
            <w:vMerge/>
            <w:tcBorders>
              <w:top w:val="single" w:sz="4" w:space="0" w:color="auto"/>
              <w:left w:val="single" w:sz="4" w:space="0" w:color="auto"/>
              <w:bottom w:val="single" w:sz="4" w:space="0" w:color="auto"/>
              <w:right w:val="single" w:sz="4" w:space="0" w:color="auto"/>
            </w:tcBorders>
            <w:hideMark/>
          </w:tcPr>
          <w:p w14:paraId="363F7590" w14:textId="77777777" w:rsidR="00BE1A15" w:rsidRPr="00A025C9" w:rsidRDefault="00BE1A15">
            <w:pPr>
              <w:spacing w:after="0" w:line="240" w:lineRule="auto"/>
              <w:jc w:val="both"/>
              <w:rPr>
                <w:rFonts w:ascii="Times New Roman" w:eastAsia="Times New Roman" w:hAnsi="Times New Roman" w:cs="Times New Roman"/>
                <w:b/>
                <w:bCs/>
                <w:noProof/>
                <w:sz w:val="20"/>
                <w:szCs w:val="20"/>
                <w:lang w:val="en-GB" w:eastAsia="en-GB"/>
              </w:rPr>
            </w:pPr>
          </w:p>
        </w:tc>
        <w:tc>
          <w:tcPr>
            <w:tcW w:w="119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B8DF286" w14:textId="77777777" w:rsidR="00BE1A15" w:rsidRPr="00A025C9" w:rsidRDefault="00BE1A15">
            <w:pPr>
              <w:spacing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Unit of measure</w:t>
            </w:r>
          </w:p>
        </w:tc>
        <w:tc>
          <w:tcPr>
            <w:tcW w:w="1129" w:type="dxa"/>
            <w:tcBorders>
              <w:top w:val="single" w:sz="4" w:space="0" w:color="auto"/>
              <w:left w:val="nil"/>
              <w:bottom w:val="single" w:sz="4" w:space="0" w:color="auto"/>
              <w:right w:val="single" w:sz="4" w:space="0" w:color="auto"/>
            </w:tcBorders>
            <w:shd w:val="clear" w:color="auto" w:fill="BDD7EE"/>
            <w:vAlign w:val="center"/>
            <w:hideMark/>
          </w:tcPr>
          <w:p w14:paraId="4F9DD705" w14:textId="77777777" w:rsidR="00BE1A15" w:rsidRPr="00A025C9" w:rsidRDefault="00BE1A15">
            <w:pPr>
              <w:spacing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Baseline</w:t>
            </w:r>
          </w:p>
        </w:tc>
        <w:tc>
          <w:tcPr>
            <w:tcW w:w="1269" w:type="dxa"/>
            <w:tcBorders>
              <w:top w:val="single" w:sz="4" w:space="0" w:color="auto"/>
              <w:left w:val="nil"/>
              <w:bottom w:val="single" w:sz="4" w:space="0" w:color="auto"/>
              <w:right w:val="single" w:sz="4" w:space="0" w:color="auto"/>
            </w:tcBorders>
            <w:shd w:val="clear" w:color="auto" w:fill="BDD7EE"/>
            <w:vAlign w:val="center"/>
            <w:hideMark/>
          </w:tcPr>
          <w:p w14:paraId="754EBA92" w14:textId="77777777" w:rsidR="00BE1A15" w:rsidRPr="00A025C9" w:rsidRDefault="00BE1A15">
            <w:pPr>
              <w:spacing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Goal</w:t>
            </w:r>
          </w:p>
        </w:tc>
        <w:tc>
          <w:tcPr>
            <w:tcW w:w="1128" w:type="dxa"/>
            <w:tcBorders>
              <w:top w:val="single" w:sz="4" w:space="0" w:color="auto"/>
              <w:left w:val="nil"/>
              <w:bottom w:val="single" w:sz="4" w:space="0" w:color="auto"/>
              <w:right w:val="single" w:sz="4" w:space="0" w:color="auto"/>
            </w:tcBorders>
            <w:shd w:val="clear" w:color="auto" w:fill="BDD7EE"/>
            <w:vAlign w:val="center"/>
            <w:hideMark/>
          </w:tcPr>
          <w:p w14:paraId="6858787C" w14:textId="77777777" w:rsidR="00BE1A15" w:rsidRPr="00A025C9" w:rsidRDefault="00BE1A15">
            <w:pPr>
              <w:spacing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Quarter</w:t>
            </w:r>
          </w:p>
        </w:tc>
        <w:tc>
          <w:tcPr>
            <w:tcW w:w="840" w:type="dxa"/>
            <w:tcBorders>
              <w:top w:val="single" w:sz="4" w:space="0" w:color="auto"/>
              <w:left w:val="nil"/>
              <w:bottom w:val="single" w:sz="4" w:space="0" w:color="auto"/>
              <w:right w:val="single" w:sz="4" w:space="0" w:color="auto"/>
            </w:tcBorders>
            <w:shd w:val="clear" w:color="auto" w:fill="BDD7EE"/>
            <w:vAlign w:val="center"/>
            <w:hideMark/>
          </w:tcPr>
          <w:p w14:paraId="25131A38" w14:textId="77777777" w:rsidR="00BE1A15" w:rsidRPr="00A025C9" w:rsidRDefault="00BE1A15">
            <w:pPr>
              <w:spacing w:after="0" w:line="240" w:lineRule="auto"/>
              <w:jc w:val="center"/>
              <w:rPr>
                <w:rFonts w:ascii="Times New Roman" w:eastAsia="Times New Roman" w:hAnsi="Times New Roman" w:cs="Times New Roman"/>
                <w:b/>
                <w:noProof/>
                <w:sz w:val="20"/>
                <w:szCs w:val="20"/>
                <w:lang w:val="en-GB"/>
              </w:rPr>
            </w:pPr>
            <w:r w:rsidRPr="00A025C9">
              <w:rPr>
                <w:rFonts w:ascii="Times New Roman" w:hAnsi="Times New Roman" w:cs="Times New Roman"/>
                <w:b/>
                <w:noProof/>
                <w:sz w:val="20"/>
                <w:szCs w:val="20"/>
                <w:lang w:val="en-GB"/>
              </w:rPr>
              <w:t>Year</w:t>
            </w:r>
          </w:p>
        </w:tc>
        <w:tc>
          <w:tcPr>
            <w:tcW w:w="3107" w:type="dxa"/>
            <w:vMerge/>
            <w:tcBorders>
              <w:top w:val="single" w:sz="4" w:space="0" w:color="auto"/>
              <w:bottom w:val="single" w:sz="4" w:space="0" w:color="auto"/>
              <w:right w:val="single" w:sz="4" w:space="0" w:color="auto"/>
            </w:tcBorders>
            <w:hideMark/>
          </w:tcPr>
          <w:p w14:paraId="68E1A2C5" w14:textId="77777777" w:rsidR="00BE1A15" w:rsidRPr="00A025C9" w:rsidRDefault="00BE1A15">
            <w:pPr>
              <w:spacing w:after="0" w:line="240" w:lineRule="auto"/>
              <w:jc w:val="both"/>
              <w:rPr>
                <w:rFonts w:ascii="Times New Roman" w:eastAsia="Times New Roman" w:hAnsi="Times New Roman" w:cs="Times New Roman"/>
                <w:b/>
                <w:bCs/>
                <w:noProof/>
                <w:sz w:val="20"/>
                <w:szCs w:val="20"/>
                <w:lang w:val="en-GB" w:eastAsia="en-GB"/>
              </w:rPr>
            </w:pPr>
          </w:p>
        </w:tc>
      </w:tr>
      <w:tr w:rsidR="00BE1A15" w:rsidRPr="00A025C9" w14:paraId="6C82560E" w14:textId="77777777">
        <w:trPr>
          <w:trHeight w:val="300"/>
          <w:jc w:val="center"/>
        </w:trPr>
        <w:tc>
          <w:tcPr>
            <w:tcW w:w="842" w:type="dxa"/>
            <w:tcBorders>
              <w:top w:val="single" w:sz="4" w:space="0" w:color="auto"/>
              <w:left w:val="single" w:sz="4" w:space="0" w:color="auto"/>
              <w:bottom w:val="single" w:sz="4" w:space="0" w:color="auto"/>
              <w:right w:val="single" w:sz="4" w:space="0" w:color="auto"/>
            </w:tcBorders>
            <w:shd w:val="clear" w:color="auto" w:fill="C6EFCE"/>
            <w:noWrap/>
          </w:tcPr>
          <w:p w14:paraId="10EF8A5A" w14:textId="77777777" w:rsidR="00BE1A15" w:rsidRPr="00A025C9" w:rsidRDefault="00BE1A15">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191</w:t>
            </w:r>
          </w:p>
        </w:tc>
        <w:tc>
          <w:tcPr>
            <w:tcW w:w="1833" w:type="dxa"/>
            <w:tcBorders>
              <w:top w:val="single" w:sz="4" w:space="0" w:color="auto"/>
              <w:left w:val="nil"/>
              <w:bottom w:val="single" w:sz="4" w:space="0" w:color="auto"/>
              <w:right w:val="single" w:sz="4" w:space="0" w:color="auto"/>
            </w:tcBorders>
            <w:shd w:val="clear" w:color="auto" w:fill="C6EFCE"/>
            <w:noWrap/>
          </w:tcPr>
          <w:p w14:paraId="509B5039"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Reform 1.</w:t>
            </w:r>
          </w:p>
          <w:p w14:paraId="71617704" w14:textId="77777777" w:rsidR="00BE1A15" w:rsidRPr="00A025C9" w:rsidRDefault="00BE1A15">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Reform of the National Agency for Fiscal Administration (ANAF) through digitalisation </w:t>
            </w:r>
          </w:p>
        </w:tc>
        <w:tc>
          <w:tcPr>
            <w:tcW w:w="1268" w:type="dxa"/>
            <w:tcBorders>
              <w:top w:val="single" w:sz="4" w:space="0" w:color="auto"/>
              <w:left w:val="nil"/>
              <w:bottom w:val="single" w:sz="4" w:space="0" w:color="auto"/>
              <w:right w:val="single" w:sz="4" w:space="0" w:color="auto"/>
            </w:tcBorders>
            <w:shd w:val="clear" w:color="auto" w:fill="C6EFCE"/>
            <w:noWrap/>
          </w:tcPr>
          <w:p w14:paraId="431FCC43" w14:textId="77777777" w:rsidR="00BE1A15" w:rsidRPr="00A025C9" w:rsidRDefault="00BE1A15">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single" w:sz="4" w:space="0" w:color="auto"/>
              <w:left w:val="nil"/>
              <w:bottom w:val="single" w:sz="4" w:space="0" w:color="auto"/>
              <w:right w:val="single" w:sz="4" w:space="0" w:color="auto"/>
            </w:tcBorders>
            <w:shd w:val="clear" w:color="auto" w:fill="C6EFCE"/>
            <w:noWrap/>
          </w:tcPr>
          <w:p w14:paraId="35EC1143" w14:textId="77777777" w:rsidR="00BE1A15" w:rsidRPr="00A025C9" w:rsidRDefault="00BE1A15">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Entry into force of the legal framework for the compulsory enrolment of legal person taxpayers in SPV (Virtual Private Space)</w:t>
            </w:r>
          </w:p>
        </w:tc>
        <w:tc>
          <w:tcPr>
            <w:tcW w:w="1560" w:type="dxa"/>
            <w:tcBorders>
              <w:top w:val="single" w:sz="4" w:space="0" w:color="auto"/>
              <w:left w:val="nil"/>
              <w:bottom w:val="single" w:sz="4" w:space="0" w:color="auto"/>
              <w:right w:val="single" w:sz="4" w:space="0" w:color="auto"/>
            </w:tcBorders>
            <w:shd w:val="clear" w:color="auto" w:fill="C6EFCE"/>
            <w:noWrap/>
          </w:tcPr>
          <w:p w14:paraId="3C5F18E6" w14:textId="77777777" w:rsidR="00BE1A15" w:rsidRPr="00A025C9" w:rsidRDefault="00BE1A15">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Provision in the law indicating the entry into force of the compulsory enrolment of legal person taxpayers in SPV </w:t>
            </w:r>
          </w:p>
        </w:tc>
        <w:tc>
          <w:tcPr>
            <w:tcW w:w="1197" w:type="dxa"/>
            <w:tcBorders>
              <w:top w:val="nil"/>
              <w:left w:val="nil"/>
              <w:bottom w:val="single" w:sz="4" w:space="0" w:color="auto"/>
              <w:right w:val="single" w:sz="4" w:space="0" w:color="auto"/>
            </w:tcBorders>
            <w:shd w:val="clear" w:color="auto" w:fill="C6EFCE"/>
            <w:noWrap/>
          </w:tcPr>
          <w:p w14:paraId="274AF610"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9" w:type="dxa"/>
            <w:tcBorders>
              <w:top w:val="nil"/>
              <w:left w:val="nil"/>
              <w:bottom w:val="single" w:sz="4" w:space="0" w:color="auto"/>
              <w:right w:val="single" w:sz="4" w:space="0" w:color="auto"/>
            </w:tcBorders>
            <w:shd w:val="clear" w:color="auto" w:fill="C6EFCE"/>
            <w:noWrap/>
          </w:tcPr>
          <w:p w14:paraId="01CE9ABC"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269" w:type="dxa"/>
            <w:tcBorders>
              <w:top w:val="nil"/>
              <w:left w:val="nil"/>
              <w:bottom w:val="single" w:sz="4" w:space="0" w:color="auto"/>
              <w:right w:val="single" w:sz="4" w:space="0" w:color="auto"/>
            </w:tcBorders>
            <w:shd w:val="clear" w:color="auto" w:fill="C6EFCE"/>
            <w:noWrap/>
          </w:tcPr>
          <w:p w14:paraId="6E12C662"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8" w:type="dxa"/>
            <w:tcBorders>
              <w:top w:val="nil"/>
              <w:left w:val="nil"/>
              <w:bottom w:val="single" w:sz="4" w:space="0" w:color="auto"/>
              <w:right w:val="single" w:sz="4" w:space="0" w:color="auto"/>
            </w:tcBorders>
            <w:shd w:val="clear" w:color="auto" w:fill="C6EFCE"/>
            <w:noWrap/>
          </w:tcPr>
          <w:p w14:paraId="61517E42" w14:textId="77777777" w:rsidR="00BE1A15" w:rsidRPr="00A025C9" w:rsidRDefault="00BE1A15">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Q1</w:t>
            </w:r>
          </w:p>
        </w:tc>
        <w:tc>
          <w:tcPr>
            <w:tcW w:w="840" w:type="dxa"/>
            <w:tcBorders>
              <w:top w:val="nil"/>
              <w:left w:val="nil"/>
              <w:bottom w:val="single" w:sz="4" w:space="0" w:color="auto"/>
              <w:right w:val="single" w:sz="4" w:space="0" w:color="auto"/>
            </w:tcBorders>
            <w:shd w:val="clear" w:color="auto" w:fill="C6EFCE"/>
            <w:noWrap/>
          </w:tcPr>
          <w:p w14:paraId="0E65A709" w14:textId="77777777" w:rsidR="00BE1A15" w:rsidRPr="00A025C9" w:rsidRDefault="00BE1A15">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107" w:type="dxa"/>
            <w:tcBorders>
              <w:top w:val="single" w:sz="4" w:space="0" w:color="auto"/>
              <w:left w:val="nil"/>
              <w:bottom w:val="single" w:sz="4" w:space="0" w:color="auto"/>
              <w:right w:val="single" w:sz="4" w:space="0" w:color="auto"/>
            </w:tcBorders>
            <w:shd w:val="clear" w:color="auto" w:fill="C6EFCE"/>
            <w:noWrap/>
          </w:tcPr>
          <w:p w14:paraId="6CC5BDD0"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Entry into force of the legal framework for making registration in the Virtual Private Space (SPV) compulsory for all legal persons taxpayers.</w:t>
            </w:r>
          </w:p>
          <w:p w14:paraId="790FC194" w14:textId="77777777" w:rsidR="00BE1A15" w:rsidRPr="00A025C9" w:rsidRDefault="00BE1A15">
            <w:pPr>
              <w:spacing w:after="0"/>
              <w:ind w:left="-18"/>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This act shall amend the Fiscal Procedure Code and shall introduce the obligation for legal person to enrol in the SPV.</w:t>
            </w:r>
          </w:p>
        </w:tc>
      </w:tr>
      <w:tr w:rsidR="00BE1A15" w:rsidRPr="00A025C9" w14:paraId="13AB5174"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5F2C4AB3" w14:textId="77777777" w:rsidR="00BE1A15" w:rsidRPr="00A025C9" w:rsidRDefault="00BE1A15">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192</w:t>
            </w:r>
          </w:p>
        </w:tc>
        <w:tc>
          <w:tcPr>
            <w:tcW w:w="1833" w:type="dxa"/>
            <w:tcBorders>
              <w:top w:val="nil"/>
              <w:left w:val="nil"/>
              <w:bottom w:val="single" w:sz="4" w:space="0" w:color="auto"/>
              <w:right w:val="single" w:sz="4" w:space="0" w:color="auto"/>
            </w:tcBorders>
            <w:shd w:val="clear" w:color="auto" w:fill="C6EFCE"/>
            <w:noWrap/>
          </w:tcPr>
          <w:p w14:paraId="413A995B" w14:textId="77777777" w:rsidR="00BE1A15" w:rsidRPr="00A025C9" w:rsidRDefault="00BE1A15">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Reform 1. Reform of the National Agency for Fiscal Administration (ANAF) through digitalisation </w:t>
            </w:r>
          </w:p>
        </w:tc>
        <w:tc>
          <w:tcPr>
            <w:tcW w:w="1268" w:type="dxa"/>
            <w:tcBorders>
              <w:top w:val="nil"/>
              <w:left w:val="nil"/>
              <w:bottom w:val="single" w:sz="4" w:space="0" w:color="auto"/>
              <w:right w:val="single" w:sz="4" w:space="0" w:color="auto"/>
            </w:tcBorders>
            <w:shd w:val="clear" w:color="auto" w:fill="C6EFCE"/>
            <w:noWrap/>
          </w:tcPr>
          <w:p w14:paraId="001A1A38" w14:textId="77777777" w:rsidR="00BE1A15" w:rsidRPr="00A025C9" w:rsidRDefault="00BE1A15">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57" w:type="dxa"/>
            <w:tcBorders>
              <w:top w:val="nil"/>
              <w:left w:val="nil"/>
              <w:bottom w:val="single" w:sz="4" w:space="0" w:color="auto"/>
              <w:right w:val="single" w:sz="4" w:space="0" w:color="auto"/>
            </w:tcBorders>
            <w:shd w:val="clear" w:color="auto" w:fill="C6EFCE"/>
            <w:noWrap/>
          </w:tcPr>
          <w:p w14:paraId="046C87E0"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Additional legal person taxpayers enrolled in SPV </w:t>
            </w:r>
          </w:p>
          <w:p w14:paraId="52A55253" w14:textId="77777777" w:rsidR="00BE1A15" w:rsidRPr="00A025C9" w:rsidRDefault="00BE1A15">
            <w:pPr>
              <w:spacing w:after="0" w:line="240" w:lineRule="auto"/>
              <w:jc w:val="both"/>
              <w:rPr>
                <w:rFonts w:ascii="Times New Roman" w:eastAsia="Times New Roman" w:hAnsi="Times New Roman" w:cs="Times New Roman"/>
                <w:noProof/>
                <w:sz w:val="20"/>
                <w:szCs w:val="20"/>
                <w:lang w:val="en-GB" w:eastAsia="en-GB"/>
              </w:rPr>
            </w:pPr>
          </w:p>
        </w:tc>
        <w:tc>
          <w:tcPr>
            <w:tcW w:w="1560" w:type="dxa"/>
            <w:tcBorders>
              <w:top w:val="nil"/>
              <w:left w:val="nil"/>
              <w:bottom w:val="single" w:sz="4" w:space="0" w:color="auto"/>
              <w:right w:val="single" w:sz="4" w:space="0" w:color="auto"/>
            </w:tcBorders>
            <w:shd w:val="clear" w:color="auto" w:fill="C6EFCE"/>
            <w:noWrap/>
          </w:tcPr>
          <w:p w14:paraId="2B5419F9" w14:textId="77777777" w:rsidR="00BE1A15" w:rsidRPr="00A025C9" w:rsidRDefault="00BE1A15">
            <w:pPr>
              <w:spacing w:after="0" w:line="240" w:lineRule="auto"/>
              <w:jc w:val="both"/>
              <w:rPr>
                <w:rFonts w:ascii="Times New Roman" w:eastAsia="Times New Roman" w:hAnsi="Times New Roman" w:cs="Times New Roman"/>
                <w:noProof/>
                <w:sz w:val="20"/>
                <w:szCs w:val="20"/>
                <w:lang w:val="en-GB" w:eastAsia="en-GB"/>
              </w:rPr>
            </w:pPr>
          </w:p>
        </w:tc>
        <w:tc>
          <w:tcPr>
            <w:tcW w:w="1197" w:type="dxa"/>
            <w:tcBorders>
              <w:top w:val="nil"/>
              <w:left w:val="nil"/>
              <w:bottom w:val="single" w:sz="4" w:space="0" w:color="auto"/>
              <w:right w:val="single" w:sz="4" w:space="0" w:color="auto"/>
            </w:tcBorders>
            <w:shd w:val="clear" w:color="auto" w:fill="C6EFCE"/>
            <w:noWrap/>
          </w:tcPr>
          <w:p w14:paraId="547534A8" w14:textId="77777777" w:rsidR="00BE1A15" w:rsidRPr="00A025C9" w:rsidRDefault="00BE1A15">
            <w:pPr>
              <w:spacing w:after="0" w:line="240" w:lineRule="auto"/>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Number</w:t>
            </w:r>
          </w:p>
        </w:tc>
        <w:tc>
          <w:tcPr>
            <w:tcW w:w="1129" w:type="dxa"/>
            <w:tcBorders>
              <w:top w:val="nil"/>
              <w:left w:val="nil"/>
              <w:bottom w:val="single" w:sz="4" w:space="0" w:color="auto"/>
              <w:right w:val="single" w:sz="4" w:space="0" w:color="auto"/>
            </w:tcBorders>
            <w:shd w:val="clear" w:color="auto" w:fill="C6EFCE"/>
            <w:noWrap/>
          </w:tcPr>
          <w:p w14:paraId="2F71EAA6" w14:textId="77777777" w:rsidR="00BE1A15" w:rsidRPr="00A025C9" w:rsidRDefault="00BE1A15">
            <w:pPr>
              <w:spacing w:after="0" w:line="240" w:lineRule="auto"/>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509 679</w:t>
            </w:r>
          </w:p>
        </w:tc>
        <w:tc>
          <w:tcPr>
            <w:tcW w:w="1269" w:type="dxa"/>
            <w:tcBorders>
              <w:top w:val="nil"/>
              <w:left w:val="nil"/>
              <w:bottom w:val="single" w:sz="4" w:space="0" w:color="auto"/>
              <w:right w:val="single" w:sz="4" w:space="0" w:color="auto"/>
            </w:tcBorders>
            <w:shd w:val="clear" w:color="auto" w:fill="C6EFCE"/>
            <w:noWrap/>
          </w:tcPr>
          <w:p w14:paraId="40439F12"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1 009 679</w:t>
            </w:r>
          </w:p>
        </w:tc>
        <w:tc>
          <w:tcPr>
            <w:tcW w:w="1128" w:type="dxa"/>
            <w:tcBorders>
              <w:top w:val="nil"/>
              <w:left w:val="nil"/>
              <w:bottom w:val="single" w:sz="4" w:space="0" w:color="auto"/>
              <w:right w:val="single" w:sz="4" w:space="0" w:color="auto"/>
            </w:tcBorders>
            <w:shd w:val="clear" w:color="auto" w:fill="C6EFCE"/>
            <w:noWrap/>
          </w:tcPr>
          <w:p w14:paraId="7D3A5B4A" w14:textId="77777777" w:rsidR="00BE1A15" w:rsidRPr="00A025C9" w:rsidRDefault="00BE1A15">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42CD1959" w14:textId="77777777" w:rsidR="00BE1A15" w:rsidRPr="00A025C9" w:rsidRDefault="00BE1A15">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107" w:type="dxa"/>
            <w:tcBorders>
              <w:top w:val="nil"/>
              <w:left w:val="nil"/>
              <w:bottom w:val="single" w:sz="4" w:space="0" w:color="auto"/>
              <w:right w:val="single" w:sz="4" w:space="0" w:color="auto"/>
            </w:tcBorders>
            <w:shd w:val="clear" w:color="auto" w:fill="C6EFCE"/>
            <w:noWrap/>
          </w:tcPr>
          <w:p w14:paraId="515241B9"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At least 500 000 legal person taxpayers additionally enrolled in SPV compared to the 509 679 at the beginning of April 2021. With these additional 500 000 taxpayers, the SPV shall cover 90% of the total number of large taxpayers (according to the new definition that shall be available as soon as the modification of the respective legal framework shall be approved), accounting for at least 90% of the large taxpayer tax base. At this stage out of the approximately 1 500 000 legal entities approximately 400 000 are either in insolvency proceedings or inactive. The target of the measure is thus almost all registered legal entities to use the SPV. </w:t>
            </w:r>
          </w:p>
          <w:p w14:paraId="5BB0409B" w14:textId="77777777" w:rsidR="00BE1A15" w:rsidRPr="00A025C9" w:rsidRDefault="00BE1A15">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The monitoring of the number of new taxpayers enrolled in the SPV shall be done through specific reports resulting from the query of databases by National Centre for Financial Information.</w:t>
            </w:r>
          </w:p>
        </w:tc>
      </w:tr>
      <w:tr w:rsidR="00BE1A15" w:rsidRPr="00A025C9" w14:paraId="673E13A9"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2E608C22"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193</w:t>
            </w:r>
          </w:p>
        </w:tc>
        <w:tc>
          <w:tcPr>
            <w:tcW w:w="1833" w:type="dxa"/>
            <w:tcBorders>
              <w:top w:val="nil"/>
              <w:left w:val="nil"/>
              <w:bottom w:val="single" w:sz="4" w:space="0" w:color="auto"/>
              <w:right w:val="single" w:sz="4" w:space="0" w:color="auto"/>
            </w:tcBorders>
            <w:shd w:val="clear" w:color="auto" w:fill="C6EFCE"/>
            <w:noWrap/>
          </w:tcPr>
          <w:p w14:paraId="48ECC8A5"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Reform 1. Reform of the National Agency for Fiscal Administration (ANAF) through digitalisation </w:t>
            </w:r>
          </w:p>
        </w:tc>
        <w:tc>
          <w:tcPr>
            <w:tcW w:w="1268" w:type="dxa"/>
            <w:tcBorders>
              <w:top w:val="nil"/>
              <w:left w:val="nil"/>
              <w:bottom w:val="single" w:sz="4" w:space="0" w:color="auto"/>
              <w:right w:val="single" w:sz="4" w:space="0" w:color="auto"/>
            </w:tcBorders>
            <w:shd w:val="clear" w:color="auto" w:fill="C6EFCE"/>
            <w:noWrap/>
          </w:tcPr>
          <w:p w14:paraId="3EDA490B"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57310270"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Entry into force of the applicable legal framework defining the risk criteria for the classification of taxpayers. The legal framework shall be approved through an Order of the ANAF President.</w:t>
            </w:r>
          </w:p>
        </w:tc>
        <w:tc>
          <w:tcPr>
            <w:tcW w:w="1560" w:type="dxa"/>
            <w:tcBorders>
              <w:top w:val="nil"/>
              <w:left w:val="nil"/>
              <w:bottom w:val="single" w:sz="4" w:space="0" w:color="auto"/>
              <w:right w:val="single" w:sz="4" w:space="0" w:color="auto"/>
            </w:tcBorders>
            <w:shd w:val="clear" w:color="auto" w:fill="C6EFCE"/>
            <w:noWrap/>
          </w:tcPr>
          <w:p w14:paraId="0E375B8E"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Entry into force of the Order of the ANAF president defining risk criteria</w:t>
            </w:r>
          </w:p>
        </w:tc>
        <w:tc>
          <w:tcPr>
            <w:tcW w:w="1197" w:type="dxa"/>
            <w:tcBorders>
              <w:top w:val="nil"/>
              <w:left w:val="nil"/>
              <w:bottom w:val="single" w:sz="4" w:space="0" w:color="auto"/>
              <w:right w:val="single" w:sz="4" w:space="0" w:color="auto"/>
            </w:tcBorders>
            <w:shd w:val="clear" w:color="auto" w:fill="C6EFCE"/>
            <w:noWrap/>
          </w:tcPr>
          <w:p w14:paraId="7CC01A65"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70C17D4A"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49F06F9A"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27F63A31"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2C233C13"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107" w:type="dxa"/>
            <w:tcBorders>
              <w:top w:val="nil"/>
              <w:left w:val="nil"/>
              <w:bottom w:val="single" w:sz="4" w:space="0" w:color="auto"/>
              <w:right w:val="single" w:sz="4" w:space="0" w:color="auto"/>
            </w:tcBorders>
            <w:shd w:val="clear" w:color="auto" w:fill="C6EFCE"/>
            <w:noWrap/>
          </w:tcPr>
          <w:p w14:paraId="5EC4694F"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The definition of risk criteria shall be done according to the main categories of risks of tax non-compliance: risks related to tax registration; submission of declarations; level of declaration; payment. These definitions shall be used in the system of tax-risk administration based on tax risk classes, in which tax administration measures and controls shall be adapted to the tax risk of each class of taxpayers. </w:t>
            </w:r>
          </w:p>
          <w:p w14:paraId="3008F5AF"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risk criteria shall take into account the following international standards:</w:t>
            </w:r>
          </w:p>
          <w:p w14:paraId="62C60952"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OECD ISO 31000:2018</w:t>
            </w:r>
          </w:p>
          <w:p w14:paraId="62608B51"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COM - Compliance Risk Management guide for Tax administrations 2010 </w:t>
            </w:r>
          </w:p>
          <w:p w14:paraId="2CCD9E49"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FTA Guidance Note for Evaluating the effectiveness of the compliance risk treatment strategies.</w:t>
            </w:r>
          </w:p>
        </w:tc>
      </w:tr>
      <w:tr w:rsidR="00BE1A15" w:rsidRPr="00A025C9" w14:paraId="457DBF4F"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53851CA0"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194</w:t>
            </w:r>
          </w:p>
        </w:tc>
        <w:tc>
          <w:tcPr>
            <w:tcW w:w="1833" w:type="dxa"/>
            <w:tcBorders>
              <w:top w:val="nil"/>
              <w:left w:val="nil"/>
              <w:bottom w:val="single" w:sz="4" w:space="0" w:color="auto"/>
              <w:right w:val="single" w:sz="4" w:space="0" w:color="auto"/>
            </w:tcBorders>
            <w:shd w:val="clear" w:color="auto" w:fill="C6EFCE"/>
            <w:noWrap/>
          </w:tcPr>
          <w:p w14:paraId="34A804FC"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Reform 1. Reform of the National Agency for Fiscal Administration (ANAF) through digitalisation </w:t>
            </w:r>
          </w:p>
        </w:tc>
        <w:tc>
          <w:tcPr>
            <w:tcW w:w="1268" w:type="dxa"/>
            <w:tcBorders>
              <w:top w:val="nil"/>
              <w:left w:val="nil"/>
              <w:bottom w:val="single" w:sz="4" w:space="0" w:color="auto"/>
              <w:right w:val="single" w:sz="4" w:space="0" w:color="auto"/>
            </w:tcBorders>
            <w:shd w:val="clear" w:color="auto" w:fill="C6EFCE"/>
            <w:noWrap/>
          </w:tcPr>
          <w:p w14:paraId="2CD40FBD"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5E6C977B"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Entry into force of the amended legal framework in the field of activity of tax inspection bodies </w:t>
            </w:r>
          </w:p>
        </w:tc>
        <w:tc>
          <w:tcPr>
            <w:tcW w:w="1560" w:type="dxa"/>
            <w:tcBorders>
              <w:top w:val="nil"/>
              <w:left w:val="nil"/>
              <w:bottom w:val="single" w:sz="4" w:space="0" w:color="auto"/>
              <w:right w:val="single" w:sz="4" w:space="0" w:color="auto"/>
            </w:tcBorders>
            <w:shd w:val="clear" w:color="auto" w:fill="C6EFCE"/>
            <w:noWrap/>
          </w:tcPr>
          <w:p w14:paraId="06FC3103"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Provision in the law indicating the entry into force of the legal framework affecting the scope of activity of the tax inspection bodies </w:t>
            </w:r>
          </w:p>
        </w:tc>
        <w:tc>
          <w:tcPr>
            <w:tcW w:w="1197" w:type="dxa"/>
            <w:tcBorders>
              <w:top w:val="nil"/>
              <w:left w:val="nil"/>
              <w:bottom w:val="single" w:sz="4" w:space="0" w:color="auto"/>
              <w:right w:val="single" w:sz="4" w:space="0" w:color="auto"/>
            </w:tcBorders>
            <w:shd w:val="clear" w:color="auto" w:fill="C6EFCE"/>
            <w:noWrap/>
          </w:tcPr>
          <w:p w14:paraId="13F10613"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2082D368"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55F501B7"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334FA784"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11DA4B39"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107" w:type="dxa"/>
            <w:tcBorders>
              <w:top w:val="nil"/>
              <w:left w:val="nil"/>
              <w:bottom w:val="single" w:sz="4" w:space="0" w:color="auto"/>
              <w:right w:val="single" w:sz="4" w:space="0" w:color="auto"/>
            </w:tcBorders>
            <w:shd w:val="clear" w:color="auto" w:fill="C6EFCE"/>
            <w:noWrap/>
          </w:tcPr>
          <w:p w14:paraId="7E847C21"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new law shall establish/revise the powers of the tax authorities tax inspection bodies, anti-fraud control bodies, and bodies responsible for verifying the personal tax situation), with the aim to strengthen the institutional capacity of tax control structures, to prevent national and cross-border tax fraud and tax evasion by early and targeted identification of major tax risks.</w:t>
            </w:r>
          </w:p>
          <w:p w14:paraId="3B9B078F"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ANAF shall review the institutional and legal framework of the activities carried out by the control structures. Taking into account the conclusions and the results of the analysis, the revision of the legal framework of the tax inspection bodies shall be finalised.</w:t>
            </w:r>
          </w:p>
        </w:tc>
      </w:tr>
      <w:tr w:rsidR="00BE1A15" w:rsidRPr="00A025C9" w14:paraId="6B64B8B9"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042102AF"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195</w:t>
            </w:r>
          </w:p>
        </w:tc>
        <w:tc>
          <w:tcPr>
            <w:tcW w:w="1833" w:type="dxa"/>
            <w:tcBorders>
              <w:top w:val="nil"/>
              <w:left w:val="nil"/>
              <w:bottom w:val="single" w:sz="4" w:space="0" w:color="auto"/>
              <w:right w:val="single" w:sz="4" w:space="0" w:color="auto"/>
            </w:tcBorders>
            <w:shd w:val="clear" w:color="auto" w:fill="C6EFCE"/>
            <w:noWrap/>
          </w:tcPr>
          <w:p w14:paraId="0170A3E8"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Reform 1. Reform of the National Agency for Fiscal Administration (ANAF) through digitalisation</w:t>
            </w:r>
          </w:p>
        </w:tc>
        <w:tc>
          <w:tcPr>
            <w:tcW w:w="1268" w:type="dxa"/>
            <w:tcBorders>
              <w:top w:val="nil"/>
              <w:left w:val="nil"/>
              <w:bottom w:val="single" w:sz="4" w:space="0" w:color="auto"/>
              <w:right w:val="single" w:sz="4" w:space="0" w:color="auto"/>
            </w:tcBorders>
            <w:shd w:val="clear" w:color="auto" w:fill="C6EFCE"/>
            <w:noWrap/>
          </w:tcPr>
          <w:p w14:paraId="594CB4D3"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6EC1EFAC"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Operationa-lization/ approval of the Joint Action Plan between the National Agency for Fiscal Administration and Labour Inspection to prevent and limit the phenomenon of grey/black work evasion</w:t>
            </w:r>
          </w:p>
        </w:tc>
        <w:tc>
          <w:tcPr>
            <w:tcW w:w="1560" w:type="dxa"/>
            <w:tcBorders>
              <w:top w:val="nil"/>
              <w:left w:val="nil"/>
              <w:bottom w:val="single" w:sz="4" w:space="0" w:color="auto"/>
              <w:right w:val="single" w:sz="4" w:space="0" w:color="auto"/>
            </w:tcBorders>
            <w:shd w:val="clear" w:color="auto" w:fill="C6EFCE"/>
            <w:noWrap/>
          </w:tcPr>
          <w:p w14:paraId="211489CE"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Adoption of the Joint Action Plan between the National Agency for Fiscal Administration and Labour Inspection of actions to be taken to prevent and limit the phenomenon of grey/black work evasion</w:t>
            </w:r>
          </w:p>
        </w:tc>
        <w:tc>
          <w:tcPr>
            <w:tcW w:w="1197" w:type="dxa"/>
            <w:tcBorders>
              <w:top w:val="nil"/>
              <w:left w:val="nil"/>
              <w:bottom w:val="single" w:sz="4" w:space="0" w:color="auto"/>
              <w:right w:val="single" w:sz="4" w:space="0" w:color="auto"/>
            </w:tcBorders>
            <w:shd w:val="clear" w:color="auto" w:fill="C6EFCE"/>
            <w:noWrap/>
          </w:tcPr>
          <w:p w14:paraId="2BF7621A"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4C7B571C"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32C9BAF1"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00158D5D"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Q1</w:t>
            </w:r>
          </w:p>
        </w:tc>
        <w:tc>
          <w:tcPr>
            <w:tcW w:w="840" w:type="dxa"/>
            <w:tcBorders>
              <w:top w:val="nil"/>
              <w:left w:val="nil"/>
              <w:bottom w:val="single" w:sz="4" w:space="0" w:color="auto"/>
              <w:right w:val="single" w:sz="4" w:space="0" w:color="auto"/>
            </w:tcBorders>
            <w:shd w:val="clear" w:color="auto" w:fill="C6EFCE"/>
            <w:noWrap/>
          </w:tcPr>
          <w:p w14:paraId="55DCEC25"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107" w:type="dxa"/>
            <w:tcBorders>
              <w:top w:val="nil"/>
              <w:left w:val="nil"/>
              <w:bottom w:val="single" w:sz="4" w:space="0" w:color="auto"/>
              <w:right w:val="single" w:sz="4" w:space="0" w:color="auto"/>
            </w:tcBorders>
            <w:shd w:val="clear" w:color="auto" w:fill="C6EFCE"/>
            <w:noWrap/>
          </w:tcPr>
          <w:p w14:paraId="175C2C99"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Subsequent to the cooperation protocol with the Labour Inspection, a joint action plan shall be drawn up to include economic operators with high fiscal risk and also risk from the perspective of using under declared / unreported work.</w:t>
            </w:r>
          </w:p>
          <w:p w14:paraId="4627B2F0"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It shall be broken down by types of seasonal activities, where the incidence of the mentioned risks is known to be high.</w:t>
            </w:r>
          </w:p>
          <w:p w14:paraId="7C08745B"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Periodically, the management of the structures involved (Tax Antifraud General Directorate and the Labour Inspection) shall analyse the results obtained as well as the possibilities and perspectives for updating the plan, depending on the results found.</w:t>
            </w:r>
          </w:p>
        </w:tc>
      </w:tr>
      <w:tr w:rsidR="00BE1A15" w:rsidRPr="00A025C9" w14:paraId="5962F69C"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120F802E"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196</w:t>
            </w:r>
          </w:p>
        </w:tc>
        <w:tc>
          <w:tcPr>
            <w:tcW w:w="1833" w:type="dxa"/>
            <w:tcBorders>
              <w:top w:val="nil"/>
              <w:left w:val="nil"/>
              <w:bottom w:val="single" w:sz="4" w:space="0" w:color="auto"/>
              <w:right w:val="single" w:sz="4" w:space="0" w:color="auto"/>
            </w:tcBorders>
            <w:shd w:val="clear" w:color="auto" w:fill="C6EFCE"/>
            <w:noWrap/>
          </w:tcPr>
          <w:p w14:paraId="77B518A2"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Reform 1. Reform of the National Agency for Fiscal Administration (ANAF) through digitalisation</w:t>
            </w:r>
          </w:p>
        </w:tc>
        <w:tc>
          <w:tcPr>
            <w:tcW w:w="1268" w:type="dxa"/>
            <w:tcBorders>
              <w:top w:val="nil"/>
              <w:left w:val="nil"/>
              <w:bottom w:val="single" w:sz="4" w:space="0" w:color="auto"/>
              <w:right w:val="single" w:sz="4" w:space="0" w:color="auto"/>
            </w:tcBorders>
            <w:shd w:val="clear" w:color="auto" w:fill="C6EFCE"/>
            <w:noWrap/>
          </w:tcPr>
          <w:p w14:paraId="797EFA55"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57" w:type="dxa"/>
            <w:tcBorders>
              <w:top w:val="nil"/>
              <w:left w:val="nil"/>
              <w:bottom w:val="single" w:sz="4" w:space="0" w:color="auto"/>
              <w:right w:val="single" w:sz="4" w:space="0" w:color="auto"/>
            </w:tcBorders>
            <w:shd w:val="clear" w:color="auto" w:fill="C6EFCE"/>
            <w:noWrap/>
          </w:tcPr>
          <w:p w14:paraId="175675E8"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Increase the share of revenues collected by the tax administration </w:t>
            </w:r>
          </w:p>
        </w:tc>
        <w:tc>
          <w:tcPr>
            <w:tcW w:w="1560" w:type="dxa"/>
            <w:tcBorders>
              <w:top w:val="nil"/>
              <w:left w:val="nil"/>
              <w:bottom w:val="single" w:sz="4" w:space="0" w:color="auto"/>
              <w:right w:val="single" w:sz="4" w:space="0" w:color="auto"/>
            </w:tcBorders>
            <w:shd w:val="clear" w:color="auto" w:fill="C6EFCE"/>
            <w:noWrap/>
          </w:tcPr>
          <w:p w14:paraId="6AF615D4"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197" w:type="dxa"/>
            <w:tcBorders>
              <w:top w:val="nil"/>
              <w:left w:val="nil"/>
              <w:bottom w:val="single" w:sz="4" w:space="0" w:color="auto"/>
              <w:right w:val="single" w:sz="4" w:space="0" w:color="auto"/>
            </w:tcBorders>
            <w:shd w:val="clear" w:color="auto" w:fill="C6EFCE"/>
            <w:noWrap/>
          </w:tcPr>
          <w:p w14:paraId="7DB049F7"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Percentage points of GDP</w:t>
            </w:r>
          </w:p>
        </w:tc>
        <w:tc>
          <w:tcPr>
            <w:tcW w:w="1129" w:type="dxa"/>
            <w:tcBorders>
              <w:top w:val="nil"/>
              <w:left w:val="nil"/>
              <w:bottom w:val="single" w:sz="4" w:space="0" w:color="auto"/>
              <w:right w:val="single" w:sz="4" w:space="0" w:color="auto"/>
            </w:tcBorders>
            <w:shd w:val="clear" w:color="auto" w:fill="C6EFCE"/>
            <w:noWrap/>
          </w:tcPr>
          <w:p w14:paraId="6F1294EB"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36E7F5E1"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2.5</w:t>
            </w:r>
          </w:p>
        </w:tc>
        <w:tc>
          <w:tcPr>
            <w:tcW w:w="1128" w:type="dxa"/>
            <w:tcBorders>
              <w:top w:val="nil"/>
              <w:left w:val="nil"/>
              <w:bottom w:val="single" w:sz="4" w:space="0" w:color="auto"/>
              <w:right w:val="single" w:sz="4" w:space="0" w:color="auto"/>
            </w:tcBorders>
            <w:shd w:val="clear" w:color="auto" w:fill="C6EFCE"/>
            <w:noWrap/>
          </w:tcPr>
          <w:p w14:paraId="7BD091F9"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0B7D0A7A"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2025</w:t>
            </w:r>
          </w:p>
        </w:tc>
        <w:tc>
          <w:tcPr>
            <w:tcW w:w="3107" w:type="dxa"/>
            <w:tcBorders>
              <w:top w:val="nil"/>
              <w:left w:val="nil"/>
              <w:bottom w:val="single" w:sz="4" w:space="0" w:color="auto"/>
              <w:right w:val="single" w:sz="4" w:space="0" w:color="auto"/>
            </w:tcBorders>
            <w:shd w:val="clear" w:color="auto" w:fill="C6EFCE"/>
            <w:noWrap/>
          </w:tcPr>
          <w:p w14:paraId="5707981A"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share of tax revenues increases by at least 2.5pps of GDP, compared to the level observed in 2019.</w:t>
            </w:r>
          </w:p>
        </w:tc>
      </w:tr>
      <w:tr w:rsidR="00BE1A15" w:rsidRPr="00A025C9" w14:paraId="0D8D4C78"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449B9E5B"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197</w:t>
            </w:r>
          </w:p>
        </w:tc>
        <w:tc>
          <w:tcPr>
            <w:tcW w:w="1833" w:type="dxa"/>
            <w:tcBorders>
              <w:top w:val="nil"/>
              <w:left w:val="nil"/>
              <w:bottom w:val="single" w:sz="4" w:space="0" w:color="auto"/>
              <w:right w:val="single" w:sz="4" w:space="0" w:color="auto"/>
            </w:tcBorders>
            <w:shd w:val="clear" w:color="auto" w:fill="C6EFCE"/>
            <w:noWrap/>
          </w:tcPr>
          <w:p w14:paraId="2116E12D"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Reform 1. Reform of the National Agency for Fiscal Administration (ANAF) through digitalisation</w:t>
            </w:r>
          </w:p>
        </w:tc>
        <w:tc>
          <w:tcPr>
            <w:tcW w:w="1268" w:type="dxa"/>
            <w:tcBorders>
              <w:top w:val="nil"/>
              <w:left w:val="nil"/>
              <w:bottom w:val="single" w:sz="4" w:space="0" w:color="auto"/>
              <w:right w:val="single" w:sz="4" w:space="0" w:color="auto"/>
            </w:tcBorders>
            <w:shd w:val="clear" w:color="auto" w:fill="C6EFCE"/>
            <w:noWrap/>
          </w:tcPr>
          <w:p w14:paraId="05C94634"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1596FDFA"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rPr>
              <w:t>Structural reform of ANAF and legal acts to increase tax compliance</w:t>
            </w:r>
          </w:p>
        </w:tc>
        <w:tc>
          <w:tcPr>
            <w:tcW w:w="1560" w:type="dxa"/>
            <w:tcBorders>
              <w:top w:val="nil"/>
              <w:left w:val="nil"/>
              <w:bottom w:val="single" w:sz="4" w:space="0" w:color="auto"/>
              <w:right w:val="single" w:sz="4" w:space="0" w:color="auto"/>
            </w:tcBorders>
            <w:shd w:val="clear" w:color="auto" w:fill="C6EFCE"/>
            <w:noWrap/>
          </w:tcPr>
          <w:p w14:paraId="5C9A256D"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Legal act(s) entering into force and structural reform occurred </w:t>
            </w:r>
          </w:p>
        </w:tc>
        <w:tc>
          <w:tcPr>
            <w:tcW w:w="1197" w:type="dxa"/>
            <w:tcBorders>
              <w:top w:val="nil"/>
              <w:left w:val="nil"/>
              <w:bottom w:val="single" w:sz="4" w:space="0" w:color="auto"/>
              <w:right w:val="single" w:sz="4" w:space="0" w:color="auto"/>
            </w:tcBorders>
            <w:shd w:val="clear" w:color="auto" w:fill="C6EFCE"/>
            <w:noWrap/>
          </w:tcPr>
          <w:p w14:paraId="209ABCFD"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6B50E915"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1A0ACD28" w14:textId="77777777" w:rsidR="00BE1A15" w:rsidRPr="00A025C9" w:rsidRDefault="00BE1A15">
            <w:pPr>
              <w:spacing w:after="0" w:line="240" w:lineRule="auto"/>
              <w:rPr>
                <w:rFonts w:ascii="Times New Roman" w:hAnsi="Times New Roman" w:cs="Times New Roman"/>
                <w:noProof/>
                <w:sz w:val="20"/>
                <w:szCs w:val="20"/>
                <w:lang w:val="en-GB"/>
              </w:rPr>
            </w:pPr>
          </w:p>
          <w:p w14:paraId="2B6D3B31"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1884A177"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840" w:type="dxa"/>
            <w:tcBorders>
              <w:top w:val="nil"/>
              <w:left w:val="nil"/>
              <w:bottom w:val="single" w:sz="4" w:space="0" w:color="auto"/>
              <w:right w:val="single" w:sz="4" w:space="0" w:color="auto"/>
            </w:tcBorders>
            <w:shd w:val="clear" w:color="auto" w:fill="C6EFCE"/>
            <w:noWrap/>
          </w:tcPr>
          <w:p w14:paraId="333323D4"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107" w:type="dxa"/>
            <w:tcBorders>
              <w:top w:val="nil"/>
              <w:left w:val="nil"/>
              <w:bottom w:val="single" w:sz="4" w:space="0" w:color="auto"/>
              <w:right w:val="single" w:sz="4" w:space="0" w:color="auto"/>
            </w:tcBorders>
            <w:shd w:val="clear" w:color="auto" w:fill="C6EFCE"/>
            <w:noWrap/>
          </w:tcPr>
          <w:p w14:paraId="4BF24E70"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rPr>
              <w:t>1</w:t>
            </w:r>
            <w:r w:rsidRPr="00A025C9">
              <w:rPr>
                <w:rFonts w:ascii="Times New Roman" w:hAnsi="Times New Roman" w:cs="Times New Roman"/>
                <w:noProof/>
                <w:sz w:val="20"/>
                <w:szCs w:val="20"/>
                <w:lang w:val="en-GB"/>
              </w:rPr>
              <w:t>. Centralisation of risk management functions and reorganization of ANAF for efficiency as follows:</w:t>
            </w:r>
          </w:p>
          <w:p w14:paraId="29B7F109"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Centralisation of risk management and tax inspection planning functions at ANAF headquarters, with territorial structures having a focus on inspection, declaration, and enforcement; </w:t>
            </w:r>
          </w:p>
          <w:p w14:paraId="10A6B1A7"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The Central Risk Management Unit has a minimum of 40 specialised experts trained; The Unit uses combined data from e-Invoice, e-Transport, and SAF-T, through the new fiscal data warehouse CNIF (managed by the Ministry of Finance); </w:t>
            </w:r>
          </w:p>
          <w:p w14:paraId="65F9FCCD"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 Performance indicator system and integrity testing of ANAF personnel functioning:</w:t>
            </w:r>
          </w:p>
          <w:p w14:paraId="426439F6" w14:textId="15E0C1F9"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Establishment of a new set of Key Performance Indicators (KPIs) for ANAF main functions: risk management, tax inspection, anti-fraud, and legal;</w:t>
            </w:r>
            <w:r w:rsidR="00D23D91" w:rsidRPr="00A025C9">
              <w:rPr>
                <w:rFonts w:ascii="Times New Roman" w:hAnsi="Times New Roman" w:cs="Times New Roman"/>
                <w:noProof/>
                <w:sz w:val="20"/>
                <w:szCs w:val="20"/>
                <w:lang w:val="en-GB"/>
              </w:rPr>
              <w:t xml:space="preserve"> </w:t>
            </w:r>
          </w:p>
          <w:p w14:paraId="1A106504"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In the sanctioning framework, include provisions for the termination of employment for officials convicted of corruption and prohibition from holding public office thereafter.</w:t>
            </w:r>
          </w:p>
          <w:p w14:paraId="02000B58"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Introduction of an incentive structure with malus / bonus for ANAF officials directly linked to KPIs performance. </w:t>
            </w:r>
          </w:p>
          <w:p w14:paraId="56BFEDFB"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3. Interconnection between ANAF–Ministry of Justice– National Trade Register Office (ONRC) and Early Warning on Insolvencies.</w:t>
            </w:r>
          </w:p>
          <w:p w14:paraId="1C19AD2D"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Signature of a data-sharing protocol between ANAF, the Ministry of Justice, and the National Trade Register Office (ONRC) for monitoring companies at risk of insolvency; </w:t>
            </w:r>
          </w:p>
          <w:p w14:paraId="20154C8D"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Creation and integration of an algorithmic early warning model on insolvency risk into ANAF’s risk management system.</w:t>
            </w:r>
          </w:p>
          <w:p w14:paraId="6C266F59"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4. Entry into force of legal act(s) to revise the framework on insolvency and recovery of tax claims. This shall include provisions for:</w:t>
            </w:r>
          </w:p>
          <w:p w14:paraId="198A9708"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Granting priority or secured status to fiscal debts to ANAF (VAT, payroll taxes); </w:t>
            </w:r>
          </w:p>
          <w:p w14:paraId="74D0BE62"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Establishing mandatory financial audits for companies entering insolvency with significant fiscal debts (above RON 2 million); </w:t>
            </w:r>
          </w:p>
          <w:p w14:paraId="0724A373"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Limiting the repeated use of insolvency by affiliated entities, by banning people convicted of VAT fraud to setting up new firms; </w:t>
            </w:r>
          </w:p>
          <w:p w14:paraId="239F3158"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Granting ANAF the right to vote in restructuring plans and to challenge liquidators in cases of tax fraud;</w:t>
            </w:r>
          </w:p>
          <w:p w14:paraId="2D34CA25"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Allowing ANAF to block undervalued asset sales in cases of fiscal damage.</w:t>
            </w:r>
          </w:p>
          <w:p w14:paraId="5D3BCABA"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5. Mandatory electronic invoicing for transactions carried out within the national tax system (RO e-Invoice). Entry into force of legal act(s) requiring: </w:t>
            </w:r>
          </w:p>
          <w:p w14:paraId="59DD20E1"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Mandatory use of RO e-Invoice for B2B and B2C transactions, in accordance with the scope and conditions established by national law. </w:t>
            </w:r>
          </w:p>
          <w:p w14:paraId="13433361"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Sanctions for non-compliance (fines, suspension/cancellation of VAT code/inactivation).</w:t>
            </w:r>
          </w:p>
          <w:p w14:paraId="1416C956"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6. Adoption of legal acts introducing a mandatory use of cash registers and integration with e-Invoice and SAF-T for all sectors</w:t>
            </w:r>
          </w:p>
          <w:p w14:paraId="4936AB74"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Mandatory use of cash registers for all sectors of activity and types of transactions (B2B and B2C);</w:t>
            </w:r>
          </w:p>
          <w:p w14:paraId="515C585B"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Integration with e-Invoice and SAF-T through a unified functioning data system managed by ANAF.</w:t>
            </w:r>
          </w:p>
          <w:p w14:paraId="5EB68561"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Inclusion of a dedicated mobile application allowing citizens to verify fiscal receipts, increasing transparency and integration of fiscal device data within ANAF’s digital ecosystem. </w:t>
            </w:r>
          </w:p>
          <w:p w14:paraId="1B27D0C7"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7. Reinforce ANAF’s transfer pricing framework, through the following actions: </w:t>
            </w:r>
          </w:p>
          <w:p w14:paraId="61812367" w14:textId="77777777" w:rsidR="00BE1A15" w:rsidRPr="00A025C9" w:rsidRDefault="00BE1A15">
            <w:pPr>
              <w:spacing w:after="0"/>
              <w:jc w:val="both"/>
              <w:rPr>
                <w:rFonts w:ascii="Times New Roman" w:hAnsi="Times New Roman" w:cs="Times New Roman"/>
                <w:noProof/>
                <w:sz w:val="20"/>
                <w:szCs w:val="20"/>
              </w:rPr>
            </w:pPr>
            <w:r w:rsidRPr="00A025C9">
              <w:rPr>
                <w:rFonts w:ascii="Times New Roman" w:hAnsi="Times New Roman" w:cs="Times New Roman"/>
                <w:noProof/>
                <w:sz w:val="20"/>
                <w:szCs w:val="20"/>
                <w:lang w:val="en-GB"/>
              </w:rPr>
              <w:t>- Reinforcing ANAF’s institutional and methodological capacity to draft guidelines, procedures, and methodological notes for audit structures</w:t>
            </w:r>
            <w:r w:rsidRPr="00A025C9">
              <w:rPr>
                <w:rFonts w:ascii="Times New Roman" w:hAnsi="Times New Roman" w:cs="Times New Roman"/>
                <w:noProof/>
                <w:sz w:val="20"/>
                <w:szCs w:val="20"/>
              </w:rPr>
              <w:t xml:space="preserve"> </w:t>
            </w:r>
            <w:r w:rsidRPr="00A025C9">
              <w:rPr>
                <w:rFonts w:ascii="Times New Roman" w:hAnsi="Times New Roman" w:cs="Times New Roman"/>
                <w:noProof/>
                <w:sz w:val="20"/>
                <w:szCs w:val="20"/>
                <w:lang w:val="en-GB"/>
              </w:rPr>
              <w:t>assessing related-party transactions’ economic substance;</w:t>
            </w:r>
          </w:p>
          <w:p w14:paraId="323820B4"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Introduction of a mechanism for resolving double taxation cases arising from transfer pricing adjustments, in cooperation with other Member States’ tax administrations;</w:t>
            </w:r>
          </w:p>
          <w:p w14:paraId="2E4B5DA7"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Expanding ANAF’s mandate to issue Advance Pricing Agreements (APAs), both retroactively and prospectively;</w:t>
            </w:r>
          </w:p>
          <w:p w14:paraId="1C54955B"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Creating a mechanism for analysing and using international data concerning related-party transactions. </w:t>
            </w:r>
          </w:p>
          <w:p w14:paraId="73F274AF"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8. Extension of the obligation to accept electronic payments. </w:t>
            </w:r>
          </w:p>
          <w:p w14:paraId="3773595B"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rPr>
              <w:t>Entry into force of legal act(s) introducing the obligation to accept card payments to all economic operators in retail and wholesale trade, including bars and restaurants, with a turnover above EUR 10 000 per year.</w:t>
            </w:r>
            <w:r w:rsidRPr="00A025C9">
              <w:rPr>
                <w:rFonts w:ascii="Times New Roman" w:hAnsi="Times New Roman" w:cs="Times New Roman"/>
                <w:noProof/>
                <w:sz w:val="20"/>
                <w:szCs w:val="20"/>
                <w:lang w:val="en-GB"/>
              </w:rPr>
              <w:t xml:space="preserve"> The obligation shall apply to economic operators in retail and wholesale trade, including bars and restaurants; The new</w:t>
            </w:r>
            <w:r w:rsidRPr="00A025C9">
              <w:rPr>
                <w:rFonts w:ascii="Times New Roman" w:hAnsi="Times New Roman" w:cs="Times New Roman"/>
                <w:noProof/>
                <w:sz w:val="20"/>
                <w:szCs w:val="20"/>
              </w:rPr>
              <w:t xml:space="preserve"> </w:t>
            </w:r>
            <w:r w:rsidRPr="00A025C9">
              <w:rPr>
                <w:rFonts w:ascii="Times New Roman" w:hAnsi="Times New Roman" w:cs="Times New Roman"/>
                <w:noProof/>
                <w:sz w:val="20"/>
                <w:szCs w:val="20"/>
                <w:lang w:val="en-GB"/>
              </w:rPr>
              <w:t>legal act(s) shall foresee penalties for businesses not respecting the law.</w:t>
            </w:r>
          </w:p>
          <w:p w14:paraId="5F37D498"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9. Fiscal transparency and public reporting on ANAF’s performance. ANAF shall periodically publish: </w:t>
            </w:r>
          </w:p>
          <w:p w14:paraId="7BE3B191" w14:textId="77777777" w:rsidR="00BE1A15" w:rsidRPr="00A025C9" w:rsidRDefault="00BE1A15">
            <w:pPr>
              <w:spacing w:after="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The estimated structure and level of the VAT Gap, validated with the National Institute of Statistics (INS) and the Ministry of Finance, on a biannual basis, with World Bank support (first publication in 2026); </w:t>
            </w:r>
          </w:p>
          <w:p w14:paraId="69200C85" w14:textId="77777777" w:rsidR="00BE1A15" w:rsidRPr="00A025C9" w:rsidRDefault="00BE1A15">
            <w:pPr>
              <w:spacing w:after="0"/>
              <w:jc w:val="both"/>
              <w:rPr>
                <w:rFonts w:ascii="Times New Roman" w:hAnsi="Times New Roman" w:cs="Times New Roman"/>
                <w:noProof/>
                <w:sz w:val="20"/>
                <w:szCs w:val="20"/>
              </w:rPr>
            </w:pPr>
            <w:r w:rsidRPr="00A025C9">
              <w:rPr>
                <w:rFonts w:ascii="Times New Roman" w:hAnsi="Times New Roman" w:cs="Times New Roman"/>
                <w:noProof/>
                <w:sz w:val="20"/>
                <w:szCs w:val="20"/>
                <w:lang w:val="en-GB"/>
              </w:rPr>
              <w:t>- Semi-annual statistics on inspections, recovered amounts, and criminal referrals.</w:t>
            </w:r>
          </w:p>
        </w:tc>
      </w:tr>
      <w:tr w:rsidR="00BE1A15" w:rsidRPr="00A025C9" w14:paraId="7F4BA950"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00BB5EA1"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198</w:t>
            </w:r>
          </w:p>
        </w:tc>
        <w:tc>
          <w:tcPr>
            <w:tcW w:w="1833" w:type="dxa"/>
            <w:tcBorders>
              <w:top w:val="nil"/>
              <w:left w:val="nil"/>
              <w:bottom w:val="single" w:sz="4" w:space="0" w:color="auto"/>
              <w:right w:val="single" w:sz="4" w:space="0" w:color="auto"/>
            </w:tcBorders>
            <w:shd w:val="clear" w:color="auto" w:fill="C6EFCE"/>
            <w:noWrap/>
          </w:tcPr>
          <w:p w14:paraId="2F2A0175"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Reform 2. Modernisation of the customs system and establishment of electronic customs </w:t>
            </w:r>
          </w:p>
        </w:tc>
        <w:tc>
          <w:tcPr>
            <w:tcW w:w="1268" w:type="dxa"/>
            <w:tcBorders>
              <w:top w:val="nil"/>
              <w:left w:val="nil"/>
              <w:bottom w:val="single" w:sz="4" w:space="0" w:color="auto"/>
              <w:right w:val="single" w:sz="4" w:space="0" w:color="auto"/>
            </w:tcBorders>
            <w:shd w:val="clear" w:color="auto" w:fill="C6EFCE"/>
            <w:noWrap/>
          </w:tcPr>
          <w:p w14:paraId="7986BD78"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411F9360" w14:textId="77777777" w:rsidR="00BE1A15" w:rsidRPr="00A025C9" w:rsidRDefault="00BE1A15">
            <w:pPr>
              <w:spacing w:after="0" w:line="240" w:lineRule="auto"/>
              <w:jc w:val="both"/>
              <w:rPr>
                <w:rFonts w:ascii="Times New Roman" w:hAnsi="Times New Roman" w:cs="Times New Roman"/>
                <w:noProof/>
                <w:sz w:val="20"/>
                <w:szCs w:val="20"/>
                <w:lang w:val="en-GB"/>
              </w:rPr>
            </w:pPr>
            <w:bookmarkStart w:id="14" w:name="_Hlk81579001"/>
            <w:r w:rsidRPr="00A025C9">
              <w:rPr>
                <w:rFonts w:ascii="Times New Roman" w:hAnsi="Times New Roman" w:cs="Times New Roman"/>
                <w:noProof/>
                <w:sz w:val="20"/>
                <w:szCs w:val="20"/>
                <w:lang w:val="en-GB"/>
              </w:rPr>
              <w:t>Enhance the functioning of the Customs administration</w:t>
            </w:r>
          </w:p>
          <w:bookmarkEnd w:id="14"/>
          <w:p w14:paraId="7365A5F6"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560" w:type="dxa"/>
            <w:tcBorders>
              <w:top w:val="nil"/>
              <w:left w:val="nil"/>
              <w:bottom w:val="single" w:sz="4" w:space="0" w:color="auto"/>
              <w:right w:val="single" w:sz="4" w:space="0" w:color="auto"/>
            </w:tcBorders>
            <w:shd w:val="clear" w:color="auto" w:fill="C6EFCE"/>
            <w:noWrap/>
          </w:tcPr>
          <w:p w14:paraId="1D9CB146"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Legal act(s) to enhance the functioning of the Customs administration</w:t>
            </w:r>
          </w:p>
        </w:tc>
        <w:tc>
          <w:tcPr>
            <w:tcW w:w="1197" w:type="dxa"/>
            <w:tcBorders>
              <w:top w:val="nil"/>
              <w:left w:val="nil"/>
              <w:bottom w:val="single" w:sz="4" w:space="0" w:color="auto"/>
              <w:right w:val="single" w:sz="4" w:space="0" w:color="auto"/>
            </w:tcBorders>
            <w:shd w:val="clear" w:color="auto" w:fill="C6EFCE"/>
            <w:noWrap/>
          </w:tcPr>
          <w:p w14:paraId="1F499B48"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65D6CC41"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7C66D52B"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100CC09E"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544639C0"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2025</w:t>
            </w:r>
          </w:p>
        </w:tc>
        <w:tc>
          <w:tcPr>
            <w:tcW w:w="3107" w:type="dxa"/>
            <w:tcBorders>
              <w:top w:val="nil"/>
              <w:left w:val="nil"/>
              <w:bottom w:val="single" w:sz="4" w:space="0" w:color="auto"/>
              <w:right w:val="single" w:sz="4" w:space="0" w:color="auto"/>
            </w:tcBorders>
            <w:shd w:val="clear" w:color="auto" w:fill="C6EFCE"/>
            <w:noWrap/>
          </w:tcPr>
          <w:p w14:paraId="2522581D" w14:textId="03F6002C"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Legal act(s) shall establish the electronic customs system.</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In particular, the following provisions are foreseen:</w:t>
            </w:r>
          </w:p>
          <w:p w14:paraId="319B1073"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establishment of customs IT systems in line with the requirements of the Union Customs Code; </w:t>
            </w:r>
          </w:p>
          <w:p w14:paraId="24D2E34C"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focusing customs clearance on the electronic environment and reducing bureaucratic barriers;</w:t>
            </w:r>
          </w:p>
          <w:p w14:paraId="49669414"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simplification of customs formalities.</w:t>
            </w:r>
          </w:p>
        </w:tc>
      </w:tr>
      <w:tr w:rsidR="00BE1A15" w:rsidRPr="00A025C9" w14:paraId="674F1918"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14AB7167"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199</w:t>
            </w:r>
          </w:p>
        </w:tc>
        <w:tc>
          <w:tcPr>
            <w:tcW w:w="1833" w:type="dxa"/>
            <w:tcBorders>
              <w:top w:val="nil"/>
              <w:left w:val="nil"/>
              <w:bottom w:val="single" w:sz="4" w:space="0" w:color="auto"/>
              <w:right w:val="single" w:sz="4" w:space="0" w:color="auto"/>
            </w:tcBorders>
            <w:shd w:val="clear" w:color="auto" w:fill="C6EFCE"/>
            <w:noWrap/>
          </w:tcPr>
          <w:p w14:paraId="102A4254"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Reform 3. Improving the budgetary programming mechanism </w:t>
            </w:r>
          </w:p>
        </w:tc>
        <w:tc>
          <w:tcPr>
            <w:tcW w:w="1268" w:type="dxa"/>
            <w:tcBorders>
              <w:top w:val="nil"/>
              <w:left w:val="nil"/>
              <w:bottom w:val="single" w:sz="4" w:space="0" w:color="auto"/>
              <w:right w:val="single" w:sz="4" w:space="0" w:color="auto"/>
            </w:tcBorders>
            <w:shd w:val="clear" w:color="auto" w:fill="C6EFCE"/>
            <w:noWrap/>
          </w:tcPr>
          <w:p w14:paraId="403F560D"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58D4F9C7"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Entry into force of the amended regulatory framework to ensure multi-annual budgetary planning for the significant public investment projects and have an ex-post evaluation of expenditure reviews made by the Fiscal Council</w:t>
            </w:r>
          </w:p>
        </w:tc>
        <w:tc>
          <w:tcPr>
            <w:tcW w:w="1560" w:type="dxa"/>
            <w:tcBorders>
              <w:top w:val="nil"/>
              <w:left w:val="nil"/>
              <w:bottom w:val="single" w:sz="4" w:space="0" w:color="auto"/>
              <w:right w:val="single" w:sz="4" w:space="0" w:color="auto"/>
            </w:tcBorders>
            <w:shd w:val="clear" w:color="auto" w:fill="C6EFCE"/>
            <w:noWrap/>
          </w:tcPr>
          <w:p w14:paraId="7D7F24F3"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Provision in the law indicating the entry into force of the amendments to ensure multi-annual budgetary planning for the significant public investment projects</w:t>
            </w:r>
          </w:p>
        </w:tc>
        <w:tc>
          <w:tcPr>
            <w:tcW w:w="1197" w:type="dxa"/>
            <w:tcBorders>
              <w:top w:val="nil"/>
              <w:left w:val="nil"/>
              <w:bottom w:val="single" w:sz="4" w:space="0" w:color="auto"/>
              <w:right w:val="single" w:sz="4" w:space="0" w:color="auto"/>
            </w:tcBorders>
            <w:shd w:val="clear" w:color="auto" w:fill="C6EFCE"/>
            <w:noWrap/>
          </w:tcPr>
          <w:p w14:paraId="11B9806E"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1480C312"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2AC84B7A"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61045B2A"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7F2A3DE9"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107" w:type="dxa"/>
            <w:tcBorders>
              <w:top w:val="nil"/>
              <w:left w:val="nil"/>
              <w:bottom w:val="single" w:sz="4" w:space="0" w:color="auto"/>
              <w:right w:val="single" w:sz="4" w:space="0" w:color="auto"/>
            </w:tcBorders>
            <w:shd w:val="clear" w:color="auto" w:fill="C6EFCE"/>
            <w:noWrap/>
          </w:tcPr>
          <w:p w14:paraId="129603D1"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new regulatory framework shall amend:</w:t>
            </w:r>
          </w:p>
          <w:p w14:paraId="201D1942"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Law No nr.500/2002 on public finances, as amended, to lay down criteria and conditions for the budgetary construction of multiannual significant public investment projects, in particular expenditure on significant investment projects, so as to secure financing until their completion.</w:t>
            </w:r>
          </w:p>
          <w:p w14:paraId="175EB286"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Government Emergency Ordinance No nr.88/2013 on the adoption of certain fiscal and budgetary measures to meet commitments agreed with international bodies, and amending and supplementing certain legislative acts, as amended, which shall update the principles underlying the prioritisation of significant, new and on-going public investment projects in terms of financial affordability and sustainability, as well as economic and social justification; the timing of the process of prioritisation of significant public investment shall be updated in order to be linked to the timing of the annual and multi-annual budget preparation of the budget; conditions/sanctions shall be put in place for lead authorising officers who do not respect the timing and rules of the prioritisation of significant investments;</w:t>
            </w:r>
          </w:p>
          <w:p w14:paraId="26F38557"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Government Decision No nr.225/2014 approving methodological rules on the prioritisation of public investment projects, as amended, which shall amend the prioritisation criteria applicable to significant new and on-going public investment projects and thereafter, so that the budgeting is oriented towards the completion, as a matter of priority, of major investment projects in advanced phases of implementation. </w:t>
            </w:r>
          </w:p>
        </w:tc>
      </w:tr>
      <w:tr w:rsidR="00BE1A15" w:rsidRPr="00A025C9" w14:paraId="32AA00D0"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60829A4A"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200</w:t>
            </w:r>
          </w:p>
        </w:tc>
        <w:tc>
          <w:tcPr>
            <w:tcW w:w="1833" w:type="dxa"/>
            <w:tcBorders>
              <w:top w:val="nil"/>
              <w:left w:val="nil"/>
              <w:bottom w:val="single" w:sz="4" w:space="0" w:color="auto"/>
              <w:right w:val="single" w:sz="4" w:space="0" w:color="auto"/>
            </w:tcBorders>
            <w:shd w:val="clear" w:color="auto" w:fill="C6EFCE"/>
            <w:noWrap/>
          </w:tcPr>
          <w:p w14:paraId="0D65EA4B"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Reform 3. Improving the budgetary programming mechanism </w:t>
            </w:r>
          </w:p>
        </w:tc>
        <w:tc>
          <w:tcPr>
            <w:tcW w:w="1268" w:type="dxa"/>
            <w:tcBorders>
              <w:top w:val="nil"/>
              <w:left w:val="nil"/>
              <w:bottom w:val="single" w:sz="4" w:space="0" w:color="auto"/>
              <w:right w:val="single" w:sz="4" w:space="0" w:color="auto"/>
            </w:tcBorders>
            <w:shd w:val="clear" w:color="auto" w:fill="C6EFCE"/>
            <w:noWrap/>
          </w:tcPr>
          <w:p w14:paraId="19D9F7D2"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5A04EC15"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Entry into force of the government decision for the approval of the methodo-logy for drawing up, monitoring and reporting of the budgetary programmes</w:t>
            </w:r>
          </w:p>
        </w:tc>
        <w:tc>
          <w:tcPr>
            <w:tcW w:w="1560" w:type="dxa"/>
            <w:tcBorders>
              <w:top w:val="nil"/>
              <w:left w:val="nil"/>
              <w:bottom w:val="single" w:sz="4" w:space="0" w:color="auto"/>
              <w:right w:val="single" w:sz="4" w:space="0" w:color="auto"/>
            </w:tcBorders>
            <w:shd w:val="clear" w:color="auto" w:fill="C6EFCE"/>
            <w:noWrap/>
          </w:tcPr>
          <w:p w14:paraId="09E1D5B2"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Provision in government decision indicating the entry into force of the legislative act for the approval of the methodology for drawing up, monitoring and reporting of the budgetary programmes</w:t>
            </w:r>
          </w:p>
        </w:tc>
        <w:tc>
          <w:tcPr>
            <w:tcW w:w="1197" w:type="dxa"/>
            <w:tcBorders>
              <w:top w:val="nil"/>
              <w:left w:val="nil"/>
              <w:bottom w:val="single" w:sz="4" w:space="0" w:color="auto"/>
              <w:right w:val="single" w:sz="4" w:space="0" w:color="auto"/>
            </w:tcBorders>
            <w:shd w:val="clear" w:color="auto" w:fill="C6EFCE"/>
            <w:noWrap/>
          </w:tcPr>
          <w:p w14:paraId="37CFCF01"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3A451BD3"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08494BEA"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7EF216D0"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840" w:type="dxa"/>
            <w:tcBorders>
              <w:top w:val="nil"/>
              <w:left w:val="nil"/>
              <w:bottom w:val="single" w:sz="4" w:space="0" w:color="auto"/>
              <w:right w:val="single" w:sz="4" w:space="0" w:color="auto"/>
            </w:tcBorders>
            <w:shd w:val="clear" w:color="auto" w:fill="C6EFCE"/>
            <w:noWrap/>
          </w:tcPr>
          <w:p w14:paraId="28621C5B"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107" w:type="dxa"/>
            <w:tcBorders>
              <w:top w:val="nil"/>
              <w:left w:val="nil"/>
              <w:bottom w:val="single" w:sz="4" w:space="0" w:color="auto"/>
              <w:right w:val="single" w:sz="4" w:space="0" w:color="auto"/>
            </w:tcBorders>
            <w:shd w:val="clear" w:color="auto" w:fill="C6EFCE"/>
            <w:noWrap/>
          </w:tcPr>
          <w:p w14:paraId="56E68D06"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government decision act shall:</w:t>
            </w:r>
          </w:p>
          <w:p w14:paraId="65BD0155"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ensure drawing up, monitoring and reporting of budgetary programmes</w:t>
            </w:r>
          </w:p>
          <w:p w14:paraId="1EE91823" w14:textId="77777777" w:rsidR="00BE1A15" w:rsidRPr="00A025C9" w:rsidRDefault="00BE1A15">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improve performance-based budgetary planning and increase result-orientation,</w:t>
            </w:r>
          </w:p>
          <w:p w14:paraId="6F4FACA9" w14:textId="77777777" w:rsidR="00BE1A15" w:rsidRPr="00A025C9" w:rsidRDefault="00BE1A15">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clearly define objectives, targets, results of actions, the impact of policies and indicators allowing both rigorous ex-ante debates on the public policies to be financed and a transparent and reasoned assessment of how the budgeted programmes have achieved public policy objectives and targets.</w:t>
            </w:r>
          </w:p>
          <w:p w14:paraId="5E9FC734"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This government decision shall be linked to the revision of the budget_NG application. </w:t>
            </w:r>
          </w:p>
        </w:tc>
      </w:tr>
      <w:tr w:rsidR="00BE1A15" w:rsidRPr="00A025C9" w14:paraId="22DEC7A5"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3EEE0D1F"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201</w:t>
            </w:r>
          </w:p>
        </w:tc>
        <w:tc>
          <w:tcPr>
            <w:tcW w:w="1833" w:type="dxa"/>
            <w:tcBorders>
              <w:top w:val="nil"/>
              <w:left w:val="nil"/>
              <w:bottom w:val="single" w:sz="4" w:space="0" w:color="auto"/>
              <w:right w:val="single" w:sz="4" w:space="0" w:color="auto"/>
            </w:tcBorders>
            <w:shd w:val="clear" w:color="auto" w:fill="C6EFCE"/>
            <w:noWrap/>
          </w:tcPr>
          <w:p w14:paraId="4D7A24C5"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Reform 3. </w:t>
            </w:r>
          </w:p>
          <w:p w14:paraId="61E1707B"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Improving the budgetary programming mechanism </w:t>
            </w:r>
          </w:p>
        </w:tc>
        <w:tc>
          <w:tcPr>
            <w:tcW w:w="1268" w:type="dxa"/>
            <w:tcBorders>
              <w:top w:val="nil"/>
              <w:left w:val="nil"/>
              <w:bottom w:val="single" w:sz="4" w:space="0" w:color="auto"/>
              <w:right w:val="single" w:sz="4" w:space="0" w:color="auto"/>
            </w:tcBorders>
            <w:shd w:val="clear" w:color="auto" w:fill="C6EFCE"/>
            <w:noWrap/>
          </w:tcPr>
          <w:p w14:paraId="20A51380"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77E9CFCB"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Spending review in health and education sectors conducted</w:t>
            </w:r>
          </w:p>
        </w:tc>
        <w:tc>
          <w:tcPr>
            <w:tcW w:w="1560" w:type="dxa"/>
            <w:tcBorders>
              <w:top w:val="nil"/>
              <w:left w:val="nil"/>
              <w:bottom w:val="single" w:sz="4" w:space="0" w:color="auto"/>
              <w:right w:val="single" w:sz="4" w:space="0" w:color="auto"/>
            </w:tcBorders>
            <w:shd w:val="clear" w:color="auto" w:fill="C6EFCE"/>
            <w:noWrap/>
          </w:tcPr>
          <w:p w14:paraId="5FD584B9"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Publishing the analysis of spending in the fields of education and health</w:t>
            </w:r>
          </w:p>
        </w:tc>
        <w:tc>
          <w:tcPr>
            <w:tcW w:w="1197" w:type="dxa"/>
            <w:tcBorders>
              <w:top w:val="nil"/>
              <w:left w:val="nil"/>
              <w:bottom w:val="single" w:sz="4" w:space="0" w:color="auto"/>
              <w:right w:val="single" w:sz="4" w:space="0" w:color="auto"/>
            </w:tcBorders>
            <w:shd w:val="clear" w:color="auto" w:fill="C6EFCE"/>
            <w:noWrap/>
          </w:tcPr>
          <w:p w14:paraId="1D518F4A"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5CF2DACE"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6BC0F144"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63F4B523"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840" w:type="dxa"/>
            <w:tcBorders>
              <w:top w:val="nil"/>
              <w:left w:val="nil"/>
              <w:bottom w:val="single" w:sz="4" w:space="0" w:color="auto"/>
              <w:right w:val="single" w:sz="4" w:space="0" w:color="auto"/>
            </w:tcBorders>
            <w:shd w:val="clear" w:color="auto" w:fill="C6EFCE"/>
            <w:noWrap/>
          </w:tcPr>
          <w:p w14:paraId="3DD5EE3C"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2023</w:t>
            </w:r>
          </w:p>
        </w:tc>
        <w:tc>
          <w:tcPr>
            <w:tcW w:w="3107" w:type="dxa"/>
            <w:tcBorders>
              <w:top w:val="nil"/>
              <w:left w:val="nil"/>
              <w:bottom w:val="single" w:sz="4" w:space="0" w:color="auto"/>
              <w:right w:val="single" w:sz="4" w:space="0" w:color="auto"/>
            </w:tcBorders>
            <w:shd w:val="clear" w:color="auto" w:fill="C6EFCE"/>
            <w:noWrap/>
          </w:tcPr>
          <w:p w14:paraId="53214A90"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spending review in health and education sectors shall be carried out in three main steps:</w:t>
            </w:r>
          </w:p>
          <w:p w14:paraId="3F365D30" w14:textId="77777777" w:rsidR="00BE1A15" w:rsidRPr="00A025C9" w:rsidRDefault="00BE1A15" w:rsidP="00BE1A15">
            <w:pPr>
              <w:numPr>
                <w:ilvl w:val="0"/>
                <w:numId w:val="80"/>
              </w:numPr>
              <w:spacing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Memorandum in the Government presenting the spending review on Health and Education, </w:t>
            </w:r>
          </w:p>
          <w:p w14:paraId="23A1E357" w14:textId="77777777" w:rsidR="00BE1A15" w:rsidRPr="00A025C9" w:rsidRDefault="00BE1A15" w:rsidP="00BE1A15">
            <w:pPr>
              <w:numPr>
                <w:ilvl w:val="0"/>
                <w:numId w:val="80"/>
              </w:numPr>
              <w:spacing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Establishment of thematic working groups with representatives of Ministry of Finance, Ministry of Health, National Health Insurances House/Ministry of Education, </w:t>
            </w:r>
          </w:p>
          <w:p w14:paraId="149B3F79" w14:textId="77777777" w:rsidR="00BE1A15" w:rsidRPr="00A025C9" w:rsidRDefault="00BE1A15" w:rsidP="00BE1A15">
            <w:pPr>
              <w:numPr>
                <w:ilvl w:val="0"/>
                <w:numId w:val="80"/>
              </w:numPr>
              <w:spacing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Collection of data, finalisation of analyses and presentation of results.</w:t>
            </w:r>
          </w:p>
        </w:tc>
      </w:tr>
      <w:tr w:rsidR="00BE1A15" w:rsidRPr="00A025C9" w14:paraId="4DBD503A"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579DD1BE"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w:t>
            </w:r>
          </w:p>
        </w:tc>
        <w:tc>
          <w:tcPr>
            <w:tcW w:w="1833" w:type="dxa"/>
            <w:tcBorders>
              <w:top w:val="nil"/>
              <w:left w:val="nil"/>
              <w:bottom w:val="single" w:sz="4" w:space="0" w:color="auto"/>
              <w:right w:val="single" w:sz="4" w:space="0" w:color="auto"/>
            </w:tcBorders>
            <w:shd w:val="clear" w:color="auto" w:fill="C6EFCE"/>
            <w:noWrap/>
          </w:tcPr>
          <w:p w14:paraId="5C8446D4"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Reform 3. Improving the budgetary programming mechanism </w:t>
            </w:r>
          </w:p>
        </w:tc>
        <w:tc>
          <w:tcPr>
            <w:tcW w:w="1268" w:type="dxa"/>
            <w:tcBorders>
              <w:top w:val="nil"/>
              <w:left w:val="nil"/>
              <w:bottom w:val="single" w:sz="4" w:space="0" w:color="auto"/>
              <w:right w:val="single" w:sz="4" w:space="0" w:color="auto"/>
            </w:tcBorders>
            <w:shd w:val="clear" w:color="auto" w:fill="C6EFCE"/>
            <w:noWrap/>
          </w:tcPr>
          <w:p w14:paraId="599E26EE"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2348523A"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Adoption of a multi-annual strategy and calendar for a systematic expenditure review across all sectors </w:t>
            </w:r>
          </w:p>
        </w:tc>
        <w:tc>
          <w:tcPr>
            <w:tcW w:w="1560" w:type="dxa"/>
            <w:tcBorders>
              <w:top w:val="nil"/>
              <w:left w:val="nil"/>
              <w:bottom w:val="single" w:sz="4" w:space="0" w:color="auto"/>
              <w:right w:val="single" w:sz="4" w:space="0" w:color="auto"/>
            </w:tcBorders>
            <w:shd w:val="clear" w:color="auto" w:fill="C6EFCE"/>
            <w:noWrap/>
          </w:tcPr>
          <w:p w14:paraId="288745C7"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Memorandum approved by the Government and published </w:t>
            </w:r>
          </w:p>
        </w:tc>
        <w:tc>
          <w:tcPr>
            <w:tcW w:w="1197" w:type="dxa"/>
            <w:tcBorders>
              <w:top w:val="nil"/>
              <w:left w:val="nil"/>
              <w:bottom w:val="single" w:sz="4" w:space="0" w:color="auto"/>
              <w:right w:val="single" w:sz="4" w:space="0" w:color="auto"/>
            </w:tcBorders>
            <w:shd w:val="clear" w:color="auto" w:fill="C6EFCE"/>
            <w:noWrap/>
          </w:tcPr>
          <w:p w14:paraId="688C9A70"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750DAEE6"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28FBA332"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58B06F88"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840" w:type="dxa"/>
            <w:tcBorders>
              <w:top w:val="nil"/>
              <w:left w:val="nil"/>
              <w:bottom w:val="single" w:sz="4" w:space="0" w:color="auto"/>
              <w:right w:val="single" w:sz="4" w:space="0" w:color="auto"/>
            </w:tcBorders>
            <w:shd w:val="clear" w:color="auto" w:fill="C6EFCE"/>
            <w:noWrap/>
          </w:tcPr>
          <w:p w14:paraId="03B3A15B" w14:textId="77777777" w:rsidR="00BE1A15" w:rsidRPr="00A025C9" w:rsidRDefault="00BE1A15">
            <w:pPr>
              <w:spacing w:after="0" w:line="240" w:lineRule="auto"/>
              <w:jc w:val="center"/>
              <w:rPr>
                <w:rFonts w:ascii="Times New Roman" w:hAnsi="Times New Roman" w:cs="Times New Roman"/>
                <w:b/>
                <w:bCs/>
                <w:noProof/>
                <w:color w:val="4EA72E" w:themeColor="accent6"/>
                <w:sz w:val="20"/>
                <w:szCs w:val="20"/>
                <w:lang w:val="en-GB"/>
              </w:rPr>
            </w:pPr>
            <w:r w:rsidRPr="00A025C9">
              <w:rPr>
                <w:rFonts w:ascii="Times New Roman" w:hAnsi="Times New Roman" w:cs="Times New Roman"/>
                <w:noProof/>
                <w:sz w:val="20"/>
                <w:szCs w:val="20"/>
                <w:lang w:val="en-GB"/>
              </w:rPr>
              <w:t>2024</w:t>
            </w:r>
          </w:p>
        </w:tc>
        <w:tc>
          <w:tcPr>
            <w:tcW w:w="3107" w:type="dxa"/>
            <w:tcBorders>
              <w:top w:val="nil"/>
              <w:left w:val="nil"/>
              <w:bottom w:val="single" w:sz="4" w:space="0" w:color="auto"/>
              <w:right w:val="single" w:sz="4" w:space="0" w:color="auto"/>
            </w:tcBorders>
            <w:shd w:val="clear" w:color="auto" w:fill="C6EFCE"/>
            <w:noWrap/>
          </w:tcPr>
          <w:p w14:paraId="1D41D795"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Memorandum for approval by the Government shall set out the areas subject of future expenditure reviews, their timetable, the responsible institutions and the setting up of working groups for each area under consideration.</w:t>
            </w:r>
          </w:p>
          <w:p w14:paraId="01F83976" w14:textId="77777777" w:rsidR="00BE1A15" w:rsidRPr="00A025C9" w:rsidRDefault="00BE1A15">
            <w:pPr>
              <w:spacing w:after="0" w:line="240" w:lineRule="auto"/>
              <w:jc w:val="both"/>
              <w:rPr>
                <w:rFonts w:ascii="Times New Roman" w:hAnsi="Times New Roman" w:cs="Times New Roman"/>
                <w:noProof/>
                <w:sz w:val="20"/>
                <w:szCs w:val="20"/>
                <w:lang w:val="en-GB" w:eastAsia="en-IE"/>
              </w:rPr>
            </w:pPr>
            <w:r w:rsidRPr="00A025C9">
              <w:rPr>
                <w:rFonts w:ascii="Times New Roman" w:hAnsi="Times New Roman" w:cs="Times New Roman"/>
                <w:noProof/>
                <w:sz w:val="20"/>
                <w:szCs w:val="20"/>
                <w:lang w:val="en-GB" w:eastAsia="en-IE"/>
              </w:rPr>
              <w:t>The 2024 draft budget shall reflect the measures and proposals resulting from the spending reviews for health and education.</w:t>
            </w:r>
          </w:p>
          <w:p w14:paraId="2AC11E8A"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Legal act(s) shall mandate the Fiscal Council to yearly issue an opinion on the outcome of the expenditure analysis starting with the 2024 budget.</w:t>
            </w:r>
          </w:p>
        </w:tc>
      </w:tr>
      <w:tr w:rsidR="00BE1A15" w:rsidRPr="00A025C9" w14:paraId="463CEFD5"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2BBA579"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205</w:t>
            </w:r>
          </w:p>
        </w:tc>
        <w:tc>
          <w:tcPr>
            <w:tcW w:w="1833" w:type="dxa"/>
            <w:tcBorders>
              <w:top w:val="nil"/>
              <w:left w:val="nil"/>
              <w:bottom w:val="single" w:sz="4" w:space="0" w:color="auto"/>
              <w:right w:val="single" w:sz="4" w:space="0" w:color="auto"/>
            </w:tcBorders>
            <w:shd w:val="clear" w:color="auto" w:fill="C6EFCE"/>
            <w:noWrap/>
          </w:tcPr>
          <w:p w14:paraId="23C7FC15"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Reform 4. Review of the tax framework </w:t>
            </w:r>
          </w:p>
        </w:tc>
        <w:tc>
          <w:tcPr>
            <w:tcW w:w="1268" w:type="dxa"/>
            <w:tcBorders>
              <w:top w:val="nil"/>
              <w:left w:val="nil"/>
              <w:bottom w:val="single" w:sz="4" w:space="0" w:color="auto"/>
              <w:right w:val="single" w:sz="4" w:space="0" w:color="auto"/>
            </w:tcBorders>
            <w:shd w:val="clear" w:color="auto" w:fill="C6EFCE"/>
            <w:noWrap/>
          </w:tcPr>
          <w:p w14:paraId="4A1E8579"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0FF3569D"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Analysis of Romania’s tax system with the objective to produce recommenda-tions to ensure that the tax system contributes to promote and preserve sustainable economic growth</w:t>
            </w:r>
          </w:p>
        </w:tc>
        <w:tc>
          <w:tcPr>
            <w:tcW w:w="1560" w:type="dxa"/>
            <w:tcBorders>
              <w:top w:val="nil"/>
              <w:left w:val="nil"/>
              <w:bottom w:val="single" w:sz="4" w:space="0" w:color="auto"/>
              <w:right w:val="single" w:sz="4" w:space="0" w:color="auto"/>
            </w:tcBorders>
            <w:shd w:val="clear" w:color="auto" w:fill="C6EFCE"/>
            <w:noWrap/>
          </w:tcPr>
          <w:p w14:paraId="054E8ED8"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Completed analysis, publication of the report with the analysis and the recommenda-tions, endorsed by/ co-authored with the independent institutions providing technical assistance</w:t>
            </w:r>
          </w:p>
        </w:tc>
        <w:tc>
          <w:tcPr>
            <w:tcW w:w="1197" w:type="dxa"/>
            <w:tcBorders>
              <w:top w:val="nil"/>
              <w:left w:val="nil"/>
              <w:bottom w:val="single" w:sz="4" w:space="0" w:color="auto"/>
              <w:right w:val="single" w:sz="4" w:space="0" w:color="auto"/>
            </w:tcBorders>
            <w:shd w:val="clear" w:color="auto" w:fill="C6EFCE"/>
            <w:noWrap/>
          </w:tcPr>
          <w:p w14:paraId="31CAA4B9"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461E2626"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0DAA4A96"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58FC1A9B"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5A959C66"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107" w:type="dxa"/>
            <w:tcBorders>
              <w:top w:val="nil"/>
              <w:left w:val="nil"/>
              <w:bottom w:val="single" w:sz="4" w:space="0" w:color="auto"/>
              <w:right w:val="single" w:sz="4" w:space="0" w:color="auto"/>
            </w:tcBorders>
            <w:shd w:val="clear" w:color="auto" w:fill="C6EFCE"/>
            <w:noWrap/>
          </w:tcPr>
          <w:p w14:paraId="389DEB11"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The Ministry of Finance shall, with support of technical assistance, advisory and consultancy services, carry out the analysis on how to improve the structure of the Romanian tax system/tax legislation to ensure that the tax system contributes to promoting and preserving sustainable economic growth. The focus shall be: </w:t>
            </w:r>
          </w:p>
          <w:p w14:paraId="1D4FC83D"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on the gradual phase out of the tax incentives and loopholes in income tax, corporate tax (including special schemes which may benefit from the exceptions), </w:t>
            </w:r>
          </w:p>
          <w:p w14:paraId="18C19691"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on social contributions and property tax (i.e. local taxes), and </w:t>
            </w:r>
          </w:p>
          <w:p w14:paraId="55B9FA50"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on shifting taxation towards green taxes, taking into account distributional impacts. </w:t>
            </w:r>
          </w:p>
          <w:p w14:paraId="5AC4AD65"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analysis and recommendations shall be published by the Ministry of Finance.</w:t>
            </w:r>
          </w:p>
        </w:tc>
      </w:tr>
      <w:tr w:rsidR="00BE1A15" w:rsidRPr="00A025C9" w14:paraId="4FCFA734"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2AC986B0"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206</w:t>
            </w:r>
          </w:p>
        </w:tc>
        <w:tc>
          <w:tcPr>
            <w:tcW w:w="1833" w:type="dxa"/>
            <w:tcBorders>
              <w:top w:val="nil"/>
              <w:left w:val="nil"/>
              <w:bottom w:val="single" w:sz="4" w:space="0" w:color="auto"/>
              <w:right w:val="single" w:sz="4" w:space="0" w:color="auto"/>
            </w:tcBorders>
            <w:shd w:val="clear" w:color="auto" w:fill="C6EFCE"/>
            <w:noWrap/>
          </w:tcPr>
          <w:p w14:paraId="1040CC48"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Reform 4. Review of the tax framework</w:t>
            </w:r>
          </w:p>
        </w:tc>
        <w:tc>
          <w:tcPr>
            <w:tcW w:w="1268" w:type="dxa"/>
            <w:tcBorders>
              <w:top w:val="nil"/>
              <w:left w:val="nil"/>
              <w:bottom w:val="single" w:sz="4" w:space="0" w:color="auto"/>
              <w:right w:val="single" w:sz="4" w:space="0" w:color="auto"/>
            </w:tcBorders>
            <w:shd w:val="clear" w:color="auto" w:fill="C6EFCE"/>
            <w:noWrap/>
          </w:tcPr>
          <w:p w14:paraId="20E99E6E"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3D6FA53F"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Entry into force of amendments to the Fiscal Code gradually reducing the scope of the special tax regime for micro-enterprises </w:t>
            </w:r>
          </w:p>
        </w:tc>
        <w:tc>
          <w:tcPr>
            <w:tcW w:w="1560" w:type="dxa"/>
            <w:tcBorders>
              <w:top w:val="nil"/>
              <w:left w:val="nil"/>
              <w:bottom w:val="single" w:sz="4" w:space="0" w:color="auto"/>
              <w:right w:val="single" w:sz="4" w:space="0" w:color="auto"/>
            </w:tcBorders>
            <w:shd w:val="clear" w:color="auto" w:fill="C6EFCE"/>
            <w:noWrap/>
          </w:tcPr>
          <w:p w14:paraId="7F234011"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Provision in the law indicating the entry into force of the amendments to the Fiscal Code </w:t>
            </w:r>
          </w:p>
        </w:tc>
        <w:tc>
          <w:tcPr>
            <w:tcW w:w="1197" w:type="dxa"/>
            <w:tcBorders>
              <w:top w:val="nil"/>
              <w:left w:val="nil"/>
              <w:bottom w:val="single" w:sz="4" w:space="0" w:color="auto"/>
              <w:right w:val="single" w:sz="4" w:space="0" w:color="auto"/>
            </w:tcBorders>
            <w:shd w:val="clear" w:color="auto" w:fill="C6EFCE"/>
            <w:noWrap/>
          </w:tcPr>
          <w:p w14:paraId="065DD8BF"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5950C192"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0A1EE1FF"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5DD0B2F3"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2A6E00C6"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107" w:type="dxa"/>
            <w:tcBorders>
              <w:top w:val="nil"/>
              <w:left w:val="nil"/>
              <w:bottom w:val="single" w:sz="4" w:space="0" w:color="auto"/>
              <w:right w:val="single" w:sz="4" w:space="0" w:color="auto"/>
            </w:tcBorders>
            <w:shd w:val="clear" w:color="auto" w:fill="C6EFCE"/>
            <w:noWrap/>
          </w:tcPr>
          <w:p w14:paraId="5920865E"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new law shall amend the Fiscal Code with the aim of gradual reduction of the scope of the special tax regime for micro-enterprises. The reduction of the special provisions shall start in Q1 2023 and be completed by Q4 2024.</w:t>
            </w:r>
          </w:p>
        </w:tc>
      </w:tr>
      <w:tr w:rsidR="00BE1A15" w:rsidRPr="00A025C9" w14:paraId="40E77BAD"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6C4E54AC"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207</w:t>
            </w:r>
          </w:p>
        </w:tc>
        <w:tc>
          <w:tcPr>
            <w:tcW w:w="1833" w:type="dxa"/>
            <w:tcBorders>
              <w:top w:val="nil"/>
              <w:left w:val="nil"/>
              <w:bottom w:val="single" w:sz="4" w:space="0" w:color="auto"/>
              <w:right w:val="single" w:sz="4" w:space="0" w:color="auto"/>
            </w:tcBorders>
            <w:shd w:val="clear" w:color="auto" w:fill="C6EFCE"/>
            <w:noWrap/>
          </w:tcPr>
          <w:p w14:paraId="14134213"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Reform 4. Review of the tax framework</w:t>
            </w:r>
          </w:p>
        </w:tc>
        <w:tc>
          <w:tcPr>
            <w:tcW w:w="1268" w:type="dxa"/>
            <w:tcBorders>
              <w:top w:val="nil"/>
              <w:left w:val="nil"/>
              <w:bottom w:val="single" w:sz="4" w:space="0" w:color="auto"/>
              <w:right w:val="single" w:sz="4" w:space="0" w:color="auto"/>
            </w:tcBorders>
            <w:shd w:val="clear" w:color="auto" w:fill="C6EFCE"/>
            <w:noWrap/>
          </w:tcPr>
          <w:p w14:paraId="41DA827B"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76CC8FA2"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Legal act(s) to reduce and/ or eliminate other tax incentives with the objective to simplify and make more efficient the tax system</w:t>
            </w:r>
          </w:p>
          <w:p w14:paraId="20AF29B9" w14:textId="77777777" w:rsidR="00BE1A15" w:rsidRPr="00A025C9" w:rsidRDefault="00BE1A15">
            <w:pPr>
              <w:spacing w:before="120"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-Legislation to expand the green taxation</w:t>
            </w:r>
          </w:p>
        </w:tc>
        <w:tc>
          <w:tcPr>
            <w:tcW w:w="1560" w:type="dxa"/>
            <w:tcBorders>
              <w:top w:val="nil"/>
              <w:left w:val="nil"/>
              <w:bottom w:val="single" w:sz="4" w:space="0" w:color="auto"/>
              <w:right w:val="single" w:sz="4" w:space="0" w:color="auto"/>
            </w:tcBorders>
            <w:shd w:val="clear" w:color="auto" w:fill="C6EFCE"/>
            <w:noWrap/>
          </w:tcPr>
          <w:p w14:paraId="7AE05906" w14:textId="08B93BEC"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Legal act(s)</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for reducing and/or eliminating tax incentives and expanding the green taxation</w:t>
            </w:r>
          </w:p>
        </w:tc>
        <w:tc>
          <w:tcPr>
            <w:tcW w:w="1197" w:type="dxa"/>
            <w:tcBorders>
              <w:top w:val="nil"/>
              <w:left w:val="nil"/>
              <w:bottom w:val="single" w:sz="4" w:space="0" w:color="auto"/>
              <w:right w:val="single" w:sz="4" w:space="0" w:color="auto"/>
            </w:tcBorders>
            <w:shd w:val="clear" w:color="auto" w:fill="C6EFCE"/>
            <w:noWrap/>
          </w:tcPr>
          <w:p w14:paraId="0BC42B93"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7FC86B8F"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46D33FE4"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3146D9E2"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Q1</w:t>
            </w:r>
          </w:p>
        </w:tc>
        <w:tc>
          <w:tcPr>
            <w:tcW w:w="840" w:type="dxa"/>
            <w:tcBorders>
              <w:top w:val="nil"/>
              <w:left w:val="nil"/>
              <w:bottom w:val="single" w:sz="4" w:space="0" w:color="auto"/>
              <w:right w:val="single" w:sz="4" w:space="0" w:color="auto"/>
            </w:tcBorders>
            <w:shd w:val="clear" w:color="auto" w:fill="C6EFCE"/>
            <w:noWrap/>
          </w:tcPr>
          <w:p w14:paraId="06217498" w14:textId="77777777" w:rsidR="00BE1A15" w:rsidRPr="00A025C9" w:rsidRDefault="00BE1A15">
            <w:pPr>
              <w:spacing w:after="0" w:line="240" w:lineRule="auto"/>
              <w:jc w:val="center"/>
              <w:rPr>
                <w:rFonts w:ascii="Times New Roman" w:hAnsi="Times New Roman" w:cs="Times New Roman"/>
                <w:b/>
                <w:bCs/>
                <w:noProof/>
                <w:color w:val="00B050"/>
                <w:sz w:val="20"/>
                <w:szCs w:val="20"/>
                <w:lang w:val="en-GB"/>
              </w:rPr>
            </w:pPr>
            <w:r w:rsidRPr="00A025C9">
              <w:rPr>
                <w:rFonts w:ascii="Times New Roman" w:hAnsi="Times New Roman" w:cs="Times New Roman"/>
                <w:noProof/>
                <w:sz w:val="20"/>
                <w:szCs w:val="20"/>
                <w:lang w:val="en-GB"/>
              </w:rPr>
              <w:t>2025</w:t>
            </w:r>
          </w:p>
        </w:tc>
        <w:tc>
          <w:tcPr>
            <w:tcW w:w="3107" w:type="dxa"/>
            <w:tcBorders>
              <w:top w:val="nil"/>
              <w:left w:val="nil"/>
              <w:bottom w:val="single" w:sz="4" w:space="0" w:color="auto"/>
              <w:right w:val="single" w:sz="4" w:space="0" w:color="auto"/>
            </w:tcBorders>
            <w:shd w:val="clear" w:color="auto" w:fill="C6EFCE"/>
            <w:noWrap/>
          </w:tcPr>
          <w:p w14:paraId="4C829541" w14:textId="6B3BB1EE" w:rsidR="00BE1A15" w:rsidRPr="00A025C9" w:rsidRDefault="00BE1A15">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Legal act(s) shall</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implement the recommendations of the tax system review (see milestone 205) to ensure that the tax system contributes to promote and preserve sustainable economic growth.</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Legal act(s) shall</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 xml:space="preserve">gradually reduce the tax incentives for </w:t>
            </w:r>
            <w:r w:rsidRPr="00A025C9">
              <w:rPr>
                <w:rFonts w:ascii="Times New Roman" w:eastAsia="Times New Roman" w:hAnsi="Times New Roman" w:cs="Times New Roman"/>
                <w:noProof/>
                <w:sz w:val="20"/>
                <w:szCs w:val="20"/>
                <w:lang w:val="en-GB"/>
              </w:rPr>
              <w:t xml:space="preserve">personnel employed in the construction sector. </w:t>
            </w:r>
          </w:p>
          <w:p w14:paraId="48A4B4A1" w14:textId="77777777" w:rsidR="00BE1A15" w:rsidRPr="00A025C9" w:rsidRDefault="00BE1A15">
            <w:pPr>
              <w:spacing w:after="0" w:line="240" w:lineRule="auto"/>
              <w:jc w:val="both"/>
              <w:rPr>
                <w:rFonts w:ascii="Times New Roman" w:eastAsia="Times New Roman" w:hAnsi="Times New Roman" w:cs="Times New Roman"/>
                <w:noProof/>
                <w:sz w:val="20"/>
                <w:szCs w:val="20"/>
                <w:lang w:val="en-GB"/>
              </w:rPr>
            </w:pPr>
            <w:r w:rsidRPr="00A025C9">
              <w:rPr>
                <w:rFonts w:ascii="Times New Roman" w:eastAsia="Times New Roman" w:hAnsi="Times New Roman" w:cs="Times New Roman"/>
                <w:noProof/>
                <w:sz w:val="20"/>
                <w:szCs w:val="20"/>
                <w:lang w:val="en-GB"/>
              </w:rPr>
              <w:t>Legal act(s) shall simplify tax rules to facilitate compliance and administration, and elimination of preferential exemptions and treatments;</w:t>
            </w:r>
          </w:p>
          <w:p w14:paraId="71B27268" w14:textId="77777777" w:rsidR="00BE1A15" w:rsidRPr="00A025C9" w:rsidRDefault="00BE1A15">
            <w:pPr>
              <w:spacing w:after="0" w:line="240" w:lineRule="auto"/>
              <w:jc w:val="both"/>
              <w:rPr>
                <w:rFonts w:ascii="Times New Roman" w:eastAsia="Times New Roman" w:hAnsi="Times New Roman" w:cs="Times New Roman"/>
                <w:noProof/>
                <w:sz w:val="20"/>
                <w:szCs w:val="20"/>
                <w:lang w:val="en-GB"/>
              </w:rPr>
            </w:pPr>
            <w:r w:rsidRPr="00A025C9">
              <w:rPr>
                <w:rFonts w:ascii="Times New Roman" w:eastAsia="Times New Roman" w:hAnsi="Times New Roman" w:cs="Times New Roman"/>
                <w:noProof/>
                <w:sz w:val="20"/>
                <w:szCs w:val="20"/>
                <w:lang w:val="en-GB"/>
              </w:rPr>
              <w:t>Legal act(s) shall achieve a more efficient tax system and a fairer distribution of the tax burden.</w:t>
            </w:r>
          </w:p>
          <w:p w14:paraId="65DBEB87" w14:textId="214E4C0D"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eastAsia="Times New Roman" w:hAnsi="Times New Roman" w:cs="Times New Roman"/>
                <w:noProof/>
                <w:sz w:val="20"/>
                <w:szCs w:val="20"/>
                <w:lang w:val="en-GB"/>
              </w:rPr>
              <w:t>Legal act(s) shall amend property taxation by estimating the tax base as close as possible to the market value of the property. Automatically determine the taxable value of properties subject to local tax, and discontinue the practice of using a taxable base which is not linked to the market value. Furthermore,</w:t>
            </w:r>
            <w:r w:rsidR="00D23D91" w:rsidRPr="00A025C9">
              <w:rPr>
                <w:rFonts w:ascii="Times New Roman" w:eastAsia="Times New Roman" w:hAnsi="Times New Roman" w:cs="Times New Roman"/>
                <w:noProof/>
                <w:sz w:val="20"/>
                <w:szCs w:val="20"/>
                <w:lang w:val="en-GB"/>
              </w:rPr>
              <w:t xml:space="preserve"> </w:t>
            </w:r>
            <w:r w:rsidRPr="00A025C9">
              <w:rPr>
                <w:rFonts w:ascii="Times New Roman" w:eastAsia="Times New Roman" w:hAnsi="Times New Roman" w:cs="Times New Roman"/>
                <w:noProof/>
                <w:sz w:val="20"/>
                <w:szCs w:val="20"/>
                <w:lang w:val="en-GB"/>
              </w:rPr>
              <w:t xml:space="preserve">encourage the free imposition of allowances by local authorities within centrally defined ranges. </w:t>
            </w:r>
            <w:r w:rsidRPr="00A025C9">
              <w:rPr>
                <w:rFonts w:ascii="Times New Roman" w:hAnsi="Times New Roman" w:cs="Times New Roman"/>
                <w:noProof/>
                <w:sz w:val="20"/>
                <w:szCs w:val="20"/>
                <w:lang w:val="en-GB"/>
              </w:rPr>
              <w:t>Eliminate the</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potential arbitrage between the two tax systems applicable to individuals and legal entities owning non-residential (commercial) real estate.</w:t>
            </w:r>
          </w:p>
        </w:tc>
      </w:tr>
      <w:tr w:rsidR="00BE1A15" w:rsidRPr="00A025C9" w14:paraId="0D0DD823"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0B806954"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209</w:t>
            </w:r>
          </w:p>
        </w:tc>
        <w:tc>
          <w:tcPr>
            <w:tcW w:w="1833" w:type="dxa"/>
            <w:tcBorders>
              <w:top w:val="nil"/>
              <w:left w:val="nil"/>
              <w:bottom w:val="single" w:sz="4" w:space="0" w:color="auto"/>
              <w:right w:val="single" w:sz="4" w:space="0" w:color="auto"/>
            </w:tcBorders>
            <w:shd w:val="clear" w:color="auto" w:fill="C6EFCE"/>
            <w:noWrap/>
          </w:tcPr>
          <w:p w14:paraId="585567F2"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Reform 5. Establishment of the National Development Bank </w:t>
            </w:r>
          </w:p>
        </w:tc>
        <w:tc>
          <w:tcPr>
            <w:tcW w:w="1268" w:type="dxa"/>
            <w:tcBorders>
              <w:top w:val="nil"/>
              <w:left w:val="nil"/>
              <w:bottom w:val="single" w:sz="4" w:space="0" w:color="auto"/>
              <w:right w:val="single" w:sz="4" w:space="0" w:color="auto"/>
            </w:tcBorders>
            <w:shd w:val="clear" w:color="auto" w:fill="C6EFCE"/>
            <w:noWrap/>
          </w:tcPr>
          <w:p w14:paraId="5F81A41A"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0B815696" w14:textId="498B778E"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Establish-ment</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 xml:space="preserve">of the National Develop-ment Bank </w:t>
            </w:r>
          </w:p>
          <w:p w14:paraId="7BE3637F"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560" w:type="dxa"/>
            <w:tcBorders>
              <w:top w:val="nil"/>
              <w:left w:val="nil"/>
              <w:bottom w:val="single" w:sz="4" w:space="0" w:color="auto"/>
              <w:right w:val="single" w:sz="4" w:space="0" w:color="auto"/>
            </w:tcBorders>
            <w:shd w:val="clear" w:color="auto" w:fill="C6EFCE"/>
            <w:noWrap/>
          </w:tcPr>
          <w:p w14:paraId="5D6D0961"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Registration of the National Development Bank in the Trade Register </w:t>
            </w:r>
          </w:p>
          <w:p w14:paraId="3B0DAD06"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197" w:type="dxa"/>
            <w:tcBorders>
              <w:top w:val="nil"/>
              <w:left w:val="nil"/>
              <w:bottom w:val="single" w:sz="4" w:space="0" w:color="auto"/>
              <w:right w:val="single" w:sz="4" w:space="0" w:color="auto"/>
            </w:tcBorders>
            <w:shd w:val="clear" w:color="auto" w:fill="C6EFCE"/>
            <w:noWrap/>
          </w:tcPr>
          <w:p w14:paraId="16B39068"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01B7955D"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7AE9D15F"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77121961"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0C64965A"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2024</w:t>
            </w:r>
          </w:p>
        </w:tc>
        <w:tc>
          <w:tcPr>
            <w:tcW w:w="3107" w:type="dxa"/>
            <w:tcBorders>
              <w:top w:val="nil"/>
              <w:left w:val="nil"/>
              <w:bottom w:val="single" w:sz="4" w:space="0" w:color="auto"/>
              <w:right w:val="single" w:sz="4" w:space="0" w:color="auto"/>
            </w:tcBorders>
            <w:shd w:val="clear" w:color="auto" w:fill="C6EFCE"/>
            <w:noWrap/>
          </w:tcPr>
          <w:p w14:paraId="09E8B4C5"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National Development Bank (</w:t>
            </w:r>
            <w:r w:rsidRPr="00A025C9">
              <w:rPr>
                <w:rFonts w:ascii="Times New Roman" w:eastAsia="Times New Roman" w:hAnsi="Times New Roman" w:cs="Times New Roman"/>
                <w:noProof/>
                <w:sz w:val="20"/>
                <w:szCs w:val="20"/>
                <w:lang w:val="en-GB"/>
              </w:rPr>
              <w:t>100% state-owned credit institution)</w:t>
            </w:r>
            <w:r w:rsidRPr="00A025C9">
              <w:rPr>
                <w:rFonts w:ascii="Times New Roman" w:hAnsi="Times New Roman" w:cs="Times New Roman"/>
                <w:noProof/>
                <w:sz w:val="20"/>
                <w:szCs w:val="20"/>
                <w:lang w:val="en-GB"/>
              </w:rPr>
              <w:t xml:space="preserve"> shall be registered in the Trade Register and exempted from the application of Directive 2013/36/EU of the European Parliament and of the Council of 26 June 2013. It shall be functional, with trained staff (covering critical functions in the Front Office, Back Office and supporting functions) able to provide the first financial instruments. </w:t>
            </w:r>
          </w:p>
          <w:p w14:paraId="3F6B9447" w14:textId="77777777" w:rsidR="00BE1A15" w:rsidRPr="00A025C9" w:rsidRDefault="00BE1A15">
            <w:pPr>
              <w:spacing w:before="120" w:after="12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 order to ensure that the measure complies with the ‘Do no significant harm’ Technical Guidance (2021/C58/01), the investment and lending strategy of the National Development Bank shall: </w:t>
            </w:r>
          </w:p>
          <w:p w14:paraId="1D242FCD" w14:textId="77777777" w:rsidR="00BE1A15" w:rsidRPr="00A025C9" w:rsidRDefault="00BE1A15" w:rsidP="00BE1A15">
            <w:pPr>
              <w:numPr>
                <w:ilvl w:val="0"/>
                <w:numId w:val="2"/>
              </w:numPr>
              <w:spacing w:before="120" w:after="120" w:line="240" w:lineRule="auto"/>
              <w:ind w:left="36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require the application of the Commission’s technical guidance on sustainability proofing for the InvestEU Fund; and</w:t>
            </w:r>
          </w:p>
          <w:p w14:paraId="104A944E" w14:textId="77777777" w:rsidR="00BE1A15" w:rsidRPr="00A025C9" w:rsidRDefault="00BE1A15" w:rsidP="00BE1A15">
            <w:pPr>
              <w:numPr>
                <w:ilvl w:val="0"/>
                <w:numId w:val="2"/>
              </w:numPr>
              <w:spacing w:before="120" w:after="120" w:line="240" w:lineRule="auto"/>
              <w:ind w:left="36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exclude the following list of activities and assets from eligibility by way of an exclusion list: (i) activities and assets related to fossil fuels, including downstream use;</w:t>
            </w:r>
            <w:r w:rsidRPr="00A025C9">
              <w:rPr>
                <w:rFonts w:ascii="Times New Roman" w:hAnsi="Times New Roman" w:cs="Times New Roman"/>
                <w:noProof/>
                <w:sz w:val="20"/>
                <w:szCs w:val="20"/>
                <w:vertAlign w:val="superscript"/>
                <w:lang w:val="en-GB"/>
              </w:rPr>
              <w:footnoteReference w:id="5"/>
            </w:r>
            <w:r w:rsidRPr="00A025C9">
              <w:rPr>
                <w:rFonts w:ascii="Times New Roman" w:hAnsi="Times New Roman" w:cs="Times New Roman"/>
                <w:noProof/>
                <w:sz w:val="20"/>
                <w:szCs w:val="20"/>
                <w:vertAlign w:val="superscript"/>
                <w:lang w:val="en-GB"/>
              </w:rPr>
              <w:t xml:space="preserve"> </w:t>
            </w:r>
            <w:r w:rsidRPr="00A025C9">
              <w:rPr>
                <w:rFonts w:ascii="Times New Roman" w:hAnsi="Times New Roman" w:cs="Times New Roman"/>
                <w:noProof/>
                <w:sz w:val="20"/>
                <w:szCs w:val="20"/>
                <w:lang w:val="en-GB"/>
              </w:rPr>
              <w:t>(ii) activities and assets under the EU Emission Trading System (ETS) achieving projected greenhouse gas emissions that are not lower than the relevant benchmarks;</w:t>
            </w:r>
            <w:r w:rsidRPr="00A025C9">
              <w:rPr>
                <w:rFonts w:ascii="Times New Roman" w:hAnsi="Times New Roman" w:cs="Times New Roman"/>
                <w:noProof/>
                <w:sz w:val="20"/>
                <w:szCs w:val="20"/>
                <w:vertAlign w:val="superscript"/>
                <w:lang w:val="en-GB"/>
              </w:rPr>
              <w:footnoteReference w:id="6"/>
            </w:r>
            <w:r w:rsidRPr="00A025C9">
              <w:rPr>
                <w:rFonts w:ascii="Times New Roman" w:hAnsi="Times New Roman" w:cs="Times New Roman"/>
                <w:noProof/>
                <w:sz w:val="20"/>
                <w:szCs w:val="20"/>
                <w:lang w:val="en-GB"/>
              </w:rPr>
              <w:t xml:space="preserve"> (iii) activities and assets related to waste landfills, incinerators</w:t>
            </w:r>
            <w:r w:rsidRPr="00A025C9">
              <w:rPr>
                <w:rFonts w:ascii="Times New Roman" w:hAnsi="Times New Roman" w:cs="Times New Roman"/>
                <w:noProof/>
                <w:sz w:val="20"/>
                <w:szCs w:val="20"/>
                <w:vertAlign w:val="superscript"/>
                <w:lang w:val="en-GB"/>
              </w:rPr>
              <w:footnoteReference w:id="7"/>
            </w:r>
            <w:r w:rsidRPr="00A025C9">
              <w:rPr>
                <w:rFonts w:ascii="Times New Roman" w:hAnsi="Times New Roman" w:cs="Times New Roman"/>
                <w:noProof/>
                <w:sz w:val="20"/>
                <w:szCs w:val="20"/>
                <w:lang w:val="en-GB"/>
              </w:rPr>
              <w:t xml:space="preserve"> and mechanical biological treatment plants</w:t>
            </w:r>
            <w:r w:rsidRPr="00A025C9">
              <w:rPr>
                <w:rFonts w:ascii="Times New Roman" w:hAnsi="Times New Roman" w:cs="Times New Roman"/>
                <w:noProof/>
                <w:sz w:val="20"/>
                <w:szCs w:val="20"/>
                <w:vertAlign w:val="superscript"/>
                <w:lang w:val="en-GB"/>
              </w:rPr>
              <w:footnoteReference w:id="8"/>
            </w:r>
            <w:r w:rsidRPr="00A025C9">
              <w:rPr>
                <w:rFonts w:ascii="Times New Roman" w:hAnsi="Times New Roman" w:cs="Times New Roman"/>
                <w:noProof/>
                <w:sz w:val="20"/>
                <w:szCs w:val="20"/>
                <w:lang w:val="en-GB"/>
              </w:rPr>
              <w:t>; and (iv) activities and assets where the long-term disposal of waste may cause harm to the environment; and</w:t>
            </w:r>
          </w:p>
          <w:p w14:paraId="18283D18" w14:textId="77777777" w:rsidR="00BE1A15" w:rsidRPr="00A025C9" w:rsidRDefault="00BE1A15" w:rsidP="00BE1A15">
            <w:pPr>
              <w:numPr>
                <w:ilvl w:val="0"/>
                <w:numId w:val="2"/>
              </w:numPr>
              <w:spacing w:before="120" w:after="120" w:line="240" w:lineRule="auto"/>
              <w:ind w:left="36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require the verification of legal compliance with the relevant EU and national environmental legislation by the National Development Bank for all transactions, including those exempted from sustainability proofing; and</w:t>
            </w:r>
          </w:p>
          <w:p w14:paraId="5ABC8381" w14:textId="77777777" w:rsidR="00BE1A15" w:rsidRPr="00A025C9" w:rsidRDefault="00BE1A15" w:rsidP="00BE1A15">
            <w:pPr>
              <w:numPr>
                <w:ilvl w:val="0"/>
                <w:numId w:val="2"/>
              </w:numPr>
              <w:spacing w:before="120" w:after="120" w:line="240" w:lineRule="auto"/>
              <w:ind w:left="360"/>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require beneficiaries of equity support and general purpose corporate finance that derive more than 50% of their revenues during the preceding financial year from activities and/or assets in the exclusion list to adopt and publish green transition plans. </w:t>
            </w:r>
          </w:p>
        </w:tc>
      </w:tr>
      <w:tr w:rsidR="00BE1A15" w:rsidRPr="00A025C9" w14:paraId="30A9DD19"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67297C3F"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210</w:t>
            </w:r>
          </w:p>
        </w:tc>
        <w:tc>
          <w:tcPr>
            <w:tcW w:w="1833" w:type="dxa"/>
            <w:tcBorders>
              <w:top w:val="nil"/>
              <w:left w:val="nil"/>
              <w:bottom w:val="single" w:sz="4" w:space="0" w:color="auto"/>
              <w:right w:val="single" w:sz="4" w:space="0" w:color="auto"/>
            </w:tcBorders>
            <w:shd w:val="clear" w:color="auto" w:fill="C6EFCE"/>
            <w:noWrap/>
          </w:tcPr>
          <w:p w14:paraId="3D906C4E"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Reform 5. Establishment of the National Development Bank </w:t>
            </w:r>
          </w:p>
        </w:tc>
        <w:tc>
          <w:tcPr>
            <w:tcW w:w="1268" w:type="dxa"/>
            <w:tcBorders>
              <w:top w:val="nil"/>
              <w:left w:val="nil"/>
              <w:bottom w:val="single" w:sz="4" w:space="0" w:color="auto"/>
              <w:right w:val="single" w:sz="4" w:space="0" w:color="auto"/>
            </w:tcBorders>
            <w:shd w:val="clear" w:color="auto" w:fill="C6EFCE"/>
            <w:noWrap/>
          </w:tcPr>
          <w:p w14:paraId="6897C9FF"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222D176D"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National Development Bank is Pillar Assessed </w:t>
            </w:r>
          </w:p>
        </w:tc>
        <w:tc>
          <w:tcPr>
            <w:tcW w:w="1560" w:type="dxa"/>
            <w:tcBorders>
              <w:top w:val="nil"/>
              <w:left w:val="nil"/>
              <w:bottom w:val="single" w:sz="4" w:space="0" w:color="auto"/>
              <w:right w:val="single" w:sz="4" w:space="0" w:color="auto"/>
            </w:tcBorders>
            <w:shd w:val="clear" w:color="auto" w:fill="C6EFCE"/>
            <w:noWrap/>
          </w:tcPr>
          <w:p w14:paraId="36E877A1"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National Development Bank is Pillar Assessed to implement EU funds </w:t>
            </w:r>
          </w:p>
        </w:tc>
        <w:tc>
          <w:tcPr>
            <w:tcW w:w="1197" w:type="dxa"/>
            <w:tcBorders>
              <w:top w:val="nil"/>
              <w:left w:val="nil"/>
              <w:bottom w:val="single" w:sz="4" w:space="0" w:color="auto"/>
              <w:right w:val="single" w:sz="4" w:space="0" w:color="auto"/>
            </w:tcBorders>
            <w:shd w:val="clear" w:color="auto" w:fill="C6EFCE"/>
            <w:noWrap/>
          </w:tcPr>
          <w:p w14:paraId="0F423CD3"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7B241C40"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335CCCE5"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0A2D3A99"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Q1</w:t>
            </w:r>
          </w:p>
        </w:tc>
        <w:tc>
          <w:tcPr>
            <w:tcW w:w="840" w:type="dxa"/>
            <w:tcBorders>
              <w:top w:val="nil"/>
              <w:left w:val="nil"/>
              <w:bottom w:val="single" w:sz="4" w:space="0" w:color="auto"/>
              <w:right w:val="single" w:sz="4" w:space="0" w:color="auto"/>
            </w:tcBorders>
            <w:shd w:val="clear" w:color="auto" w:fill="C6EFCE"/>
            <w:noWrap/>
          </w:tcPr>
          <w:p w14:paraId="042DA50D"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107" w:type="dxa"/>
            <w:tcBorders>
              <w:top w:val="nil"/>
              <w:left w:val="nil"/>
              <w:bottom w:val="single" w:sz="4" w:space="0" w:color="auto"/>
              <w:right w:val="single" w:sz="4" w:space="0" w:color="auto"/>
            </w:tcBorders>
            <w:shd w:val="clear" w:color="auto" w:fill="C6EFCE"/>
            <w:noWrap/>
          </w:tcPr>
          <w:p w14:paraId="6621904E"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Pillar assessment report delivered by independent external auditor.</w:t>
            </w:r>
          </w:p>
        </w:tc>
      </w:tr>
      <w:tr w:rsidR="00BE1A15" w:rsidRPr="00A025C9" w14:paraId="3B591213"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F93DCF9"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211</w:t>
            </w:r>
          </w:p>
        </w:tc>
        <w:tc>
          <w:tcPr>
            <w:tcW w:w="1833" w:type="dxa"/>
            <w:tcBorders>
              <w:top w:val="nil"/>
              <w:left w:val="nil"/>
              <w:bottom w:val="single" w:sz="4" w:space="0" w:color="auto"/>
              <w:right w:val="single" w:sz="4" w:space="0" w:color="auto"/>
            </w:tcBorders>
            <w:shd w:val="clear" w:color="auto" w:fill="C6EFCE"/>
            <w:noWrap/>
          </w:tcPr>
          <w:p w14:paraId="669134F1"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Reform 6. Reform of the public pension system</w:t>
            </w:r>
          </w:p>
        </w:tc>
        <w:tc>
          <w:tcPr>
            <w:tcW w:w="1268" w:type="dxa"/>
            <w:tcBorders>
              <w:top w:val="nil"/>
              <w:left w:val="nil"/>
              <w:bottom w:val="single" w:sz="4" w:space="0" w:color="auto"/>
              <w:right w:val="single" w:sz="4" w:space="0" w:color="auto"/>
            </w:tcBorders>
            <w:shd w:val="clear" w:color="auto" w:fill="C6EFCE"/>
            <w:noWrap/>
          </w:tcPr>
          <w:p w14:paraId="6BA8DE62"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486857D4"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Contract technical assistance provided by an entity that shall be selected according to the national public procurement legislation </w:t>
            </w:r>
          </w:p>
        </w:tc>
        <w:tc>
          <w:tcPr>
            <w:tcW w:w="1560" w:type="dxa"/>
            <w:tcBorders>
              <w:top w:val="nil"/>
              <w:left w:val="nil"/>
              <w:bottom w:val="single" w:sz="4" w:space="0" w:color="auto"/>
              <w:right w:val="single" w:sz="4" w:space="0" w:color="auto"/>
            </w:tcBorders>
            <w:shd w:val="clear" w:color="auto" w:fill="C6EFCE"/>
            <w:noWrap/>
          </w:tcPr>
          <w:p w14:paraId="65FE2E2A"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Contract signed</w:t>
            </w:r>
          </w:p>
        </w:tc>
        <w:tc>
          <w:tcPr>
            <w:tcW w:w="1197" w:type="dxa"/>
            <w:tcBorders>
              <w:top w:val="nil"/>
              <w:left w:val="nil"/>
              <w:bottom w:val="single" w:sz="4" w:space="0" w:color="auto"/>
              <w:right w:val="single" w:sz="4" w:space="0" w:color="auto"/>
            </w:tcBorders>
            <w:shd w:val="clear" w:color="auto" w:fill="C6EFCE"/>
            <w:noWrap/>
          </w:tcPr>
          <w:p w14:paraId="633DEC67"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9" w:type="dxa"/>
            <w:tcBorders>
              <w:top w:val="nil"/>
              <w:left w:val="nil"/>
              <w:bottom w:val="single" w:sz="4" w:space="0" w:color="auto"/>
              <w:right w:val="single" w:sz="4" w:space="0" w:color="auto"/>
            </w:tcBorders>
            <w:shd w:val="clear" w:color="auto" w:fill="C6EFCE"/>
            <w:noWrap/>
          </w:tcPr>
          <w:p w14:paraId="59A321E1"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269" w:type="dxa"/>
            <w:tcBorders>
              <w:top w:val="nil"/>
              <w:left w:val="nil"/>
              <w:bottom w:val="single" w:sz="4" w:space="0" w:color="auto"/>
              <w:right w:val="single" w:sz="4" w:space="0" w:color="auto"/>
            </w:tcBorders>
            <w:shd w:val="clear" w:color="auto" w:fill="C6EFCE"/>
            <w:noWrap/>
          </w:tcPr>
          <w:p w14:paraId="6257953F"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8" w:type="dxa"/>
            <w:tcBorders>
              <w:top w:val="nil"/>
              <w:left w:val="nil"/>
              <w:bottom w:val="single" w:sz="4" w:space="0" w:color="auto"/>
              <w:right w:val="single" w:sz="4" w:space="0" w:color="auto"/>
            </w:tcBorders>
            <w:shd w:val="clear" w:color="auto" w:fill="C6EFCE"/>
            <w:noWrap/>
          </w:tcPr>
          <w:p w14:paraId="550569ED"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4BBD9358"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2021</w:t>
            </w:r>
          </w:p>
        </w:tc>
        <w:tc>
          <w:tcPr>
            <w:tcW w:w="3107" w:type="dxa"/>
            <w:tcBorders>
              <w:top w:val="nil"/>
              <w:left w:val="nil"/>
              <w:bottom w:val="single" w:sz="4" w:space="0" w:color="auto"/>
              <w:right w:val="single" w:sz="4" w:space="0" w:color="auto"/>
            </w:tcBorders>
            <w:shd w:val="clear" w:color="auto" w:fill="C6EFCE"/>
            <w:noWrap/>
          </w:tcPr>
          <w:p w14:paraId="42CA868A"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Signature of the technical assistance contract with the selected entity to prepare analysis and proposals for a reform of the pensions system - general regime and special schemes – consistent with the principles pledged in the national recovery and resilience plan. The new legislation shall:</w:t>
            </w:r>
          </w:p>
          <w:p w14:paraId="6E98215D"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introduce a new calculation formula for new pensions and pensions in payment. The parameters of the formula shall be carefully chosen in line with the target for total gross public pension expenditure as percentage of GDP (9,4% of GDP in the long-term, i.e. between 2022-2070). Moreover, they shall not allow for ad hoc increases on pension levels;</w:t>
            </w:r>
          </w:p>
          <w:p w14:paraId="5D44E6B1"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introduce a new pension indexation rule in line with the pension expenditure as percentage of GDP target and mechanisms against ad hoc indexation;</w:t>
            </w:r>
          </w:p>
          <w:p w14:paraId="37530285"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significantly reduce possibilities for early retirement, introduce incentives to expand the working life and to voluntary increase standard retirement age up to 70 years in line with the increases of life expectancy, and equalize the statutory retirement age for men and women at 65 years by 2035;</w:t>
            </w:r>
          </w:p>
          <w:p w14:paraId="06948994"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introduce incentives for postponing retirement;</w:t>
            </w:r>
          </w:p>
          <w:p w14:paraId="0B6E9D67"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revise special pensions to bring them in line with the contributory principle;</w:t>
            </w:r>
          </w:p>
          <w:p w14:paraId="2D993975"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strengthen the contributory principle of the system;</w:t>
            </w:r>
          </w:p>
          <w:p w14:paraId="6A3E0A74"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increase the adequacy of minimum and lower pensions, in particular for those below the poverty threshold;</w:t>
            </w:r>
          </w:p>
          <w:p w14:paraId="6923F2E2"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ensure financial viability of the Pillar II of the pension system by increasing contributions to this pension pillar.</w:t>
            </w:r>
          </w:p>
          <w:p w14:paraId="2329B3C7"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Technical assistance shall include an impact assessment of the different reform options proposed (long-term projections).</w:t>
            </w:r>
          </w:p>
          <w:p w14:paraId="11E28D72"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technical assistance provider shall support the drafting of the pension reform.</w:t>
            </w:r>
          </w:p>
        </w:tc>
      </w:tr>
      <w:tr w:rsidR="00BE1A15" w:rsidRPr="00A025C9" w14:paraId="4D9A15F3"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63173D90"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212</w:t>
            </w:r>
          </w:p>
        </w:tc>
        <w:tc>
          <w:tcPr>
            <w:tcW w:w="1833" w:type="dxa"/>
            <w:tcBorders>
              <w:top w:val="nil"/>
              <w:left w:val="nil"/>
              <w:bottom w:val="single" w:sz="4" w:space="0" w:color="auto"/>
              <w:right w:val="single" w:sz="4" w:space="0" w:color="auto"/>
            </w:tcBorders>
            <w:shd w:val="clear" w:color="auto" w:fill="C6EFCE"/>
            <w:noWrap/>
          </w:tcPr>
          <w:p w14:paraId="0DA1B547"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Reform 6. Reform of the public pension system</w:t>
            </w:r>
          </w:p>
        </w:tc>
        <w:tc>
          <w:tcPr>
            <w:tcW w:w="1268" w:type="dxa"/>
            <w:tcBorders>
              <w:top w:val="nil"/>
              <w:left w:val="nil"/>
              <w:bottom w:val="single" w:sz="4" w:space="0" w:color="auto"/>
              <w:right w:val="single" w:sz="4" w:space="0" w:color="auto"/>
            </w:tcBorders>
            <w:shd w:val="clear" w:color="auto" w:fill="C6EFCE"/>
            <w:noWrap/>
          </w:tcPr>
          <w:p w14:paraId="0FB410DB"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09F74D8C"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Entry into force of a minister’s order setting up a monitoring committee in charge of reviewing, with the support of the technical assistance provider the pension system and the policy interven-tions in the pension system</w:t>
            </w:r>
          </w:p>
        </w:tc>
        <w:tc>
          <w:tcPr>
            <w:tcW w:w="1560" w:type="dxa"/>
            <w:tcBorders>
              <w:top w:val="nil"/>
              <w:left w:val="nil"/>
              <w:bottom w:val="single" w:sz="4" w:space="0" w:color="auto"/>
              <w:right w:val="single" w:sz="4" w:space="0" w:color="auto"/>
            </w:tcBorders>
            <w:shd w:val="clear" w:color="auto" w:fill="C6EFCE"/>
            <w:noWrap/>
          </w:tcPr>
          <w:p w14:paraId="6F6698DF"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Provision in the Common ministerial order indicating the entry into force of the Common ministerial order</w:t>
            </w:r>
          </w:p>
        </w:tc>
        <w:tc>
          <w:tcPr>
            <w:tcW w:w="1197" w:type="dxa"/>
            <w:tcBorders>
              <w:top w:val="nil"/>
              <w:left w:val="nil"/>
              <w:bottom w:val="single" w:sz="4" w:space="0" w:color="auto"/>
              <w:right w:val="single" w:sz="4" w:space="0" w:color="auto"/>
            </w:tcBorders>
            <w:shd w:val="clear" w:color="auto" w:fill="C6EFCE"/>
            <w:noWrap/>
          </w:tcPr>
          <w:p w14:paraId="4E0398E0"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9" w:type="dxa"/>
            <w:tcBorders>
              <w:top w:val="nil"/>
              <w:left w:val="nil"/>
              <w:bottom w:val="single" w:sz="4" w:space="0" w:color="auto"/>
              <w:right w:val="single" w:sz="4" w:space="0" w:color="auto"/>
            </w:tcBorders>
            <w:shd w:val="clear" w:color="auto" w:fill="C6EFCE"/>
            <w:noWrap/>
          </w:tcPr>
          <w:p w14:paraId="7B0C9892"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269" w:type="dxa"/>
            <w:tcBorders>
              <w:top w:val="nil"/>
              <w:left w:val="nil"/>
              <w:bottom w:val="single" w:sz="4" w:space="0" w:color="auto"/>
              <w:right w:val="single" w:sz="4" w:space="0" w:color="auto"/>
            </w:tcBorders>
            <w:shd w:val="clear" w:color="auto" w:fill="C6EFCE"/>
            <w:noWrap/>
          </w:tcPr>
          <w:p w14:paraId="2D461905"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8" w:type="dxa"/>
            <w:tcBorders>
              <w:top w:val="nil"/>
              <w:left w:val="nil"/>
              <w:bottom w:val="single" w:sz="4" w:space="0" w:color="auto"/>
              <w:right w:val="single" w:sz="4" w:space="0" w:color="auto"/>
            </w:tcBorders>
            <w:shd w:val="clear" w:color="auto" w:fill="C6EFCE"/>
            <w:noWrap/>
          </w:tcPr>
          <w:p w14:paraId="753A9195"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62EFE6E1"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2021</w:t>
            </w:r>
          </w:p>
        </w:tc>
        <w:tc>
          <w:tcPr>
            <w:tcW w:w="3107" w:type="dxa"/>
            <w:tcBorders>
              <w:top w:val="nil"/>
              <w:left w:val="nil"/>
              <w:bottom w:val="single" w:sz="4" w:space="0" w:color="auto"/>
              <w:right w:val="single" w:sz="4" w:space="0" w:color="auto"/>
            </w:tcBorders>
            <w:shd w:val="clear" w:color="auto" w:fill="C6EFCE"/>
            <w:noWrap/>
          </w:tcPr>
          <w:p w14:paraId="2879395B"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monitoring committee shall be set up through a common ministerial order (Ministry of Finance and Ministry of Labour and Social Protection) and shall consist of experts from the Ministry of Labour and Social Protection, National House of Public Pensions, Ministry of Finance. Also, experts from the Fiscal Council shall be invited to join. It shall work closely with the technical assistance provider.</w:t>
            </w:r>
          </w:p>
        </w:tc>
      </w:tr>
      <w:tr w:rsidR="00BE1A15" w:rsidRPr="00A025C9" w14:paraId="6CCA58B0"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2B48E677"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213</w:t>
            </w:r>
          </w:p>
        </w:tc>
        <w:tc>
          <w:tcPr>
            <w:tcW w:w="1833" w:type="dxa"/>
            <w:tcBorders>
              <w:top w:val="nil"/>
              <w:left w:val="nil"/>
              <w:bottom w:val="single" w:sz="4" w:space="0" w:color="auto"/>
              <w:right w:val="single" w:sz="4" w:space="0" w:color="auto"/>
            </w:tcBorders>
            <w:shd w:val="clear" w:color="auto" w:fill="C6EFCE"/>
            <w:noWrap/>
          </w:tcPr>
          <w:p w14:paraId="26BE3F3F"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Reform 6. Reform of the public pension system</w:t>
            </w:r>
          </w:p>
        </w:tc>
        <w:tc>
          <w:tcPr>
            <w:tcW w:w="1268" w:type="dxa"/>
            <w:tcBorders>
              <w:top w:val="nil"/>
              <w:left w:val="nil"/>
              <w:bottom w:val="single" w:sz="4" w:space="0" w:color="auto"/>
              <w:right w:val="single" w:sz="4" w:space="0" w:color="auto"/>
            </w:tcBorders>
            <w:shd w:val="clear" w:color="auto" w:fill="C6EFCE"/>
            <w:noWrap/>
          </w:tcPr>
          <w:p w14:paraId="6B8D0975"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1CB0C8D7"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Entry into force of the amendments to the regulatory framework to ensure the sustainabi-lity of Pillar 2 pensions</w:t>
            </w:r>
          </w:p>
        </w:tc>
        <w:tc>
          <w:tcPr>
            <w:tcW w:w="1560" w:type="dxa"/>
            <w:tcBorders>
              <w:top w:val="nil"/>
              <w:left w:val="nil"/>
              <w:bottom w:val="single" w:sz="4" w:space="0" w:color="auto"/>
              <w:right w:val="single" w:sz="4" w:space="0" w:color="auto"/>
            </w:tcBorders>
            <w:shd w:val="clear" w:color="auto" w:fill="C6EFCE"/>
            <w:noWrap/>
          </w:tcPr>
          <w:p w14:paraId="451592FB"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Provision in the regulatory framework indicating the entry into force of the legislation</w:t>
            </w:r>
          </w:p>
        </w:tc>
        <w:tc>
          <w:tcPr>
            <w:tcW w:w="1197" w:type="dxa"/>
            <w:tcBorders>
              <w:top w:val="nil"/>
              <w:left w:val="nil"/>
              <w:bottom w:val="single" w:sz="4" w:space="0" w:color="auto"/>
              <w:right w:val="single" w:sz="4" w:space="0" w:color="auto"/>
            </w:tcBorders>
            <w:shd w:val="clear" w:color="auto" w:fill="C6EFCE"/>
            <w:noWrap/>
          </w:tcPr>
          <w:p w14:paraId="67B48DD5"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9" w:type="dxa"/>
            <w:tcBorders>
              <w:top w:val="nil"/>
              <w:left w:val="nil"/>
              <w:bottom w:val="single" w:sz="4" w:space="0" w:color="auto"/>
              <w:right w:val="single" w:sz="4" w:space="0" w:color="auto"/>
            </w:tcBorders>
            <w:shd w:val="clear" w:color="auto" w:fill="C6EFCE"/>
            <w:noWrap/>
          </w:tcPr>
          <w:p w14:paraId="14B21EBD"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269" w:type="dxa"/>
            <w:tcBorders>
              <w:top w:val="nil"/>
              <w:left w:val="nil"/>
              <w:bottom w:val="single" w:sz="4" w:space="0" w:color="auto"/>
              <w:right w:val="single" w:sz="4" w:space="0" w:color="auto"/>
            </w:tcBorders>
            <w:shd w:val="clear" w:color="auto" w:fill="C6EFCE"/>
            <w:noWrap/>
          </w:tcPr>
          <w:p w14:paraId="105203E4"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8" w:type="dxa"/>
            <w:tcBorders>
              <w:top w:val="nil"/>
              <w:left w:val="nil"/>
              <w:bottom w:val="single" w:sz="4" w:space="0" w:color="auto"/>
              <w:right w:val="single" w:sz="4" w:space="0" w:color="auto"/>
            </w:tcBorders>
            <w:shd w:val="clear" w:color="auto" w:fill="C6EFCE"/>
            <w:noWrap/>
          </w:tcPr>
          <w:p w14:paraId="356C0364"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Q1</w:t>
            </w:r>
          </w:p>
        </w:tc>
        <w:tc>
          <w:tcPr>
            <w:tcW w:w="840" w:type="dxa"/>
            <w:tcBorders>
              <w:top w:val="nil"/>
              <w:left w:val="nil"/>
              <w:bottom w:val="single" w:sz="4" w:space="0" w:color="auto"/>
              <w:right w:val="single" w:sz="4" w:space="0" w:color="auto"/>
            </w:tcBorders>
            <w:shd w:val="clear" w:color="auto" w:fill="C6EFCE"/>
            <w:noWrap/>
          </w:tcPr>
          <w:p w14:paraId="0BCAEAB3"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107" w:type="dxa"/>
            <w:tcBorders>
              <w:top w:val="nil"/>
              <w:left w:val="nil"/>
              <w:bottom w:val="single" w:sz="4" w:space="0" w:color="auto"/>
              <w:right w:val="single" w:sz="4" w:space="0" w:color="auto"/>
            </w:tcBorders>
            <w:shd w:val="clear" w:color="auto" w:fill="C6EFCE"/>
            <w:noWrap/>
          </w:tcPr>
          <w:p w14:paraId="029A8091"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new legislative framework shall:</w:t>
            </w:r>
          </w:p>
          <w:p w14:paraId="7C42DC3E"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Ensure the fiscal sustainability of Pillar II through an increase in contributions in line with the provisions of the budgetary fiscal strategy;</w:t>
            </w:r>
          </w:p>
          <w:p w14:paraId="2C081EC1"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Digitalise the functioning of the private pension system </w:t>
            </w:r>
          </w:p>
          <w:p w14:paraId="4E908FA1"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Diversify Pillar II pension investments.</w:t>
            </w:r>
          </w:p>
          <w:p w14:paraId="1AE2F233"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Regarding the Pillar II pension investments, the government shall:</w:t>
            </w:r>
          </w:p>
          <w:p w14:paraId="0F7258C9"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explore the possibility of making the regulatory regime applicable to privately managed pension funds’ investments more flexible by reducing quantitative investment restrictions and reducing risk budgetary restrictions applicable to privately managed pension funds;</w:t>
            </w:r>
          </w:p>
          <w:p w14:paraId="30C4CAB9"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Preserve the independence of pension managers in determining their investment strategy</w:t>
            </w:r>
          </w:p>
          <w:p w14:paraId="08A1DB6D"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Regulate future adjustments to the private pension fund investment regime that contribute to a flexible set-up that encourages pension managers to properly diversify their portfolios in order to achieve fair risk-adjusted investment returns.</w:t>
            </w:r>
          </w:p>
          <w:p w14:paraId="446B8B43"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Increase companies’ access to the capital market, to facilitate the listing of new issuers and to make greater use of private sources of funding, including pension fund assets. This would lead to a better investment ecosystem for pension managers and increased opportunities for a proper diversification of pension fund portfolios.</w:t>
            </w:r>
          </w:p>
        </w:tc>
      </w:tr>
      <w:tr w:rsidR="00BE1A15" w:rsidRPr="00A025C9" w14:paraId="3DA4C1A7"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29B93F7D"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214</w:t>
            </w:r>
          </w:p>
        </w:tc>
        <w:tc>
          <w:tcPr>
            <w:tcW w:w="1833" w:type="dxa"/>
            <w:tcBorders>
              <w:top w:val="nil"/>
              <w:left w:val="nil"/>
              <w:bottom w:val="single" w:sz="4" w:space="0" w:color="auto"/>
              <w:right w:val="single" w:sz="4" w:space="0" w:color="auto"/>
            </w:tcBorders>
            <w:shd w:val="clear" w:color="auto" w:fill="C6EFCE"/>
            <w:noWrap/>
          </w:tcPr>
          <w:p w14:paraId="42C57973"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Reform 6. Reform of the public pension system</w:t>
            </w:r>
          </w:p>
        </w:tc>
        <w:tc>
          <w:tcPr>
            <w:tcW w:w="1268" w:type="dxa"/>
            <w:tcBorders>
              <w:top w:val="nil"/>
              <w:left w:val="nil"/>
              <w:bottom w:val="single" w:sz="4" w:space="0" w:color="auto"/>
              <w:right w:val="single" w:sz="4" w:space="0" w:color="auto"/>
            </w:tcBorders>
            <w:shd w:val="clear" w:color="auto" w:fill="C6EFCE"/>
            <w:noWrap/>
          </w:tcPr>
          <w:p w14:paraId="2CD0FEDB"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68CDD55F"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Legal act(s) on the pension system</w:t>
            </w:r>
          </w:p>
        </w:tc>
        <w:tc>
          <w:tcPr>
            <w:tcW w:w="1560" w:type="dxa"/>
            <w:tcBorders>
              <w:top w:val="nil"/>
              <w:left w:val="nil"/>
              <w:bottom w:val="single" w:sz="4" w:space="0" w:color="auto"/>
              <w:right w:val="single" w:sz="4" w:space="0" w:color="auto"/>
            </w:tcBorders>
            <w:shd w:val="clear" w:color="auto" w:fill="C6EFCE"/>
            <w:noWrap/>
          </w:tcPr>
          <w:p w14:paraId="3B7F9818"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Entry into force of legal act(s) on the pension system</w:t>
            </w:r>
          </w:p>
        </w:tc>
        <w:tc>
          <w:tcPr>
            <w:tcW w:w="1197" w:type="dxa"/>
            <w:tcBorders>
              <w:top w:val="nil"/>
              <w:left w:val="nil"/>
              <w:bottom w:val="single" w:sz="4" w:space="0" w:color="auto"/>
              <w:right w:val="single" w:sz="4" w:space="0" w:color="auto"/>
            </w:tcBorders>
            <w:shd w:val="clear" w:color="auto" w:fill="C6EFCE"/>
            <w:noWrap/>
          </w:tcPr>
          <w:p w14:paraId="28FAB0DA"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9" w:type="dxa"/>
            <w:tcBorders>
              <w:top w:val="nil"/>
              <w:left w:val="nil"/>
              <w:bottom w:val="single" w:sz="4" w:space="0" w:color="auto"/>
              <w:right w:val="single" w:sz="4" w:space="0" w:color="auto"/>
            </w:tcBorders>
            <w:shd w:val="clear" w:color="auto" w:fill="C6EFCE"/>
            <w:noWrap/>
          </w:tcPr>
          <w:p w14:paraId="345F76C2"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269" w:type="dxa"/>
            <w:tcBorders>
              <w:top w:val="nil"/>
              <w:left w:val="nil"/>
              <w:bottom w:val="single" w:sz="4" w:space="0" w:color="auto"/>
              <w:right w:val="single" w:sz="4" w:space="0" w:color="auto"/>
            </w:tcBorders>
            <w:shd w:val="clear" w:color="auto" w:fill="C6EFCE"/>
            <w:noWrap/>
          </w:tcPr>
          <w:p w14:paraId="4D5BC8F7"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8" w:type="dxa"/>
            <w:tcBorders>
              <w:top w:val="nil"/>
              <w:left w:val="nil"/>
              <w:bottom w:val="single" w:sz="4" w:space="0" w:color="auto"/>
              <w:right w:val="single" w:sz="4" w:space="0" w:color="auto"/>
            </w:tcBorders>
            <w:shd w:val="clear" w:color="auto" w:fill="C6EFCE"/>
            <w:noWrap/>
          </w:tcPr>
          <w:p w14:paraId="5539996D"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Q1</w:t>
            </w:r>
          </w:p>
        </w:tc>
        <w:tc>
          <w:tcPr>
            <w:tcW w:w="840" w:type="dxa"/>
            <w:tcBorders>
              <w:top w:val="nil"/>
              <w:left w:val="nil"/>
              <w:bottom w:val="single" w:sz="4" w:space="0" w:color="auto"/>
              <w:right w:val="single" w:sz="4" w:space="0" w:color="auto"/>
            </w:tcBorders>
            <w:shd w:val="clear" w:color="auto" w:fill="C6EFCE"/>
            <w:noWrap/>
          </w:tcPr>
          <w:p w14:paraId="1DBFC171"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2023</w:t>
            </w:r>
          </w:p>
        </w:tc>
        <w:tc>
          <w:tcPr>
            <w:tcW w:w="3107" w:type="dxa"/>
            <w:tcBorders>
              <w:top w:val="nil"/>
              <w:left w:val="nil"/>
              <w:bottom w:val="single" w:sz="4" w:space="0" w:color="auto"/>
              <w:right w:val="single" w:sz="4" w:space="0" w:color="auto"/>
            </w:tcBorders>
            <w:shd w:val="clear" w:color="auto" w:fill="C6EFCE"/>
            <w:noWrap/>
          </w:tcPr>
          <w:p w14:paraId="606CD388"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Lgal act(s) shall ensure the fiscal sustainability of the pension system, as well as equity, the respect of the contributory principle, adequacy of low / minimum / social pensions (including those relating to the fixed contribution period of 25 years).</w:t>
            </w:r>
          </w:p>
          <w:p w14:paraId="49FBED2F"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Any amendment to the law, which would result in a deviation from the reference projections established after adoption of the reform by the government shall be accompanied by compensating measures to keep pension expenditure (as a share of GDP) in line with the reference path.</w:t>
            </w:r>
          </w:p>
          <w:p w14:paraId="60C709AD"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Drawing on technical assistance (milestone 211), the reform shall contain at least the following elements:</w:t>
            </w:r>
          </w:p>
          <w:p w14:paraId="4ECB1760" w14:textId="77777777" w:rsidR="00BE1A15" w:rsidRPr="00A025C9" w:rsidRDefault="00BE1A15" w:rsidP="00BE1A15">
            <w:pPr>
              <w:numPr>
                <w:ilvl w:val="0"/>
                <w:numId w:val="81"/>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Introduce a new calculation formula for new pensions and pensions in payment. The parameters of the formula shall be chosen to ensure fiscal sustainability of pension expenditure developments, and of the pension system in general, in the medium to long term (until 2070). Moreover, they shall not allow for ad hoc increases of pension levels. The detailed formula shall a priori eliminate the correction index, be based on the number of points achieved by each beneficiary in accordance with the contributory principle and apply a pension indexation mechanism that no longer allows for ad-hoc increases. </w:t>
            </w:r>
          </w:p>
          <w:p w14:paraId="604C9C6F" w14:textId="77777777" w:rsidR="00BE1A15" w:rsidRPr="00A025C9" w:rsidRDefault="00BE1A15">
            <w:pPr>
              <w:spacing w:before="120" w:after="0" w:line="240" w:lineRule="auto"/>
              <w:ind w:left="360"/>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detailed formula for the calculation of pensions shall:</w:t>
            </w:r>
          </w:p>
          <w:p w14:paraId="761A3100" w14:textId="77777777" w:rsidR="00BE1A15" w:rsidRPr="00A025C9" w:rsidRDefault="00BE1A15" w:rsidP="00BE1A15">
            <w:pPr>
              <w:numPr>
                <w:ilvl w:val="0"/>
                <w:numId w:val="82"/>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determine, for existing and future pensioners, a number of points based on contributions paid to the system during the working life; </w:t>
            </w:r>
          </w:p>
          <w:p w14:paraId="65D6D5AB" w14:textId="77777777" w:rsidR="00BE1A15" w:rsidRPr="00A025C9" w:rsidRDefault="00BE1A15" w:rsidP="00BE1A15">
            <w:pPr>
              <w:numPr>
                <w:ilvl w:val="0"/>
                <w:numId w:val="82"/>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Establish a statutory retirement age of 65 years, for both men and, as from 1 January 2035, women; </w:t>
            </w:r>
          </w:p>
          <w:p w14:paraId="7DCFE6F2" w14:textId="77777777" w:rsidR="00BE1A15" w:rsidRPr="00A025C9" w:rsidRDefault="00BE1A15" w:rsidP="00BE1A15">
            <w:pPr>
              <w:numPr>
                <w:ilvl w:val="0"/>
                <w:numId w:val="82"/>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Establish a minimum contribution period at 15 years, for both women and men; </w:t>
            </w:r>
          </w:p>
          <w:p w14:paraId="2BDBCC59" w14:textId="77777777" w:rsidR="00BE1A15" w:rsidRPr="00A025C9" w:rsidRDefault="00BE1A15" w:rsidP="00BE1A15">
            <w:pPr>
              <w:numPr>
                <w:ilvl w:val="0"/>
                <w:numId w:val="82"/>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Establish a full contribution period at 35 years, for both women and men by 2030; </w:t>
            </w:r>
          </w:p>
          <w:p w14:paraId="2A3B44AE" w14:textId="77777777" w:rsidR="00BE1A15" w:rsidRPr="00A025C9" w:rsidRDefault="00BE1A15" w:rsidP="00BE1A15">
            <w:pPr>
              <w:numPr>
                <w:ilvl w:val="0"/>
                <w:numId w:val="82"/>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Establish that the minimum contribution period, the full contribution period and the statutory retirement age will be amended in the light of developments in life expectancy in Romania;</w:t>
            </w:r>
          </w:p>
          <w:p w14:paraId="3EC69297" w14:textId="77777777" w:rsidR="00BE1A15" w:rsidRPr="00A025C9" w:rsidRDefault="00BE1A15" w:rsidP="00BE1A15">
            <w:pPr>
              <w:numPr>
                <w:ilvl w:val="0"/>
                <w:numId w:val="82"/>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The initial reference point value, at the time of the entry into force of the reform, shall be set at a maximum of 81 lei. </w:t>
            </w:r>
          </w:p>
          <w:p w14:paraId="62F27A5A" w14:textId="77777777" w:rsidR="00BE1A15" w:rsidRPr="00A025C9" w:rsidRDefault="00BE1A15">
            <w:pPr>
              <w:spacing w:before="120" w:after="0" w:line="240" w:lineRule="auto"/>
              <w:ind w:left="720"/>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In a transition period, pensioners for whom the new formula would lead to a theoretically lower pension (relative to the time immediately prior to the entry into force of the reform) shall see their pension benefits frozen (in nominal terms) until the theoretical post-reform pension benefit reaches (through indexation rules) an amount equal to the frozen nominal pension.</w:t>
            </w:r>
          </w:p>
          <w:p w14:paraId="0B4CC430" w14:textId="77777777" w:rsidR="00BE1A15" w:rsidRPr="00A025C9" w:rsidRDefault="00BE1A15" w:rsidP="00BE1A15">
            <w:pPr>
              <w:numPr>
                <w:ilvl w:val="0"/>
                <w:numId w:val="81"/>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The Law shall revise pension indexation rules. In particular: </w:t>
            </w:r>
          </w:p>
          <w:p w14:paraId="1B0F11B9" w14:textId="77777777" w:rsidR="00BE1A15" w:rsidRPr="00A025C9" w:rsidRDefault="00BE1A15" w:rsidP="00BE1A15">
            <w:pPr>
              <w:numPr>
                <w:ilvl w:val="0"/>
                <w:numId w:val="83"/>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law shall include a pension indexation mechanism that does not allow for ad-hoc increases;</w:t>
            </w:r>
          </w:p>
          <w:p w14:paraId="2C27A719" w14:textId="77777777" w:rsidR="00BE1A15" w:rsidRPr="00A025C9" w:rsidRDefault="00BE1A15" w:rsidP="00BE1A15">
            <w:pPr>
              <w:numPr>
                <w:ilvl w:val="0"/>
                <w:numId w:val="83"/>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indexation rate shall be equal to inflation plus 50% of real wage growth in year t-1. It shall be subject to a cap and a floor;</w:t>
            </w:r>
          </w:p>
          <w:p w14:paraId="0842291A" w14:textId="77777777" w:rsidR="00BE1A15" w:rsidRPr="00A025C9" w:rsidRDefault="00BE1A15" w:rsidP="00BE1A15">
            <w:pPr>
              <w:numPr>
                <w:ilvl w:val="0"/>
                <w:numId w:val="83"/>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The indexation rate shall not be lower than inflation (floor); </w:t>
            </w:r>
          </w:p>
          <w:p w14:paraId="6D2F74B4" w14:textId="77777777" w:rsidR="00BE1A15" w:rsidRPr="00A025C9" w:rsidRDefault="00BE1A15" w:rsidP="00BE1A15">
            <w:pPr>
              <w:numPr>
                <w:ilvl w:val="0"/>
                <w:numId w:val="83"/>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If the indexation rate produced by the rule is both above inflation and the growth rate of total pension system revenues, the indexation rate shall be capped at the latter (cap);</w:t>
            </w:r>
          </w:p>
          <w:p w14:paraId="509D0850" w14:textId="77777777" w:rsidR="00BE1A15" w:rsidRPr="00A025C9" w:rsidRDefault="00BE1A15" w:rsidP="00BE1A15">
            <w:pPr>
              <w:numPr>
                <w:ilvl w:val="0"/>
                <w:numId w:val="83"/>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Every year in June, the Fiscal Council shall draw up a report verifying whether indexation rules were fully applied. In case of any deviation from indexation rules, the report shall quantify the fiscal impact. This report shall be made public; </w:t>
            </w:r>
          </w:p>
          <w:p w14:paraId="3354C6B2" w14:textId="77777777" w:rsidR="00BE1A15" w:rsidRPr="00A025C9" w:rsidRDefault="00BE1A15" w:rsidP="00BE1A15">
            <w:pPr>
              <w:numPr>
                <w:ilvl w:val="0"/>
                <w:numId w:val="83"/>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Should the report identify deviations from legislated indexation rules, the government shall be obliged by law to adopt offsetting measures (parameter changes or increases in contributions) to neutralize the fiscal impact, in net present value terms, of any ad hoc increase in pensions. By default, social contributions will be increased to offset the fiscal impact, in net present value terms, of any ad hoc increase in pensions (i.e. any increase going beyond indexation rules).</w:t>
            </w:r>
          </w:p>
          <w:p w14:paraId="56576824" w14:textId="77777777" w:rsidR="00BE1A15" w:rsidRPr="00A025C9" w:rsidRDefault="00BE1A15" w:rsidP="00BE1A15">
            <w:pPr>
              <w:numPr>
                <w:ilvl w:val="0"/>
                <w:numId w:val="81"/>
              </w:numPr>
              <w:spacing w:line="259"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The law shall provide for a gradual convergence of the statutory retirement age of women to that of men (currently 65 years). This convergence shall start in 2024, proceed in a linear manner, and be completed by 2035. </w:t>
            </w:r>
          </w:p>
          <w:p w14:paraId="7242FFDF" w14:textId="77777777" w:rsidR="00BE1A15" w:rsidRPr="00A025C9" w:rsidRDefault="00BE1A15" w:rsidP="00BE1A15">
            <w:pPr>
              <w:numPr>
                <w:ilvl w:val="0"/>
                <w:numId w:val="81"/>
              </w:numPr>
              <w:spacing w:after="0" w:line="259" w:lineRule="auto"/>
              <w:ind w:left="357" w:hanging="357"/>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Law shall include incentives to work longer, until and beyond the statutory retirement age, and up to 70 years. In particular: additional points shall be awarded for each year when the contributory period exceeds 25 years: 0,50 points for each year over 25 years; 0,75 points for each year over 30 years; one point for each year over 35 years.</w:t>
            </w:r>
          </w:p>
          <w:p w14:paraId="0F5F0334" w14:textId="77777777" w:rsidR="00BE1A15" w:rsidRPr="00A025C9" w:rsidRDefault="00BE1A15" w:rsidP="00BE1A15">
            <w:pPr>
              <w:numPr>
                <w:ilvl w:val="0"/>
                <w:numId w:val="81"/>
              </w:numPr>
              <w:spacing w:after="0" w:line="240" w:lineRule="auto"/>
              <w:ind w:left="357" w:hanging="357"/>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law shall review conditions for early retirement due to work in “special” or “particular” conditions:</w:t>
            </w:r>
          </w:p>
          <w:p w14:paraId="4B0A98AA" w14:textId="77777777" w:rsidR="00BE1A15" w:rsidRPr="00A025C9" w:rsidRDefault="00BE1A15" w:rsidP="00BE1A15">
            <w:pPr>
              <w:numPr>
                <w:ilvl w:val="0"/>
                <w:numId w:val="79"/>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The maximum reduction in the standard retirement age for activities carried out under special conditions shall be reduced to 10 years and the maximum reduction of the standard retirement age for activities under particular conditions shall be reduced to 7 years. </w:t>
            </w:r>
          </w:p>
          <w:p w14:paraId="708F8321" w14:textId="77777777" w:rsidR="00BE1A15" w:rsidRPr="00A025C9" w:rsidRDefault="00BE1A15" w:rsidP="00BE1A15">
            <w:pPr>
              <w:numPr>
                <w:ilvl w:val="0"/>
                <w:numId w:val="79"/>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The benefits bonuses granted in relation to years of work carried out in special working conditions shall be set at a fixed number of points, namely 0,25 and 0,50 point for each year completed under special working conditions. </w:t>
            </w:r>
          </w:p>
          <w:p w14:paraId="4CA66CDE" w14:textId="77777777" w:rsidR="00BE1A15" w:rsidRPr="00A025C9" w:rsidRDefault="00BE1A15" w:rsidP="00BE1A15">
            <w:pPr>
              <w:numPr>
                <w:ilvl w:val="0"/>
                <w:numId w:val="79"/>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list of units with activities allowing to benefit from “special conditions” status should be reduced by more than half.</w:t>
            </w:r>
          </w:p>
          <w:p w14:paraId="27AB5F6F" w14:textId="77777777" w:rsidR="00BE1A15" w:rsidRPr="00A025C9" w:rsidRDefault="00BE1A15" w:rsidP="00BE1A15">
            <w:pPr>
              <w:numPr>
                <w:ilvl w:val="0"/>
                <w:numId w:val="81"/>
              </w:numPr>
              <w:spacing w:line="259"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Fiscal sustainability of the system shall also be supported by a “brake mechanism” embedded in the law. In particular: </w:t>
            </w:r>
          </w:p>
          <w:p w14:paraId="7478F68B" w14:textId="77777777" w:rsidR="00BE1A15" w:rsidRPr="00A025C9" w:rsidRDefault="00BE1A15" w:rsidP="00BE1A15">
            <w:pPr>
              <w:numPr>
                <w:ilvl w:val="0"/>
                <w:numId w:val="79"/>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This mechanism shall provide for periodical reviews (every three years) of pension expenditure and system balance developments and projections, conducted by the Fiscal Council, based on projections of the Ageing Working Group. The Ministry of Labor and the ministry of Finance shall transmit all the necessary data in a timely manner. This review shall be made public. </w:t>
            </w:r>
          </w:p>
          <w:p w14:paraId="5F972ECD" w14:textId="77777777" w:rsidR="00BE1A15" w:rsidRPr="00A025C9" w:rsidRDefault="00BE1A15" w:rsidP="00BE1A15">
            <w:pPr>
              <w:numPr>
                <w:ilvl w:val="0"/>
                <w:numId w:val="79"/>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Should the review identify deviations relative to the “reference path” established by the technical assistance provider at the time of the adoption of the reform by the government, the government shall be obliged to adopt measures (parameter changes) bringing pension expenditure (as a share of GDP) back on track with the reference path. By default, social contributions will be increased to offset the fiscal impact, in net present value terms, of any deviation from the reference path for pension expenditure.</w:t>
            </w:r>
          </w:p>
          <w:p w14:paraId="45EB5580" w14:textId="77777777" w:rsidR="00BE1A15" w:rsidRPr="00A025C9" w:rsidRDefault="00BE1A15" w:rsidP="00BE1A15">
            <w:pPr>
              <w:numPr>
                <w:ilvl w:val="0"/>
                <w:numId w:val="79"/>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first review shall take place in 2027.</w:t>
            </w:r>
          </w:p>
          <w:p w14:paraId="703BDFF8" w14:textId="77777777" w:rsidR="00BE1A15" w:rsidRPr="00A025C9" w:rsidRDefault="00BE1A15" w:rsidP="00BE1A15">
            <w:pPr>
              <w:numPr>
                <w:ilvl w:val="0"/>
                <w:numId w:val="81"/>
              </w:numPr>
              <w:spacing w:after="0" w:line="240" w:lineRule="auto"/>
              <w:ind w:left="357" w:hanging="357"/>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The reform shall introduce provisions ensuring that the key parameters of the system are adjusted periodically to reflect changes in life expectancy. In particular: </w:t>
            </w:r>
          </w:p>
          <w:p w14:paraId="440C3071" w14:textId="77777777" w:rsidR="00BE1A15" w:rsidRPr="00A025C9" w:rsidRDefault="00BE1A15" w:rsidP="00BE1A15">
            <w:pPr>
              <w:numPr>
                <w:ilvl w:val="0"/>
                <w:numId w:val="79"/>
              </w:numPr>
              <w:spacing w:after="0" w:line="240" w:lineRule="auto"/>
              <w:ind w:left="714" w:hanging="357"/>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The minimum contribution period, contribution period for a full pension, statutory retirement age, and all other parameters involving time, shall evolve by a fraction (50 pct) of any observed change in life expectancy (at retirement). </w:t>
            </w:r>
          </w:p>
          <w:p w14:paraId="22AB48ED" w14:textId="77777777" w:rsidR="00BE1A15" w:rsidRPr="00A025C9" w:rsidRDefault="00BE1A15" w:rsidP="00BE1A15">
            <w:pPr>
              <w:numPr>
                <w:ilvl w:val="0"/>
                <w:numId w:val="79"/>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When new projections of the AWG become available, every three years, the Fiscal Council shall write a report examining whether parameters of the pension system were adjusted in line with the law and changes in life expectancy at retirement. This report shall be made public.</w:t>
            </w:r>
          </w:p>
          <w:p w14:paraId="201978D4" w14:textId="77777777" w:rsidR="00BE1A15" w:rsidRPr="00A025C9" w:rsidRDefault="00BE1A15" w:rsidP="00BE1A15">
            <w:pPr>
              <w:numPr>
                <w:ilvl w:val="0"/>
                <w:numId w:val="79"/>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Should the report identify deviations from the rule, the government shall be obliged by law to adjust system parameters. </w:t>
            </w:r>
          </w:p>
          <w:p w14:paraId="0C3D107F" w14:textId="77777777" w:rsidR="00BE1A15" w:rsidRPr="00A025C9" w:rsidRDefault="00BE1A15" w:rsidP="00BE1A15">
            <w:pPr>
              <w:numPr>
                <w:ilvl w:val="0"/>
                <w:numId w:val="79"/>
              </w:numPr>
              <w:spacing w:before="120" w:after="0" w:line="240" w:lineRule="auto"/>
              <w:ind w:left="714" w:hanging="357"/>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first review shall take place in 2027.</w:t>
            </w:r>
          </w:p>
          <w:p w14:paraId="1DAE8373" w14:textId="77777777" w:rsidR="00BE1A15" w:rsidRPr="00A025C9" w:rsidRDefault="00BE1A15" w:rsidP="00BE1A15">
            <w:pPr>
              <w:numPr>
                <w:ilvl w:val="0"/>
                <w:numId w:val="81"/>
              </w:numPr>
              <w:spacing w:after="0" w:line="240" w:lineRule="auto"/>
              <w:ind w:left="221" w:hanging="181"/>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law shall increase the adequacy of minimum and lower pensions, in particular for those below the poverty threshold;</w:t>
            </w:r>
          </w:p>
          <w:p w14:paraId="6331C52A" w14:textId="77777777" w:rsidR="00A025C9" w:rsidRDefault="00BE1A15" w:rsidP="00A025C9">
            <w:pPr>
              <w:numPr>
                <w:ilvl w:val="0"/>
                <w:numId w:val="81"/>
              </w:numPr>
              <w:spacing w:before="120" w:after="0" w:line="240" w:lineRule="auto"/>
              <w:ind w:left="224" w:hanging="184"/>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law shall ensure financial viability of the Pillar II of the pension system by increasing contributions to this pension pillar.</w:t>
            </w:r>
          </w:p>
          <w:p w14:paraId="481AFE10" w14:textId="63F71055" w:rsidR="00BE1A15" w:rsidRPr="00A025C9" w:rsidRDefault="00BE1A15" w:rsidP="00A025C9">
            <w:pPr>
              <w:pStyle w:val="ListParagraph"/>
              <w:numPr>
                <w:ilvl w:val="0"/>
                <w:numId w:val="81"/>
              </w:numPr>
              <w:spacing w:before="120"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package may include separate laws concerning the general regime and special pensions.</w:t>
            </w:r>
          </w:p>
          <w:p w14:paraId="4E917790"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An ex-post analysis of the adopted legislation by the technical assistance provider, which shall establish, after the reform is adopted by the government, baseline / reference projections for total pension expenditure (as a share of GDP) and the fiscal sustainability of the system over the medium to long term (2024-2070) shall be made public.</w:t>
            </w:r>
          </w:p>
        </w:tc>
      </w:tr>
      <w:tr w:rsidR="00BE1A15" w:rsidRPr="00A025C9" w14:paraId="0D488FEC"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4A6048C"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215</w:t>
            </w:r>
          </w:p>
        </w:tc>
        <w:tc>
          <w:tcPr>
            <w:tcW w:w="1833" w:type="dxa"/>
            <w:tcBorders>
              <w:top w:val="nil"/>
              <w:left w:val="nil"/>
              <w:bottom w:val="single" w:sz="4" w:space="0" w:color="auto"/>
              <w:right w:val="single" w:sz="4" w:space="0" w:color="auto"/>
            </w:tcBorders>
            <w:shd w:val="clear" w:color="auto" w:fill="C6EFCE"/>
            <w:noWrap/>
          </w:tcPr>
          <w:p w14:paraId="200969BE"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Reform 6. Reform of the public pension system</w:t>
            </w:r>
          </w:p>
        </w:tc>
        <w:tc>
          <w:tcPr>
            <w:tcW w:w="1268" w:type="dxa"/>
            <w:tcBorders>
              <w:top w:val="nil"/>
              <w:left w:val="nil"/>
              <w:bottom w:val="single" w:sz="4" w:space="0" w:color="auto"/>
              <w:right w:val="single" w:sz="4" w:space="0" w:color="auto"/>
            </w:tcBorders>
            <w:shd w:val="clear" w:color="auto" w:fill="C6EFCE"/>
            <w:noWrap/>
          </w:tcPr>
          <w:p w14:paraId="242A73AB"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0BA43234"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Entry into force of the legislative framework for reducing expenditure on special pensions</w:t>
            </w:r>
          </w:p>
        </w:tc>
        <w:tc>
          <w:tcPr>
            <w:tcW w:w="1560" w:type="dxa"/>
            <w:tcBorders>
              <w:top w:val="nil"/>
              <w:left w:val="nil"/>
              <w:bottom w:val="single" w:sz="4" w:space="0" w:color="auto"/>
              <w:right w:val="single" w:sz="4" w:space="0" w:color="auto"/>
            </w:tcBorders>
            <w:shd w:val="clear" w:color="auto" w:fill="C6EFCE"/>
            <w:noWrap/>
          </w:tcPr>
          <w:p w14:paraId="3526A884"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Provision in the law indicating the entry into force of the legislative framework for reducing the expenditure on special pensions</w:t>
            </w:r>
          </w:p>
        </w:tc>
        <w:tc>
          <w:tcPr>
            <w:tcW w:w="1197" w:type="dxa"/>
            <w:tcBorders>
              <w:top w:val="nil"/>
              <w:left w:val="nil"/>
              <w:bottom w:val="single" w:sz="4" w:space="0" w:color="auto"/>
              <w:right w:val="single" w:sz="4" w:space="0" w:color="auto"/>
            </w:tcBorders>
            <w:shd w:val="clear" w:color="auto" w:fill="C6EFCE"/>
            <w:noWrap/>
          </w:tcPr>
          <w:p w14:paraId="271BAF90"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9" w:type="dxa"/>
            <w:tcBorders>
              <w:top w:val="nil"/>
              <w:left w:val="nil"/>
              <w:bottom w:val="single" w:sz="4" w:space="0" w:color="auto"/>
              <w:right w:val="single" w:sz="4" w:space="0" w:color="auto"/>
            </w:tcBorders>
            <w:shd w:val="clear" w:color="auto" w:fill="C6EFCE"/>
            <w:noWrap/>
          </w:tcPr>
          <w:p w14:paraId="6C2AF875"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269" w:type="dxa"/>
            <w:tcBorders>
              <w:top w:val="nil"/>
              <w:left w:val="nil"/>
              <w:bottom w:val="single" w:sz="4" w:space="0" w:color="auto"/>
              <w:right w:val="single" w:sz="4" w:space="0" w:color="auto"/>
            </w:tcBorders>
            <w:shd w:val="clear" w:color="auto" w:fill="C6EFCE"/>
            <w:noWrap/>
          </w:tcPr>
          <w:p w14:paraId="478A95D7"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8" w:type="dxa"/>
            <w:tcBorders>
              <w:top w:val="nil"/>
              <w:left w:val="nil"/>
              <w:bottom w:val="single" w:sz="4" w:space="0" w:color="auto"/>
              <w:right w:val="single" w:sz="4" w:space="0" w:color="auto"/>
            </w:tcBorders>
            <w:shd w:val="clear" w:color="auto" w:fill="C6EFCE"/>
            <w:noWrap/>
          </w:tcPr>
          <w:p w14:paraId="2AA34454"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54812195"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107" w:type="dxa"/>
            <w:tcBorders>
              <w:top w:val="nil"/>
              <w:left w:val="nil"/>
              <w:bottom w:val="single" w:sz="4" w:space="0" w:color="auto"/>
              <w:right w:val="single" w:sz="4" w:space="0" w:color="auto"/>
            </w:tcBorders>
            <w:shd w:val="clear" w:color="auto" w:fill="C6EFCE"/>
            <w:noWrap/>
          </w:tcPr>
          <w:p w14:paraId="78F22D83"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new legislative framework shall review special pensions and bring them in line with the contributory principle.</w:t>
            </w:r>
          </w:p>
          <w:p w14:paraId="7DC8F95D" w14:textId="77777777" w:rsidR="00BE1A15" w:rsidRPr="00A025C9" w:rsidRDefault="00BE1A15" w:rsidP="00BE1A15">
            <w:pPr>
              <w:numPr>
                <w:ilvl w:val="0"/>
                <w:numId w:val="84"/>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No new categories of special pensions shall be created and current categories shall be streamlined.</w:t>
            </w:r>
          </w:p>
          <w:p w14:paraId="221371E1" w14:textId="77777777" w:rsidR="00BE1A15" w:rsidRPr="00A025C9" w:rsidRDefault="00BE1A15" w:rsidP="00BE1A15">
            <w:pPr>
              <w:numPr>
                <w:ilvl w:val="0"/>
                <w:numId w:val="84"/>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Current special pensions shall be calculated based on the contributory principle, seniority in the profession, and the readjustment of the percentage related to the obtained income. The minimum contribution period shall be similar to that applied in the public pension fund.</w:t>
            </w:r>
          </w:p>
          <w:p w14:paraId="5F047969" w14:textId="77777777" w:rsidR="00BE1A15" w:rsidRPr="00A025C9" w:rsidRDefault="00BE1A15" w:rsidP="00BE1A15">
            <w:pPr>
              <w:numPr>
                <w:ilvl w:val="0"/>
                <w:numId w:val="84"/>
              </w:numPr>
              <w:spacing w:before="120"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The protection of the decisions of the Constitutional Court shall refer only to the pensions of magistrates and not for other categories and shall refer only to the limits explicit in the arguments of the Court. </w:t>
            </w:r>
          </w:p>
          <w:p w14:paraId="49B2A595"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No special pension shall exceed the income obtained during the contribution period. </w:t>
            </w:r>
          </w:p>
          <w:p w14:paraId="6587294E" w14:textId="05689769" w:rsidR="00BE1A15" w:rsidRPr="00A025C9" w:rsidRDefault="00BE1A15">
            <w:pPr>
              <w:spacing w:before="120" w:after="12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An analysis of special pensions shall also be carried out with a view to</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correcting the inequities between beneficiaries of these pension categories and beneficiaries of the public pension system from the point of view of the contributory aspect.</w:t>
            </w:r>
          </w:p>
        </w:tc>
      </w:tr>
      <w:tr w:rsidR="00BE1A15" w:rsidRPr="00A025C9" w14:paraId="50D6CEFD"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hideMark/>
          </w:tcPr>
          <w:p w14:paraId="33C60A81" w14:textId="77777777" w:rsidR="00BE1A15" w:rsidRPr="00A025C9" w:rsidRDefault="00BE1A15">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216</w:t>
            </w:r>
          </w:p>
        </w:tc>
        <w:tc>
          <w:tcPr>
            <w:tcW w:w="1833" w:type="dxa"/>
            <w:tcBorders>
              <w:top w:val="nil"/>
              <w:left w:val="nil"/>
              <w:bottom w:val="single" w:sz="4" w:space="0" w:color="auto"/>
              <w:right w:val="single" w:sz="4" w:space="0" w:color="auto"/>
            </w:tcBorders>
            <w:shd w:val="clear" w:color="auto" w:fill="C6EFCE"/>
            <w:noWrap/>
            <w:hideMark/>
          </w:tcPr>
          <w:p w14:paraId="4F8DD26D" w14:textId="77777777" w:rsidR="00BE1A15" w:rsidRPr="00A025C9" w:rsidRDefault="00BE1A15">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1. Facilitating taxpayers’ compliance through access to digital services </w:t>
            </w:r>
          </w:p>
        </w:tc>
        <w:tc>
          <w:tcPr>
            <w:tcW w:w="1268" w:type="dxa"/>
            <w:tcBorders>
              <w:top w:val="nil"/>
              <w:left w:val="nil"/>
              <w:bottom w:val="single" w:sz="4" w:space="0" w:color="auto"/>
              <w:right w:val="single" w:sz="4" w:space="0" w:color="auto"/>
            </w:tcBorders>
            <w:shd w:val="clear" w:color="auto" w:fill="C6EFCE"/>
            <w:noWrap/>
            <w:hideMark/>
          </w:tcPr>
          <w:p w14:paraId="0ECE7817" w14:textId="77777777" w:rsidR="00BE1A15" w:rsidRPr="00A025C9" w:rsidRDefault="00BE1A15">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hideMark/>
          </w:tcPr>
          <w:p w14:paraId="21E1D1B0"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Digital services and critical electronic systems are functional</w:t>
            </w:r>
          </w:p>
          <w:p w14:paraId="6F3623C7" w14:textId="77777777" w:rsidR="00BE1A15" w:rsidRPr="00A025C9" w:rsidRDefault="00BE1A15">
            <w:pPr>
              <w:spacing w:after="0" w:line="240" w:lineRule="auto"/>
              <w:jc w:val="both"/>
              <w:rPr>
                <w:rFonts w:ascii="Times New Roman" w:eastAsia="Times New Roman" w:hAnsi="Times New Roman" w:cs="Times New Roman"/>
                <w:noProof/>
                <w:sz w:val="20"/>
                <w:szCs w:val="20"/>
                <w:lang w:val="en-GB" w:eastAsia="en-GB"/>
              </w:rPr>
            </w:pPr>
          </w:p>
        </w:tc>
        <w:tc>
          <w:tcPr>
            <w:tcW w:w="1560" w:type="dxa"/>
            <w:tcBorders>
              <w:top w:val="nil"/>
              <w:left w:val="nil"/>
              <w:bottom w:val="single" w:sz="4" w:space="0" w:color="auto"/>
              <w:right w:val="single" w:sz="4" w:space="0" w:color="auto"/>
            </w:tcBorders>
            <w:shd w:val="clear" w:color="auto" w:fill="C6EFCE"/>
            <w:noWrap/>
            <w:hideMark/>
          </w:tcPr>
          <w:p w14:paraId="0B077724" w14:textId="77777777" w:rsidR="00BE1A15" w:rsidRPr="00A025C9" w:rsidRDefault="00BE1A15">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The digital services and electronic systems are functional</w:t>
            </w:r>
          </w:p>
        </w:tc>
        <w:tc>
          <w:tcPr>
            <w:tcW w:w="1197" w:type="dxa"/>
            <w:tcBorders>
              <w:top w:val="nil"/>
              <w:left w:val="nil"/>
              <w:bottom w:val="single" w:sz="4" w:space="0" w:color="auto"/>
              <w:right w:val="single" w:sz="4" w:space="0" w:color="auto"/>
            </w:tcBorders>
            <w:shd w:val="clear" w:color="auto" w:fill="C6EFCE"/>
            <w:noWrap/>
            <w:hideMark/>
          </w:tcPr>
          <w:p w14:paraId="38725EA5"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9" w:type="dxa"/>
            <w:tcBorders>
              <w:top w:val="nil"/>
              <w:left w:val="nil"/>
              <w:bottom w:val="single" w:sz="4" w:space="0" w:color="auto"/>
              <w:right w:val="single" w:sz="4" w:space="0" w:color="auto"/>
            </w:tcBorders>
            <w:shd w:val="clear" w:color="auto" w:fill="C6EFCE"/>
            <w:noWrap/>
            <w:hideMark/>
          </w:tcPr>
          <w:p w14:paraId="16A5AD1F"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269" w:type="dxa"/>
            <w:tcBorders>
              <w:top w:val="nil"/>
              <w:left w:val="nil"/>
              <w:bottom w:val="single" w:sz="4" w:space="0" w:color="auto"/>
              <w:right w:val="single" w:sz="4" w:space="0" w:color="auto"/>
            </w:tcBorders>
            <w:shd w:val="clear" w:color="auto" w:fill="C6EFCE"/>
            <w:noWrap/>
            <w:hideMark/>
          </w:tcPr>
          <w:p w14:paraId="6CEF352F"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8" w:type="dxa"/>
            <w:tcBorders>
              <w:top w:val="nil"/>
              <w:left w:val="nil"/>
              <w:bottom w:val="single" w:sz="4" w:space="0" w:color="auto"/>
              <w:right w:val="single" w:sz="4" w:space="0" w:color="auto"/>
            </w:tcBorders>
            <w:shd w:val="clear" w:color="auto" w:fill="C6EFCE"/>
            <w:noWrap/>
            <w:hideMark/>
          </w:tcPr>
          <w:p w14:paraId="2FD82B62" w14:textId="77777777" w:rsidR="00BE1A15" w:rsidRPr="00A025C9" w:rsidRDefault="00BE1A15">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840" w:type="dxa"/>
            <w:tcBorders>
              <w:top w:val="nil"/>
              <w:left w:val="nil"/>
              <w:bottom w:val="single" w:sz="4" w:space="0" w:color="auto"/>
              <w:right w:val="single" w:sz="4" w:space="0" w:color="auto"/>
            </w:tcBorders>
            <w:shd w:val="clear" w:color="auto" w:fill="C6EFCE"/>
            <w:noWrap/>
            <w:hideMark/>
          </w:tcPr>
          <w:p w14:paraId="13052A3E" w14:textId="77777777" w:rsidR="00BE1A15" w:rsidRPr="00A025C9" w:rsidRDefault="00BE1A15">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107" w:type="dxa"/>
            <w:tcBorders>
              <w:top w:val="nil"/>
              <w:left w:val="nil"/>
              <w:bottom w:val="single" w:sz="4" w:space="0" w:color="auto"/>
              <w:right w:val="single" w:sz="4" w:space="0" w:color="auto"/>
            </w:tcBorders>
            <w:shd w:val="clear" w:color="auto" w:fill="C6EFCE"/>
            <w:noWrap/>
            <w:hideMark/>
          </w:tcPr>
          <w:p w14:paraId="4832459E"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following digital services and electronic systems shall be set-up/expanded and functioning:</w:t>
            </w:r>
          </w:p>
          <w:p w14:paraId="4BA5A7F9" w14:textId="77777777" w:rsidR="00BE1A15" w:rsidRPr="00A025C9" w:rsidRDefault="00BE1A15">
            <w:pPr>
              <w:tabs>
                <w:tab w:val="left" w:pos="201"/>
              </w:tabs>
              <w:spacing w:before="120" w:after="0"/>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-Virtual Private Space (SPV) for the digital interaction between the tax administration and taxpayers creating the possibility to communicate with taxpayers through SPV regarding the video interaction, and chatbot launched.</w:t>
            </w:r>
          </w:p>
          <w:p w14:paraId="2D29D2AD" w14:textId="77777777" w:rsidR="00BE1A15" w:rsidRPr="00A025C9" w:rsidRDefault="00BE1A15">
            <w:pPr>
              <w:tabs>
                <w:tab w:val="left" w:pos="201"/>
              </w:tabs>
              <w:spacing w:before="120" w:after="0"/>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-Call Centre shall be functional and provide electronic and telephone services to taxpayers.</w:t>
            </w:r>
          </w:p>
          <w:p w14:paraId="3883FACF" w14:textId="4EFF2B3D" w:rsidR="00BE1A15" w:rsidRPr="00A025C9" w:rsidRDefault="00BE1A15">
            <w:pPr>
              <w:tabs>
                <w:tab w:val="left" w:pos="201"/>
              </w:tabs>
              <w:spacing w:before="120" w:after="0"/>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One Stop Shop – OSS which shall enhance service delivery and simplify Value Added Tax (VAT) declaration and</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payment processes.</w:t>
            </w:r>
          </w:p>
          <w:p w14:paraId="3A39A760" w14:textId="371D34E9" w:rsidR="00BE1A15" w:rsidRPr="00A025C9" w:rsidRDefault="00BE1A15">
            <w:pPr>
              <w:tabs>
                <w:tab w:val="left" w:pos="201"/>
              </w:tabs>
              <w:spacing w:before="120" w:after="0"/>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-Value Added Tax Information Exchange System is online and accessible.</w:t>
            </w:r>
            <w:r w:rsidR="00D23D91" w:rsidRPr="00A025C9">
              <w:rPr>
                <w:rFonts w:ascii="Times New Roman" w:hAnsi="Times New Roman" w:cs="Times New Roman"/>
                <w:noProof/>
                <w:sz w:val="20"/>
                <w:szCs w:val="20"/>
                <w:lang w:val="en-GB"/>
              </w:rPr>
              <w:t xml:space="preserve"> </w:t>
            </w:r>
          </w:p>
        </w:tc>
      </w:tr>
      <w:tr w:rsidR="00BE1A15" w:rsidRPr="00A025C9" w14:paraId="7DDF2CF1"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hideMark/>
          </w:tcPr>
          <w:p w14:paraId="5BCF93D4" w14:textId="77777777" w:rsidR="00BE1A15" w:rsidRPr="00A025C9" w:rsidRDefault="00BE1A15">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217</w:t>
            </w:r>
          </w:p>
        </w:tc>
        <w:tc>
          <w:tcPr>
            <w:tcW w:w="1833" w:type="dxa"/>
            <w:tcBorders>
              <w:top w:val="nil"/>
              <w:left w:val="nil"/>
              <w:bottom w:val="single" w:sz="4" w:space="0" w:color="auto"/>
              <w:right w:val="single" w:sz="4" w:space="0" w:color="auto"/>
            </w:tcBorders>
            <w:shd w:val="clear" w:color="auto" w:fill="C6EFCE"/>
            <w:noWrap/>
            <w:hideMark/>
          </w:tcPr>
          <w:p w14:paraId="456716A3" w14:textId="31B5C7CF" w:rsidR="00BE1A15" w:rsidRPr="00A025C9" w:rsidRDefault="00BE1A15">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Investment 1. Facilitating taxpayers’ compliance through access to</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 xml:space="preserve">digital services </w:t>
            </w:r>
          </w:p>
        </w:tc>
        <w:tc>
          <w:tcPr>
            <w:tcW w:w="1268" w:type="dxa"/>
            <w:tcBorders>
              <w:top w:val="nil"/>
              <w:left w:val="nil"/>
              <w:bottom w:val="single" w:sz="4" w:space="0" w:color="auto"/>
              <w:right w:val="single" w:sz="4" w:space="0" w:color="auto"/>
            </w:tcBorders>
            <w:shd w:val="clear" w:color="auto" w:fill="C6EFCE"/>
            <w:noWrap/>
            <w:hideMark/>
          </w:tcPr>
          <w:p w14:paraId="1EDC5744" w14:textId="77777777" w:rsidR="00BE1A15" w:rsidRPr="00A025C9" w:rsidRDefault="00BE1A15">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57" w:type="dxa"/>
            <w:tcBorders>
              <w:top w:val="nil"/>
              <w:left w:val="nil"/>
              <w:bottom w:val="single" w:sz="4" w:space="0" w:color="auto"/>
              <w:right w:val="single" w:sz="4" w:space="0" w:color="auto"/>
            </w:tcBorders>
            <w:shd w:val="clear" w:color="auto" w:fill="C6EFCE"/>
            <w:noWrap/>
            <w:hideMark/>
          </w:tcPr>
          <w:p w14:paraId="060C7C56"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Services to corporate taxpayers available online</w:t>
            </w:r>
          </w:p>
          <w:p w14:paraId="280A9E4D" w14:textId="77777777" w:rsidR="00BE1A15" w:rsidRPr="00A025C9" w:rsidRDefault="00BE1A15">
            <w:pPr>
              <w:spacing w:after="0" w:line="240" w:lineRule="auto"/>
              <w:jc w:val="both"/>
              <w:rPr>
                <w:rFonts w:ascii="Times New Roman" w:eastAsia="Times New Roman" w:hAnsi="Times New Roman" w:cs="Times New Roman"/>
                <w:noProof/>
                <w:sz w:val="20"/>
                <w:szCs w:val="20"/>
                <w:lang w:val="en-GB" w:eastAsia="en-GB"/>
              </w:rPr>
            </w:pPr>
          </w:p>
        </w:tc>
        <w:tc>
          <w:tcPr>
            <w:tcW w:w="1560" w:type="dxa"/>
            <w:tcBorders>
              <w:top w:val="nil"/>
              <w:left w:val="nil"/>
              <w:bottom w:val="single" w:sz="4" w:space="0" w:color="auto"/>
              <w:right w:val="single" w:sz="4" w:space="0" w:color="auto"/>
            </w:tcBorders>
            <w:shd w:val="clear" w:color="auto" w:fill="C6EFCE"/>
            <w:noWrap/>
            <w:hideMark/>
          </w:tcPr>
          <w:p w14:paraId="3A67A625" w14:textId="77777777" w:rsidR="00BE1A15" w:rsidRPr="00A025C9" w:rsidRDefault="00BE1A15">
            <w:pPr>
              <w:spacing w:after="0" w:line="240" w:lineRule="auto"/>
              <w:jc w:val="both"/>
              <w:rPr>
                <w:rFonts w:ascii="Times New Roman" w:eastAsia="Times New Roman" w:hAnsi="Times New Roman" w:cs="Times New Roman"/>
                <w:noProof/>
                <w:sz w:val="20"/>
                <w:szCs w:val="20"/>
                <w:lang w:val="en-GB"/>
              </w:rPr>
            </w:pPr>
          </w:p>
        </w:tc>
        <w:tc>
          <w:tcPr>
            <w:tcW w:w="1197" w:type="dxa"/>
            <w:tcBorders>
              <w:top w:val="nil"/>
              <w:left w:val="nil"/>
              <w:bottom w:val="single" w:sz="4" w:space="0" w:color="auto"/>
              <w:right w:val="single" w:sz="4" w:space="0" w:color="auto"/>
            </w:tcBorders>
            <w:shd w:val="clear" w:color="auto" w:fill="C6EFCE"/>
            <w:noWrap/>
            <w:hideMark/>
          </w:tcPr>
          <w:p w14:paraId="355DBFCB" w14:textId="77777777" w:rsidR="00BE1A15" w:rsidRPr="00A025C9" w:rsidRDefault="00BE1A15">
            <w:pPr>
              <w:spacing w:after="0" w:line="240" w:lineRule="auto"/>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Percentage (%)</w:t>
            </w:r>
          </w:p>
          <w:p w14:paraId="6893AD3B"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9" w:type="dxa"/>
            <w:tcBorders>
              <w:top w:val="nil"/>
              <w:left w:val="nil"/>
              <w:bottom w:val="single" w:sz="4" w:space="0" w:color="auto"/>
              <w:right w:val="single" w:sz="4" w:space="0" w:color="auto"/>
            </w:tcBorders>
            <w:shd w:val="clear" w:color="auto" w:fill="C6EFCE"/>
            <w:noWrap/>
            <w:hideMark/>
          </w:tcPr>
          <w:p w14:paraId="04698C26" w14:textId="77777777" w:rsidR="00BE1A15" w:rsidRPr="00A025C9" w:rsidRDefault="00BE1A15">
            <w:pPr>
              <w:spacing w:after="0" w:line="240" w:lineRule="auto"/>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45</w:t>
            </w:r>
          </w:p>
        </w:tc>
        <w:tc>
          <w:tcPr>
            <w:tcW w:w="1269" w:type="dxa"/>
            <w:tcBorders>
              <w:top w:val="nil"/>
              <w:left w:val="nil"/>
              <w:bottom w:val="single" w:sz="4" w:space="0" w:color="auto"/>
              <w:right w:val="single" w:sz="4" w:space="0" w:color="auto"/>
            </w:tcBorders>
            <w:shd w:val="clear" w:color="auto" w:fill="C6EFCE"/>
            <w:noWrap/>
            <w:hideMark/>
          </w:tcPr>
          <w:p w14:paraId="60324DDE" w14:textId="77777777" w:rsidR="00BE1A15" w:rsidRPr="00A025C9" w:rsidRDefault="00BE1A15">
            <w:pPr>
              <w:spacing w:after="0" w:line="240" w:lineRule="auto"/>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60</w:t>
            </w:r>
          </w:p>
        </w:tc>
        <w:tc>
          <w:tcPr>
            <w:tcW w:w="1128" w:type="dxa"/>
            <w:tcBorders>
              <w:top w:val="nil"/>
              <w:left w:val="nil"/>
              <w:bottom w:val="single" w:sz="4" w:space="0" w:color="auto"/>
              <w:right w:val="single" w:sz="4" w:space="0" w:color="auto"/>
            </w:tcBorders>
            <w:shd w:val="clear" w:color="auto" w:fill="C6EFCE"/>
            <w:noWrap/>
            <w:hideMark/>
          </w:tcPr>
          <w:p w14:paraId="04E2231B" w14:textId="77777777" w:rsidR="00BE1A15" w:rsidRPr="00A025C9" w:rsidRDefault="00BE1A15">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hideMark/>
          </w:tcPr>
          <w:p w14:paraId="72697409" w14:textId="77777777" w:rsidR="00BE1A15" w:rsidRPr="00A025C9" w:rsidRDefault="00BE1A15">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2025</w:t>
            </w:r>
          </w:p>
        </w:tc>
        <w:tc>
          <w:tcPr>
            <w:tcW w:w="3107" w:type="dxa"/>
            <w:tcBorders>
              <w:top w:val="nil"/>
              <w:left w:val="nil"/>
              <w:bottom w:val="single" w:sz="4" w:space="0" w:color="auto"/>
              <w:right w:val="single" w:sz="4" w:space="0" w:color="auto"/>
            </w:tcBorders>
            <w:shd w:val="clear" w:color="auto" w:fill="C6EFCE"/>
            <w:noWrap/>
            <w:hideMark/>
          </w:tcPr>
          <w:p w14:paraId="52956412" w14:textId="30BF9EB0" w:rsidR="00BE1A15" w:rsidRPr="00A025C9" w:rsidRDefault="00BE1A15">
            <w:pPr>
              <w:spacing w:after="0"/>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60% of the services to corporate taxpayers shall be accessible online through the National Agency for Fiscal Administration website or through the SPV, as evidenced by the catalogue of services delivered to taxpayers. The facilities for interaction with taxpayers at the premises of the tax units are available.</w:t>
            </w:r>
            <w:r w:rsidR="00D23D91" w:rsidRPr="00A025C9">
              <w:rPr>
                <w:rFonts w:ascii="Times New Roman" w:hAnsi="Times New Roman" w:cs="Times New Roman"/>
                <w:noProof/>
                <w:sz w:val="20"/>
                <w:szCs w:val="20"/>
                <w:lang w:val="en-GB"/>
              </w:rPr>
              <w:t xml:space="preserve"> </w:t>
            </w:r>
          </w:p>
          <w:p w14:paraId="482CE878" w14:textId="77777777" w:rsidR="00BE1A15" w:rsidRPr="00A025C9" w:rsidRDefault="00BE1A15">
            <w:pPr>
              <w:spacing w:after="0"/>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ANAF shall prepare a report identifying solutions for knowledge of taxpayers/clients.</w:t>
            </w:r>
          </w:p>
        </w:tc>
      </w:tr>
      <w:tr w:rsidR="00BE1A15" w:rsidRPr="00A025C9" w14:paraId="1F25D3BF"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5CC0239"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218</w:t>
            </w:r>
          </w:p>
        </w:tc>
        <w:tc>
          <w:tcPr>
            <w:tcW w:w="1833" w:type="dxa"/>
            <w:tcBorders>
              <w:top w:val="nil"/>
              <w:left w:val="nil"/>
              <w:bottom w:val="single" w:sz="4" w:space="0" w:color="auto"/>
              <w:right w:val="single" w:sz="4" w:space="0" w:color="auto"/>
            </w:tcBorders>
            <w:shd w:val="clear" w:color="auto" w:fill="C6EFCE"/>
            <w:noWrap/>
          </w:tcPr>
          <w:p w14:paraId="2E7E3B78" w14:textId="67C34BF3"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Investment 1. Facilitating taxpayers’ compliance through access to</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 xml:space="preserve">digital services </w:t>
            </w:r>
          </w:p>
        </w:tc>
        <w:tc>
          <w:tcPr>
            <w:tcW w:w="1268" w:type="dxa"/>
            <w:tcBorders>
              <w:top w:val="nil"/>
              <w:left w:val="nil"/>
              <w:bottom w:val="single" w:sz="4" w:space="0" w:color="auto"/>
              <w:right w:val="single" w:sz="4" w:space="0" w:color="auto"/>
            </w:tcBorders>
            <w:shd w:val="clear" w:color="auto" w:fill="C6EFCE"/>
            <w:noWrap/>
          </w:tcPr>
          <w:p w14:paraId="3BBC40B0"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400A6E76"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Online platform for auction of real estate and mobile property with significant value is functional </w:t>
            </w:r>
          </w:p>
          <w:p w14:paraId="6B3C8C7E"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560" w:type="dxa"/>
            <w:tcBorders>
              <w:top w:val="nil"/>
              <w:left w:val="nil"/>
              <w:bottom w:val="single" w:sz="4" w:space="0" w:color="auto"/>
              <w:right w:val="single" w:sz="4" w:space="0" w:color="auto"/>
            </w:tcBorders>
            <w:shd w:val="clear" w:color="auto" w:fill="C6EFCE"/>
            <w:noWrap/>
          </w:tcPr>
          <w:p w14:paraId="0CE69FA2"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Online platform is functional</w:t>
            </w:r>
          </w:p>
        </w:tc>
        <w:tc>
          <w:tcPr>
            <w:tcW w:w="1197" w:type="dxa"/>
            <w:tcBorders>
              <w:top w:val="nil"/>
              <w:left w:val="nil"/>
              <w:bottom w:val="single" w:sz="4" w:space="0" w:color="auto"/>
              <w:right w:val="single" w:sz="4" w:space="0" w:color="auto"/>
            </w:tcBorders>
            <w:shd w:val="clear" w:color="auto" w:fill="C6EFCE"/>
            <w:noWrap/>
          </w:tcPr>
          <w:p w14:paraId="0686C606"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7B67822F"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4CFA3325"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3588E5D6"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Q1</w:t>
            </w:r>
          </w:p>
        </w:tc>
        <w:tc>
          <w:tcPr>
            <w:tcW w:w="840" w:type="dxa"/>
            <w:tcBorders>
              <w:top w:val="nil"/>
              <w:left w:val="nil"/>
              <w:bottom w:val="single" w:sz="4" w:space="0" w:color="auto"/>
              <w:right w:val="single" w:sz="4" w:space="0" w:color="auto"/>
            </w:tcBorders>
            <w:shd w:val="clear" w:color="auto" w:fill="C6EFCE"/>
            <w:noWrap/>
          </w:tcPr>
          <w:p w14:paraId="5FE622F3"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107" w:type="dxa"/>
            <w:tcBorders>
              <w:top w:val="nil"/>
              <w:left w:val="nil"/>
              <w:bottom w:val="single" w:sz="4" w:space="0" w:color="auto"/>
              <w:right w:val="single" w:sz="4" w:space="0" w:color="auto"/>
            </w:tcBorders>
            <w:shd w:val="clear" w:color="auto" w:fill="C6EFCE"/>
            <w:noWrap/>
          </w:tcPr>
          <w:p w14:paraId="1AD7A6D0"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An online platform for organising auctions for selling state-owned assets and those seized in enforcement shall be functional.</w:t>
            </w:r>
          </w:p>
          <w:p w14:paraId="5E272791"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This platform shall be used to sell the real estate assets, mobile property and rare and valuable items such as precious metals, pieces of art, cars, planes, boats in their possession.</w:t>
            </w:r>
          </w:p>
        </w:tc>
      </w:tr>
      <w:tr w:rsidR="00BE1A15" w:rsidRPr="00A025C9" w14:paraId="01BAC578"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093919B6"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219</w:t>
            </w:r>
          </w:p>
        </w:tc>
        <w:tc>
          <w:tcPr>
            <w:tcW w:w="1833" w:type="dxa"/>
            <w:tcBorders>
              <w:top w:val="nil"/>
              <w:left w:val="nil"/>
              <w:bottom w:val="single" w:sz="4" w:space="0" w:color="auto"/>
              <w:right w:val="single" w:sz="4" w:space="0" w:color="auto"/>
            </w:tcBorders>
            <w:shd w:val="clear" w:color="auto" w:fill="C6EFCE"/>
            <w:noWrap/>
          </w:tcPr>
          <w:p w14:paraId="6E9C0DFE" w14:textId="4149D65C"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2. </w:t>
            </w:r>
            <w:r w:rsidR="000679E2" w:rsidRPr="00A025C9">
              <w:rPr>
                <w:rFonts w:ascii="Times New Roman" w:hAnsi="Times New Roman" w:cs="Times New Roman"/>
                <w:noProof/>
                <w:color w:val="000000" w:themeColor="text1"/>
                <w:sz w:val="20"/>
                <w:szCs w:val="20"/>
              </w:rPr>
              <w:t>Improving tax and tax administration processes</w:t>
            </w:r>
          </w:p>
        </w:tc>
        <w:tc>
          <w:tcPr>
            <w:tcW w:w="1268" w:type="dxa"/>
            <w:tcBorders>
              <w:top w:val="nil"/>
              <w:left w:val="nil"/>
              <w:bottom w:val="single" w:sz="4" w:space="0" w:color="auto"/>
              <w:right w:val="single" w:sz="4" w:space="0" w:color="auto"/>
            </w:tcBorders>
            <w:shd w:val="clear" w:color="auto" w:fill="C6EFCE"/>
            <w:noWrap/>
          </w:tcPr>
          <w:p w14:paraId="73D1AFEC"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57" w:type="dxa"/>
            <w:tcBorders>
              <w:top w:val="nil"/>
              <w:left w:val="nil"/>
              <w:bottom w:val="single" w:sz="4" w:space="0" w:color="auto"/>
              <w:right w:val="single" w:sz="4" w:space="0" w:color="auto"/>
            </w:tcBorders>
            <w:shd w:val="clear" w:color="auto" w:fill="C6EFCE"/>
            <w:noWrap/>
          </w:tcPr>
          <w:p w14:paraId="4E56EB3E"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Staff training on the risk manage-ment system </w:t>
            </w:r>
          </w:p>
        </w:tc>
        <w:tc>
          <w:tcPr>
            <w:tcW w:w="1560" w:type="dxa"/>
            <w:tcBorders>
              <w:top w:val="nil"/>
              <w:left w:val="nil"/>
              <w:bottom w:val="single" w:sz="4" w:space="0" w:color="auto"/>
              <w:right w:val="single" w:sz="4" w:space="0" w:color="auto"/>
            </w:tcBorders>
            <w:shd w:val="clear" w:color="auto" w:fill="C6EFCE"/>
            <w:noWrap/>
          </w:tcPr>
          <w:p w14:paraId="778B82C3"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197" w:type="dxa"/>
            <w:tcBorders>
              <w:top w:val="nil"/>
              <w:left w:val="nil"/>
              <w:bottom w:val="single" w:sz="4" w:space="0" w:color="auto"/>
              <w:right w:val="single" w:sz="4" w:space="0" w:color="auto"/>
            </w:tcBorders>
            <w:shd w:val="clear" w:color="auto" w:fill="C6EFCE"/>
            <w:noWrap/>
          </w:tcPr>
          <w:p w14:paraId="3E24597E"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Number</w:t>
            </w:r>
          </w:p>
        </w:tc>
        <w:tc>
          <w:tcPr>
            <w:tcW w:w="1129" w:type="dxa"/>
            <w:tcBorders>
              <w:top w:val="nil"/>
              <w:left w:val="nil"/>
              <w:bottom w:val="single" w:sz="4" w:space="0" w:color="auto"/>
              <w:right w:val="single" w:sz="4" w:space="0" w:color="auto"/>
            </w:tcBorders>
            <w:shd w:val="clear" w:color="auto" w:fill="C6EFCE"/>
            <w:noWrap/>
          </w:tcPr>
          <w:p w14:paraId="138A0AEC"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0</w:t>
            </w:r>
          </w:p>
        </w:tc>
        <w:tc>
          <w:tcPr>
            <w:tcW w:w="1269" w:type="dxa"/>
            <w:tcBorders>
              <w:top w:val="nil"/>
              <w:left w:val="nil"/>
              <w:bottom w:val="single" w:sz="4" w:space="0" w:color="auto"/>
              <w:right w:val="single" w:sz="4" w:space="0" w:color="auto"/>
            </w:tcBorders>
            <w:shd w:val="clear" w:color="auto" w:fill="C6EFCE"/>
            <w:noWrap/>
          </w:tcPr>
          <w:p w14:paraId="31D1B289"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40</w:t>
            </w:r>
          </w:p>
        </w:tc>
        <w:tc>
          <w:tcPr>
            <w:tcW w:w="1128" w:type="dxa"/>
            <w:tcBorders>
              <w:top w:val="nil"/>
              <w:left w:val="nil"/>
              <w:bottom w:val="single" w:sz="4" w:space="0" w:color="auto"/>
              <w:right w:val="single" w:sz="4" w:space="0" w:color="auto"/>
            </w:tcBorders>
            <w:shd w:val="clear" w:color="auto" w:fill="C6EFCE"/>
            <w:noWrap/>
          </w:tcPr>
          <w:p w14:paraId="54BB1174"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840" w:type="dxa"/>
            <w:tcBorders>
              <w:top w:val="nil"/>
              <w:left w:val="nil"/>
              <w:bottom w:val="single" w:sz="4" w:space="0" w:color="auto"/>
              <w:right w:val="single" w:sz="4" w:space="0" w:color="auto"/>
            </w:tcBorders>
            <w:shd w:val="clear" w:color="auto" w:fill="C6EFCE"/>
            <w:noWrap/>
          </w:tcPr>
          <w:p w14:paraId="27996742"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2023</w:t>
            </w:r>
          </w:p>
        </w:tc>
        <w:tc>
          <w:tcPr>
            <w:tcW w:w="3107" w:type="dxa"/>
            <w:tcBorders>
              <w:top w:val="nil"/>
              <w:left w:val="nil"/>
              <w:bottom w:val="single" w:sz="4" w:space="0" w:color="auto"/>
              <w:right w:val="single" w:sz="4" w:space="0" w:color="auto"/>
            </w:tcBorders>
            <w:shd w:val="clear" w:color="auto" w:fill="C6EFCE"/>
            <w:noWrap/>
          </w:tcPr>
          <w:p w14:paraId="431B19D4"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40 staff working in the risk management area of the Ministry of Finance shall be trained in the risk management system. </w:t>
            </w:r>
          </w:p>
        </w:tc>
      </w:tr>
      <w:tr w:rsidR="00BE1A15" w:rsidRPr="00A025C9" w14:paraId="08040FF0"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5362BD6"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220</w:t>
            </w:r>
          </w:p>
        </w:tc>
        <w:tc>
          <w:tcPr>
            <w:tcW w:w="1833" w:type="dxa"/>
            <w:tcBorders>
              <w:top w:val="nil"/>
              <w:left w:val="nil"/>
              <w:bottom w:val="single" w:sz="4" w:space="0" w:color="auto"/>
              <w:right w:val="single" w:sz="4" w:space="0" w:color="auto"/>
            </w:tcBorders>
            <w:shd w:val="clear" w:color="auto" w:fill="C6EFCE"/>
            <w:noWrap/>
          </w:tcPr>
          <w:p w14:paraId="3A3CA722" w14:textId="446947F3"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2. </w:t>
            </w:r>
            <w:r w:rsidR="000679E2" w:rsidRPr="00A025C9">
              <w:rPr>
                <w:rFonts w:ascii="Times New Roman" w:hAnsi="Times New Roman" w:cs="Times New Roman"/>
                <w:noProof/>
                <w:color w:val="000000" w:themeColor="text1"/>
                <w:sz w:val="20"/>
                <w:szCs w:val="20"/>
              </w:rPr>
              <w:t>Improving tax and tax administration processes</w:t>
            </w:r>
          </w:p>
        </w:tc>
        <w:tc>
          <w:tcPr>
            <w:tcW w:w="1268" w:type="dxa"/>
            <w:tcBorders>
              <w:top w:val="nil"/>
              <w:left w:val="nil"/>
              <w:bottom w:val="single" w:sz="4" w:space="0" w:color="auto"/>
              <w:right w:val="single" w:sz="4" w:space="0" w:color="auto"/>
            </w:tcBorders>
            <w:shd w:val="clear" w:color="auto" w:fill="C6EFCE"/>
            <w:noWrap/>
          </w:tcPr>
          <w:p w14:paraId="43E48D9B"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57" w:type="dxa"/>
            <w:tcBorders>
              <w:top w:val="nil"/>
              <w:left w:val="nil"/>
              <w:bottom w:val="single" w:sz="4" w:space="0" w:color="auto"/>
              <w:right w:val="single" w:sz="4" w:space="0" w:color="auto"/>
            </w:tcBorders>
            <w:shd w:val="clear" w:color="auto" w:fill="C6EFCE"/>
            <w:noWrap/>
          </w:tcPr>
          <w:p w14:paraId="32194D60"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Number of cash registers connected to the National Agency for Fiscal Adminis-tration IT system </w:t>
            </w:r>
          </w:p>
        </w:tc>
        <w:tc>
          <w:tcPr>
            <w:tcW w:w="1560" w:type="dxa"/>
            <w:tcBorders>
              <w:top w:val="nil"/>
              <w:left w:val="nil"/>
              <w:bottom w:val="single" w:sz="4" w:space="0" w:color="auto"/>
              <w:right w:val="single" w:sz="4" w:space="0" w:color="auto"/>
            </w:tcBorders>
            <w:shd w:val="clear" w:color="auto" w:fill="C6EFCE"/>
            <w:noWrap/>
          </w:tcPr>
          <w:p w14:paraId="0FBA1C18"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197" w:type="dxa"/>
            <w:tcBorders>
              <w:top w:val="nil"/>
              <w:left w:val="nil"/>
              <w:bottom w:val="single" w:sz="4" w:space="0" w:color="auto"/>
              <w:right w:val="single" w:sz="4" w:space="0" w:color="auto"/>
            </w:tcBorders>
            <w:shd w:val="clear" w:color="auto" w:fill="C6EFCE"/>
            <w:noWrap/>
          </w:tcPr>
          <w:p w14:paraId="71D46B61"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Number</w:t>
            </w:r>
          </w:p>
        </w:tc>
        <w:tc>
          <w:tcPr>
            <w:tcW w:w="1129" w:type="dxa"/>
            <w:tcBorders>
              <w:top w:val="nil"/>
              <w:left w:val="nil"/>
              <w:bottom w:val="single" w:sz="4" w:space="0" w:color="auto"/>
              <w:right w:val="single" w:sz="4" w:space="0" w:color="auto"/>
            </w:tcBorders>
            <w:shd w:val="clear" w:color="auto" w:fill="C6EFCE"/>
            <w:noWrap/>
          </w:tcPr>
          <w:p w14:paraId="7D285DF2"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0</w:t>
            </w:r>
          </w:p>
        </w:tc>
        <w:tc>
          <w:tcPr>
            <w:tcW w:w="1269" w:type="dxa"/>
            <w:tcBorders>
              <w:top w:val="nil"/>
              <w:left w:val="nil"/>
              <w:bottom w:val="single" w:sz="4" w:space="0" w:color="auto"/>
              <w:right w:val="single" w:sz="4" w:space="0" w:color="auto"/>
            </w:tcBorders>
            <w:shd w:val="clear" w:color="auto" w:fill="C6EFCE"/>
            <w:noWrap/>
          </w:tcPr>
          <w:p w14:paraId="10A91AE8" w14:textId="4F714F76"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150</w:t>
            </w:r>
            <w:r w:rsidR="00584352" w:rsidRPr="00A025C9">
              <w:rPr>
                <w:rFonts w:ascii="Times New Roman" w:hAnsi="Times New Roman" w:cs="Times New Roman"/>
                <w:noProof/>
                <w:sz w:val="20"/>
                <w:szCs w:val="20"/>
                <w:lang w:val="en-GB"/>
              </w:rPr>
              <w:t> </w:t>
            </w:r>
            <w:r w:rsidRPr="00A025C9">
              <w:rPr>
                <w:rFonts w:ascii="Times New Roman" w:hAnsi="Times New Roman" w:cs="Times New Roman"/>
                <w:noProof/>
                <w:sz w:val="20"/>
                <w:szCs w:val="20"/>
                <w:lang w:val="en-GB"/>
              </w:rPr>
              <w:t>000</w:t>
            </w:r>
          </w:p>
        </w:tc>
        <w:tc>
          <w:tcPr>
            <w:tcW w:w="1128" w:type="dxa"/>
            <w:tcBorders>
              <w:top w:val="nil"/>
              <w:left w:val="nil"/>
              <w:bottom w:val="single" w:sz="4" w:space="0" w:color="auto"/>
              <w:right w:val="single" w:sz="4" w:space="0" w:color="auto"/>
            </w:tcBorders>
            <w:shd w:val="clear" w:color="auto" w:fill="C6EFCE"/>
            <w:noWrap/>
          </w:tcPr>
          <w:p w14:paraId="4279F1D9"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5B3FFB2E"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2021</w:t>
            </w:r>
          </w:p>
        </w:tc>
        <w:tc>
          <w:tcPr>
            <w:tcW w:w="3107" w:type="dxa"/>
            <w:tcBorders>
              <w:top w:val="nil"/>
              <w:left w:val="nil"/>
              <w:bottom w:val="single" w:sz="4" w:space="0" w:color="auto"/>
              <w:right w:val="single" w:sz="4" w:space="0" w:color="auto"/>
            </w:tcBorders>
            <w:shd w:val="clear" w:color="auto" w:fill="C6EFCE"/>
            <w:noWrap/>
          </w:tcPr>
          <w:p w14:paraId="4093FC63"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At least 150 000 cash registers connected to National Agency for Fiscal Administration’s electronic system.</w:t>
            </w:r>
          </w:p>
          <w:p w14:paraId="0846324B"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The full connection of cash registers shall address, in particular, fraud in the area of trade. This investment shall contribute to reducing the VAT gap. </w:t>
            </w:r>
          </w:p>
        </w:tc>
      </w:tr>
      <w:tr w:rsidR="00BE1A15" w:rsidRPr="00A025C9" w14:paraId="1CFB2093"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1EE40F81"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221</w:t>
            </w:r>
          </w:p>
        </w:tc>
        <w:tc>
          <w:tcPr>
            <w:tcW w:w="1833" w:type="dxa"/>
            <w:tcBorders>
              <w:top w:val="nil"/>
              <w:left w:val="nil"/>
              <w:bottom w:val="single" w:sz="4" w:space="0" w:color="auto"/>
              <w:right w:val="single" w:sz="4" w:space="0" w:color="auto"/>
            </w:tcBorders>
            <w:shd w:val="clear" w:color="auto" w:fill="C6EFCE"/>
            <w:noWrap/>
          </w:tcPr>
          <w:p w14:paraId="2E338CE0" w14:textId="41298FAB"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2. </w:t>
            </w:r>
            <w:r w:rsidR="000679E2" w:rsidRPr="00A025C9">
              <w:rPr>
                <w:rFonts w:ascii="Times New Roman" w:hAnsi="Times New Roman" w:cs="Times New Roman"/>
                <w:noProof/>
                <w:color w:val="000000" w:themeColor="text1"/>
                <w:sz w:val="20"/>
                <w:szCs w:val="20"/>
              </w:rPr>
              <w:t>Improving tax and tax administration processes</w:t>
            </w:r>
          </w:p>
        </w:tc>
        <w:tc>
          <w:tcPr>
            <w:tcW w:w="1268" w:type="dxa"/>
            <w:tcBorders>
              <w:top w:val="nil"/>
              <w:left w:val="nil"/>
              <w:bottom w:val="single" w:sz="4" w:space="0" w:color="auto"/>
              <w:right w:val="single" w:sz="4" w:space="0" w:color="auto"/>
            </w:tcBorders>
            <w:shd w:val="clear" w:color="auto" w:fill="C6EFCE"/>
            <w:noWrap/>
          </w:tcPr>
          <w:p w14:paraId="0AB02C05"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57" w:type="dxa"/>
            <w:tcBorders>
              <w:top w:val="nil"/>
              <w:left w:val="nil"/>
              <w:bottom w:val="single" w:sz="4" w:space="0" w:color="auto"/>
              <w:right w:val="single" w:sz="4" w:space="0" w:color="auto"/>
            </w:tcBorders>
            <w:shd w:val="clear" w:color="auto" w:fill="C6EFCE"/>
            <w:noWrap/>
          </w:tcPr>
          <w:p w14:paraId="2395699A"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Number of cash registers connected to the National Agency for Fiscal Administration IT system </w:t>
            </w:r>
          </w:p>
        </w:tc>
        <w:tc>
          <w:tcPr>
            <w:tcW w:w="1560" w:type="dxa"/>
            <w:tcBorders>
              <w:top w:val="nil"/>
              <w:left w:val="nil"/>
              <w:bottom w:val="single" w:sz="4" w:space="0" w:color="auto"/>
              <w:right w:val="single" w:sz="4" w:space="0" w:color="auto"/>
            </w:tcBorders>
            <w:shd w:val="clear" w:color="auto" w:fill="C6EFCE"/>
            <w:noWrap/>
          </w:tcPr>
          <w:p w14:paraId="3600EBBF"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197" w:type="dxa"/>
            <w:tcBorders>
              <w:top w:val="nil"/>
              <w:left w:val="nil"/>
              <w:bottom w:val="single" w:sz="4" w:space="0" w:color="auto"/>
              <w:right w:val="single" w:sz="4" w:space="0" w:color="auto"/>
            </w:tcBorders>
            <w:shd w:val="clear" w:color="auto" w:fill="C6EFCE"/>
            <w:noWrap/>
          </w:tcPr>
          <w:p w14:paraId="5C60DE12"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Number</w:t>
            </w:r>
          </w:p>
        </w:tc>
        <w:tc>
          <w:tcPr>
            <w:tcW w:w="1129" w:type="dxa"/>
            <w:tcBorders>
              <w:top w:val="nil"/>
              <w:left w:val="nil"/>
              <w:bottom w:val="single" w:sz="4" w:space="0" w:color="auto"/>
              <w:right w:val="single" w:sz="4" w:space="0" w:color="auto"/>
            </w:tcBorders>
            <w:shd w:val="clear" w:color="auto" w:fill="C6EFCE"/>
            <w:noWrap/>
          </w:tcPr>
          <w:p w14:paraId="0B3430A9"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150 000</w:t>
            </w:r>
          </w:p>
        </w:tc>
        <w:tc>
          <w:tcPr>
            <w:tcW w:w="1269" w:type="dxa"/>
            <w:tcBorders>
              <w:top w:val="nil"/>
              <w:left w:val="nil"/>
              <w:bottom w:val="single" w:sz="4" w:space="0" w:color="auto"/>
              <w:right w:val="single" w:sz="4" w:space="0" w:color="auto"/>
            </w:tcBorders>
            <w:shd w:val="clear" w:color="auto" w:fill="C6EFCE"/>
            <w:noWrap/>
          </w:tcPr>
          <w:p w14:paraId="6C3B67E2"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600 000</w:t>
            </w:r>
          </w:p>
        </w:tc>
        <w:tc>
          <w:tcPr>
            <w:tcW w:w="1128" w:type="dxa"/>
            <w:tcBorders>
              <w:top w:val="nil"/>
              <w:left w:val="nil"/>
              <w:bottom w:val="single" w:sz="4" w:space="0" w:color="auto"/>
              <w:right w:val="single" w:sz="4" w:space="0" w:color="auto"/>
            </w:tcBorders>
            <w:shd w:val="clear" w:color="auto" w:fill="C6EFCE"/>
            <w:noWrap/>
          </w:tcPr>
          <w:p w14:paraId="3E0D348D"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1BA5CAFC"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107" w:type="dxa"/>
            <w:tcBorders>
              <w:top w:val="nil"/>
              <w:left w:val="nil"/>
              <w:bottom w:val="single" w:sz="4" w:space="0" w:color="auto"/>
              <w:right w:val="single" w:sz="4" w:space="0" w:color="auto"/>
            </w:tcBorders>
            <w:shd w:val="clear" w:color="auto" w:fill="C6EFCE"/>
            <w:noWrap/>
          </w:tcPr>
          <w:p w14:paraId="4268DD25"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At least 600 000 cash registers shall be connected to National Agency for Fiscal Administration’s electronic system.</w:t>
            </w:r>
          </w:p>
          <w:p w14:paraId="4BF8A5BD"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full connection of cash registers shall address, in particular, fraud in the area of trade. This investment shall contribute to reduce the VAT gap.</w:t>
            </w:r>
          </w:p>
        </w:tc>
      </w:tr>
      <w:tr w:rsidR="00BE1A15" w:rsidRPr="00A025C9" w14:paraId="5EC32164"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691D63DE"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222</w:t>
            </w:r>
          </w:p>
        </w:tc>
        <w:tc>
          <w:tcPr>
            <w:tcW w:w="1833" w:type="dxa"/>
            <w:tcBorders>
              <w:top w:val="nil"/>
              <w:left w:val="nil"/>
              <w:bottom w:val="single" w:sz="4" w:space="0" w:color="auto"/>
              <w:right w:val="single" w:sz="4" w:space="0" w:color="auto"/>
            </w:tcBorders>
            <w:shd w:val="clear" w:color="auto" w:fill="C6EFCE"/>
            <w:noWrap/>
          </w:tcPr>
          <w:p w14:paraId="278D2BE5" w14:textId="0F27F2EE"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2. </w:t>
            </w:r>
            <w:r w:rsidR="000679E2" w:rsidRPr="00A025C9">
              <w:rPr>
                <w:rFonts w:ascii="Times New Roman" w:hAnsi="Times New Roman" w:cs="Times New Roman"/>
                <w:noProof/>
                <w:color w:val="000000" w:themeColor="text1"/>
                <w:sz w:val="20"/>
                <w:szCs w:val="20"/>
              </w:rPr>
              <w:t>Improving tax and tax administration processes</w:t>
            </w:r>
          </w:p>
        </w:tc>
        <w:tc>
          <w:tcPr>
            <w:tcW w:w="1268" w:type="dxa"/>
            <w:tcBorders>
              <w:top w:val="nil"/>
              <w:left w:val="nil"/>
              <w:bottom w:val="single" w:sz="4" w:space="0" w:color="auto"/>
              <w:right w:val="single" w:sz="4" w:space="0" w:color="auto"/>
            </w:tcBorders>
            <w:shd w:val="clear" w:color="auto" w:fill="C6EFCE"/>
            <w:noWrap/>
          </w:tcPr>
          <w:p w14:paraId="6DD9A769"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57" w:type="dxa"/>
            <w:tcBorders>
              <w:top w:val="nil"/>
              <w:left w:val="nil"/>
              <w:bottom w:val="single" w:sz="4" w:space="0" w:color="auto"/>
              <w:right w:val="single" w:sz="4" w:space="0" w:color="auto"/>
            </w:tcBorders>
            <w:shd w:val="clear" w:color="auto" w:fill="C6EFCE"/>
            <w:noWrap/>
          </w:tcPr>
          <w:p w14:paraId="51F86253"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Share of the number of desk audits reported on the total audits carried out by the tax administration — 30% </w:t>
            </w:r>
          </w:p>
        </w:tc>
        <w:tc>
          <w:tcPr>
            <w:tcW w:w="1560" w:type="dxa"/>
            <w:tcBorders>
              <w:top w:val="nil"/>
              <w:left w:val="nil"/>
              <w:bottom w:val="single" w:sz="4" w:space="0" w:color="auto"/>
              <w:right w:val="single" w:sz="4" w:space="0" w:color="auto"/>
            </w:tcBorders>
            <w:shd w:val="clear" w:color="auto" w:fill="C6EFCE"/>
            <w:noWrap/>
          </w:tcPr>
          <w:p w14:paraId="40E0FBAB"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197" w:type="dxa"/>
            <w:tcBorders>
              <w:top w:val="nil"/>
              <w:left w:val="nil"/>
              <w:bottom w:val="single" w:sz="4" w:space="0" w:color="auto"/>
              <w:right w:val="single" w:sz="4" w:space="0" w:color="auto"/>
            </w:tcBorders>
            <w:shd w:val="clear" w:color="auto" w:fill="C6EFCE"/>
            <w:noWrap/>
          </w:tcPr>
          <w:p w14:paraId="1223B015" w14:textId="77777777" w:rsidR="00BE1A15" w:rsidRPr="00A025C9" w:rsidRDefault="00BE1A15">
            <w:pPr>
              <w:spacing w:after="0" w:line="240" w:lineRule="auto"/>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Percentage (%)</w:t>
            </w:r>
          </w:p>
          <w:p w14:paraId="7E26CAC0"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313D1FA3"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0</w:t>
            </w:r>
          </w:p>
        </w:tc>
        <w:tc>
          <w:tcPr>
            <w:tcW w:w="1269" w:type="dxa"/>
            <w:tcBorders>
              <w:top w:val="nil"/>
              <w:left w:val="nil"/>
              <w:bottom w:val="single" w:sz="4" w:space="0" w:color="auto"/>
              <w:right w:val="single" w:sz="4" w:space="0" w:color="auto"/>
            </w:tcBorders>
            <w:shd w:val="clear" w:color="auto" w:fill="C6EFCE"/>
            <w:noWrap/>
          </w:tcPr>
          <w:p w14:paraId="10F37BAC"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30</w:t>
            </w:r>
          </w:p>
        </w:tc>
        <w:tc>
          <w:tcPr>
            <w:tcW w:w="1128" w:type="dxa"/>
            <w:tcBorders>
              <w:top w:val="nil"/>
              <w:left w:val="nil"/>
              <w:bottom w:val="single" w:sz="4" w:space="0" w:color="auto"/>
              <w:right w:val="single" w:sz="4" w:space="0" w:color="auto"/>
            </w:tcBorders>
            <w:shd w:val="clear" w:color="auto" w:fill="C6EFCE"/>
            <w:noWrap/>
          </w:tcPr>
          <w:p w14:paraId="67DC2596"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039ADCDD"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107" w:type="dxa"/>
            <w:tcBorders>
              <w:top w:val="nil"/>
              <w:left w:val="nil"/>
              <w:bottom w:val="single" w:sz="4" w:space="0" w:color="auto"/>
              <w:right w:val="single" w:sz="4" w:space="0" w:color="auto"/>
            </w:tcBorders>
            <w:shd w:val="clear" w:color="auto" w:fill="C6EFCE"/>
            <w:noWrap/>
          </w:tcPr>
          <w:p w14:paraId="6717B6F1"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share of the documentary audits in total audits carried out shall increase to 30% by Q4 2022 (from today’s zero). This target is part of the reform to shift inspection actions from physical to digital control structures.</w:t>
            </w:r>
          </w:p>
          <w:p w14:paraId="13D21F49" w14:textId="77777777" w:rsidR="00BE1A15" w:rsidRPr="00A025C9" w:rsidRDefault="00BE1A15">
            <w:pPr>
              <w:spacing w:after="0" w:line="240" w:lineRule="auto"/>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The following measures shall be implemented:</w:t>
            </w:r>
          </w:p>
          <w:p w14:paraId="7F06DDED" w14:textId="77777777" w:rsidR="00BE1A15" w:rsidRPr="00A025C9" w:rsidRDefault="00BE1A15" w:rsidP="00BE1A15">
            <w:pPr>
              <w:numPr>
                <w:ilvl w:val="0"/>
                <w:numId w:val="85"/>
              </w:numPr>
              <w:spacing w:after="0" w:line="240" w:lineRule="auto"/>
              <w:ind w:left="174"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establishing the powers of the tax authorities to carry out documentary checks by tax inspection bodies, anti-fraud control bodies and bodies responsible for verifying personal tax situations.</w:t>
            </w:r>
          </w:p>
          <w:p w14:paraId="457CC5F5" w14:textId="77777777" w:rsidR="00BE1A15" w:rsidRPr="00A025C9" w:rsidRDefault="00BE1A15" w:rsidP="00BE1A15">
            <w:pPr>
              <w:numPr>
                <w:ilvl w:val="0"/>
                <w:numId w:val="85"/>
              </w:numPr>
              <w:spacing w:after="0" w:line="240" w:lineRule="auto"/>
              <w:ind w:left="174"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the model and content of the forms and documents used in the desk-audit activity have been approved. </w:t>
            </w:r>
          </w:p>
        </w:tc>
      </w:tr>
      <w:tr w:rsidR="00BE1A15" w:rsidRPr="00A025C9" w14:paraId="48B030AA"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EE4EDEA"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223</w:t>
            </w:r>
          </w:p>
        </w:tc>
        <w:tc>
          <w:tcPr>
            <w:tcW w:w="1833" w:type="dxa"/>
            <w:tcBorders>
              <w:top w:val="nil"/>
              <w:left w:val="nil"/>
              <w:bottom w:val="single" w:sz="4" w:space="0" w:color="auto"/>
              <w:right w:val="single" w:sz="4" w:space="0" w:color="auto"/>
            </w:tcBorders>
            <w:shd w:val="clear" w:color="auto" w:fill="C6EFCE"/>
            <w:noWrap/>
          </w:tcPr>
          <w:p w14:paraId="2F881C20" w14:textId="4D9490C3"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2. </w:t>
            </w:r>
            <w:r w:rsidR="000679E2" w:rsidRPr="00A025C9">
              <w:rPr>
                <w:rFonts w:ascii="Times New Roman" w:hAnsi="Times New Roman" w:cs="Times New Roman"/>
                <w:noProof/>
                <w:color w:val="000000" w:themeColor="text1"/>
                <w:sz w:val="20"/>
                <w:szCs w:val="20"/>
              </w:rPr>
              <w:t>Improving tax and tax administration processes</w:t>
            </w:r>
          </w:p>
        </w:tc>
        <w:tc>
          <w:tcPr>
            <w:tcW w:w="1268" w:type="dxa"/>
            <w:tcBorders>
              <w:top w:val="nil"/>
              <w:left w:val="nil"/>
              <w:bottom w:val="single" w:sz="4" w:space="0" w:color="auto"/>
              <w:right w:val="single" w:sz="4" w:space="0" w:color="auto"/>
            </w:tcBorders>
            <w:shd w:val="clear" w:color="auto" w:fill="C6EFCE"/>
            <w:noWrap/>
          </w:tcPr>
          <w:p w14:paraId="13ABC3AE"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57" w:type="dxa"/>
            <w:tcBorders>
              <w:top w:val="nil"/>
              <w:left w:val="nil"/>
              <w:bottom w:val="single" w:sz="4" w:space="0" w:color="auto"/>
              <w:right w:val="single" w:sz="4" w:space="0" w:color="auto"/>
            </w:tcBorders>
            <w:shd w:val="clear" w:color="auto" w:fill="C6EFCE"/>
            <w:noWrap/>
          </w:tcPr>
          <w:p w14:paraId="3F7EABB3"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Share of the number of desk audits reported on the total audits carried out by the tax administration — 60 % </w:t>
            </w:r>
          </w:p>
        </w:tc>
        <w:tc>
          <w:tcPr>
            <w:tcW w:w="1560" w:type="dxa"/>
            <w:tcBorders>
              <w:top w:val="nil"/>
              <w:left w:val="nil"/>
              <w:bottom w:val="single" w:sz="4" w:space="0" w:color="auto"/>
              <w:right w:val="single" w:sz="4" w:space="0" w:color="auto"/>
            </w:tcBorders>
            <w:shd w:val="clear" w:color="auto" w:fill="C6EFCE"/>
            <w:noWrap/>
          </w:tcPr>
          <w:p w14:paraId="798DC26C"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197" w:type="dxa"/>
            <w:tcBorders>
              <w:top w:val="nil"/>
              <w:left w:val="nil"/>
              <w:bottom w:val="single" w:sz="4" w:space="0" w:color="auto"/>
              <w:right w:val="single" w:sz="4" w:space="0" w:color="auto"/>
            </w:tcBorders>
            <w:shd w:val="clear" w:color="auto" w:fill="C6EFCE"/>
            <w:noWrap/>
          </w:tcPr>
          <w:p w14:paraId="4E68A59D" w14:textId="77777777" w:rsidR="00BE1A15" w:rsidRPr="00A025C9" w:rsidRDefault="00BE1A15">
            <w:pPr>
              <w:spacing w:after="0" w:line="240" w:lineRule="auto"/>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Percentage (%)</w:t>
            </w:r>
          </w:p>
          <w:p w14:paraId="1FA665F5"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4DA22D63"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30</w:t>
            </w:r>
          </w:p>
        </w:tc>
        <w:tc>
          <w:tcPr>
            <w:tcW w:w="1269" w:type="dxa"/>
            <w:tcBorders>
              <w:top w:val="nil"/>
              <w:left w:val="nil"/>
              <w:bottom w:val="single" w:sz="4" w:space="0" w:color="auto"/>
              <w:right w:val="single" w:sz="4" w:space="0" w:color="auto"/>
            </w:tcBorders>
            <w:shd w:val="clear" w:color="auto" w:fill="C6EFCE"/>
            <w:noWrap/>
          </w:tcPr>
          <w:p w14:paraId="61B41072"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60</w:t>
            </w:r>
          </w:p>
        </w:tc>
        <w:tc>
          <w:tcPr>
            <w:tcW w:w="1128" w:type="dxa"/>
            <w:tcBorders>
              <w:top w:val="nil"/>
              <w:left w:val="nil"/>
              <w:bottom w:val="single" w:sz="4" w:space="0" w:color="auto"/>
              <w:right w:val="single" w:sz="4" w:space="0" w:color="auto"/>
            </w:tcBorders>
            <w:shd w:val="clear" w:color="auto" w:fill="C6EFCE"/>
            <w:noWrap/>
          </w:tcPr>
          <w:p w14:paraId="53E7CB51"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7E6FBD76"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2025</w:t>
            </w:r>
          </w:p>
        </w:tc>
        <w:tc>
          <w:tcPr>
            <w:tcW w:w="3107" w:type="dxa"/>
            <w:tcBorders>
              <w:top w:val="nil"/>
              <w:left w:val="nil"/>
              <w:bottom w:val="single" w:sz="4" w:space="0" w:color="auto"/>
              <w:right w:val="single" w:sz="4" w:space="0" w:color="auto"/>
            </w:tcBorders>
            <w:shd w:val="clear" w:color="auto" w:fill="C6EFCE"/>
            <w:noWrap/>
          </w:tcPr>
          <w:p w14:paraId="1FC44C4F"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share of the documentary audits in total audits carried out shall increase to 60% by Q4 2025.</w:t>
            </w:r>
          </w:p>
        </w:tc>
      </w:tr>
      <w:tr w:rsidR="00BE1A15" w:rsidRPr="00A025C9" w14:paraId="75FF2896"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2A47CBEA"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224</w:t>
            </w:r>
          </w:p>
        </w:tc>
        <w:tc>
          <w:tcPr>
            <w:tcW w:w="1833" w:type="dxa"/>
            <w:tcBorders>
              <w:top w:val="nil"/>
              <w:left w:val="nil"/>
              <w:bottom w:val="single" w:sz="4" w:space="0" w:color="auto"/>
              <w:right w:val="single" w:sz="4" w:space="0" w:color="auto"/>
            </w:tcBorders>
            <w:shd w:val="clear" w:color="auto" w:fill="C6EFCE"/>
            <w:noWrap/>
          </w:tcPr>
          <w:p w14:paraId="1F66A7E7" w14:textId="17E64F20"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2. </w:t>
            </w:r>
            <w:r w:rsidR="000679E2" w:rsidRPr="00A025C9">
              <w:rPr>
                <w:rFonts w:ascii="Times New Roman" w:hAnsi="Times New Roman" w:cs="Times New Roman"/>
                <w:noProof/>
                <w:color w:val="000000" w:themeColor="text1"/>
                <w:sz w:val="20"/>
                <w:szCs w:val="20"/>
              </w:rPr>
              <w:t>Improving tax and tax administration processes</w:t>
            </w:r>
          </w:p>
        </w:tc>
        <w:tc>
          <w:tcPr>
            <w:tcW w:w="1268" w:type="dxa"/>
            <w:tcBorders>
              <w:top w:val="nil"/>
              <w:left w:val="nil"/>
              <w:bottom w:val="single" w:sz="4" w:space="0" w:color="auto"/>
              <w:right w:val="single" w:sz="4" w:space="0" w:color="auto"/>
            </w:tcBorders>
            <w:shd w:val="clear" w:color="auto" w:fill="C6EFCE"/>
            <w:noWrap/>
          </w:tcPr>
          <w:p w14:paraId="4043FEDE"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57" w:type="dxa"/>
            <w:tcBorders>
              <w:top w:val="nil"/>
              <w:left w:val="nil"/>
              <w:bottom w:val="single" w:sz="4" w:space="0" w:color="auto"/>
              <w:right w:val="single" w:sz="4" w:space="0" w:color="auto"/>
            </w:tcBorders>
            <w:shd w:val="clear" w:color="auto" w:fill="C6EFCE"/>
            <w:noWrap/>
          </w:tcPr>
          <w:p w14:paraId="0B955C19" w14:textId="77777777" w:rsidR="00BE1A15" w:rsidRPr="00A025C9" w:rsidRDefault="00BE1A15">
            <w:pPr>
              <w:spacing w:after="0" w:line="240" w:lineRule="auto"/>
              <w:jc w:val="both"/>
              <w:rPr>
                <w:rFonts w:ascii="Times New Roman" w:eastAsia="SimSun" w:hAnsi="Times New Roman" w:cs="Times New Roman"/>
                <w:noProof/>
                <w:sz w:val="20"/>
                <w:szCs w:val="20"/>
                <w:lang w:val="en-GB"/>
              </w:rPr>
            </w:pPr>
            <w:r w:rsidRPr="00A025C9">
              <w:rPr>
                <w:rFonts w:ascii="Times New Roman" w:hAnsi="Times New Roman" w:cs="Times New Roman"/>
                <w:noProof/>
                <w:sz w:val="20"/>
                <w:szCs w:val="20"/>
                <w:lang w:val="en-GB"/>
              </w:rPr>
              <w:t xml:space="preserve">Increase the number of audits by 10% </w:t>
            </w:r>
          </w:p>
        </w:tc>
        <w:tc>
          <w:tcPr>
            <w:tcW w:w="1560" w:type="dxa"/>
            <w:tcBorders>
              <w:top w:val="nil"/>
              <w:left w:val="nil"/>
              <w:bottom w:val="single" w:sz="4" w:space="0" w:color="auto"/>
              <w:right w:val="single" w:sz="4" w:space="0" w:color="auto"/>
            </w:tcBorders>
            <w:shd w:val="clear" w:color="auto" w:fill="C6EFCE"/>
            <w:noWrap/>
          </w:tcPr>
          <w:p w14:paraId="7BFAEF90"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197" w:type="dxa"/>
            <w:tcBorders>
              <w:top w:val="nil"/>
              <w:left w:val="nil"/>
              <w:bottom w:val="single" w:sz="4" w:space="0" w:color="auto"/>
              <w:right w:val="single" w:sz="4" w:space="0" w:color="auto"/>
            </w:tcBorders>
            <w:shd w:val="clear" w:color="auto" w:fill="C6EFCE"/>
            <w:noWrap/>
          </w:tcPr>
          <w:p w14:paraId="64C56843"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Number</w:t>
            </w:r>
          </w:p>
        </w:tc>
        <w:tc>
          <w:tcPr>
            <w:tcW w:w="1129" w:type="dxa"/>
            <w:tcBorders>
              <w:top w:val="nil"/>
              <w:left w:val="nil"/>
              <w:bottom w:val="single" w:sz="4" w:space="0" w:color="auto"/>
              <w:right w:val="single" w:sz="4" w:space="0" w:color="auto"/>
            </w:tcBorders>
            <w:shd w:val="clear" w:color="auto" w:fill="C6EFCE"/>
            <w:noWrap/>
          </w:tcPr>
          <w:p w14:paraId="043DC369"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25 000</w:t>
            </w:r>
          </w:p>
        </w:tc>
        <w:tc>
          <w:tcPr>
            <w:tcW w:w="1269" w:type="dxa"/>
            <w:tcBorders>
              <w:top w:val="nil"/>
              <w:left w:val="nil"/>
              <w:bottom w:val="single" w:sz="4" w:space="0" w:color="auto"/>
              <w:right w:val="single" w:sz="4" w:space="0" w:color="auto"/>
            </w:tcBorders>
            <w:shd w:val="clear" w:color="auto" w:fill="C6EFCE"/>
            <w:noWrap/>
          </w:tcPr>
          <w:p w14:paraId="507E4A4B"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27 500</w:t>
            </w:r>
          </w:p>
        </w:tc>
        <w:tc>
          <w:tcPr>
            <w:tcW w:w="1128" w:type="dxa"/>
            <w:tcBorders>
              <w:top w:val="nil"/>
              <w:left w:val="nil"/>
              <w:bottom w:val="single" w:sz="4" w:space="0" w:color="auto"/>
              <w:right w:val="single" w:sz="4" w:space="0" w:color="auto"/>
            </w:tcBorders>
            <w:shd w:val="clear" w:color="auto" w:fill="C6EFCE"/>
            <w:noWrap/>
          </w:tcPr>
          <w:p w14:paraId="17F4ED19"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2A38A75C"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2025</w:t>
            </w:r>
          </w:p>
        </w:tc>
        <w:tc>
          <w:tcPr>
            <w:tcW w:w="3107" w:type="dxa"/>
            <w:tcBorders>
              <w:top w:val="nil"/>
              <w:left w:val="nil"/>
              <w:bottom w:val="single" w:sz="4" w:space="0" w:color="auto"/>
              <w:right w:val="single" w:sz="4" w:space="0" w:color="auto"/>
            </w:tcBorders>
            <w:shd w:val="clear" w:color="auto" w:fill="C6EFCE"/>
            <w:noWrap/>
          </w:tcPr>
          <w:p w14:paraId="5A792EA4"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Increase the number of audits by 10%, compared to the total number in 2020.</w:t>
            </w:r>
          </w:p>
        </w:tc>
      </w:tr>
      <w:tr w:rsidR="00BE1A15" w:rsidRPr="00A025C9" w14:paraId="17CC5898"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58C4E89E"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225</w:t>
            </w:r>
          </w:p>
        </w:tc>
        <w:tc>
          <w:tcPr>
            <w:tcW w:w="1833" w:type="dxa"/>
            <w:tcBorders>
              <w:top w:val="nil"/>
              <w:left w:val="nil"/>
              <w:bottom w:val="single" w:sz="4" w:space="0" w:color="auto"/>
              <w:right w:val="single" w:sz="4" w:space="0" w:color="auto"/>
            </w:tcBorders>
            <w:shd w:val="clear" w:color="auto" w:fill="C6EFCE"/>
            <w:noWrap/>
          </w:tcPr>
          <w:p w14:paraId="151CE56B" w14:textId="204308EC"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2. </w:t>
            </w:r>
            <w:r w:rsidR="000679E2" w:rsidRPr="00A025C9">
              <w:rPr>
                <w:rFonts w:ascii="Times New Roman" w:hAnsi="Times New Roman" w:cs="Times New Roman"/>
                <w:noProof/>
                <w:color w:val="000000" w:themeColor="text1"/>
                <w:sz w:val="20"/>
                <w:szCs w:val="20"/>
              </w:rPr>
              <w:t>Improving tax and tax administration processes</w:t>
            </w:r>
          </w:p>
        </w:tc>
        <w:tc>
          <w:tcPr>
            <w:tcW w:w="1268" w:type="dxa"/>
            <w:tcBorders>
              <w:top w:val="nil"/>
              <w:left w:val="nil"/>
              <w:bottom w:val="single" w:sz="4" w:space="0" w:color="auto"/>
              <w:right w:val="single" w:sz="4" w:space="0" w:color="auto"/>
            </w:tcBorders>
            <w:shd w:val="clear" w:color="auto" w:fill="C6EFCE"/>
            <w:noWrap/>
          </w:tcPr>
          <w:p w14:paraId="109A028E"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7F60BC67" w14:textId="77777777" w:rsidR="00BE1A15" w:rsidRPr="00A025C9" w:rsidRDefault="00BE1A15">
            <w:pPr>
              <w:spacing w:after="0" w:line="240" w:lineRule="auto"/>
              <w:jc w:val="both"/>
              <w:rPr>
                <w:rFonts w:ascii="Times New Roman" w:eastAsia="SimSun" w:hAnsi="Times New Roman" w:cs="Times New Roman"/>
                <w:noProof/>
                <w:sz w:val="20"/>
                <w:szCs w:val="20"/>
                <w:lang w:val="en-GB"/>
              </w:rPr>
            </w:pPr>
            <w:r w:rsidRPr="00A025C9">
              <w:rPr>
                <w:rFonts w:ascii="Times New Roman" w:hAnsi="Times New Roman" w:cs="Times New Roman"/>
                <w:noProof/>
                <w:sz w:val="20"/>
                <w:szCs w:val="20"/>
                <w:lang w:val="en-GB"/>
              </w:rPr>
              <w:t>Functional electronic risk register</w:t>
            </w:r>
          </w:p>
        </w:tc>
        <w:tc>
          <w:tcPr>
            <w:tcW w:w="1560" w:type="dxa"/>
            <w:tcBorders>
              <w:top w:val="nil"/>
              <w:left w:val="nil"/>
              <w:bottom w:val="single" w:sz="4" w:space="0" w:color="auto"/>
              <w:right w:val="single" w:sz="4" w:space="0" w:color="auto"/>
            </w:tcBorders>
            <w:shd w:val="clear" w:color="auto" w:fill="C6EFCE"/>
            <w:noWrap/>
          </w:tcPr>
          <w:p w14:paraId="3D28ABD0" w14:textId="6BDA387E"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Electronic risk register</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 xml:space="preserve">functional and containing risk criteria, indicators and profiles; first report after a dry run or after becoming functional </w:t>
            </w:r>
          </w:p>
        </w:tc>
        <w:tc>
          <w:tcPr>
            <w:tcW w:w="1197" w:type="dxa"/>
            <w:tcBorders>
              <w:top w:val="nil"/>
              <w:left w:val="nil"/>
              <w:bottom w:val="single" w:sz="4" w:space="0" w:color="auto"/>
              <w:right w:val="single" w:sz="4" w:space="0" w:color="auto"/>
            </w:tcBorders>
            <w:shd w:val="clear" w:color="auto" w:fill="C6EFCE"/>
            <w:noWrap/>
          </w:tcPr>
          <w:p w14:paraId="5C540FB8"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1FEBF8C9"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3AB402EC"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26E0F1A6"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1EA345F2"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2025</w:t>
            </w:r>
          </w:p>
        </w:tc>
        <w:tc>
          <w:tcPr>
            <w:tcW w:w="3107" w:type="dxa"/>
            <w:tcBorders>
              <w:top w:val="nil"/>
              <w:left w:val="nil"/>
              <w:bottom w:val="single" w:sz="4" w:space="0" w:color="auto"/>
              <w:right w:val="single" w:sz="4" w:space="0" w:color="auto"/>
            </w:tcBorders>
            <w:shd w:val="clear" w:color="auto" w:fill="C6EFCE"/>
            <w:noWrap/>
          </w:tcPr>
          <w:p w14:paraId="78BF2A2E"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Electronic risk register is functional:</w:t>
            </w:r>
          </w:p>
          <w:p w14:paraId="58C21BAC" w14:textId="42344511" w:rsidR="00BE1A15" w:rsidRPr="00A025C9" w:rsidRDefault="00BE1A15" w:rsidP="00BE1A15">
            <w:pPr>
              <w:numPr>
                <w:ilvl w:val="0"/>
                <w:numId w:val="86"/>
              </w:numPr>
              <w:spacing w:after="0" w:line="240" w:lineRule="auto"/>
              <w:ind w:left="174"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A functional</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 xml:space="preserve">integrated tax risk management system, which includes the centralised risk analysis, </w:t>
            </w:r>
          </w:p>
          <w:p w14:paraId="29AC8428" w14:textId="0304E840" w:rsidR="00BE1A15" w:rsidRPr="00A025C9" w:rsidRDefault="00BE1A15" w:rsidP="00BE1A15">
            <w:pPr>
              <w:numPr>
                <w:ilvl w:val="0"/>
                <w:numId w:val="86"/>
              </w:numPr>
              <w:spacing w:after="0" w:line="240" w:lineRule="auto"/>
              <w:ind w:left="174" w:hanging="218"/>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It enables the identification of</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areas with a high risk of tax non-compliance, using data and information, including in the field of un-declared work,</w:t>
            </w:r>
            <w:r w:rsidR="00D23D91" w:rsidRPr="00A025C9">
              <w:rPr>
                <w:rFonts w:ascii="Times New Roman" w:hAnsi="Times New Roman" w:cs="Times New Roman"/>
                <w:noProof/>
                <w:sz w:val="20"/>
                <w:szCs w:val="20"/>
                <w:lang w:val="en-GB"/>
              </w:rPr>
              <w:t xml:space="preserve"> </w:t>
            </w:r>
          </w:p>
          <w:p w14:paraId="5A56B0DF" w14:textId="77777777" w:rsidR="00BE1A15" w:rsidRPr="00A025C9" w:rsidRDefault="00BE1A15" w:rsidP="00BE1A15">
            <w:pPr>
              <w:numPr>
                <w:ilvl w:val="0"/>
                <w:numId w:val="86"/>
              </w:numPr>
              <w:spacing w:after="0" w:line="240" w:lineRule="auto"/>
              <w:ind w:left="174" w:hanging="218"/>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It uses a risk-based approach, including the use of tax optimisation schemes, in the administration of large taxpayers. </w:t>
            </w:r>
          </w:p>
          <w:p w14:paraId="4ACC39A5" w14:textId="77777777" w:rsidR="00BE1A15" w:rsidRPr="00A025C9" w:rsidRDefault="00BE1A15">
            <w:pPr>
              <w:spacing w:after="0" w:line="240" w:lineRule="auto"/>
              <w:ind w:left="174"/>
              <w:contextualSpacing/>
              <w:jc w:val="both"/>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Based on the output of the electronic risk register, compliance programmes shall be introduced.</w:t>
            </w:r>
          </w:p>
        </w:tc>
      </w:tr>
      <w:tr w:rsidR="00BE1A15" w:rsidRPr="00A025C9" w14:paraId="41CC9996"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156F770B"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226</w:t>
            </w:r>
          </w:p>
        </w:tc>
        <w:tc>
          <w:tcPr>
            <w:tcW w:w="1833" w:type="dxa"/>
            <w:tcBorders>
              <w:top w:val="nil"/>
              <w:left w:val="nil"/>
              <w:bottom w:val="single" w:sz="4" w:space="0" w:color="auto"/>
              <w:right w:val="single" w:sz="4" w:space="0" w:color="auto"/>
            </w:tcBorders>
            <w:shd w:val="clear" w:color="auto" w:fill="C6EFCE"/>
            <w:noWrap/>
          </w:tcPr>
          <w:p w14:paraId="7036A0D5" w14:textId="130744AB"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2. </w:t>
            </w:r>
            <w:r w:rsidR="000679E2" w:rsidRPr="00A025C9">
              <w:rPr>
                <w:rFonts w:ascii="Times New Roman" w:hAnsi="Times New Roman" w:cs="Times New Roman"/>
                <w:noProof/>
                <w:color w:val="000000" w:themeColor="text1"/>
                <w:sz w:val="20"/>
                <w:szCs w:val="20"/>
              </w:rPr>
              <w:t>Improving tax and tax administration processes</w:t>
            </w:r>
          </w:p>
        </w:tc>
        <w:tc>
          <w:tcPr>
            <w:tcW w:w="1268" w:type="dxa"/>
            <w:tcBorders>
              <w:top w:val="nil"/>
              <w:left w:val="nil"/>
              <w:bottom w:val="single" w:sz="4" w:space="0" w:color="auto"/>
              <w:right w:val="single" w:sz="4" w:space="0" w:color="auto"/>
            </w:tcBorders>
            <w:shd w:val="clear" w:color="auto" w:fill="C6EFCE"/>
            <w:noWrap/>
          </w:tcPr>
          <w:p w14:paraId="7AC50249"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72F5B4E9"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Tax administration systems, including Big Data, are functional </w:t>
            </w:r>
          </w:p>
        </w:tc>
        <w:tc>
          <w:tcPr>
            <w:tcW w:w="1560" w:type="dxa"/>
            <w:tcBorders>
              <w:top w:val="nil"/>
              <w:left w:val="nil"/>
              <w:bottom w:val="single" w:sz="4" w:space="0" w:color="auto"/>
              <w:right w:val="single" w:sz="4" w:space="0" w:color="auto"/>
            </w:tcBorders>
            <w:shd w:val="clear" w:color="auto" w:fill="C6EFCE"/>
            <w:noWrap/>
          </w:tcPr>
          <w:p w14:paraId="572A3B5D"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Tax administration systems are functional, including Big Data platform </w:t>
            </w:r>
          </w:p>
          <w:p w14:paraId="0A344E35"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197" w:type="dxa"/>
            <w:tcBorders>
              <w:top w:val="nil"/>
              <w:left w:val="nil"/>
              <w:bottom w:val="single" w:sz="4" w:space="0" w:color="auto"/>
              <w:right w:val="single" w:sz="4" w:space="0" w:color="auto"/>
            </w:tcBorders>
            <w:shd w:val="clear" w:color="auto" w:fill="C6EFCE"/>
            <w:noWrap/>
          </w:tcPr>
          <w:p w14:paraId="13A8FE8E"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553A4302"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3729911F"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50B13398"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3915262F"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2025</w:t>
            </w:r>
          </w:p>
        </w:tc>
        <w:tc>
          <w:tcPr>
            <w:tcW w:w="3107" w:type="dxa"/>
            <w:tcBorders>
              <w:top w:val="nil"/>
              <w:left w:val="nil"/>
              <w:bottom w:val="single" w:sz="4" w:space="0" w:color="auto"/>
              <w:right w:val="single" w:sz="4" w:space="0" w:color="auto"/>
            </w:tcBorders>
            <w:shd w:val="clear" w:color="auto" w:fill="C6EFCE"/>
            <w:noWrap/>
          </w:tcPr>
          <w:p w14:paraId="7B66BC5A" w14:textId="56518766"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Big Data platform is functional.</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The platform shall include internal and external sources of information.</w:t>
            </w:r>
          </w:p>
          <w:p w14:paraId="2F54BC63" w14:textId="77777777" w:rsidR="00BE1A15" w:rsidRPr="00A025C9" w:rsidRDefault="00BE1A15">
            <w:pPr>
              <w:spacing w:after="0" w:line="240" w:lineRule="auto"/>
              <w:jc w:val="both"/>
              <w:rPr>
                <w:rFonts w:ascii="Times New Roman" w:hAnsi="Times New Roman" w:cs="Times New Roman"/>
                <w:noProof/>
                <w:sz w:val="20"/>
                <w:szCs w:val="20"/>
              </w:rPr>
            </w:pPr>
            <w:r w:rsidRPr="00A025C9">
              <w:rPr>
                <w:rFonts w:ascii="Times New Roman" w:hAnsi="Times New Roman" w:cs="Times New Roman"/>
                <w:noProof/>
                <w:sz w:val="20"/>
                <w:szCs w:val="20"/>
              </w:rPr>
              <w:t>The platform shall:</w:t>
            </w:r>
          </w:p>
          <w:p w14:paraId="60CBE6D3" w14:textId="77777777" w:rsidR="00BE1A15" w:rsidRPr="00A025C9" w:rsidRDefault="00BE1A15" w:rsidP="004010FA">
            <w:pPr>
              <w:numPr>
                <w:ilvl w:val="0"/>
                <w:numId w:val="92"/>
              </w:numPr>
              <w:spacing w:after="0" w:line="240" w:lineRule="auto"/>
              <w:jc w:val="both"/>
              <w:rPr>
                <w:rFonts w:ascii="Times New Roman" w:hAnsi="Times New Roman" w:cs="Times New Roman"/>
                <w:noProof/>
                <w:sz w:val="20"/>
                <w:szCs w:val="20"/>
              </w:rPr>
            </w:pPr>
            <w:r w:rsidRPr="00A025C9">
              <w:rPr>
                <w:rFonts w:ascii="Times New Roman" w:hAnsi="Times New Roman" w:cs="Times New Roman"/>
                <w:noProof/>
                <w:sz w:val="20"/>
                <w:szCs w:val="20"/>
              </w:rPr>
              <w:t>Ensure data integrity, with data consistent across the system.</w:t>
            </w:r>
          </w:p>
          <w:p w14:paraId="096303B9" w14:textId="24B6CE05" w:rsidR="00BE1A15" w:rsidRPr="00A025C9" w:rsidRDefault="00BE1A15" w:rsidP="004010FA">
            <w:pPr>
              <w:numPr>
                <w:ilvl w:val="0"/>
                <w:numId w:val="92"/>
              </w:numPr>
              <w:spacing w:after="0" w:line="240" w:lineRule="auto"/>
              <w:jc w:val="both"/>
              <w:rPr>
                <w:rFonts w:ascii="Times New Roman" w:hAnsi="Times New Roman" w:cs="Times New Roman"/>
                <w:noProof/>
                <w:sz w:val="20"/>
                <w:szCs w:val="20"/>
              </w:rPr>
            </w:pPr>
            <w:r w:rsidRPr="00A025C9">
              <w:rPr>
                <w:rFonts w:ascii="Times New Roman" w:hAnsi="Times New Roman" w:cs="Times New Roman"/>
                <w:noProof/>
                <w:sz w:val="20"/>
                <w:szCs w:val="20"/>
              </w:rPr>
              <w:t xml:space="preserve">Support analysis of </w:t>
            </w:r>
            <w:r w:rsidR="006B4AB3" w:rsidRPr="00A025C9">
              <w:rPr>
                <w:rFonts w:ascii="Times New Roman" w:hAnsi="Times New Roman" w:cs="Times New Roman"/>
                <w:noProof/>
                <w:sz w:val="20"/>
                <w:szCs w:val="20"/>
              </w:rPr>
              <w:t>available</w:t>
            </w:r>
            <w:r w:rsidRPr="00A025C9">
              <w:rPr>
                <w:rFonts w:ascii="Times New Roman" w:hAnsi="Times New Roman" w:cs="Times New Roman"/>
                <w:noProof/>
                <w:sz w:val="20"/>
                <w:szCs w:val="20"/>
              </w:rPr>
              <w:t xml:space="preserve"> data to generate background information. Analytical processes shall be repeatable, and results shall link multiple data sets together to produce performance information.</w:t>
            </w:r>
          </w:p>
          <w:p w14:paraId="3692863B" w14:textId="77777777" w:rsidR="00BE1A15" w:rsidRPr="00A025C9" w:rsidRDefault="00BE1A15">
            <w:pPr>
              <w:spacing w:after="0" w:line="240" w:lineRule="auto"/>
              <w:jc w:val="both"/>
              <w:rPr>
                <w:rFonts w:ascii="Times New Roman" w:eastAsia="Calibri" w:hAnsi="Times New Roman" w:cs="Times New Roman"/>
                <w:noProof/>
                <w:sz w:val="20"/>
                <w:szCs w:val="20"/>
                <w:lang w:val="en-GB" w:eastAsia="fr-BE"/>
              </w:rPr>
            </w:pPr>
          </w:p>
          <w:p w14:paraId="2E345DDA" w14:textId="77777777" w:rsidR="00BE1A15" w:rsidRPr="00A025C9" w:rsidRDefault="00BE1A15">
            <w:pPr>
              <w:spacing w:after="0" w:line="240" w:lineRule="auto"/>
              <w:jc w:val="both"/>
              <w:rPr>
                <w:rFonts w:ascii="Times New Roman" w:eastAsia="Calibri" w:hAnsi="Times New Roman" w:cs="Times New Roman"/>
                <w:noProof/>
                <w:sz w:val="20"/>
                <w:szCs w:val="20"/>
                <w:lang w:val="en-GB" w:eastAsia="fr-BE"/>
              </w:rPr>
            </w:pPr>
            <w:r w:rsidRPr="00A025C9">
              <w:rPr>
                <w:rFonts w:ascii="Times New Roman" w:eastAsia="Calibri" w:hAnsi="Times New Roman" w:cs="Times New Roman"/>
                <w:noProof/>
                <w:sz w:val="20"/>
                <w:szCs w:val="20"/>
                <w:lang w:val="en-GB" w:eastAsia="fr-BE"/>
              </w:rPr>
              <w:t>The following systems shall be functional:</w:t>
            </w:r>
          </w:p>
          <w:p w14:paraId="2A01348F" w14:textId="77777777" w:rsidR="00BE1A15" w:rsidRPr="00A025C9" w:rsidRDefault="00BE1A15">
            <w:pPr>
              <w:spacing w:after="0" w:line="240" w:lineRule="auto"/>
              <w:jc w:val="both"/>
              <w:rPr>
                <w:rFonts w:ascii="Times New Roman" w:eastAsia="Calibri" w:hAnsi="Times New Roman" w:cs="Times New Roman"/>
                <w:noProof/>
                <w:sz w:val="20"/>
                <w:szCs w:val="20"/>
                <w:lang w:val="en-GB" w:eastAsia="fr-BE"/>
              </w:rPr>
            </w:pPr>
            <w:r w:rsidRPr="00A025C9">
              <w:rPr>
                <w:rFonts w:ascii="Times New Roman" w:eastAsia="Calibri" w:hAnsi="Times New Roman" w:cs="Times New Roman"/>
                <w:noProof/>
                <w:sz w:val="20"/>
                <w:szCs w:val="20"/>
                <w:lang w:val="en-GB" w:eastAsia="fr-BE"/>
              </w:rPr>
              <w:t xml:space="preserve">- e-invoicing system; </w:t>
            </w:r>
          </w:p>
          <w:p w14:paraId="0B4A2CEA" w14:textId="77777777" w:rsidR="00BE1A15" w:rsidRPr="00A025C9" w:rsidRDefault="00BE1A15">
            <w:pPr>
              <w:spacing w:after="0" w:line="240" w:lineRule="auto"/>
              <w:jc w:val="both"/>
              <w:rPr>
                <w:rFonts w:ascii="Times New Roman" w:eastAsia="Calibri" w:hAnsi="Times New Roman" w:cs="Times New Roman"/>
                <w:noProof/>
                <w:sz w:val="20"/>
                <w:szCs w:val="20"/>
                <w:lang w:val="en-GB" w:eastAsia="fr-BE"/>
              </w:rPr>
            </w:pPr>
            <w:r w:rsidRPr="00A025C9">
              <w:rPr>
                <w:rFonts w:ascii="Times New Roman" w:eastAsia="Calibri" w:hAnsi="Times New Roman" w:cs="Times New Roman"/>
                <w:noProof/>
                <w:sz w:val="20"/>
                <w:szCs w:val="20"/>
                <w:lang w:val="en-GB" w:eastAsia="fr-BE"/>
              </w:rPr>
              <w:t xml:space="preserve">- system managing the taxpayers; </w:t>
            </w:r>
          </w:p>
          <w:p w14:paraId="37A9D41E" w14:textId="77777777" w:rsidR="00BE1A15" w:rsidRPr="00A025C9" w:rsidRDefault="00BE1A15">
            <w:pPr>
              <w:spacing w:after="0" w:line="240" w:lineRule="auto"/>
              <w:jc w:val="both"/>
              <w:rPr>
                <w:rFonts w:ascii="Times New Roman" w:eastAsia="Calibri" w:hAnsi="Times New Roman" w:cs="Times New Roman"/>
                <w:noProof/>
                <w:sz w:val="20"/>
                <w:szCs w:val="20"/>
                <w:lang w:val="en-GB" w:eastAsia="fr-BE"/>
              </w:rPr>
            </w:pPr>
            <w:r w:rsidRPr="00A025C9">
              <w:rPr>
                <w:rFonts w:ascii="Times New Roman" w:eastAsia="Calibri" w:hAnsi="Times New Roman" w:cs="Times New Roman"/>
                <w:noProof/>
                <w:sz w:val="20"/>
                <w:szCs w:val="20"/>
                <w:lang w:val="en-GB" w:eastAsia="fr-BE"/>
              </w:rPr>
              <w:t xml:space="preserve">- a centralised State Treasury Information System (TREZOR); and </w:t>
            </w:r>
          </w:p>
          <w:p w14:paraId="093B44D7" w14:textId="77777777" w:rsidR="00BE1A15" w:rsidRPr="00A025C9" w:rsidRDefault="00BE1A15">
            <w:pPr>
              <w:spacing w:after="0" w:line="240" w:lineRule="auto"/>
              <w:jc w:val="both"/>
              <w:rPr>
                <w:rFonts w:ascii="Times New Roman" w:eastAsia="Calibri" w:hAnsi="Times New Roman" w:cs="Times New Roman"/>
                <w:noProof/>
                <w:sz w:val="20"/>
                <w:szCs w:val="20"/>
                <w:lang w:val="en-GB" w:eastAsia="fr-BE"/>
              </w:rPr>
            </w:pPr>
            <w:r w:rsidRPr="00A025C9">
              <w:rPr>
                <w:rFonts w:ascii="Times New Roman" w:eastAsia="Calibri" w:hAnsi="Times New Roman" w:cs="Times New Roman"/>
                <w:noProof/>
                <w:sz w:val="20"/>
                <w:szCs w:val="20"/>
                <w:lang w:val="en-GB" w:eastAsia="fr-BE"/>
              </w:rPr>
              <w:t>- an expanded platform used for international information exchange (AEOI).</w:t>
            </w:r>
          </w:p>
        </w:tc>
      </w:tr>
      <w:tr w:rsidR="00BE1A15" w:rsidRPr="00A025C9" w14:paraId="7404F039"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612CF325"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227</w:t>
            </w:r>
          </w:p>
        </w:tc>
        <w:tc>
          <w:tcPr>
            <w:tcW w:w="1833" w:type="dxa"/>
            <w:tcBorders>
              <w:top w:val="nil"/>
              <w:left w:val="nil"/>
              <w:bottom w:val="single" w:sz="4" w:space="0" w:color="auto"/>
              <w:right w:val="single" w:sz="4" w:space="0" w:color="auto"/>
            </w:tcBorders>
            <w:shd w:val="clear" w:color="auto" w:fill="C6EFCE"/>
            <w:noWrap/>
          </w:tcPr>
          <w:p w14:paraId="1478C29D"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3. Ensuring the capacity to respond to current and future information challenges, including in the context of the pandemic, through the digital transformation of Ministry of Finance/National Agency for Fiscal Administration </w:t>
            </w:r>
          </w:p>
        </w:tc>
        <w:tc>
          <w:tcPr>
            <w:tcW w:w="1268" w:type="dxa"/>
            <w:tcBorders>
              <w:top w:val="nil"/>
              <w:left w:val="nil"/>
              <w:bottom w:val="single" w:sz="4" w:space="0" w:color="auto"/>
              <w:right w:val="single" w:sz="4" w:space="0" w:color="auto"/>
            </w:tcBorders>
            <w:shd w:val="clear" w:color="auto" w:fill="C6EFCE"/>
            <w:noWrap/>
          </w:tcPr>
          <w:p w14:paraId="77CEB149"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4F743CD2" w14:textId="77777777" w:rsidR="00BE1A15" w:rsidRPr="00A025C9" w:rsidRDefault="00BE1A15">
            <w:pPr>
              <w:spacing w:after="0" w:line="240" w:lineRule="auto"/>
              <w:jc w:val="both"/>
              <w:rPr>
                <w:rFonts w:ascii="Times New Roman" w:hAnsi="Times New Roman" w:cs="Times New Roman"/>
                <w:i/>
                <w:noProof/>
                <w:sz w:val="20"/>
                <w:szCs w:val="20"/>
                <w:lang w:val="en-GB"/>
              </w:rPr>
            </w:pPr>
            <w:r w:rsidRPr="00A025C9">
              <w:rPr>
                <w:rFonts w:ascii="Times New Roman" w:hAnsi="Times New Roman" w:cs="Times New Roman"/>
                <w:noProof/>
                <w:sz w:val="20"/>
                <w:szCs w:val="20"/>
                <w:lang w:val="en-GB"/>
              </w:rPr>
              <w:t xml:space="preserve">Modernisation of hardware and software infrastructure and of the support infrastructure for the provision of electronic services to </w:t>
            </w:r>
            <w:r w:rsidRPr="00A025C9">
              <w:rPr>
                <w:rFonts w:ascii="Times New Roman" w:hAnsi="Times New Roman" w:cs="Times New Roman"/>
                <w:noProof/>
                <w:sz w:val="20"/>
                <w:szCs w:val="20"/>
                <w:lang w:val="en-GB"/>
              </w:rPr>
              <w:br/>
              <w:t>taxpayers</w:t>
            </w:r>
          </w:p>
          <w:p w14:paraId="394E3582" w14:textId="77777777" w:rsidR="00BE1A15" w:rsidRPr="00A025C9" w:rsidRDefault="00BE1A15">
            <w:pPr>
              <w:spacing w:line="240" w:lineRule="auto"/>
              <w:jc w:val="both"/>
              <w:rPr>
                <w:rFonts w:ascii="Times New Roman" w:hAnsi="Times New Roman" w:cs="Times New Roman"/>
                <w:noProof/>
                <w:sz w:val="20"/>
                <w:szCs w:val="20"/>
                <w:lang w:val="en-GB"/>
              </w:rPr>
            </w:pPr>
          </w:p>
          <w:p w14:paraId="08678150"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560" w:type="dxa"/>
            <w:tcBorders>
              <w:top w:val="nil"/>
              <w:left w:val="nil"/>
              <w:bottom w:val="single" w:sz="4" w:space="0" w:color="auto"/>
              <w:right w:val="single" w:sz="4" w:space="0" w:color="auto"/>
            </w:tcBorders>
            <w:shd w:val="clear" w:color="auto" w:fill="C6EFCE"/>
            <w:noWrap/>
          </w:tcPr>
          <w:p w14:paraId="05D89FAD"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Renewed hardware and software infrastructure and modernised support infrastructure</w:t>
            </w:r>
          </w:p>
        </w:tc>
        <w:tc>
          <w:tcPr>
            <w:tcW w:w="1197" w:type="dxa"/>
            <w:tcBorders>
              <w:top w:val="nil"/>
              <w:left w:val="nil"/>
              <w:bottom w:val="single" w:sz="4" w:space="0" w:color="auto"/>
              <w:right w:val="single" w:sz="4" w:space="0" w:color="auto"/>
            </w:tcBorders>
            <w:shd w:val="clear" w:color="auto" w:fill="C6EFCE"/>
            <w:noWrap/>
          </w:tcPr>
          <w:p w14:paraId="62725982"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57E0A9C4"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60DDA05D"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315DF9A9"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7D3F951E"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2025</w:t>
            </w:r>
          </w:p>
        </w:tc>
        <w:tc>
          <w:tcPr>
            <w:tcW w:w="3107" w:type="dxa"/>
            <w:tcBorders>
              <w:top w:val="nil"/>
              <w:left w:val="nil"/>
              <w:bottom w:val="single" w:sz="4" w:space="0" w:color="auto"/>
              <w:right w:val="single" w:sz="4" w:space="0" w:color="auto"/>
            </w:tcBorders>
            <w:shd w:val="clear" w:color="auto" w:fill="C6EFCE"/>
            <w:noWrap/>
          </w:tcPr>
          <w:p w14:paraId="0B48A01B"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Upgrade the hardware and software infrastructure of the Ministry of Finance/National Agency for Fiscal Administration/National Centre for Financial Information (NCFI) IT system, </w:t>
            </w:r>
          </w:p>
          <w:p w14:paraId="7C32D730"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upgrading of the supporting infrastructure of data centres</w:t>
            </w:r>
          </w:p>
          <w:p w14:paraId="45765329"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databases set up to ensure interoperability of IT systems.</w:t>
            </w:r>
          </w:p>
          <w:p w14:paraId="67611625" w14:textId="77777777" w:rsidR="00BE1A15" w:rsidRPr="00A025C9" w:rsidRDefault="00BE1A15">
            <w:pPr>
              <w:spacing w:after="0" w:line="240" w:lineRule="auto"/>
              <w:jc w:val="both"/>
              <w:rPr>
                <w:rFonts w:ascii="Times New Roman" w:hAnsi="Times New Roman" w:cs="Times New Roman"/>
                <w:noProof/>
                <w:sz w:val="20"/>
                <w:szCs w:val="20"/>
              </w:rPr>
            </w:pPr>
          </w:p>
          <w:p w14:paraId="129B89DF"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w:t>
            </w:r>
          </w:p>
        </w:tc>
      </w:tr>
      <w:tr w:rsidR="00BE1A15" w:rsidRPr="00A025C9" w14:paraId="5EF42C99"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C80AE18"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228</w:t>
            </w:r>
          </w:p>
        </w:tc>
        <w:tc>
          <w:tcPr>
            <w:tcW w:w="1833" w:type="dxa"/>
            <w:tcBorders>
              <w:top w:val="nil"/>
              <w:left w:val="nil"/>
              <w:bottom w:val="single" w:sz="4" w:space="0" w:color="auto"/>
              <w:right w:val="single" w:sz="4" w:space="0" w:color="auto"/>
            </w:tcBorders>
            <w:shd w:val="clear" w:color="auto" w:fill="C6EFCE"/>
            <w:noWrap/>
          </w:tcPr>
          <w:p w14:paraId="6FA3C46E"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3. Ensuring the capacity to respond to current and future information challenges, including in the context of the pandemic, through the digital transformation of Ministry of Finance/ National Agency for Fiscal Administration </w:t>
            </w:r>
          </w:p>
        </w:tc>
        <w:tc>
          <w:tcPr>
            <w:tcW w:w="1268" w:type="dxa"/>
            <w:tcBorders>
              <w:top w:val="nil"/>
              <w:left w:val="nil"/>
              <w:bottom w:val="single" w:sz="4" w:space="0" w:color="auto"/>
              <w:right w:val="single" w:sz="4" w:space="0" w:color="auto"/>
            </w:tcBorders>
            <w:shd w:val="clear" w:color="auto" w:fill="C6EFCE"/>
            <w:noWrap/>
          </w:tcPr>
          <w:p w14:paraId="78B39795"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1CCB376D"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Increased Cyber security of the Ministry of Finance’s and ANAF computer system</w:t>
            </w:r>
          </w:p>
        </w:tc>
        <w:tc>
          <w:tcPr>
            <w:tcW w:w="1560" w:type="dxa"/>
            <w:tcBorders>
              <w:top w:val="nil"/>
              <w:left w:val="nil"/>
              <w:bottom w:val="single" w:sz="4" w:space="0" w:color="auto"/>
              <w:right w:val="single" w:sz="4" w:space="0" w:color="auto"/>
            </w:tcBorders>
            <w:shd w:val="clear" w:color="auto" w:fill="C6EFCE"/>
            <w:noWrap/>
          </w:tcPr>
          <w:p w14:paraId="3B1A13A9"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Cybersecurity system functional</w:t>
            </w:r>
          </w:p>
        </w:tc>
        <w:tc>
          <w:tcPr>
            <w:tcW w:w="1197" w:type="dxa"/>
            <w:tcBorders>
              <w:top w:val="nil"/>
              <w:left w:val="nil"/>
              <w:bottom w:val="single" w:sz="4" w:space="0" w:color="auto"/>
              <w:right w:val="single" w:sz="4" w:space="0" w:color="auto"/>
            </w:tcBorders>
            <w:shd w:val="clear" w:color="auto" w:fill="C6EFCE"/>
            <w:noWrap/>
          </w:tcPr>
          <w:p w14:paraId="727103AC"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74A6D00C"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3E885239"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0EC723E9"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840" w:type="dxa"/>
            <w:tcBorders>
              <w:top w:val="nil"/>
              <w:left w:val="nil"/>
              <w:bottom w:val="single" w:sz="4" w:space="0" w:color="auto"/>
              <w:right w:val="single" w:sz="4" w:space="0" w:color="auto"/>
            </w:tcBorders>
            <w:shd w:val="clear" w:color="auto" w:fill="C6EFCE"/>
            <w:noWrap/>
          </w:tcPr>
          <w:p w14:paraId="08B954E6"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2023</w:t>
            </w:r>
          </w:p>
        </w:tc>
        <w:tc>
          <w:tcPr>
            <w:tcW w:w="3107" w:type="dxa"/>
            <w:tcBorders>
              <w:top w:val="nil"/>
              <w:left w:val="nil"/>
              <w:bottom w:val="single" w:sz="4" w:space="0" w:color="auto"/>
              <w:right w:val="single" w:sz="4" w:space="0" w:color="auto"/>
            </w:tcBorders>
            <w:shd w:val="clear" w:color="auto" w:fill="C6EFCE"/>
            <w:noWrap/>
          </w:tcPr>
          <w:p w14:paraId="48FAB852" w14:textId="55154E5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Ministry of Finance/National Agency for Fiscal Administration information system shall be upgraded with the following cybsersecurity and infrastructure components:</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web application firewall components, application delivery controller, security operation centre, network detection and response, firewall equipment - OSI LAYER 3 with IPS IDS services included, upgrade of the existing Active Directory infrastructure for centralized management of users, hardware and software for automatic updates for security patches of the applications used.</w:t>
            </w:r>
          </w:p>
          <w:p w14:paraId="557E078A"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w:t>
            </w:r>
            <w:r w:rsidRPr="00A025C9">
              <w:rPr>
                <w:rFonts w:ascii="Times New Roman" w:hAnsi="Times New Roman" w:cs="Times New Roman"/>
                <w:noProof/>
                <w:sz w:val="20"/>
                <w:szCs w:val="20"/>
                <w:lang w:val="en-GB" w:eastAsia="en-IE"/>
              </w:rPr>
              <w:t xml:space="preserve">he investment shall allow sharing data in real time in a secure manner and with accurate/up-to-date data. It shall also adress data and information privacy, as well as security management. </w:t>
            </w:r>
          </w:p>
        </w:tc>
      </w:tr>
      <w:tr w:rsidR="00BE1A15" w:rsidRPr="00A025C9" w14:paraId="4D8EA2A4"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585FBFE6"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229</w:t>
            </w:r>
          </w:p>
        </w:tc>
        <w:tc>
          <w:tcPr>
            <w:tcW w:w="1833" w:type="dxa"/>
            <w:tcBorders>
              <w:top w:val="nil"/>
              <w:left w:val="nil"/>
              <w:bottom w:val="single" w:sz="4" w:space="0" w:color="auto"/>
              <w:right w:val="single" w:sz="4" w:space="0" w:color="auto"/>
            </w:tcBorders>
            <w:shd w:val="clear" w:color="auto" w:fill="C6EFCE"/>
            <w:noWrap/>
          </w:tcPr>
          <w:p w14:paraId="6C51BDFB"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3. Ensuring the capacity to respond to current and future information challenges, including in the context of the pandemic, through the digital transformation of Ministry of Finance/National Agency for Fiscal Administration </w:t>
            </w:r>
          </w:p>
        </w:tc>
        <w:tc>
          <w:tcPr>
            <w:tcW w:w="1268" w:type="dxa"/>
            <w:tcBorders>
              <w:top w:val="nil"/>
              <w:left w:val="nil"/>
              <w:bottom w:val="single" w:sz="4" w:space="0" w:color="auto"/>
              <w:right w:val="single" w:sz="4" w:space="0" w:color="auto"/>
            </w:tcBorders>
            <w:shd w:val="clear" w:color="auto" w:fill="C6EFCE"/>
            <w:noWrap/>
          </w:tcPr>
          <w:p w14:paraId="16F247D0"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57" w:type="dxa"/>
            <w:tcBorders>
              <w:top w:val="nil"/>
              <w:left w:val="nil"/>
              <w:bottom w:val="single" w:sz="4" w:space="0" w:color="auto"/>
              <w:right w:val="single" w:sz="4" w:space="0" w:color="auto"/>
            </w:tcBorders>
            <w:shd w:val="clear" w:color="auto" w:fill="C6EFCE"/>
            <w:noWrap/>
          </w:tcPr>
          <w:p w14:paraId="67B9B354"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80% of IT hardware and software infrastructure in the data centers was acquired </w:t>
            </w:r>
          </w:p>
          <w:p w14:paraId="5A218344"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560" w:type="dxa"/>
            <w:tcBorders>
              <w:top w:val="nil"/>
              <w:left w:val="nil"/>
              <w:bottom w:val="single" w:sz="4" w:space="0" w:color="auto"/>
              <w:right w:val="single" w:sz="4" w:space="0" w:color="auto"/>
            </w:tcBorders>
            <w:shd w:val="clear" w:color="auto" w:fill="C6EFCE"/>
            <w:noWrap/>
          </w:tcPr>
          <w:p w14:paraId="52B5BB2B"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197" w:type="dxa"/>
            <w:tcBorders>
              <w:top w:val="nil"/>
              <w:left w:val="nil"/>
              <w:bottom w:val="single" w:sz="4" w:space="0" w:color="auto"/>
              <w:right w:val="single" w:sz="4" w:space="0" w:color="auto"/>
            </w:tcBorders>
            <w:shd w:val="clear" w:color="auto" w:fill="C6EFCE"/>
            <w:noWrap/>
          </w:tcPr>
          <w:p w14:paraId="20DA36F1" w14:textId="77777777" w:rsidR="00BE1A15" w:rsidRPr="00A025C9" w:rsidRDefault="00BE1A15">
            <w:pPr>
              <w:spacing w:after="0" w:line="240" w:lineRule="auto"/>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Percentage (%)</w:t>
            </w:r>
          </w:p>
          <w:p w14:paraId="6E7A789D"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6B7220A9"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30.67</w:t>
            </w:r>
          </w:p>
        </w:tc>
        <w:tc>
          <w:tcPr>
            <w:tcW w:w="1269" w:type="dxa"/>
            <w:tcBorders>
              <w:top w:val="nil"/>
              <w:left w:val="nil"/>
              <w:bottom w:val="single" w:sz="4" w:space="0" w:color="auto"/>
              <w:right w:val="single" w:sz="4" w:space="0" w:color="auto"/>
            </w:tcBorders>
            <w:shd w:val="clear" w:color="auto" w:fill="C6EFCE"/>
            <w:noWrap/>
          </w:tcPr>
          <w:p w14:paraId="145BD687"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80</w:t>
            </w:r>
          </w:p>
        </w:tc>
        <w:tc>
          <w:tcPr>
            <w:tcW w:w="1128" w:type="dxa"/>
            <w:tcBorders>
              <w:top w:val="nil"/>
              <w:left w:val="nil"/>
              <w:bottom w:val="single" w:sz="4" w:space="0" w:color="auto"/>
              <w:right w:val="single" w:sz="4" w:space="0" w:color="auto"/>
            </w:tcBorders>
            <w:shd w:val="clear" w:color="auto" w:fill="C6EFCE"/>
            <w:noWrap/>
          </w:tcPr>
          <w:p w14:paraId="2241B882" w14:textId="77777777" w:rsidR="00BE1A15" w:rsidRPr="00A025C9" w:rsidRDefault="00BE1A15">
            <w:pPr>
              <w:spacing w:after="0" w:line="240" w:lineRule="auto"/>
              <w:jc w:val="center"/>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840" w:type="dxa"/>
            <w:tcBorders>
              <w:top w:val="nil"/>
              <w:left w:val="nil"/>
              <w:bottom w:val="single" w:sz="4" w:space="0" w:color="auto"/>
              <w:right w:val="single" w:sz="4" w:space="0" w:color="auto"/>
            </w:tcBorders>
            <w:shd w:val="clear" w:color="auto" w:fill="C6EFCE"/>
            <w:noWrap/>
          </w:tcPr>
          <w:p w14:paraId="4E50274C" w14:textId="77777777" w:rsidR="00BE1A15" w:rsidRPr="00A025C9" w:rsidRDefault="00BE1A15">
            <w:pPr>
              <w:spacing w:before="1200" w:after="0" w:line="240" w:lineRule="auto"/>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107" w:type="dxa"/>
            <w:tcBorders>
              <w:top w:val="nil"/>
              <w:left w:val="nil"/>
              <w:bottom w:val="single" w:sz="4" w:space="0" w:color="auto"/>
              <w:right w:val="single" w:sz="4" w:space="0" w:color="auto"/>
            </w:tcBorders>
            <w:shd w:val="clear" w:color="auto" w:fill="C6EFCE"/>
            <w:noWrap/>
          </w:tcPr>
          <w:p w14:paraId="740060CE"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Acquisition of hardware and software infrastructure and support infrastructure for the provision of electronic services to taxpayers. The acquisition of infrastructure in the data centers shall be reflected in the NCFI/Ministry of Finance fixed assets inventory where software and hardware and support infrastructure elements are registered as fixed assets as per national legislation.</w:t>
            </w:r>
          </w:p>
        </w:tc>
      </w:tr>
      <w:tr w:rsidR="00BE1A15" w:rsidRPr="00A025C9" w14:paraId="4C9E93F7"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4024551"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230</w:t>
            </w:r>
          </w:p>
        </w:tc>
        <w:tc>
          <w:tcPr>
            <w:tcW w:w="1833" w:type="dxa"/>
            <w:tcBorders>
              <w:top w:val="nil"/>
              <w:left w:val="nil"/>
              <w:bottom w:val="single" w:sz="4" w:space="0" w:color="auto"/>
              <w:right w:val="single" w:sz="4" w:space="0" w:color="auto"/>
            </w:tcBorders>
            <w:shd w:val="clear" w:color="auto" w:fill="C6EFCE"/>
            <w:noWrap/>
          </w:tcPr>
          <w:p w14:paraId="162A292B"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4. Establishment of electronic customs </w:t>
            </w:r>
          </w:p>
        </w:tc>
        <w:tc>
          <w:tcPr>
            <w:tcW w:w="1268" w:type="dxa"/>
            <w:tcBorders>
              <w:top w:val="nil"/>
              <w:left w:val="nil"/>
              <w:bottom w:val="single" w:sz="4" w:space="0" w:color="auto"/>
              <w:right w:val="single" w:sz="4" w:space="0" w:color="auto"/>
            </w:tcBorders>
            <w:shd w:val="clear" w:color="auto" w:fill="C6EFCE"/>
            <w:noWrap/>
          </w:tcPr>
          <w:p w14:paraId="6A7A0A18"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57" w:type="dxa"/>
            <w:tcBorders>
              <w:top w:val="nil"/>
              <w:left w:val="nil"/>
              <w:bottom w:val="single" w:sz="4" w:space="0" w:color="auto"/>
              <w:right w:val="single" w:sz="4" w:space="0" w:color="auto"/>
            </w:tcBorders>
            <w:shd w:val="clear" w:color="auto" w:fill="C6EFCE"/>
            <w:noWrap/>
          </w:tcPr>
          <w:p w14:paraId="66E232C0"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Upgraded hardware and software infrastructure</w:t>
            </w:r>
          </w:p>
          <w:p w14:paraId="0EC1EF82"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560" w:type="dxa"/>
            <w:tcBorders>
              <w:top w:val="nil"/>
              <w:left w:val="nil"/>
              <w:bottom w:val="single" w:sz="4" w:space="0" w:color="auto"/>
              <w:right w:val="single" w:sz="4" w:space="0" w:color="auto"/>
            </w:tcBorders>
            <w:shd w:val="clear" w:color="auto" w:fill="C6EFCE"/>
            <w:noWrap/>
          </w:tcPr>
          <w:p w14:paraId="410DF617"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197" w:type="dxa"/>
            <w:tcBorders>
              <w:top w:val="nil"/>
              <w:left w:val="nil"/>
              <w:bottom w:val="single" w:sz="4" w:space="0" w:color="auto"/>
              <w:right w:val="single" w:sz="4" w:space="0" w:color="auto"/>
            </w:tcBorders>
            <w:shd w:val="clear" w:color="auto" w:fill="C6EFCE"/>
            <w:noWrap/>
          </w:tcPr>
          <w:p w14:paraId="4FA69C1B" w14:textId="77777777" w:rsidR="00BE1A15" w:rsidRPr="00A025C9" w:rsidRDefault="00BE1A15">
            <w:pPr>
              <w:spacing w:after="0" w:line="240" w:lineRule="auto"/>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Percentage (%)</w:t>
            </w:r>
          </w:p>
          <w:p w14:paraId="45BFAA26"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64EF54AF"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0</w:t>
            </w:r>
          </w:p>
        </w:tc>
        <w:tc>
          <w:tcPr>
            <w:tcW w:w="1269" w:type="dxa"/>
            <w:tcBorders>
              <w:top w:val="nil"/>
              <w:left w:val="nil"/>
              <w:bottom w:val="single" w:sz="4" w:space="0" w:color="auto"/>
              <w:right w:val="single" w:sz="4" w:space="0" w:color="auto"/>
            </w:tcBorders>
            <w:shd w:val="clear" w:color="auto" w:fill="C6EFCE"/>
            <w:noWrap/>
          </w:tcPr>
          <w:p w14:paraId="4C90B875"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100</w:t>
            </w:r>
          </w:p>
        </w:tc>
        <w:tc>
          <w:tcPr>
            <w:tcW w:w="1128" w:type="dxa"/>
            <w:tcBorders>
              <w:top w:val="nil"/>
              <w:left w:val="nil"/>
              <w:bottom w:val="single" w:sz="4" w:space="0" w:color="auto"/>
              <w:right w:val="single" w:sz="4" w:space="0" w:color="auto"/>
            </w:tcBorders>
            <w:shd w:val="clear" w:color="auto" w:fill="C6EFCE"/>
            <w:noWrap/>
          </w:tcPr>
          <w:p w14:paraId="67013625"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34871AE2"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2022</w:t>
            </w:r>
          </w:p>
        </w:tc>
        <w:tc>
          <w:tcPr>
            <w:tcW w:w="3107" w:type="dxa"/>
            <w:tcBorders>
              <w:top w:val="nil"/>
              <w:left w:val="nil"/>
              <w:bottom w:val="single" w:sz="4" w:space="0" w:color="auto"/>
              <w:right w:val="single" w:sz="4" w:space="0" w:color="auto"/>
            </w:tcBorders>
            <w:shd w:val="clear" w:color="auto" w:fill="C6EFCE"/>
            <w:noWrap/>
          </w:tcPr>
          <w:p w14:paraId="3E1F2A17"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Upgraded hardware software infrastructure. These projects are concerning IT infrastructure, through hardware-software investments, which provide the necessary support for the overall operation of the customs IT system. Thus, this target is used to determine the degree of infrastructure upgrades (soft and hard) and involves investments in: programmable network solution, VMware software code upgrades and licenses, with support / subscription included, Infrastructure security solution Customs Integrated Information System IT, including support services, licenses and subscriptions, Oracle Database Enterprise Edition Licenses for databases required for the operation of Customs Integrated Information System components, Solution for centralized user management, workstations and update services for systems operating system for the Integrated Customs Information System.</w:t>
            </w:r>
          </w:p>
        </w:tc>
      </w:tr>
      <w:tr w:rsidR="00BE1A15" w:rsidRPr="00A025C9" w14:paraId="742D6FF6"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A9F3BE0"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232</w:t>
            </w:r>
          </w:p>
        </w:tc>
        <w:tc>
          <w:tcPr>
            <w:tcW w:w="1833" w:type="dxa"/>
            <w:tcBorders>
              <w:top w:val="nil"/>
              <w:left w:val="nil"/>
              <w:bottom w:val="single" w:sz="4" w:space="0" w:color="auto"/>
              <w:right w:val="single" w:sz="4" w:space="0" w:color="auto"/>
            </w:tcBorders>
            <w:shd w:val="clear" w:color="auto" w:fill="C6EFCE"/>
            <w:noWrap/>
          </w:tcPr>
          <w:p w14:paraId="49C8F5B6"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4. Establishment of electronic customs </w:t>
            </w:r>
          </w:p>
        </w:tc>
        <w:tc>
          <w:tcPr>
            <w:tcW w:w="1268" w:type="dxa"/>
            <w:tcBorders>
              <w:top w:val="nil"/>
              <w:left w:val="nil"/>
              <w:bottom w:val="single" w:sz="4" w:space="0" w:color="auto"/>
              <w:right w:val="single" w:sz="4" w:space="0" w:color="auto"/>
            </w:tcBorders>
            <w:shd w:val="clear" w:color="auto" w:fill="C6EFCE"/>
            <w:noWrap/>
          </w:tcPr>
          <w:p w14:paraId="3D873257"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57" w:type="dxa"/>
            <w:tcBorders>
              <w:top w:val="nil"/>
              <w:left w:val="nil"/>
              <w:bottom w:val="single" w:sz="4" w:space="0" w:color="auto"/>
              <w:right w:val="single" w:sz="4" w:space="0" w:color="auto"/>
            </w:tcBorders>
            <w:shd w:val="clear" w:color="auto" w:fill="C6EFCE"/>
            <w:noWrap/>
          </w:tcPr>
          <w:p w14:paraId="06A30AAD" w14:textId="77777777" w:rsidR="00BE1A15" w:rsidRPr="00A025C9" w:rsidRDefault="00BE1A15">
            <w:pPr>
              <w:spacing w:after="0" w:line="240" w:lineRule="auto"/>
              <w:jc w:val="both"/>
              <w:rPr>
                <w:rFonts w:ascii="Times New Roman" w:hAnsi="Times New Roman" w:cs="Times New Roman"/>
                <w:noProof/>
                <w:sz w:val="20"/>
                <w:szCs w:val="20"/>
                <w:lang w:val="en-GB"/>
              </w:rPr>
            </w:pPr>
            <w:bookmarkStart w:id="15" w:name="_Hlk211001305"/>
            <w:r w:rsidRPr="00A025C9">
              <w:rPr>
                <w:rFonts w:ascii="Times New Roman" w:hAnsi="Times New Roman" w:cs="Times New Roman"/>
                <w:noProof/>
                <w:sz w:val="20"/>
                <w:szCs w:val="20"/>
                <w:lang w:val="en-GB"/>
              </w:rPr>
              <w:t xml:space="preserve">Interventions for IT systems </w:t>
            </w:r>
            <w:bookmarkEnd w:id="15"/>
          </w:p>
          <w:p w14:paraId="37DD44DF"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560" w:type="dxa"/>
            <w:tcBorders>
              <w:top w:val="nil"/>
              <w:left w:val="nil"/>
              <w:bottom w:val="single" w:sz="4" w:space="0" w:color="auto"/>
              <w:right w:val="single" w:sz="4" w:space="0" w:color="auto"/>
            </w:tcBorders>
            <w:shd w:val="clear" w:color="auto" w:fill="C6EFCE"/>
            <w:noWrap/>
          </w:tcPr>
          <w:p w14:paraId="3EA7F76D"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w:t>
            </w:r>
          </w:p>
        </w:tc>
        <w:tc>
          <w:tcPr>
            <w:tcW w:w="1197" w:type="dxa"/>
            <w:tcBorders>
              <w:top w:val="nil"/>
              <w:left w:val="nil"/>
              <w:bottom w:val="single" w:sz="4" w:space="0" w:color="auto"/>
              <w:right w:val="single" w:sz="4" w:space="0" w:color="auto"/>
            </w:tcBorders>
            <w:shd w:val="clear" w:color="auto" w:fill="C6EFCE"/>
            <w:noWrap/>
          </w:tcPr>
          <w:p w14:paraId="4CCBF753"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Number</w:t>
            </w:r>
          </w:p>
        </w:tc>
        <w:tc>
          <w:tcPr>
            <w:tcW w:w="1129" w:type="dxa"/>
            <w:tcBorders>
              <w:top w:val="nil"/>
              <w:left w:val="nil"/>
              <w:bottom w:val="single" w:sz="4" w:space="0" w:color="auto"/>
              <w:right w:val="single" w:sz="4" w:space="0" w:color="auto"/>
            </w:tcBorders>
            <w:shd w:val="clear" w:color="auto" w:fill="C6EFCE"/>
            <w:noWrap/>
          </w:tcPr>
          <w:p w14:paraId="47DC061D"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0</w:t>
            </w:r>
          </w:p>
        </w:tc>
        <w:tc>
          <w:tcPr>
            <w:tcW w:w="1269" w:type="dxa"/>
            <w:tcBorders>
              <w:top w:val="nil"/>
              <w:left w:val="nil"/>
              <w:bottom w:val="single" w:sz="4" w:space="0" w:color="auto"/>
              <w:right w:val="single" w:sz="4" w:space="0" w:color="auto"/>
            </w:tcBorders>
            <w:shd w:val="clear" w:color="auto" w:fill="C6EFCE"/>
            <w:noWrap/>
          </w:tcPr>
          <w:p w14:paraId="5EE37401"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9</w:t>
            </w:r>
          </w:p>
        </w:tc>
        <w:tc>
          <w:tcPr>
            <w:tcW w:w="1128" w:type="dxa"/>
            <w:tcBorders>
              <w:top w:val="nil"/>
              <w:left w:val="nil"/>
              <w:bottom w:val="single" w:sz="4" w:space="0" w:color="auto"/>
              <w:right w:val="single" w:sz="4" w:space="0" w:color="auto"/>
            </w:tcBorders>
            <w:shd w:val="clear" w:color="auto" w:fill="C6EFCE"/>
            <w:noWrap/>
          </w:tcPr>
          <w:p w14:paraId="56E632AA"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Q2</w:t>
            </w:r>
          </w:p>
        </w:tc>
        <w:tc>
          <w:tcPr>
            <w:tcW w:w="840" w:type="dxa"/>
            <w:tcBorders>
              <w:top w:val="nil"/>
              <w:left w:val="nil"/>
              <w:bottom w:val="single" w:sz="4" w:space="0" w:color="auto"/>
              <w:right w:val="single" w:sz="4" w:space="0" w:color="auto"/>
            </w:tcBorders>
            <w:shd w:val="clear" w:color="auto" w:fill="C6EFCE"/>
            <w:noWrap/>
          </w:tcPr>
          <w:p w14:paraId="5832779A"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2026</w:t>
            </w:r>
          </w:p>
        </w:tc>
        <w:tc>
          <w:tcPr>
            <w:tcW w:w="3107" w:type="dxa"/>
            <w:tcBorders>
              <w:top w:val="nil"/>
              <w:left w:val="nil"/>
              <w:bottom w:val="single" w:sz="4" w:space="0" w:color="auto"/>
              <w:right w:val="single" w:sz="4" w:space="0" w:color="auto"/>
            </w:tcBorders>
            <w:shd w:val="clear" w:color="auto" w:fill="C6EFCE"/>
            <w:noWrap/>
          </w:tcPr>
          <w:p w14:paraId="2323329A"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 IT system on the Customs Declaration is functional,</w:t>
            </w:r>
          </w:p>
          <w:p w14:paraId="185907C1"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 Alignment to the ICS2 (Import Control System) system - Phase 1, respectively the interconnection of the national risk analysis system RMF-(Risk management framework) RO with the trans-European ICS2 system. Alignment to the ICS2 System - phase 2 and alignment to the ICS2 System - phase 3,</w:t>
            </w:r>
          </w:p>
          <w:p w14:paraId="2A8B275E"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3. Alignment of the EMCS_RO system (Excise Movement Control System) to EMCS Phase 4, respectively the alignment to the current versions, of the EMCS system (Excise Movement Control System),</w:t>
            </w:r>
          </w:p>
          <w:p w14:paraId="37721A17"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4.NCTS_RO (National Common Transit System) phase 5 and AES_RO are functional,</w:t>
            </w:r>
          </w:p>
          <w:p w14:paraId="2F5FAF23" w14:textId="068A5073"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5. Modernization of the National Import System within the Union Customs Code,</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including the updates of the related applications,</w:t>
            </w:r>
          </w:p>
          <w:p w14:paraId="04CE8FD6"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6. UUM &amp; DS Uniform User Management and Digital Signature are functional,</w:t>
            </w:r>
          </w:p>
          <w:p w14:paraId="0370A81D"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7. Monitoring System of the customs supervision and control activity is functional,</w:t>
            </w:r>
          </w:p>
          <w:p w14:paraId="13EE09D3"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8. Application for authorization and management of activities in the Free Zone is functional</w:t>
            </w:r>
          </w:p>
          <w:p w14:paraId="2DFB9A5A"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9. Application for the management of national decisions (authorizations) is functional. </w:t>
            </w:r>
          </w:p>
          <w:p w14:paraId="285D391A" w14:textId="77777777" w:rsidR="00BE1A15" w:rsidRPr="00A025C9" w:rsidRDefault="00BE1A15">
            <w:pPr>
              <w:spacing w:after="0" w:line="240" w:lineRule="auto"/>
              <w:jc w:val="both"/>
              <w:rPr>
                <w:rFonts w:ascii="Times New Roman" w:hAnsi="Times New Roman" w:cs="Times New Roman"/>
                <w:noProof/>
                <w:sz w:val="20"/>
                <w:szCs w:val="20"/>
                <w:lang w:val="en-GB"/>
              </w:rPr>
            </w:pPr>
          </w:p>
          <w:p w14:paraId="1B645C16" w14:textId="77777777" w:rsidR="00BE1A15" w:rsidRPr="00A025C9" w:rsidRDefault="00BE1A15">
            <w:pPr>
              <w:spacing w:after="0" w:line="240" w:lineRule="auto"/>
              <w:jc w:val="both"/>
              <w:rPr>
                <w:rFonts w:ascii="Times New Roman" w:hAnsi="Times New Roman" w:cs="Times New Roman"/>
                <w:noProof/>
                <w:sz w:val="20"/>
                <w:szCs w:val="20"/>
                <w:lang w:val="en-GB"/>
              </w:rPr>
            </w:pPr>
            <w:bookmarkStart w:id="16" w:name="_Hlk210998615"/>
            <w:r w:rsidRPr="00A025C9">
              <w:rPr>
                <w:rFonts w:ascii="Times New Roman" w:hAnsi="Times New Roman" w:cs="Times New Roman"/>
                <w:noProof/>
                <w:sz w:val="20"/>
                <w:szCs w:val="20"/>
                <w:lang w:val="en-GB"/>
              </w:rPr>
              <w:t>Additionally, two border customs offices shall be equipped with scanners.</w:t>
            </w:r>
            <w:bookmarkEnd w:id="16"/>
          </w:p>
        </w:tc>
      </w:tr>
      <w:tr w:rsidR="00BE1A15" w:rsidRPr="00A025C9" w14:paraId="7831BDA1"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0E2D2482"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233</w:t>
            </w:r>
          </w:p>
        </w:tc>
        <w:tc>
          <w:tcPr>
            <w:tcW w:w="1833" w:type="dxa"/>
            <w:tcBorders>
              <w:top w:val="nil"/>
              <w:left w:val="nil"/>
              <w:bottom w:val="single" w:sz="4" w:space="0" w:color="auto"/>
              <w:right w:val="single" w:sz="4" w:space="0" w:color="auto"/>
            </w:tcBorders>
            <w:shd w:val="clear" w:color="auto" w:fill="C6EFCE"/>
            <w:noWrap/>
          </w:tcPr>
          <w:p w14:paraId="74DE57AE"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4. Establishment of electronic customs </w:t>
            </w:r>
          </w:p>
        </w:tc>
        <w:tc>
          <w:tcPr>
            <w:tcW w:w="1268" w:type="dxa"/>
            <w:tcBorders>
              <w:top w:val="nil"/>
              <w:left w:val="nil"/>
              <w:bottom w:val="single" w:sz="4" w:space="0" w:color="auto"/>
              <w:right w:val="single" w:sz="4" w:space="0" w:color="auto"/>
            </w:tcBorders>
            <w:shd w:val="clear" w:color="auto" w:fill="C6EFCE"/>
            <w:noWrap/>
          </w:tcPr>
          <w:p w14:paraId="10D6A0DB"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Target</w:t>
            </w:r>
          </w:p>
        </w:tc>
        <w:tc>
          <w:tcPr>
            <w:tcW w:w="1557" w:type="dxa"/>
            <w:tcBorders>
              <w:top w:val="nil"/>
              <w:left w:val="nil"/>
              <w:bottom w:val="single" w:sz="4" w:space="0" w:color="auto"/>
              <w:right w:val="single" w:sz="4" w:space="0" w:color="auto"/>
            </w:tcBorders>
            <w:shd w:val="clear" w:color="auto" w:fill="C6EFCE"/>
            <w:noWrap/>
          </w:tcPr>
          <w:p w14:paraId="14E5A1BE"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Percentage of customs activities performed electronically</w:t>
            </w:r>
          </w:p>
        </w:tc>
        <w:tc>
          <w:tcPr>
            <w:tcW w:w="1560" w:type="dxa"/>
            <w:tcBorders>
              <w:top w:val="nil"/>
              <w:left w:val="nil"/>
              <w:bottom w:val="single" w:sz="4" w:space="0" w:color="auto"/>
              <w:right w:val="single" w:sz="4" w:space="0" w:color="auto"/>
            </w:tcBorders>
            <w:shd w:val="clear" w:color="auto" w:fill="C6EFCE"/>
            <w:noWrap/>
          </w:tcPr>
          <w:p w14:paraId="487AA1A2"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197" w:type="dxa"/>
            <w:tcBorders>
              <w:top w:val="nil"/>
              <w:left w:val="nil"/>
              <w:bottom w:val="single" w:sz="4" w:space="0" w:color="auto"/>
              <w:right w:val="single" w:sz="4" w:space="0" w:color="auto"/>
            </w:tcBorders>
            <w:shd w:val="clear" w:color="auto" w:fill="C6EFCE"/>
            <w:noWrap/>
          </w:tcPr>
          <w:p w14:paraId="239792C1" w14:textId="77777777" w:rsidR="00BE1A15" w:rsidRPr="00A025C9" w:rsidRDefault="00BE1A15">
            <w:pPr>
              <w:spacing w:after="0" w:line="240" w:lineRule="auto"/>
              <w:rPr>
                <w:rFonts w:ascii="Times New Roman" w:eastAsia="Times New Roman" w:hAnsi="Times New Roman" w:cs="Times New Roman"/>
                <w:noProof/>
                <w:sz w:val="20"/>
                <w:szCs w:val="20"/>
                <w:lang w:val="en-GB"/>
              </w:rPr>
            </w:pPr>
            <w:r w:rsidRPr="00A025C9">
              <w:rPr>
                <w:rFonts w:ascii="Times New Roman" w:hAnsi="Times New Roman" w:cs="Times New Roman"/>
                <w:noProof/>
                <w:sz w:val="20"/>
                <w:szCs w:val="20"/>
                <w:lang w:val="en-GB"/>
              </w:rPr>
              <w:t>Percentage (%)</w:t>
            </w:r>
          </w:p>
          <w:p w14:paraId="08E5B3DC"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6F31A5CF"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80</w:t>
            </w:r>
          </w:p>
        </w:tc>
        <w:tc>
          <w:tcPr>
            <w:tcW w:w="1269" w:type="dxa"/>
            <w:tcBorders>
              <w:top w:val="nil"/>
              <w:left w:val="nil"/>
              <w:bottom w:val="single" w:sz="4" w:space="0" w:color="auto"/>
              <w:right w:val="single" w:sz="4" w:space="0" w:color="auto"/>
            </w:tcBorders>
            <w:shd w:val="clear" w:color="auto" w:fill="C6EFCE"/>
            <w:noWrap/>
          </w:tcPr>
          <w:p w14:paraId="5EB2DA74" w14:textId="77777777" w:rsidR="00BE1A15" w:rsidRPr="00A025C9" w:rsidRDefault="00BE1A15">
            <w:pPr>
              <w:spacing w:after="0" w:line="240" w:lineRule="auto"/>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100</w:t>
            </w:r>
          </w:p>
        </w:tc>
        <w:tc>
          <w:tcPr>
            <w:tcW w:w="1128" w:type="dxa"/>
            <w:tcBorders>
              <w:top w:val="nil"/>
              <w:left w:val="nil"/>
              <w:bottom w:val="single" w:sz="4" w:space="0" w:color="auto"/>
              <w:right w:val="single" w:sz="4" w:space="0" w:color="auto"/>
            </w:tcBorders>
            <w:shd w:val="clear" w:color="auto" w:fill="C6EFCE"/>
            <w:noWrap/>
          </w:tcPr>
          <w:p w14:paraId="0E736F7B"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7D888544"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2025</w:t>
            </w:r>
          </w:p>
        </w:tc>
        <w:tc>
          <w:tcPr>
            <w:tcW w:w="3107" w:type="dxa"/>
            <w:tcBorders>
              <w:top w:val="nil"/>
              <w:left w:val="nil"/>
              <w:bottom w:val="single" w:sz="4" w:space="0" w:color="auto"/>
              <w:right w:val="single" w:sz="4" w:space="0" w:color="auto"/>
            </w:tcBorders>
            <w:shd w:val="clear" w:color="auto" w:fill="C6EFCE"/>
            <w:noWrap/>
          </w:tcPr>
          <w:p w14:paraId="796D7BC2"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This investment shall raise the percentage of customs clearance activity, exchange of information between economic operators and customs authorities, exchange of information between customs authorities in the Member States performed electronically to 100%.</w:t>
            </w:r>
          </w:p>
        </w:tc>
      </w:tr>
      <w:tr w:rsidR="00BE1A15" w:rsidRPr="00A025C9" w14:paraId="33CB165D"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2744C8F1"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234</w:t>
            </w:r>
          </w:p>
        </w:tc>
        <w:tc>
          <w:tcPr>
            <w:tcW w:w="1833" w:type="dxa"/>
            <w:tcBorders>
              <w:top w:val="nil"/>
              <w:left w:val="nil"/>
              <w:bottom w:val="single" w:sz="4" w:space="0" w:color="auto"/>
              <w:right w:val="single" w:sz="4" w:space="0" w:color="auto"/>
            </w:tcBorders>
            <w:shd w:val="clear" w:color="auto" w:fill="C6EFCE"/>
            <w:noWrap/>
          </w:tcPr>
          <w:p w14:paraId="14DD9E58"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5. Enhancing the budgetary programming mechanism </w:t>
            </w:r>
          </w:p>
        </w:tc>
        <w:tc>
          <w:tcPr>
            <w:tcW w:w="1268" w:type="dxa"/>
            <w:tcBorders>
              <w:top w:val="nil"/>
              <w:left w:val="nil"/>
              <w:bottom w:val="single" w:sz="4" w:space="0" w:color="auto"/>
              <w:right w:val="single" w:sz="4" w:space="0" w:color="auto"/>
            </w:tcBorders>
            <w:shd w:val="clear" w:color="auto" w:fill="C6EFCE"/>
            <w:noWrap/>
          </w:tcPr>
          <w:p w14:paraId="151052D0"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2E45BBEC"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Update of the IT system BUGET_NG</w:t>
            </w:r>
          </w:p>
        </w:tc>
        <w:tc>
          <w:tcPr>
            <w:tcW w:w="1560" w:type="dxa"/>
            <w:tcBorders>
              <w:top w:val="nil"/>
              <w:left w:val="nil"/>
              <w:bottom w:val="single" w:sz="4" w:space="0" w:color="auto"/>
              <w:right w:val="single" w:sz="4" w:space="0" w:color="auto"/>
            </w:tcBorders>
            <w:shd w:val="clear" w:color="auto" w:fill="C6EFCE"/>
            <w:noWrap/>
          </w:tcPr>
          <w:p w14:paraId="444715B7"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Budget_NG system updated</w:t>
            </w:r>
          </w:p>
        </w:tc>
        <w:tc>
          <w:tcPr>
            <w:tcW w:w="1197" w:type="dxa"/>
            <w:tcBorders>
              <w:top w:val="nil"/>
              <w:left w:val="nil"/>
              <w:bottom w:val="single" w:sz="4" w:space="0" w:color="auto"/>
              <w:right w:val="single" w:sz="4" w:space="0" w:color="auto"/>
            </w:tcBorders>
            <w:shd w:val="clear" w:color="auto" w:fill="C6EFCE"/>
            <w:noWrap/>
          </w:tcPr>
          <w:p w14:paraId="7618E42B"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33F64BE5"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0ACA56DA"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0F72A7B0"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3C97D125"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2025</w:t>
            </w:r>
          </w:p>
        </w:tc>
        <w:tc>
          <w:tcPr>
            <w:tcW w:w="3107" w:type="dxa"/>
            <w:tcBorders>
              <w:top w:val="nil"/>
              <w:left w:val="nil"/>
              <w:bottom w:val="single" w:sz="4" w:space="0" w:color="auto"/>
              <w:right w:val="single" w:sz="4" w:space="0" w:color="auto"/>
            </w:tcBorders>
            <w:shd w:val="clear" w:color="auto" w:fill="C6EFCE"/>
            <w:noWrap/>
          </w:tcPr>
          <w:p w14:paraId="273F59DA" w14:textId="57F09D13"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Update the IT system for the preparation</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and management of the national budget to allow for:</w:t>
            </w:r>
          </w:p>
          <w:p w14:paraId="4466B8C4"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management of data and information on budgetary expenditure, at policy and programme level (analysis of budgetary procedures, streamlining of time to generate reports), </w:t>
            </w:r>
            <w:r w:rsidRPr="00A025C9">
              <w:rPr>
                <w:rFonts w:ascii="Times New Roman" w:hAnsi="Times New Roman" w:cs="Times New Roman"/>
                <w:noProof/>
                <w:sz w:val="20"/>
                <w:szCs w:val="20"/>
              </w:rPr>
              <w:br/>
            </w:r>
            <w:r w:rsidRPr="00A025C9">
              <w:rPr>
                <w:rFonts w:ascii="Times New Roman" w:hAnsi="Times New Roman" w:cs="Times New Roman"/>
                <w:noProof/>
                <w:sz w:val="20"/>
                <w:szCs w:val="20"/>
                <w:lang w:val="en-GB"/>
              </w:rPr>
              <w:t xml:space="preserve">- increased transparency in the budgetary process by publishing analyses and reports . </w:t>
            </w:r>
            <w:r w:rsidRPr="00A025C9">
              <w:rPr>
                <w:rFonts w:ascii="Times New Roman" w:hAnsi="Times New Roman" w:cs="Times New Roman"/>
                <w:noProof/>
                <w:sz w:val="20"/>
                <w:szCs w:val="20"/>
              </w:rPr>
              <w:br/>
            </w:r>
            <w:r w:rsidRPr="00A025C9">
              <w:rPr>
                <w:rFonts w:ascii="Times New Roman" w:hAnsi="Times New Roman" w:cs="Times New Roman"/>
                <w:noProof/>
                <w:sz w:val="20"/>
                <w:szCs w:val="20"/>
                <w:lang w:val="en-GB"/>
              </w:rPr>
              <w:t xml:space="preserve">- Modernise the system for monitoring and reporting budgetary programmes. </w:t>
            </w:r>
          </w:p>
        </w:tc>
      </w:tr>
      <w:tr w:rsidR="00BE1A15" w:rsidRPr="00A025C9" w14:paraId="2D294795"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1125BB7D"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235</w:t>
            </w:r>
          </w:p>
        </w:tc>
        <w:tc>
          <w:tcPr>
            <w:tcW w:w="1833" w:type="dxa"/>
            <w:tcBorders>
              <w:top w:val="nil"/>
              <w:left w:val="nil"/>
              <w:bottom w:val="single" w:sz="4" w:space="0" w:color="auto"/>
              <w:right w:val="single" w:sz="4" w:space="0" w:color="auto"/>
            </w:tcBorders>
            <w:shd w:val="clear" w:color="auto" w:fill="C6EFCE"/>
            <w:noWrap/>
          </w:tcPr>
          <w:p w14:paraId="6F966BBF"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Investment 6. Economic modelling instrument (Pension Reform Options Simulation Toolkit) to expand institutional capacity to forecast pension expenditures</w:t>
            </w:r>
          </w:p>
        </w:tc>
        <w:tc>
          <w:tcPr>
            <w:tcW w:w="1268" w:type="dxa"/>
            <w:tcBorders>
              <w:top w:val="nil"/>
              <w:left w:val="nil"/>
              <w:bottom w:val="single" w:sz="4" w:space="0" w:color="auto"/>
              <w:right w:val="single" w:sz="4" w:space="0" w:color="auto"/>
            </w:tcBorders>
            <w:shd w:val="clear" w:color="auto" w:fill="C6EFCE"/>
            <w:noWrap/>
          </w:tcPr>
          <w:p w14:paraId="78B06735"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227460F4"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Economic modelling tool updated</w:t>
            </w:r>
          </w:p>
        </w:tc>
        <w:tc>
          <w:tcPr>
            <w:tcW w:w="1560" w:type="dxa"/>
            <w:tcBorders>
              <w:top w:val="nil"/>
              <w:left w:val="nil"/>
              <w:bottom w:val="single" w:sz="4" w:space="0" w:color="auto"/>
              <w:right w:val="single" w:sz="4" w:space="0" w:color="auto"/>
            </w:tcBorders>
            <w:shd w:val="clear" w:color="auto" w:fill="C6EFCE"/>
            <w:noWrap/>
          </w:tcPr>
          <w:p w14:paraId="65B83E7D"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Economic modelling tool updated</w:t>
            </w:r>
          </w:p>
        </w:tc>
        <w:tc>
          <w:tcPr>
            <w:tcW w:w="1197" w:type="dxa"/>
            <w:tcBorders>
              <w:top w:val="nil"/>
              <w:left w:val="nil"/>
              <w:bottom w:val="single" w:sz="4" w:space="0" w:color="auto"/>
              <w:right w:val="single" w:sz="4" w:space="0" w:color="auto"/>
            </w:tcBorders>
            <w:shd w:val="clear" w:color="auto" w:fill="C6EFCE"/>
            <w:noWrap/>
          </w:tcPr>
          <w:p w14:paraId="6842370C"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4F46A7F1"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64A5A78F"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4219FF14"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7A5B6BD8"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2023</w:t>
            </w:r>
          </w:p>
        </w:tc>
        <w:tc>
          <w:tcPr>
            <w:tcW w:w="3107" w:type="dxa"/>
            <w:tcBorders>
              <w:top w:val="nil"/>
              <w:left w:val="nil"/>
              <w:bottom w:val="single" w:sz="4" w:space="0" w:color="auto"/>
              <w:right w:val="single" w:sz="4" w:space="0" w:color="auto"/>
            </w:tcBorders>
            <w:shd w:val="clear" w:color="auto" w:fill="C6EFCE"/>
            <w:noWrap/>
          </w:tcPr>
          <w:p w14:paraId="2045258C"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Economic modelling tool (Pension Reform Options Simulation Toolkit model) shall be updated to estimate the (ex-ante) impact of structural pension reforms in the medium to long term, refining the projections made and analysing the sustainability of the pension system.</w:t>
            </w:r>
          </w:p>
          <w:p w14:paraId="757FA3FF" w14:textId="64DC64E6" w:rsidR="00BE1A15" w:rsidRPr="00A025C9" w:rsidRDefault="00BE1A15">
            <w:pPr>
              <w:spacing w:after="0" w:line="240" w:lineRule="auto"/>
              <w:jc w:val="both"/>
              <w:rPr>
                <w:rFonts w:ascii="Times New Roman" w:eastAsia="Calibri" w:hAnsi="Times New Roman" w:cs="Times New Roman"/>
                <w:noProof/>
                <w:color w:val="4EA72E" w:themeColor="accent6"/>
                <w:sz w:val="20"/>
                <w:szCs w:val="20"/>
              </w:rPr>
            </w:pPr>
            <w:r w:rsidRPr="00A025C9">
              <w:rPr>
                <w:rFonts w:ascii="Times New Roman" w:hAnsi="Times New Roman" w:cs="Times New Roman"/>
                <w:noProof/>
                <w:sz w:val="20"/>
                <w:szCs w:val="20"/>
                <w:lang w:val="en-GB"/>
              </w:rPr>
              <w:t>The investment also covers the training of the eight responsible staff members using the new toolkit.</w:t>
            </w:r>
            <w:r w:rsidRPr="00A025C9">
              <w:rPr>
                <w:rFonts w:ascii="Times New Roman" w:eastAsia="Calibri" w:hAnsi="Times New Roman" w:cs="Times New Roman"/>
                <w:noProof/>
                <w:color w:val="4EA72E" w:themeColor="accent6"/>
                <w:sz w:val="20"/>
                <w:szCs w:val="20"/>
              </w:rPr>
              <w:t xml:space="preserve"> </w:t>
            </w:r>
          </w:p>
          <w:p w14:paraId="3CC3588F" w14:textId="77777777" w:rsidR="00BE1A15" w:rsidRPr="00A025C9" w:rsidRDefault="00BE1A15">
            <w:pPr>
              <w:spacing w:after="0" w:line="240" w:lineRule="auto"/>
              <w:jc w:val="both"/>
              <w:rPr>
                <w:rFonts w:ascii="Times New Roman" w:eastAsia="Calibri" w:hAnsi="Times New Roman" w:cs="Times New Roman"/>
                <w:noProof/>
                <w:color w:val="4EA72E" w:themeColor="accent6"/>
                <w:sz w:val="20"/>
                <w:szCs w:val="20"/>
              </w:rPr>
            </w:pPr>
          </w:p>
        </w:tc>
      </w:tr>
      <w:tr w:rsidR="00BE1A15" w:rsidRPr="00A025C9" w14:paraId="55B6A900"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4739FF05"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238</w:t>
            </w:r>
          </w:p>
        </w:tc>
        <w:tc>
          <w:tcPr>
            <w:tcW w:w="1833" w:type="dxa"/>
            <w:tcBorders>
              <w:top w:val="nil"/>
              <w:left w:val="nil"/>
              <w:bottom w:val="single" w:sz="4" w:space="0" w:color="auto"/>
              <w:right w:val="single" w:sz="4" w:space="0" w:color="auto"/>
            </w:tcBorders>
            <w:shd w:val="clear" w:color="auto" w:fill="C6EFCE"/>
            <w:noWrap/>
          </w:tcPr>
          <w:p w14:paraId="16F93DB5"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Investment 8. The National Development Bank is functional</w:t>
            </w:r>
          </w:p>
        </w:tc>
        <w:tc>
          <w:tcPr>
            <w:tcW w:w="1268" w:type="dxa"/>
            <w:tcBorders>
              <w:top w:val="nil"/>
              <w:left w:val="nil"/>
              <w:bottom w:val="single" w:sz="4" w:space="0" w:color="auto"/>
              <w:right w:val="single" w:sz="4" w:space="0" w:color="auto"/>
            </w:tcBorders>
            <w:shd w:val="clear" w:color="auto" w:fill="C6EFCE"/>
            <w:noWrap/>
          </w:tcPr>
          <w:p w14:paraId="72C108E4"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727EFF3F"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Purchase of software (licences) and hardware (laptops), IT services for staff, training for the staff of the National Development Bank and for the Ministry of Finance staff</w:t>
            </w:r>
          </w:p>
        </w:tc>
        <w:tc>
          <w:tcPr>
            <w:tcW w:w="1560" w:type="dxa"/>
            <w:tcBorders>
              <w:top w:val="nil"/>
              <w:left w:val="nil"/>
              <w:bottom w:val="single" w:sz="4" w:space="0" w:color="auto"/>
              <w:right w:val="single" w:sz="4" w:space="0" w:color="auto"/>
            </w:tcBorders>
            <w:shd w:val="clear" w:color="auto" w:fill="C6EFCE"/>
            <w:noWrap/>
          </w:tcPr>
          <w:p w14:paraId="0D130DCC"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Purchase contracts signed</w:t>
            </w:r>
          </w:p>
        </w:tc>
        <w:tc>
          <w:tcPr>
            <w:tcW w:w="1197" w:type="dxa"/>
            <w:tcBorders>
              <w:top w:val="nil"/>
              <w:left w:val="nil"/>
              <w:bottom w:val="single" w:sz="4" w:space="0" w:color="auto"/>
              <w:right w:val="single" w:sz="4" w:space="0" w:color="auto"/>
            </w:tcBorders>
            <w:shd w:val="clear" w:color="auto" w:fill="C6EFCE"/>
            <w:noWrap/>
          </w:tcPr>
          <w:p w14:paraId="2F0512F8"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70B56EFC"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7B6FB0E8"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06E29BC3"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3E7E3579"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2024</w:t>
            </w:r>
          </w:p>
        </w:tc>
        <w:tc>
          <w:tcPr>
            <w:tcW w:w="3107" w:type="dxa"/>
            <w:tcBorders>
              <w:top w:val="nil"/>
              <w:left w:val="nil"/>
              <w:bottom w:val="single" w:sz="4" w:space="0" w:color="auto"/>
              <w:right w:val="single" w:sz="4" w:space="0" w:color="auto"/>
            </w:tcBorders>
            <w:shd w:val="clear" w:color="auto" w:fill="C6EFCE"/>
            <w:noWrap/>
          </w:tcPr>
          <w:p w14:paraId="0AD62E30"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National Development Bank shall purchase the following: software, hardware, and other equipment, allowing the staff to perform their duties, ITC infrastructure equipment and services for data centers, cloud and Telecommunications infrastructure as well as connectivity, banking applications, IT services for staff , technical assistance and training service for the staff of the National Development Bank and for the Ministry of Finance staff involved in assessing the performance of the bank.</w:t>
            </w:r>
          </w:p>
        </w:tc>
      </w:tr>
      <w:tr w:rsidR="00BE1A15" w:rsidRPr="00A025C9" w14:paraId="72F185BC"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5B7E3C5D"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239</w:t>
            </w:r>
          </w:p>
        </w:tc>
        <w:tc>
          <w:tcPr>
            <w:tcW w:w="1833" w:type="dxa"/>
            <w:tcBorders>
              <w:top w:val="nil"/>
              <w:left w:val="nil"/>
              <w:bottom w:val="single" w:sz="4" w:space="0" w:color="auto"/>
              <w:right w:val="single" w:sz="4" w:space="0" w:color="auto"/>
            </w:tcBorders>
            <w:shd w:val="clear" w:color="auto" w:fill="C6EFCE"/>
            <w:noWrap/>
          </w:tcPr>
          <w:p w14:paraId="14DEB40C"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Investment 9. Supporting the process of assessing pension files </w:t>
            </w:r>
          </w:p>
        </w:tc>
        <w:tc>
          <w:tcPr>
            <w:tcW w:w="1268" w:type="dxa"/>
            <w:tcBorders>
              <w:top w:val="nil"/>
              <w:left w:val="nil"/>
              <w:bottom w:val="single" w:sz="4" w:space="0" w:color="auto"/>
              <w:right w:val="single" w:sz="4" w:space="0" w:color="auto"/>
            </w:tcBorders>
            <w:shd w:val="clear" w:color="auto" w:fill="C6EFCE"/>
            <w:noWrap/>
          </w:tcPr>
          <w:p w14:paraId="3EADF84A"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331B171C"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All pension files recalculated</w:t>
            </w:r>
          </w:p>
        </w:tc>
        <w:tc>
          <w:tcPr>
            <w:tcW w:w="1560" w:type="dxa"/>
            <w:tcBorders>
              <w:top w:val="nil"/>
              <w:left w:val="nil"/>
              <w:bottom w:val="single" w:sz="4" w:space="0" w:color="auto"/>
              <w:right w:val="single" w:sz="4" w:space="0" w:color="auto"/>
            </w:tcBorders>
            <w:shd w:val="clear" w:color="auto" w:fill="C6EFCE"/>
            <w:noWrap/>
          </w:tcPr>
          <w:p w14:paraId="31525A0D"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All pension files recalculated</w:t>
            </w:r>
          </w:p>
        </w:tc>
        <w:tc>
          <w:tcPr>
            <w:tcW w:w="1197" w:type="dxa"/>
            <w:tcBorders>
              <w:top w:val="nil"/>
              <w:left w:val="nil"/>
              <w:bottom w:val="single" w:sz="4" w:space="0" w:color="auto"/>
              <w:right w:val="single" w:sz="4" w:space="0" w:color="auto"/>
            </w:tcBorders>
            <w:shd w:val="clear" w:color="auto" w:fill="C6EFCE"/>
            <w:noWrap/>
          </w:tcPr>
          <w:p w14:paraId="3F556623"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4A3C1625"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7E2A6394"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3B3B1250"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tcPr>
          <w:p w14:paraId="643A501E"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2023</w:t>
            </w:r>
          </w:p>
        </w:tc>
        <w:tc>
          <w:tcPr>
            <w:tcW w:w="3107" w:type="dxa"/>
            <w:tcBorders>
              <w:top w:val="nil"/>
              <w:left w:val="nil"/>
              <w:bottom w:val="single" w:sz="4" w:space="0" w:color="auto"/>
              <w:right w:val="single" w:sz="4" w:space="0" w:color="auto"/>
            </w:tcBorders>
            <w:shd w:val="clear" w:color="auto" w:fill="C6EFCE"/>
            <w:noWrap/>
          </w:tcPr>
          <w:p w14:paraId="2C206C8F"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All approximately 5 million pension files recalculated on the basis of the new pension law. The government shall send to all citizens by post a decision regarding the result of the recalculation.</w:t>
            </w:r>
          </w:p>
        </w:tc>
      </w:tr>
      <w:tr w:rsidR="00BE1A15" w:rsidRPr="00A025C9" w14:paraId="251DC1FF"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36A46AB1"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240</w:t>
            </w:r>
          </w:p>
        </w:tc>
        <w:tc>
          <w:tcPr>
            <w:tcW w:w="1833" w:type="dxa"/>
            <w:tcBorders>
              <w:top w:val="nil"/>
              <w:left w:val="nil"/>
              <w:bottom w:val="single" w:sz="4" w:space="0" w:color="auto"/>
              <w:right w:val="single" w:sz="4" w:space="0" w:color="auto"/>
            </w:tcBorders>
            <w:shd w:val="clear" w:color="auto" w:fill="C6EFCE"/>
            <w:noWrap/>
          </w:tcPr>
          <w:p w14:paraId="5C9DE9A2" w14:textId="193F7821"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Investment 10.</w:t>
            </w:r>
            <w:r w:rsidR="00D23D91" w:rsidRPr="00A025C9">
              <w:rPr>
                <w:rFonts w:ascii="Times New Roman" w:hAnsi="Times New Roman" w:cs="Times New Roman"/>
                <w:noProof/>
                <w:sz w:val="20"/>
                <w:szCs w:val="20"/>
                <w:lang w:val="en-GB"/>
              </w:rPr>
              <w:t xml:space="preserve"> </w:t>
            </w:r>
            <w:r w:rsidRPr="00A025C9">
              <w:rPr>
                <w:rFonts w:ascii="Times New Roman" w:hAnsi="Times New Roman" w:cs="Times New Roman"/>
                <w:noProof/>
                <w:sz w:val="20"/>
                <w:szCs w:val="20"/>
                <w:lang w:val="en-GB"/>
              </w:rPr>
              <w:t>Advanced e-services through digitalisation of the pension system</w:t>
            </w:r>
          </w:p>
        </w:tc>
        <w:tc>
          <w:tcPr>
            <w:tcW w:w="1268" w:type="dxa"/>
            <w:tcBorders>
              <w:top w:val="nil"/>
              <w:left w:val="nil"/>
              <w:bottom w:val="single" w:sz="4" w:space="0" w:color="auto"/>
              <w:right w:val="single" w:sz="4" w:space="0" w:color="auto"/>
            </w:tcBorders>
            <w:shd w:val="clear" w:color="auto" w:fill="C6EFCE"/>
            <w:noWrap/>
          </w:tcPr>
          <w:p w14:paraId="3118C3D2"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Milestone</w:t>
            </w:r>
          </w:p>
        </w:tc>
        <w:tc>
          <w:tcPr>
            <w:tcW w:w="1557" w:type="dxa"/>
            <w:tcBorders>
              <w:top w:val="nil"/>
              <w:left w:val="nil"/>
              <w:bottom w:val="single" w:sz="4" w:space="0" w:color="auto"/>
              <w:right w:val="single" w:sz="4" w:space="0" w:color="auto"/>
            </w:tcBorders>
            <w:shd w:val="clear" w:color="auto" w:fill="C6EFCE"/>
            <w:noWrap/>
          </w:tcPr>
          <w:p w14:paraId="1E1D0C35"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Functional IT system in the National Public Pensions Agency </w:t>
            </w:r>
          </w:p>
        </w:tc>
        <w:tc>
          <w:tcPr>
            <w:tcW w:w="1560" w:type="dxa"/>
            <w:tcBorders>
              <w:top w:val="nil"/>
              <w:left w:val="nil"/>
              <w:bottom w:val="single" w:sz="4" w:space="0" w:color="auto"/>
              <w:right w:val="single" w:sz="4" w:space="0" w:color="auto"/>
            </w:tcBorders>
            <w:shd w:val="clear" w:color="auto" w:fill="C6EFCE"/>
            <w:noWrap/>
          </w:tcPr>
          <w:p w14:paraId="5B6A1A94"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Functional IT system</w:t>
            </w:r>
          </w:p>
        </w:tc>
        <w:tc>
          <w:tcPr>
            <w:tcW w:w="1197" w:type="dxa"/>
            <w:tcBorders>
              <w:top w:val="nil"/>
              <w:left w:val="nil"/>
              <w:bottom w:val="single" w:sz="4" w:space="0" w:color="auto"/>
              <w:right w:val="single" w:sz="4" w:space="0" w:color="auto"/>
            </w:tcBorders>
            <w:shd w:val="clear" w:color="auto" w:fill="C6EFCE"/>
            <w:noWrap/>
          </w:tcPr>
          <w:p w14:paraId="108A8AFE"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2E02E2FA"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3FCA6D35"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53CC62AB"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Q2 </w:t>
            </w:r>
          </w:p>
        </w:tc>
        <w:tc>
          <w:tcPr>
            <w:tcW w:w="840" w:type="dxa"/>
            <w:tcBorders>
              <w:top w:val="nil"/>
              <w:left w:val="nil"/>
              <w:bottom w:val="single" w:sz="4" w:space="0" w:color="auto"/>
              <w:right w:val="single" w:sz="4" w:space="0" w:color="auto"/>
            </w:tcBorders>
            <w:shd w:val="clear" w:color="auto" w:fill="C6EFCE"/>
            <w:noWrap/>
          </w:tcPr>
          <w:p w14:paraId="62F220D9" w14:textId="77777777" w:rsidR="00BE1A15" w:rsidRPr="00A025C9" w:rsidRDefault="00BE1A15">
            <w:pPr>
              <w:spacing w:after="0" w:line="240" w:lineRule="auto"/>
              <w:jc w:val="center"/>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 2026</w:t>
            </w:r>
          </w:p>
        </w:tc>
        <w:tc>
          <w:tcPr>
            <w:tcW w:w="3107" w:type="dxa"/>
            <w:tcBorders>
              <w:top w:val="nil"/>
              <w:left w:val="nil"/>
              <w:bottom w:val="single" w:sz="4" w:space="0" w:color="auto"/>
              <w:right w:val="single" w:sz="4" w:space="0" w:color="auto"/>
            </w:tcBorders>
            <w:shd w:val="clear" w:color="auto" w:fill="C6EFCE"/>
            <w:noWrap/>
          </w:tcPr>
          <w:p w14:paraId="7DE2FFCB"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IT system in the National Public Pensions Agency (CNPP) set up and and accessible to citizens, institutions and government.</w:t>
            </w:r>
          </w:p>
          <w:p w14:paraId="087BFC38" w14:textId="77777777" w:rsidR="00BE1A15" w:rsidRPr="00A025C9" w:rsidRDefault="00BE1A15">
            <w:pPr>
              <w:spacing w:after="0" w:line="240" w:lineRule="auto"/>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The new centralised and integrated informatics system shall consist of:</w:t>
            </w:r>
          </w:p>
          <w:p w14:paraId="1787B25C" w14:textId="77777777" w:rsidR="00BE1A15" w:rsidRPr="00A025C9" w:rsidRDefault="00BE1A15" w:rsidP="00BE1A15">
            <w:pPr>
              <w:numPr>
                <w:ilvl w:val="0"/>
                <w:numId w:val="87"/>
              </w:numPr>
              <w:spacing w:before="120" w:after="0" w:line="259" w:lineRule="auto"/>
              <w:ind w:left="224" w:hanging="218"/>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Portal (the communication component) with the public covering the following electronic services:</w:t>
            </w:r>
          </w:p>
          <w:p w14:paraId="4BD227DF" w14:textId="77777777" w:rsidR="00BE1A15" w:rsidRPr="00A025C9" w:rsidRDefault="00BE1A15" w:rsidP="00BE1A15">
            <w:pPr>
              <w:numPr>
                <w:ilvl w:val="0"/>
                <w:numId w:val="88"/>
              </w:numPr>
              <w:spacing w:before="120" w:after="0" w:line="259" w:lineRule="auto"/>
              <w:ind w:left="584"/>
              <w:contextualSpacing/>
              <w:jc w:val="both"/>
              <w:rPr>
                <w:rFonts w:ascii="Times New Roman" w:hAnsi="Times New Roman" w:cs="Times New Roman"/>
                <w:noProof/>
                <w:sz w:val="20"/>
                <w:szCs w:val="20"/>
                <w:lang w:val="en-GB" w:eastAsia="en-IE"/>
              </w:rPr>
            </w:pPr>
            <w:r w:rsidRPr="00A025C9">
              <w:rPr>
                <w:rFonts w:ascii="Times New Roman" w:hAnsi="Times New Roman" w:cs="Times New Roman"/>
                <w:noProof/>
                <w:sz w:val="20"/>
                <w:szCs w:val="20"/>
                <w:lang w:val="en-GB" w:eastAsia="en-IE"/>
              </w:rPr>
              <w:t>pensions and other social insurance rights,</w:t>
            </w:r>
          </w:p>
          <w:p w14:paraId="5850758B" w14:textId="77777777" w:rsidR="00BE1A15" w:rsidRPr="00A025C9" w:rsidRDefault="00BE1A15" w:rsidP="00BE1A15">
            <w:pPr>
              <w:numPr>
                <w:ilvl w:val="0"/>
                <w:numId w:val="89"/>
              </w:numPr>
              <w:spacing w:before="120" w:after="0" w:line="259" w:lineRule="auto"/>
              <w:ind w:left="584"/>
              <w:contextualSpacing/>
              <w:jc w:val="both"/>
              <w:rPr>
                <w:rFonts w:ascii="Times New Roman" w:hAnsi="Times New Roman" w:cs="Times New Roman"/>
                <w:noProof/>
                <w:sz w:val="20"/>
                <w:szCs w:val="20"/>
                <w:lang w:val="en-GB" w:eastAsia="en-IE"/>
              </w:rPr>
            </w:pPr>
            <w:r w:rsidRPr="00A025C9">
              <w:rPr>
                <w:rFonts w:ascii="Times New Roman" w:hAnsi="Times New Roman" w:cs="Times New Roman"/>
                <w:noProof/>
                <w:sz w:val="20"/>
                <w:szCs w:val="20"/>
                <w:lang w:val="en-GB" w:eastAsia="en-IE"/>
              </w:rPr>
              <w:t xml:space="preserve">completing the application for treatment tickets, </w:t>
            </w:r>
          </w:p>
          <w:p w14:paraId="21BA460A" w14:textId="77777777" w:rsidR="00BE1A15" w:rsidRPr="00A025C9" w:rsidRDefault="00BE1A15" w:rsidP="00BE1A15">
            <w:pPr>
              <w:numPr>
                <w:ilvl w:val="0"/>
                <w:numId w:val="89"/>
              </w:numPr>
              <w:spacing w:before="120" w:after="0" w:line="259" w:lineRule="auto"/>
              <w:ind w:left="584"/>
              <w:contextualSpacing/>
              <w:jc w:val="both"/>
              <w:rPr>
                <w:rFonts w:ascii="Times New Roman" w:hAnsi="Times New Roman" w:cs="Times New Roman"/>
                <w:noProof/>
                <w:sz w:val="20"/>
                <w:szCs w:val="20"/>
                <w:lang w:val="en-GB" w:eastAsia="en-IE"/>
              </w:rPr>
            </w:pPr>
            <w:r w:rsidRPr="00A025C9">
              <w:rPr>
                <w:rFonts w:ascii="Times New Roman" w:hAnsi="Times New Roman" w:cs="Times New Roman"/>
                <w:noProof/>
                <w:sz w:val="20"/>
                <w:szCs w:val="20"/>
                <w:lang w:val="en-GB" w:eastAsia="en-IE"/>
              </w:rPr>
              <w:t>services on the taxpayer record area,</w:t>
            </w:r>
          </w:p>
          <w:p w14:paraId="021DC0BB" w14:textId="77777777" w:rsidR="00BE1A15" w:rsidRPr="00A025C9" w:rsidRDefault="00BE1A15" w:rsidP="00BE1A15">
            <w:pPr>
              <w:numPr>
                <w:ilvl w:val="0"/>
                <w:numId w:val="89"/>
              </w:numPr>
              <w:spacing w:before="120" w:after="0" w:line="259" w:lineRule="auto"/>
              <w:ind w:left="584"/>
              <w:contextualSpacing/>
              <w:jc w:val="both"/>
              <w:rPr>
                <w:rFonts w:ascii="Times New Roman" w:hAnsi="Times New Roman" w:cs="Times New Roman"/>
                <w:noProof/>
                <w:sz w:val="20"/>
                <w:szCs w:val="20"/>
                <w:lang w:val="en-GB" w:eastAsia="en-IE"/>
              </w:rPr>
            </w:pPr>
            <w:r w:rsidRPr="00A025C9">
              <w:rPr>
                <w:rFonts w:ascii="Times New Roman" w:hAnsi="Times New Roman" w:cs="Times New Roman"/>
                <w:noProof/>
                <w:sz w:val="20"/>
                <w:szCs w:val="20"/>
                <w:lang w:val="en-GB"/>
              </w:rPr>
              <w:t>accidents at work and occupational diseases,</w:t>
            </w:r>
          </w:p>
          <w:p w14:paraId="4A778A45" w14:textId="77777777" w:rsidR="00BE1A15" w:rsidRPr="00A025C9" w:rsidRDefault="00BE1A15" w:rsidP="00BE1A15">
            <w:pPr>
              <w:numPr>
                <w:ilvl w:val="0"/>
                <w:numId w:val="89"/>
              </w:numPr>
              <w:spacing w:before="120" w:after="0" w:line="259" w:lineRule="auto"/>
              <w:ind w:left="584"/>
              <w:contextualSpacing/>
              <w:jc w:val="both"/>
              <w:rPr>
                <w:rFonts w:ascii="Times New Roman" w:hAnsi="Times New Roman" w:cs="Times New Roman"/>
                <w:noProof/>
                <w:sz w:val="20"/>
                <w:szCs w:val="20"/>
                <w:lang w:val="en-GB" w:eastAsia="en-IE"/>
              </w:rPr>
            </w:pPr>
            <w:r w:rsidRPr="00A025C9">
              <w:rPr>
                <w:rFonts w:ascii="Times New Roman" w:hAnsi="Times New Roman" w:cs="Times New Roman"/>
                <w:noProof/>
                <w:sz w:val="20"/>
                <w:szCs w:val="20"/>
                <w:lang w:val="en-GB"/>
              </w:rPr>
              <w:t>“e-Talon” application which automatically generates the monthly pension coupon in electronic format for active retirees</w:t>
            </w:r>
          </w:p>
          <w:p w14:paraId="670045B8" w14:textId="77777777" w:rsidR="00BE1A15" w:rsidRPr="00A025C9" w:rsidRDefault="00BE1A15" w:rsidP="00BE1A15">
            <w:pPr>
              <w:numPr>
                <w:ilvl w:val="0"/>
                <w:numId w:val="90"/>
              </w:numPr>
              <w:spacing w:before="120" w:after="0" w:line="259" w:lineRule="auto"/>
              <w:ind w:left="584"/>
              <w:contextualSpacing/>
              <w:jc w:val="both"/>
              <w:rPr>
                <w:rFonts w:ascii="Times New Roman" w:hAnsi="Times New Roman" w:cs="Times New Roman"/>
                <w:noProof/>
                <w:sz w:val="20"/>
                <w:szCs w:val="20"/>
                <w:lang w:val="en-GB" w:eastAsia="en-IE"/>
              </w:rPr>
            </w:pPr>
            <w:r w:rsidRPr="00A025C9">
              <w:rPr>
                <w:rFonts w:ascii="Times New Roman" w:hAnsi="Times New Roman" w:cs="Times New Roman"/>
                <w:noProof/>
                <w:sz w:val="20"/>
                <w:szCs w:val="20"/>
                <w:lang w:val="en-GB" w:eastAsia="en-IE"/>
              </w:rPr>
              <w:t>personalised reports/private virtual space for citizens.</w:t>
            </w:r>
          </w:p>
          <w:p w14:paraId="107F8DB8" w14:textId="77777777" w:rsidR="00BE1A15" w:rsidRPr="00A025C9" w:rsidRDefault="00BE1A15" w:rsidP="00BE1A15">
            <w:pPr>
              <w:numPr>
                <w:ilvl w:val="0"/>
                <w:numId w:val="91"/>
              </w:numPr>
              <w:spacing w:after="0" w:line="240" w:lineRule="auto"/>
              <w:contextualSpacing/>
              <w:jc w:val="both"/>
              <w:rPr>
                <w:rFonts w:ascii="Times New Roman" w:hAnsi="Times New Roman" w:cs="Times New Roman"/>
                <w:noProof/>
                <w:sz w:val="20"/>
                <w:szCs w:val="20"/>
                <w:lang w:val="en-GB"/>
              </w:rPr>
            </w:pPr>
            <w:r w:rsidRPr="00A025C9">
              <w:rPr>
                <w:rFonts w:ascii="Times New Roman" w:hAnsi="Times New Roman" w:cs="Times New Roman"/>
                <w:noProof/>
                <w:sz w:val="20"/>
                <w:szCs w:val="20"/>
                <w:lang w:val="en-GB"/>
              </w:rPr>
              <w:t xml:space="preserve">Internal digitalisation of documents flow (ECM, ERP), </w:t>
            </w:r>
          </w:p>
          <w:p w14:paraId="086C9893" w14:textId="77777777" w:rsidR="00BE1A15" w:rsidRPr="00A025C9" w:rsidRDefault="00BE1A15" w:rsidP="00BE1A15">
            <w:pPr>
              <w:numPr>
                <w:ilvl w:val="0"/>
                <w:numId w:val="91"/>
              </w:numPr>
              <w:spacing w:before="120" w:after="0" w:line="259" w:lineRule="auto"/>
              <w:contextualSpacing/>
              <w:jc w:val="both"/>
              <w:rPr>
                <w:rFonts w:ascii="Times New Roman" w:hAnsi="Times New Roman" w:cs="Times New Roman"/>
                <w:noProof/>
                <w:sz w:val="20"/>
                <w:szCs w:val="20"/>
                <w:lang w:val="en-GB" w:eastAsia="en-IE"/>
              </w:rPr>
            </w:pPr>
            <w:r w:rsidRPr="00A025C9">
              <w:rPr>
                <w:rFonts w:ascii="Times New Roman" w:hAnsi="Times New Roman" w:cs="Times New Roman"/>
                <w:noProof/>
                <w:sz w:val="20"/>
                <w:szCs w:val="20"/>
                <w:lang w:val="en-GB" w:eastAsia="en-IE"/>
              </w:rPr>
              <w:t xml:space="preserve">Historical data analysis systems and solutions (Business Intelligence), </w:t>
            </w:r>
          </w:p>
          <w:p w14:paraId="4925F2E1" w14:textId="77777777" w:rsidR="00BE1A15" w:rsidRPr="00A025C9" w:rsidRDefault="00BE1A15" w:rsidP="00BE1A15">
            <w:pPr>
              <w:numPr>
                <w:ilvl w:val="0"/>
                <w:numId w:val="91"/>
              </w:numPr>
              <w:spacing w:before="120" w:after="0" w:line="259" w:lineRule="auto"/>
              <w:contextualSpacing/>
              <w:jc w:val="both"/>
              <w:rPr>
                <w:rFonts w:ascii="Times New Roman" w:hAnsi="Times New Roman" w:cs="Times New Roman"/>
                <w:noProof/>
                <w:sz w:val="20"/>
                <w:szCs w:val="20"/>
                <w:lang w:val="en-GB" w:eastAsia="en-IE"/>
              </w:rPr>
            </w:pPr>
            <w:r w:rsidRPr="00A025C9">
              <w:rPr>
                <w:rFonts w:ascii="Times New Roman" w:hAnsi="Times New Roman" w:cs="Times New Roman"/>
                <w:noProof/>
                <w:sz w:val="20"/>
                <w:szCs w:val="20"/>
                <w:lang w:val="en-GB" w:eastAsia="en-IE"/>
              </w:rPr>
              <w:t>Interoperability with other public systems (API),</w:t>
            </w:r>
          </w:p>
          <w:p w14:paraId="4FE37369" w14:textId="77777777" w:rsidR="00BE1A15" w:rsidRPr="00A025C9" w:rsidRDefault="00BE1A15" w:rsidP="00BE1A15">
            <w:pPr>
              <w:numPr>
                <w:ilvl w:val="0"/>
                <w:numId w:val="91"/>
              </w:numPr>
              <w:spacing w:before="120" w:after="0" w:line="259" w:lineRule="auto"/>
              <w:contextualSpacing/>
              <w:jc w:val="both"/>
              <w:rPr>
                <w:rFonts w:ascii="Times New Roman" w:hAnsi="Times New Roman" w:cs="Times New Roman"/>
                <w:noProof/>
                <w:sz w:val="20"/>
                <w:szCs w:val="20"/>
                <w:lang w:val="en-GB" w:eastAsia="en-IE"/>
              </w:rPr>
            </w:pPr>
            <w:r w:rsidRPr="00A025C9">
              <w:rPr>
                <w:rFonts w:ascii="Times New Roman" w:hAnsi="Times New Roman" w:cs="Times New Roman"/>
                <w:noProof/>
                <w:sz w:val="20"/>
                <w:szCs w:val="20"/>
                <w:lang w:val="en-GB" w:eastAsia="en-IE"/>
              </w:rPr>
              <w:t>Cybersecurity features,</w:t>
            </w:r>
          </w:p>
          <w:p w14:paraId="63CF5C88" w14:textId="77777777" w:rsidR="00BE1A15" w:rsidRPr="00A025C9" w:rsidRDefault="00BE1A15" w:rsidP="00BE1A15">
            <w:pPr>
              <w:numPr>
                <w:ilvl w:val="0"/>
                <w:numId w:val="91"/>
              </w:numPr>
              <w:spacing w:before="120" w:after="0" w:line="259" w:lineRule="auto"/>
              <w:contextualSpacing/>
              <w:jc w:val="both"/>
              <w:rPr>
                <w:rFonts w:ascii="Times New Roman" w:hAnsi="Times New Roman" w:cs="Times New Roman"/>
                <w:noProof/>
                <w:sz w:val="20"/>
                <w:szCs w:val="20"/>
                <w:lang w:val="en-GB" w:eastAsia="en-IE"/>
              </w:rPr>
            </w:pPr>
            <w:r w:rsidRPr="00A025C9">
              <w:rPr>
                <w:rFonts w:ascii="Times New Roman" w:hAnsi="Times New Roman" w:cs="Times New Roman"/>
                <w:noProof/>
                <w:sz w:val="20"/>
                <w:szCs w:val="20"/>
                <w:lang w:val="en-GB" w:eastAsia="en-IE"/>
              </w:rPr>
              <w:t xml:space="preserve">Database redundancy and resilience (Disaster Recovery). </w:t>
            </w:r>
          </w:p>
        </w:tc>
      </w:tr>
    </w:tbl>
    <w:p w14:paraId="29C90B4F" w14:textId="77777777" w:rsidR="00BE1A15" w:rsidRPr="00291374" w:rsidRDefault="00BE1A15" w:rsidP="00BE1A15">
      <w:pPr>
        <w:rPr>
          <w:rFonts w:ascii="Times New Roman" w:hAnsi="Times New Roman" w:cs="Times New Roman"/>
          <w:noProof/>
          <w:lang w:val="en-GB"/>
        </w:rPr>
      </w:pPr>
    </w:p>
    <w:p w14:paraId="24C89814" w14:textId="77777777" w:rsidR="00BE1A15" w:rsidRPr="00291374" w:rsidRDefault="00BE1A15" w:rsidP="00BE1A15">
      <w:pPr>
        <w:rPr>
          <w:rFonts w:ascii="Times New Roman" w:hAnsi="Times New Roman" w:cs="Times New Roman"/>
          <w:noProof/>
          <w:lang w:val="en-GB"/>
        </w:rPr>
        <w:sectPr w:rsidR="00BE1A15" w:rsidRPr="00291374" w:rsidSect="00BE1A15">
          <w:headerReference w:type="even" r:id="rId192"/>
          <w:headerReference w:type="default" r:id="rId193"/>
          <w:footerReference w:type="even" r:id="rId194"/>
          <w:footerReference w:type="default" r:id="rId195"/>
          <w:headerReference w:type="first" r:id="rId196"/>
          <w:footerReference w:type="first" r:id="rId197"/>
          <w:pgSz w:w="16839" w:h="11907" w:orient="landscape"/>
          <w:pgMar w:top="1134" w:right="1134" w:bottom="1134" w:left="1134" w:header="567" w:footer="567" w:gutter="0"/>
          <w:cols w:space="720"/>
          <w:docGrid w:linePitch="360"/>
        </w:sectPr>
      </w:pPr>
    </w:p>
    <w:p w14:paraId="3E7F02C2" w14:textId="77777777" w:rsidR="00BE1A15" w:rsidRPr="00174ADA" w:rsidRDefault="00BE1A15" w:rsidP="00174ADA">
      <w:pPr>
        <w:keepNext/>
        <w:numPr>
          <w:ilvl w:val="1"/>
          <w:numId w:val="0"/>
        </w:numPr>
        <w:spacing w:before="120" w:after="120" w:line="240" w:lineRule="auto"/>
        <w:ind w:left="850" w:hanging="850"/>
        <w:jc w:val="both"/>
        <w:outlineLvl w:val="1"/>
        <w:rPr>
          <w:rFonts w:ascii="Times New Roman" w:hAnsi="Times New Roman" w:cs="Times New Roman"/>
          <w:b/>
          <w:noProof/>
          <w:lang w:val="en-GB"/>
        </w:rPr>
      </w:pPr>
      <w:r w:rsidRPr="00174ADA">
        <w:rPr>
          <w:rFonts w:ascii="Times New Roman" w:hAnsi="Times New Roman" w:cs="Times New Roman"/>
          <w:b/>
          <w:noProof/>
          <w:lang w:val="en-GB"/>
        </w:rPr>
        <w:t>H.3. Description of the reforms and investments for the loan</w:t>
      </w:r>
    </w:p>
    <w:p w14:paraId="2999933F" w14:textId="77777777" w:rsidR="00BE1A15" w:rsidRPr="00114539" w:rsidRDefault="00BE1A15" w:rsidP="00114539">
      <w:pPr>
        <w:suppressAutoHyphens/>
        <w:autoSpaceDN w:val="0"/>
        <w:spacing w:before="240" w:after="0" w:line="240" w:lineRule="auto"/>
        <w:jc w:val="both"/>
        <w:textAlignment w:val="baseline"/>
        <w:rPr>
          <w:rFonts w:ascii="Times New Roman" w:eastAsia="NSimSun" w:hAnsi="Times New Roman" w:cs="Times New Roman"/>
          <w:noProof/>
          <w:kern w:val="3"/>
          <w:u w:val="single"/>
          <w:lang w:val="en-GB"/>
        </w:rPr>
      </w:pPr>
      <w:r w:rsidRPr="00114539">
        <w:rPr>
          <w:rFonts w:ascii="Times New Roman" w:eastAsia="NSimSun" w:hAnsi="Times New Roman" w:cs="Times New Roman"/>
          <w:noProof/>
          <w:kern w:val="3"/>
          <w:u w:val="single"/>
          <w:lang w:val="en-GB"/>
        </w:rPr>
        <w:t>Investment 11: Equity injection into the National Development Bank</w:t>
      </w:r>
    </w:p>
    <w:p w14:paraId="03B2B40D" w14:textId="65AC6B86"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This measure aims at supporting the growth potential of the Romanian economy by structurally adjusting the level of public support available to address market failures and inefficiencies within the economy. The measure shall consist of an equity injection of EUR </w:t>
      </w:r>
      <w:r w:rsidR="00DB1ABC">
        <w:rPr>
          <w:rFonts w:ascii="Times New Roman" w:hAnsi="Times New Roman" w:cs="Times New Roman"/>
          <w:noProof/>
          <w:lang w:val="en-GB"/>
        </w:rPr>
        <w:t>2</w:t>
      </w:r>
      <w:r w:rsidR="005B2F92">
        <w:rPr>
          <w:rFonts w:ascii="Times New Roman" w:hAnsi="Times New Roman" w:cs="Times New Roman"/>
          <w:noProof/>
          <w:lang w:val="en-GB"/>
        </w:rPr>
        <w:t>5</w:t>
      </w:r>
      <w:r w:rsidRPr="00291374">
        <w:rPr>
          <w:rFonts w:ascii="Times New Roman" w:hAnsi="Times New Roman" w:cs="Times New Roman"/>
          <w:noProof/>
          <w:lang w:val="en-GB"/>
        </w:rPr>
        <w:t xml:space="preserve">0 million into the National Development Bank. </w:t>
      </w:r>
    </w:p>
    <w:p w14:paraId="79B21A3B" w14:textId="77777777" w:rsidR="00BE1A15" w:rsidRPr="00291374" w:rsidRDefault="00BE1A15" w:rsidP="00BE1A15">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National Development Bank shall adopt a new investment policy for the use of the additional equity. The investment policy shall include the description of the financial product(s) with the expected type of eligible final beneficiaries that the additional equity is expected to initially support, including the expected timeline for the implementation and expected amount of each financial product. The National Development Bank shall use for the additional equity the same audit and control system that was positively assessed by the Commission in accordance with Article 157 of Regulation (EU, Euratom) 2024/2509. The Investment Policy shall require that financial product(s) that the additional equity supports comply with the ‘Do no significant harm’ (DNSH) principle as set out in the DNSH Technical Guidance (2021/C58/01). In particular, the investment policy shall exclude the following list of activities and assets from eligibility: (i) activities and assets related to fossil fuels, including downstream use</w:t>
      </w:r>
      <w:r w:rsidRPr="00291374">
        <w:rPr>
          <w:rFonts w:ascii="Times New Roman" w:hAnsi="Times New Roman" w:cs="Times New Roman"/>
          <w:noProof/>
          <w:vertAlign w:val="superscript"/>
          <w:lang w:val="en-GB"/>
        </w:rPr>
        <w:footnoteReference w:id="9"/>
      </w:r>
      <w:r w:rsidRPr="00291374">
        <w:rPr>
          <w:rFonts w:ascii="Times New Roman" w:hAnsi="Times New Roman" w:cs="Times New Roman"/>
          <w:noProof/>
          <w:lang w:val="en-GB"/>
        </w:rPr>
        <w:t>, (ii) activities and assets under the EU Emission Trading System (ETS) achieving projected greenhouse gas emissions that are not lower than the relevant benchmarks</w:t>
      </w:r>
      <w:r w:rsidRPr="00291374">
        <w:rPr>
          <w:rFonts w:ascii="Times New Roman" w:hAnsi="Times New Roman" w:cs="Times New Roman"/>
          <w:noProof/>
          <w:vertAlign w:val="superscript"/>
          <w:lang w:val="en-GB"/>
        </w:rPr>
        <w:footnoteReference w:id="10"/>
      </w:r>
      <w:r w:rsidRPr="00291374">
        <w:rPr>
          <w:rFonts w:ascii="Times New Roman" w:hAnsi="Times New Roman" w:cs="Times New Roman"/>
          <w:noProof/>
          <w:lang w:val="en-GB"/>
        </w:rPr>
        <w:t>, (iii) activities and assets related to waste landfills, incinerators</w:t>
      </w:r>
      <w:r w:rsidRPr="00291374">
        <w:rPr>
          <w:rFonts w:ascii="Times New Roman" w:hAnsi="Times New Roman" w:cs="Times New Roman"/>
          <w:noProof/>
          <w:vertAlign w:val="superscript"/>
          <w:lang w:val="en-GB"/>
        </w:rPr>
        <w:footnoteReference w:id="11"/>
      </w:r>
      <w:r w:rsidRPr="00291374">
        <w:rPr>
          <w:rFonts w:ascii="Times New Roman" w:hAnsi="Times New Roman" w:cs="Times New Roman"/>
          <w:noProof/>
          <w:lang w:val="en-GB"/>
        </w:rPr>
        <w:t xml:space="preserve"> and mechanical biological treatment plants</w:t>
      </w:r>
      <w:r w:rsidRPr="00291374">
        <w:rPr>
          <w:rFonts w:ascii="Times New Roman" w:hAnsi="Times New Roman" w:cs="Times New Roman"/>
          <w:noProof/>
          <w:vertAlign w:val="superscript"/>
          <w:lang w:val="en-GB"/>
        </w:rPr>
        <w:footnoteReference w:id="12"/>
      </w:r>
      <w:r w:rsidRPr="00291374">
        <w:rPr>
          <w:rFonts w:ascii="Times New Roman" w:hAnsi="Times New Roman" w:cs="Times New Roman"/>
          <w:noProof/>
          <w:lang w:val="en-GB"/>
        </w:rPr>
        <w:t>. Furthermore, in the case of general support to corporates, the investment policy shall exclude companies with a substantial focus</w:t>
      </w:r>
      <w:r w:rsidRPr="00291374">
        <w:rPr>
          <w:rFonts w:ascii="Times New Roman" w:hAnsi="Times New Roman" w:cs="Times New Roman"/>
          <w:noProof/>
          <w:vertAlign w:val="superscript"/>
          <w:lang w:val="en-GB"/>
        </w:rPr>
        <w:footnoteReference w:id="13"/>
      </w:r>
      <w:r w:rsidRPr="00291374">
        <w:rPr>
          <w:rFonts w:ascii="Times New Roman" w:hAnsi="Times New Roman" w:cs="Times New Roman"/>
          <w:noProof/>
          <w:lang w:val="en-GB"/>
        </w:rPr>
        <w:t xml:space="preserve"> in the following sectors: (i) fossil fuel-based energy production and related activities</w:t>
      </w:r>
      <w:r w:rsidRPr="00291374">
        <w:rPr>
          <w:rFonts w:ascii="Times New Roman" w:hAnsi="Times New Roman" w:cs="Times New Roman"/>
          <w:noProof/>
          <w:vertAlign w:val="superscript"/>
          <w:lang w:val="en-GB"/>
        </w:rPr>
        <w:footnoteReference w:id="14"/>
      </w:r>
      <w:r w:rsidRPr="00291374">
        <w:rPr>
          <w:rFonts w:ascii="Times New Roman" w:hAnsi="Times New Roman" w:cs="Times New Roman"/>
          <w:noProof/>
          <w:lang w:val="en-GB"/>
        </w:rPr>
        <w:t>; (ii) energy-intensive and/or high CO2-emitting industries</w:t>
      </w:r>
      <w:r w:rsidRPr="00291374">
        <w:rPr>
          <w:rStyle w:val="FootnoteReference"/>
          <w:rFonts w:ascii="Times New Roman" w:hAnsi="Times New Roman" w:cs="Times New Roman"/>
          <w:noProof/>
          <w:lang w:val="en-GB"/>
        </w:rPr>
        <w:footnoteReference w:id="15"/>
      </w:r>
      <w:r w:rsidRPr="00291374">
        <w:rPr>
          <w:rFonts w:ascii="Times New Roman" w:hAnsi="Times New Roman" w:cs="Times New Roman"/>
          <w:noProof/>
          <w:lang w:val="en-GB"/>
        </w:rPr>
        <w:t>; (iii) production, rental, or sale of polluting vehicles</w:t>
      </w:r>
      <w:r w:rsidRPr="00291374">
        <w:rPr>
          <w:rStyle w:val="FootnoteReference"/>
          <w:rFonts w:ascii="Times New Roman" w:hAnsi="Times New Roman" w:cs="Times New Roman"/>
          <w:noProof/>
          <w:lang w:val="en-GB"/>
        </w:rPr>
        <w:footnoteReference w:id="16"/>
      </w:r>
      <w:r w:rsidRPr="00291374">
        <w:rPr>
          <w:rFonts w:ascii="Times New Roman" w:hAnsi="Times New Roman" w:cs="Times New Roman"/>
          <w:noProof/>
          <w:lang w:val="en-GB"/>
        </w:rPr>
        <w:t>; (iv) waste collection, waste treatment and disposal</w:t>
      </w:r>
      <w:r w:rsidRPr="00291374">
        <w:rPr>
          <w:rStyle w:val="FootnoteReference"/>
          <w:rFonts w:ascii="Times New Roman" w:hAnsi="Times New Roman" w:cs="Times New Roman"/>
          <w:noProof/>
          <w:lang w:val="en-GB"/>
        </w:rPr>
        <w:footnoteReference w:id="17"/>
      </w:r>
      <w:r w:rsidRPr="00291374">
        <w:rPr>
          <w:rFonts w:ascii="Times New Roman" w:hAnsi="Times New Roman" w:cs="Times New Roman"/>
          <w:noProof/>
          <w:lang w:val="en-GB"/>
        </w:rPr>
        <w:t xml:space="preserve">, (v) processing of nuclear fuel, production of nuclear energy. Moreover, the investment policy shall require compliance with the relevant EU and national environmental legislation of the final beneficiaries. </w:t>
      </w:r>
    </w:p>
    <w:p w14:paraId="40A53C86" w14:textId="77777777" w:rsidR="00BE1A15" w:rsidRPr="00291374" w:rsidRDefault="00BE1A15" w:rsidP="00BE1A15">
      <w:pPr>
        <w:spacing w:before="120" w:after="120" w:line="240" w:lineRule="auto"/>
        <w:jc w:val="both"/>
        <w:rPr>
          <w:rFonts w:ascii="Times New Roman" w:hAnsi="Times New Roman" w:cs="Times New Roman"/>
          <w:noProof/>
          <w:lang w:val="en-GB"/>
        </w:rPr>
        <w:sectPr w:rsidR="00BE1A15" w:rsidRPr="00291374" w:rsidSect="00BE1A15">
          <w:headerReference w:type="even" r:id="rId198"/>
          <w:headerReference w:type="default" r:id="rId199"/>
          <w:footerReference w:type="even" r:id="rId200"/>
          <w:footerReference w:type="default" r:id="rId201"/>
          <w:headerReference w:type="first" r:id="rId202"/>
          <w:footerReference w:type="first" r:id="rId203"/>
          <w:pgSz w:w="11907" w:h="16839"/>
          <w:pgMar w:top="1134" w:right="1134" w:bottom="1134" w:left="1134" w:header="567" w:footer="567" w:gutter="0"/>
          <w:cols w:space="720"/>
          <w:docGrid w:linePitch="360"/>
        </w:sectPr>
      </w:pPr>
      <w:r w:rsidRPr="00291374">
        <w:rPr>
          <w:rFonts w:ascii="Times New Roman" w:hAnsi="Times New Roman" w:cs="Times New Roman"/>
          <w:noProof/>
          <w:lang w:val="en-GB"/>
        </w:rPr>
        <w:t>The satisfactory fulfilment of milestones under this measure is subject to the satisfactory fulfilment of the milestone 210 of reform 5 - Establishment of the National Development Bank.</w:t>
      </w:r>
    </w:p>
    <w:p w14:paraId="1E0FBA85" w14:textId="77777777" w:rsidR="00BE1A15" w:rsidRPr="00291374" w:rsidRDefault="00BE1A15" w:rsidP="00174ADA">
      <w:pPr>
        <w:keepNext/>
        <w:numPr>
          <w:ilvl w:val="1"/>
          <w:numId w:val="0"/>
        </w:numPr>
        <w:spacing w:before="120" w:after="120" w:line="240" w:lineRule="auto"/>
        <w:ind w:left="850" w:hanging="850"/>
        <w:jc w:val="both"/>
        <w:outlineLvl w:val="1"/>
        <w:rPr>
          <w:rFonts w:ascii="Times New Roman" w:eastAsia="Times New Roman" w:hAnsi="Times New Roman" w:cs="Times New Roman"/>
          <w:b/>
          <w:bCs/>
          <w:noProof/>
          <w:color w:val="000000" w:themeColor="text1"/>
          <w:lang w:val="en-GB"/>
        </w:rPr>
      </w:pPr>
      <w:r w:rsidRPr="00291374">
        <w:rPr>
          <w:rFonts w:ascii="Times New Roman" w:eastAsia="Times New Roman" w:hAnsi="Times New Roman" w:cs="Times New Roman"/>
          <w:b/>
          <w:bCs/>
          <w:noProof/>
          <w:color w:val="000000" w:themeColor="text1"/>
          <w:lang w:val="en-GB"/>
        </w:rPr>
        <w:t xml:space="preserve">H.4. </w:t>
      </w:r>
      <w:r w:rsidRPr="00291374">
        <w:rPr>
          <w:rFonts w:ascii="Times New Roman" w:hAnsi="Times New Roman" w:cs="Times New Roman"/>
          <w:noProof/>
        </w:rPr>
        <w:tab/>
      </w:r>
      <w:r w:rsidRPr="00174ADA">
        <w:rPr>
          <w:rFonts w:ascii="Times New Roman" w:hAnsi="Times New Roman" w:cs="Times New Roman"/>
          <w:b/>
          <w:noProof/>
          <w:lang w:val="en-GB"/>
        </w:rPr>
        <w:t>Milestones</w:t>
      </w:r>
      <w:r w:rsidRPr="00291374">
        <w:rPr>
          <w:rFonts w:ascii="Times New Roman" w:eastAsia="Times New Roman" w:hAnsi="Times New Roman" w:cs="Times New Roman"/>
          <w:b/>
          <w:bCs/>
          <w:noProof/>
          <w:color w:val="000000" w:themeColor="text1"/>
          <w:lang w:val="en-GB"/>
        </w:rPr>
        <w:t xml:space="preserve">, targets, indicators, and timetable for monitoring and implementation for the loan </w:t>
      </w:r>
    </w:p>
    <w:tbl>
      <w:tblPr>
        <w:tblW w:w="15730" w:type="dxa"/>
        <w:jc w:val="center"/>
        <w:tblLayout w:type="fixed"/>
        <w:tblLook w:val="04A0" w:firstRow="1" w:lastRow="0" w:firstColumn="1" w:lastColumn="0" w:noHBand="0" w:noVBand="1"/>
      </w:tblPr>
      <w:tblGrid>
        <w:gridCol w:w="842"/>
        <w:gridCol w:w="1833"/>
        <w:gridCol w:w="1268"/>
        <w:gridCol w:w="1380"/>
        <w:gridCol w:w="1807"/>
        <w:gridCol w:w="1127"/>
        <w:gridCol w:w="1129"/>
        <w:gridCol w:w="1269"/>
        <w:gridCol w:w="1128"/>
        <w:gridCol w:w="840"/>
        <w:gridCol w:w="3107"/>
      </w:tblGrid>
      <w:tr w:rsidR="00BE1A15" w:rsidRPr="009F5E22" w14:paraId="37025F9E" w14:textId="77777777">
        <w:trPr>
          <w:trHeight w:val="300"/>
          <w:tblHeader/>
          <w:jc w:val="center"/>
        </w:trPr>
        <w:tc>
          <w:tcPr>
            <w:tcW w:w="8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7351FD" w14:textId="77777777" w:rsidR="00BE1A15" w:rsidRPr="009F5E22" w:rsidRDefault="00BE1A15">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Seq. Num.</w:t>
            </w:r>
          </w:p>
        </w:tc>
        <w:tc>
          <w:tcPr>
            <w:tcW w:w="18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F1D304D" w14:textId="77777777" w:rsidR="00BE1A15" w:rsidRPr="009F5E22" w:rsidRDefault="00BE1A15">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Related Measure (Reform or Investment)</w:t>
            </w:r>
          </w:p>
        </w:tc>
        <w:tc>
          <w:tcPr>
            <w:tcW w:w="12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DD2C833" w14:textId="77777777" w:rsidR="00BE1A15" w:rsidRPr="009F5E22" w:rsidRDefault="00BE1A15">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Milestone / Target</w:t>
            </w:r>
          </w:p>
        </w:tc>
        <w:tc>
          <w:tcPr>
            <w:tcW w:w="13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A571849" w14:textId="77777777" w:rsidR="00BE1A15" w:rsidRPr="009F5E22" w:rsidRDefault="00BE1A15">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Name</w:t>
            </w:r>
          </w:p>
        </w:tc>
        <w:tc>
          <w:tcPr>
            <w:tcW w:w="18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A4B4E22" w14:textId="77777777" w:rsidR="00BE1A15" w:rsidRPr="009F5E22" w:rsidRDefault="00BE1A15">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 xml:space="preserve">Qualitative indicators </w:t>
            </w:r>
            <w:r w:rsidRPr="009F5E22">
              <w:rPr>
                <w:rFonts w:ascii="Times New Roman" w:hAnsi="Times New Roman" w:cs="Times New Roman"/>
                <w:noProof/>
                <w:sz w:val="20"/>
                <w:szCs w:val="20"/>
                <w:lang w:val="en-GB"/>
              </w:rPr>
              <w:br/>
            </w:r>
            <w:r w:rsidRPr="009F5E22">
              <w:rPr>
                <w:rFonts w:ascii="Times New Roman" w:hAnsi="Times New Roman" w:cs="Times New Roman"/>
                <w:b/>
                <w:noProof/>
                <w:sz w:val="20"/>
                <w:szCs w:val="20"/>
                <w:lang w:val="en-GB"/>
              </w:rPr>
              <w:t>(for milestones)</w:t>
            </w:r>
          </w:p>
        </w:tc>
        <w:tc>
          <w:tcPr>
            <w:tcW w:w="352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6014F3C" w14:textId="77777777" w:rsidR="00BE1A15" w:rsidRPr="009F5E22" w:rsidRDefault="00BE1A15">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 xml:space="preserve">Quantitative indicators </w:t>
            </w:r>
            <w:r w:rsidRPr="009F5E22">
              <w:rPr>
                <w:rFonts w:ascii="Times New Roman" w:hAnsi="Times New Roman" w:cs="Times New Roman"/>
                <w:noProof/>
                <w:sz w:val="20"/>
                <w:szCs w:val="20"/>
                <w:lang w:val="en-GB"/>
              </w:rPr>
              <w:br/>
            </w:r>
            <w:r w:rsidRPr="009F5E22">
              <w:rPr>
                <w:rFonts w:ascii="Times New Roman" w:hAnsi="Times New Roman" w:cs="Times New Roman"/>
                <w:b/>
                <w:noProof/>
                <w:sz w:val="20"/>
                <w:szCs w:val="20"/>
                <w:lang w:val="en-GB"/>
              </w:rPr>
              <w:t>(for targets)</w:t>
            </w:r>
          </w:p>
        </w:tc>
        <w:tc>
          <w:tcPr>
            <w:tcW w:w="1968" w:type="dxa"/>
            <w:gridSpan w:val="2"/>
            <w:tcBorders>
              <w:top w:val="single" w:sz="4" w:space="0" w:color="auto"/>
              <w:left w:val="nil"/>
              <w:bottom w:val="single" w:sz="4" w:space="0" w:color="auto"/>
              <w:right w:val="single" w:sz="4" w:space="0" w:color="auto"/>
            </w:tcBorders>
            <w:shd w:val="clear" w:color="auto" w:fill="BDD7EE"/>
            <w:vAlign w:val="center"/>
            <w:hideMark/>
          </w:tcPr>
          <w:p w14:paraId="3B498551" w14:textId="77777777" w:rsidR="00BE1A15" w:rsidRPr="009F5E22" w:rsidRDefault="00BE1A15">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Indicative timeline for completion</w:t>
            </w:r>
          </w:p>
        </w:tc>
        <w:tc>
          <w:tcPr>
            <w:tcW w:w="31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8C4A12" w14:textId="77777777" w:rsidR="00BE1A15" w:rsidRPr="009F5E22" w:rsidRDefault="00BE1A15">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Description of each milestone and target</w:t>
            </w:r>
          </w:p>
        </w:tc>
      </w:tr>
      <w:tr w:rsidR="00BE1A15" w:rsidRPr="009F5E22" w14:paraId="4ABBE7F5" w14:textId="77777777">
        <w:trPr>
          <w:trHeight w:val="300"/>
          <w:tblHeader/>
          <w:jc w:val="center"/>
        </w:trPr>
        <w:tc>
          <w:tcPr>
            <w:tcW w:w="842" w:type="dxa"/>
            <w:vMerge/>
            <w:tcBorders>
              <w:top w:val="single" w:sz="4" w:space="0" w:color="auto"/>
              <w:left w:val="single" w:sz="4" w:space="0" w:color="auto"/>
              <w:bottom w:val="single" w:sz="4" w:space="0" w:color="auto"/>
              <w:right w:val="single" w:sz="4" w:space="0" w:color="auto"/>
            </w:tcBorders>
            <w:hideMark/>
          </w:tcPr>
          <w:p w14:paraId="711B0A62" w14:textId="77777777" w:rsidR="00BE1A15" w:rsidRPr="009F5E22" w:rsidRDefault="00BE1A15">
            <w:pPr>
              <w:spacing w:after="0" w:line="240" w:lineRule="auto"/>
              <w:jc w:val="center"/>
              <w:rPr>
                <w:rFonts w:ascii="Times New Roman" w:eastAsia="Times New Roman" w:hAnsi="Times New Roman" w:cs="Times New Roman"/>
                <w:b/>
                <w:bCs/>
                <w:noProof/>
                <w:sz w:val="20"/>
                <w:szCs w:val="20"/>
                <w:lang w:val="en-GB" w:eastAsia="en-GB"/>
              </w:rPr>
            </w:pPr>
          </w:p>
        </w:tc>
        <w:tc>
          <w:tcPr>
            <w:tcW w:w="1833" w:type="dxa"/>
            <w:vMerge/>
            <w:tcBorders>
              <w:top w:val="single" w:sz="4" w:space="0" w:color="auto"/>
              <w:left w:val="single" w:sz="4" w:space="0" w:color="auto"/>
              <w:bottom w:val="single" w:sz="4" w:space="0" w:color="auto"/>
              <w:right w:val="single" w:sz="4" w:space="0" w:color="auto"/>
            </w:tcBorders>
            <w:hideMark/>
          </w:tcPr>
          <w:p w14:paraId="356A5793" w14:textId="77777777" w:rsidR="00BE1A15" w:rsidRPr="009F5E22" w:rsidRDefault="00BE1A15">
            <w:pPr>
              <w:spacing w:after="0" w:line="240" w:lineRule="auto"/>
              <w:jc w:val="both"/>
              <w:rPr>
                <w:rFonts w:ascii="Times New Roman" w:eastAsia="Times New Roman" w:hAnsi="Times New Roman" w:cs="Times New Roman"/>
                <w:b/>
                <w:bCs/>
                <w:noProof/>
                <w:sz w:val="20"/>
                <w:szCs w:val="20"/>
                <w:lang w:val="en-GB" w:eastAsia="en-GB"/>
              </w:rPr>
            </w:pPr>
          </w:p>
        </w:tc>
        <w:tc>
          <w:tcPr>
            <w:tcW w:w="1268" w:type="dxa"/>
            <w:vMerge/>
            <w:tcBorders>
              <w:top w:val="single" w:sz="4" w:space="0" w:color="auto"/>
              <w:left w:val="single" w:sz="4" w:space="0" w:color="auto"/>
              <w:bottom w:val="single" w:sz="4" w:space="0" w:color="auto"/>
              <w:right w:val="single" w:sz="4" w:space="0" w:color="auto"/>
            </w:tcBorders>
            <w:hideMark/>
          </w:tcPr>
          <w:p w14:paraId="4BAE738D" w14:textId="77777777" w:rsidR="00BE1A15" w:rsidRPr="009F5E22" w:rsidRDefault="00BE1A15">
            <w:pPr>
              <w:spacing w:after="0" w:line="240" w:lineRule="auto"/>
              <w:jc w:val="center"/>
              <w:rPr>
                <w:rFonts w:ascii="Times New Roman" w:eastAsia="Times New Roman" w:hAnsi="Times New Roman" w:cs="Times New Roman"/>
                <w:b/>
                <w:bCs/>
                <w:noProof/>
                <w:sz w:val="20"/>
                <w:szCs w:val="20"/>
                <w:lang w:val="en-GB" w:eastAsia="en-GB"/>
              </w:rPr>
            </w:pPr>
          </w:p>
        </w:tc>
        <w:tc>
          <w:tcPr>
            <w:tcW w:w="1380" w:type="dxa"/>
            <w:vMerge/>
            <w:tcBorders>
              <w:top w:val="single" w:sz="4" w:space="0" w:color="auto"/>
              <w:left w:val="single" w:sz="4" w:space="0" w:color="auto"/>
              <w:bottom w:val="single" w:sz="4" w:space="0" w:color="auto"/>
              <w:right w:val="single" w:sz="4" w:space="0" w:color="auto"/>
            </w:tcBorders>
            <w:hideMark/>
          </w:tcPr>
          <w:p w14:paraId="7E93B732" w14:textId="77777777" w:rsidR="00BE1A15" w:rsidRPr="009F5E22" w:rsidRDefault="00BE1A15">
            <w:pPr>
              <w:spacing w:after="0" w:line="240" w:lineRule="auto"/>
              <w:jc w:val="both"/>
              <w:rPr>
                <w:rFonts w:ascii="Times New Roman" w:eastAsia="Times New Roman" w:hAnsi="Times New Roman" w:cs="Times New Roman"/>
                <w:b/>
                <w:bCs/>
                <w:noProof/>
                <w:sz w:val="20"/>
                <w:szCs w:val="20"/>
                <w:lang w:val="en-GB" w:eastAsia="en-GB"/>
              </w:rPr>
            </w:pPr>
          </w:p>
        </w:tc>
        <w:tc>
          <w:tcPr>
            <w:tcW w:w="1807" w:type="dxa"/>
            <w:vMerge/>
            <w:tcBorders>
              <w:top w:val="single" w:sz="4" w:space="0" w:color="auto"/>
              <w:left w:val="single" w:sz="4" w:space="0" w:color="auto"/>
              <w:bottom w:val="single" w:sz="4" w:space="0" w:color="auto"/>
              <w:right w:val="single" w:sz="4" w:space="0" w:color="auto"/>
            </w:tcBorders>
            <w:hideMark/>
          </w:tcPr>
          <w:p w14:paraId="03E7E43E" w14:textId="77777777" w:rsidR="00BE1A15" w:rsidRPr="009F5E22" w:rsidRDefault="00BE1A15">
            <w:pPr>
              <w:spacing w:after="0" w:line="240" w:lineRule="auto"/>
              <w:jc w:val="both"/>
              <w:rPr>
                <w:rFonts w:ascii="Times New Roman" w:eastAsia="Times New Roman" w:hAnsi="Times New Roman" w:cs="Times New Roman"/>
                <w:b/>
                <w:bCs/>
                <w:noProof/>
                <w:sz w:val="20"/>
                <w:szCs w:val="20"/>
                <w:lang w:val="en-GB" w:eastAsia="en-GB"/>
              </w:rPr>
            </w:pPr>
          </w:p>
        </w:tc>
        <w:tc>
          <w:tcPr>
            <w:tcW w:w="1127" w:type="dxa"/>
            <w:tcBorders>
              <w:top w:val="nil"/>
              <w:left w:val="single" w:sz="4" w:space="0" w:color="auto"/>
              <w:bottom w:val="single" w:sz="4" w:space="0" w:color="auto"/>
              <w:right w:val="single" w:sz="4" w:space="0" w:color="auto"/>
            </w:tcBorders>
            <w:shd w:val="clear" w:color="auto" w:fill="BDD7EE"/>
            <w:vAlign w:val="center"/>
            <w:hideMark/>
          </w:tcPr>
          <w:p w14:paraId="722BC15D" w14:textId="77777777" w:rsidR="00BE1A15" w:rsidRPr="009F5E22" w:rsidRDefault="00BE1A15">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Unit of measure</w:t>
            </w:r>
          </w:p>
        </w:tc>
        <w:tc>
          <w:tcPr>
            <w:tcW w:w="1129" w:type="dxa"/>
            <w:tcBorders>
              <w:top w:val="nil"/>
              <w:left w:val="nil"/>
              <w:bottom w:val="single" w:sz="4" w:space="0" w:color="auto"/>
              <w:right w:val="single" w:sz="4" w:space="0" w:color="auto"/>
            </w:tcBorders>
            <w:shd w:val="clear" w:color="auto" w:fill="BDD7EE"/>
            <w:vAlign w:val="center"/>
            <w:hideMark/>
          </w:tcPr>
          <w:p w14:paraId="13A5F863" w14:textId="77777777" w:rsidR="00BE1A15" w:rsidRPr="009F5E22" w:rsidRDefault="00BE1A15">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Baseline</w:t>
            </w:r>
          </w:p>
        </w:tc>
        <w:tc>
          <w:tcPr>
            <w:tcW w:w="1269" w:type="dxa"/>
            <w:tcBorders>
              <w:top w:val="nil"/>
              <w:left w:val="nil"/>
              <w:bottom w:val="single" w:sz="4" w:space="0" w:color="auto"/>
              <w:right w:val="single" w:sz="4" w:space="0" w:color="auto"/>
            </w:tcBorders>
            <w:shd w:val="clear" w:color="auto" w:fill="BDD7EE"/>
            <w:vAlign w:val="center"/>
            <w:hideMark/>
          </w:tcPr>
          <w:p w14:paraId="61369B25" w14:textId="77777777" w:rsidR="00BE1A15" w:rsidRPr="009F5E22" w:rsidRDefault="00BE1A15">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Goal</w:t>
            </w:r>
          </w:p>
        </w:tc>
        <w:tc>
          <w:tcPr>
            <w:tcW w:w="1128" w:type="dxa"/>
            <w:tcBorders>
              <w:top w:val="nil"/>
              <w:left w:val="nil"/>
              <w:bottom w:val="single" w:sz="4" w:space="0" w:color="auto"/>
              <w:right w:val="single" w:sz="4" w:space="0" w:color="auto"/>
            </w:tcBorders>
            <w:shd w:val="clear" w:color="auto" w:fill="BDD7EE"/>
            <w:vAlign w:val="center"/>
            <w:hideMark/>
          </w:tcPr>
          <w:p w14:paraId="06EAC897" w14:textId="77777777" w:rsidR="00BE1A15" w:rsidRPr="009F5E22" w:rsidRDefault="00BE1A15">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Quarter</w:t>
            </w:r>
          </w:p>
        </w:tc>
        <w:tc>
          <w:tcPr>
            <w:tcW w:w="840" w:type="dxa"/>
            <w:tcBorders>
              <w:top w:val="nil"/>
              <w:left w:val="nil"/>
              <w:bottom w:val="single" w:sz="4" w:space="0" w:color="auto"/>
              <w:right w:val="single" w:sz="4" w:space="0" w:color="auto"/>
            </w:tcBorders>
            <w:shd w:val="clear" w:color="auto" w:fill="BDD7EE"/>
            <w:vAlign w:val="center"/>
            <w:hideMark/>
          </w:tcPr>
          <w:p w14:paraId="781DFCC7" w14:textId="77777777" w:rsidR="00BE1A15" w:rsidRPr="009F5E22" w:rsidRDefault="00BE1A15">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Year</w:t>
            </w:r>
          </w:p>
        </w:tc>
        <w:tc>
          <w:tcPr>
            <w:tcW w:w="3107" w:type="dxa"/>
            <w:vMerge/>
            <w:tcBorders>
              <w:top w:val="single" w:sz="4" w:space="0" w:color="auto"/>
              <w:bottom w:val="single" w:sz="4" w:space="0" w:color="auto"/>
              <w:right w:val="single" w:sz="4" w:space="0" w:color="auto"/>
            </w:tcBorders>
            <w:hideMark/>
          </w:tcPr>
          <w:p w14:paraId="317759C7" w14:textId="77777777" w:rsidR="00BE1A15" w:rsidRPr="009F5E22" w:rsidRDefault="00BE1A15">
            <w:pPr>
              <w:spacing w:after="0" w:line="240" w:lineRule="auto"/>
              <w:jc w:val="both"/>
              <w:rPr>
                <w:rFonts w:ascii="Times New Roman" w:eastAsia="Times New Roman" w:hAnsi="Times New Roman" w:cs="Times New Roman"/>
                <w:b/>
                <w:bCs/>
                <w:noProof/>
                <w:sz w:val="20"/>
                <w:szCs w:val="20"/>
                <w:lang w:val="en-GB" w:eastAsia="en-GB"/>
              </w:rPr>
            </w:pPr>
          </w:p>
        </w:tc>
      </w:tr>
      <w:tr w:rsidR="00BE1A15" w:rsidRPr="009F5E22" w14:paraId="36E51A6C" w14:textId="77777777">
        <w:trPr>
          <w:trHeight w:val="300"/>
          <w:jc w:val="center"/>
        </w:trPr>
        <w:tc>
          <w:tcPr>
            <w:tcW w:w="842" w:type="dxa"/>
            <w:tcBorders>
              <w:top w:val="single" w:sz="4" w:space="0" w:color="auto"/>
              <w:left w:val="single" w:sz="4" w:space="0" w:color="auto"/>
              <w:bottom w:val="single" w:sz="4" w:space="0" w:color="auto"/>
              <w:right w:val="single" w:sz="4" w:space="0" w:color="auto"/>
            </w:tcBorders>
            <w:shd w:val="clear" w:color="auto" w:fill="C6EFCE"/>
            <w:noWrap/>
          </w:tcPr>
          <w:p w14:paraId="25BE727B" w14:textId="77777777" w:rsidR="00BE1A15" w:rsidRPr="009F5E22" w:rsidRDefault="00BE1A15">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240a</w:t>
            </w:r>
          </w:p>
        </w:tc>
        <w:tc>
          <w:tcPr>
            <w:tcW w:w="1833" w:type="dxa"/>
            <w:tcBorders>
              <w:top w:val="single" w:sz="4" w:space="0" w:color="auto"/>
              <w:left w:val="nil"/>
              <w:bottom w:val="single" w:sz="4" w:space="0" w:color="auto"/>
              <w:right w:val="single" w:sz="4" w:space="0" w:color="auto"/>
            </w:tcBorders>
            <w:shd w:val="clear" w:color="auto" w:fill="C6EFCE"/>
            <w:noWrap/>
          </w:tcPr>
          <w:p w14:paraId="163A8F4F" w14:textId="77777777" w:rsidR="00BE1A15" w:rsidRPr="009F5E22" w:rsidRDefault="00BE1A15">
            <w:pPr>
              <w:spacing w:after="0" w:line="240" w:lineRule="auto"/>
              <w:jc w:val="both"/>
              <w:rPr>
                <w:rFonts w:ascii="Times New Roman" w:eastAsia="Times New Roman" w:hAnsi="Times New Roman" w:cs="Times New Roman"/>
                <w:noProof/>
                <w:sz w:val="20"/>
                <w:szCs w:val="20"/>
                <w:lang w:val="en-GB"/>
              </w:rPr>
            </w:pPr>
            <w:r w:rsidRPr="009F5E22">
              <w:rPr>
                <w:rFonts w:ascii="Times New Roman" w:eastAsia="Times New Roman" w:hAnsi="Times New Roman" w:cs="Times New Roman"/>
                <w:noProof/>
                <w:sz w:val="20"/>
                <w:szCs w:val="20"/>
                <w:lang w:val="en-GB"/>
              </w:rPr>
              <w:t>Investment 11. Equity injection into the National Development Bank</w:t>
            </w:r>
          </w:p>
        </w:tc>
        <w:tc>
          <w:tcPr>
            <w:tcW w:w="1268" w:type="dxa"/>
            <w:tcBorders>
              <w:top w:val="single" w:sz="4" w:space="0" w:color="auto"/>
              <w:left w:val="nil"/>
              <w:bottom w:val="single" w:sz="4" w:space="0" w:color="auto"/>
              <w:right w:val="single" w:sz="4" w:space="0" w:color="auto"/>
            </w:tcBorders>
            <w:shd w:val="clear" w:color="auto" w:fill="C6EFCE"/>
            <w:noWrap/>
          </w:tcPr>
          <w:p w14:paraId="5F988D22" w14:textId="77777777" w:rsidR="00BE1A15" w:rsidRPr="009F5E22" w:rsidRDefault="00BE1A15">
            <w:pPr>
              <w:spacing w:line="240" w:lineRule="auto"/>
              <w:jc w:val="center"/>
              <w:rPr>
                <w:rFonts w:ascii="Times New Roman" w:eastAsia="Times New Roman" w:hAnsi="Times New Roman" w:cs="Times New Roman"/>
                <w:noProof/>
                <w:sz w:val="20"/>
                <w:szCs w:val="20"/>
              </w:rPr>
            </w:pPr>
            <w:r w:rsidRPr="009F5E22">
              <w:rPr>
                <w:rFonts w:ascii="Times New Roman" w:eastAsia="Times New Roman" w:hAnsi="Times New Roman" w:cs="Times New Roman"/>
                <w:noProof/>
                <w:sz w:val="20"/>
                <w:szCs w:val="20"/>
                <w:lang w:val="en-GB"/>
              </w:rPr>
              <w:t>Milestone</w:t>
            </w:r>
          </w:p>
        </w:tc>
        <w:tc>
          <w:tcPr>
            <w:tcW w:w="1380" w:type="dxa"/>
            <w:tcBorders>
              <w:top w:val="single" w:sz="4" w:space="0" w:color="auto"/>
              <w:left w:val="nil"/>
              <w:bottom w:val="single" w:sz="4" w:space="0" w:color="auto"/>
              <w:right w:val="single" w:sz="4" w:space="0" w:color="auto"/>
            </w:tcBorders>
            <w:shd w:val="clear" w:color="auto" w:fill="C6EFCE"/>
            <w:noWrap/>
          </w:tcPr>
          <w:p w14:paraId="7A6B3D78" w14:textId="77777777" w:rsidR="00BE1A15" w:rsidRPr="009F5E22" w:rsidRDefault="00BE1A15">
            <w:pPr>
              <w:spacing w:line="240" w:lineRule="auto"/>
              <w:jc w:val="both"/>
              <w:rPr>
                <w:rFonts w:ascii="Times New Roman" w:eastAsia="Times New Roman" w:hAnsi="Times New Roman" w:cs="Times New Roman"/>
                <w:noProof/>
                <w:sz w:val="20"/>
                <w:szCs w:val="20"/>
              </w:rPr>
            </w:pPr>
            <w:r w:rsidRPr="009F5E22">
              <w:rPr>
                <w:rFonts w:ascii="Times New Roman" w:eastAsia="Times New Roman" w:hAnsi="Times New Roman" w:cs="Times New Roman"/>
                <w:noProof/>
                <w:sz w:val="20"/>
                <w:szCs w:val="20"/>
                <w:lang w:val="en-GB"/>
              </w:rPr>
              <w:t>Investment policy</w:t>
            </w:r>
          </w:p>
        </w:tc>
        <w:tc>
          <w:tcPr>
            <w:tcW w:w="1807" w:type="dxa"/>
            <w:tcBorders>
              <w:top w:val="single" w:sz="4" w:space="0" w:color="auto"/>
              <w:left w:val="nil"/>
              <w:bottom w:val="single" w:sz="4" w:space="0" w:color="auto"/>
              <w:right w:val="single" w:sz="4" w:space="0" w:color="auto"/>
            </w:tcBorders>
            <w:shd w:val="clear" w:color="auto" w:fill="C6EFCE"/>
            <w:noWrap/>
          </w:tcPr>
          <w:p w14:paraId="7F2228EA" w14:textId="77777777" w:rsidR="00BE1A15" w:rsidRPr="009F5E22" w:rsidRDefault="00BE1A15">
            <w:pPr>
              <w:spacing w:line="240" w:lineRule="auto"/>
              <w:jc w:val="both"/>
              <w:rPr>
                <w:rFonts w:ascii="Times New Roman" w:eastAsia="Times New Roman" w:hAnsi="Times New Roman" w:cs="Times New Roman"/>
                <w:noProof/>
                <w:sz w:val="20"/>
                <w:szCs w:val="20"/>
              </w:rPr>
            </w:pPr>
            <w:r w:rsidRPr="009F5E22">
              <w:rPr>
                <w:rFonts w:ascii="Times New Roman" w:eastAsia="Times New Roman" w:hAnsi="Times New Roman" w:cs="Times New Roman"/>
                <w:noProof/>
                <w:sz w:val="20"/>
                <w:szCs w:val="20"/>
                <w:lang w:val="en-GB"/>
              </w:rPr>
              <w:t>Adoption of an investment policy</w:t>
            </w:r>
          </w:p>
        </w:tc>
        <w:tc>
          <w:tcPr>
            <w:tcW w:w="1127" w:type="dxa"/>
            <w:tcBorders>
              <w:top w:val="nil"/>
              <w:left w:val="nil"/>
              <w:bottom w:val="single" w:sz="4" w:space="0" w:color="auto"/>
              <w:right w:val="single" w:sz="4" w:space="0" w:color="auto"/>
            </w:tcBorders>
            <w:shd w:val="clear" w:color="auto" w:fill="C6EFCE"/>
            <w:noWrap/>
          </w:tcPr>
          <w:p w14:paraId="5C8890D1" w14:textId="77777777" w:rsidR="00BE1A15" w:rsidRPr="009F5E22" w:rsidRDefault="00BE1A15">
            <w:pPr>
              <w:spacing w:line="240" w:lineRule="auto"/>
              <w:rPr>
                <w:rFonts w:ascii="Times New Roman" w:eastAsia="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7E288CD8" w14:textId="77777777" w:rsidR="00BE1A15" w:rsidRPr="009F5E22" w:rsidRDefault="00BE1A15">
            <w:pPr>
              <w:spacing w:line="240" w:lineRule="auto"/>
              <w:rPr>
                <w:rFonts w:ascii="Times New Roman" w:eastAsia="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74B04263" w14:textId="77777777" w:rsidR="00BE1A15" w:rsidRPr="009F5E22" w:rsidRDefault="00BE1A15">
            <w:pPr>
              <w:spacing w:line="240" w:lineRule="auto"/>
              <w:rPr>
                <w:rFonts w:ascii="Times New Roman" w:eastAsia="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28EFBCFD" w14:textId="77777777" w:rsidR="00BE1A15" w:rsidRPr="009F5E22" w:rsidRDefault="00BE1A15">
            <w:pPr>
              <w:spacing w:line="240" w:lineRule="auto"/>
              <w:jc w:val="center"/>
              <w:rPr>
                <w:rFonts w:ascii="Times New Roman" w:eastAsia="Times New Roman" w:hAnsi="Times New Roman" w:cs="Times New Roman"/>
                <w:noProof/>
                <w:sz w:val="20"/>
                <w:szCs w:val="20"/>
              </w:rPr>
            </w:pPr>
            <w:r w:rsidRPr="009F5E22">
              <w:rPr>
                <w:rFonts w:ascii="Times New Roman" w:eastAsia="Times New Roman" w:hAnsi="Times New Roman" w:cs="Times New Roman"/>
                <w:noProof/>
                <w:sz w:val="20"/>
                <w:szCs w:val="20"/>
                <w:lang w:val="en-GB"/>
              </w:rPr>
              <w:t>Q1</w:t>
            </w:r>
          </w:p>
        </w:tc>
        <w:tc>
          <w:tcPr>
            <w:tcW w:w="840" w:type="dxa"/>
            <w:tcBorders>
              <w:top w:val="nil"/>
              <w:left w:val="nil"/>
              <w:bottom w:val="single" w:sz="4" w:space="0" w:color="auto"/>
              <w:right w:val="single" w:sz="4" w:space="0" w:color="auto"/>
            </w:tcBorders>
            <w:shd w:val="clear" w:color="auto" w:fill="C6EFCE"/>
            <w:noWrap/>
          </w:tcPr>
          <w:p w14:paraId="1031F47B" w14:textId="77777777" w:rsidR="00BE1A15" w:rsidRPr="009F5E22" w:rsidRDefault="00BE1A15">
            <w:pPr>
              <w:spacing w:line="240" w:lineRule="auto"/>
              <w:jc w:val="center"/>
              <w:rPr>
                <w:rFonts w:ascii="Times New Roman" w:eastAsia="Times New Roman" w:hAnsi="Times New Roman" w:cs="Times New Roman"/>
                <w:noProof/>
                <w:sz w:val="20"/>
                <w:szCs w:val="20"/>
              </w:rPr>
            </w:pPr>
            <w:r w:rsidRPr="009F5E22">
              <w:rPr>
                <w:rFonts w:ascii="Times New Roman" w:eastAsia="Times New Roman" w:hAnsi="Times New Roman" w:cs="Times New Roman"/>
                <w:noProof/>
                <w:sz w:val="20"/>
                <w:szCs w:val="20"/>
                <w:lang w:val="en-GB"/>
              </w:rPr>
              <w:t>2026</w:t>
            </w:r>
          </w:p>
        </w:tc>
        <w:tc>
          <w:tcPr>
            <w:tcW w:w="3107" w:type="dxa"/>
            <w:tcBorders>
              <w:top w:val="single" w:sz="4" w:space="0" w:color="auto"/>
              <w:left w:val="nil"/>
              <w:bottom w:val="single" w:sz="4" w:space="0" w:color="auto"/>
              <w:right w:val="single" w:sz="4" w:space="0" w:color="auto"/>
            </w:tcBorders>
            <w:shd w:val="clear" w:color="auto" w:fill="C6EFCE"/>
            <w:noWrap/>
          </w:tcPr>
          <w:p w14:paraId="677CB97F" w14:textId="77777777" w:rsidR="00BE1A15" w:rsidRPr="009F5E22" w:rsidRDefault="00BE1A15">
            <w:pPr>
              <w:spacing w:line="240" w:lineRule="auto"/>
              <w:jc w:val="both"/>
              <w:rPr>
                <w:rFonts w:ascii="Times New Roman" w:eastAsia="Times New Roman" w:hAnsi="Times New Roman" w:cs="Times New Roman"/>
                <w:noProof/>
                <w:color w:val="000000" w:themeColor="text1"/>
                <w:sz w:val="20"/>
                <w:szCs w:val="20"/>
              </w:rPr>
            </w:pPr>
            <w:r w:rsidRPr="009F5E22">
              <w:rPr>
                <w:rFonts w:ascii="Times New Roman" w:eastAsia="Times New Roman" w:hAnsi="Times New Roman" w:cs="Times New Roman"/>
                <w:noProof/>
                <w:sz w:val="20"/>
                <w:szCs w:val="20"/>
                <w:lang w:val="en-GB"/>
              </w:rPr>
              <w:t>Adoption of an investment policy for the National Development Bank for the use of the additional equity.</w:t>
            </w:r>
          </w:p>
        </w:tc>
      </w:tr>
      <w:tr w:rsidR="00BE1A15" w:rsidRPr="009F5E22" w14:paraId="6D7DAD35" w14:textId="77777777">
        <w:trPr>
          <w:trHeight w:val="300"/>
          <w:jc w:val="center"/>
        </w:trPr>
        <w:tc>
          <w:tcPr>
            <w:tcW w:w="842" w:type="dxa"/>
            <w:tcBorders>
              <w:top w:val="single" w:sz="4" w:space="0" w:color="auto"/>
              <w:left w:val="single" w:sz="4" w:space="0" w:color="auto"/>
              <w:bottom w:val="single" w:sz="4" w:space="0" w:color="auto"/>
              <w:right w:val="single" w:sz="4" w:space="0" w:color="auto"/>
            </w:tcBorders>
            <w:shd w:val="clear" w:color="auto" w:fill="C6EFCE"/>
            <w:noWrap/>
          </w:tcPr>
          <w:p w14:paraId="0E33808C" w14:textId="77777777" w:rsidR="00BE1A15" w:rsidRPr="009F5E22" w:rsidRDefault="00BE1A15">
            <w:pPr>
              <w:spacing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240b</w:t>
            </w:r>
          </w:p>
        </w:tc>
        <w:tc>
          <w:tcPr>
            <w:tcW w:w="1833" w:type="dxa"/>
            <w:tcBorders>
              <w:top w:val="single" w:sz="4" w:space="0" w:color="auto"/>
              <w:left w:val="nil"/>
              <w:bottom w:val="single" w:sz="4" w:space="0" w:color="auto"/>
              <w:right w:val="single" w:sz="4" w:space="0" w:color="auto"/>
            </w:tcBorders>
            <w:shd w:val="clear" w:color="auto" w:fill="C6EFCE"/>
            <w:noWrap/>
          </w:tcPr>
          <w:p w14:paraId="68D73022" w14:textId="77777777" w:rsidR="00BE1A15" w:rsidRPr="009F5E22" w:rsidRDefault="00BE1A15">
            <w:pPr>
              <w:spacing w:after="0" w:line="240" w:lineRule="auto"/>
              <w:jc w:val="both"/>
              <w:rPr>
                <w:rFonts w:ascii="Times New Roman" w:eastAsia="Times New Roman" w:hAnsi="Times New Roman" w:cs="Times New Roman"/>
                <w:noProof/>
                <w:sz w:val="20"/>
                <w:szCs w:val="20"/>
                <w:lang w:val="en-GB"/>
              </w:rPr>
            </w:pPr>
            <w:r w:rsidRPr="009F5E22">
              <w:rPr>
                <w:rFonts w:ascii="Times New Roman" w:eastAsia="Times New Roman" w:hAnsi="Times New Roman" w:cs="Times New Roman"/>
                <w:noProof/>
                <w:sz w:val="20"/>
                <w:szCs w:val="20"/>
                <w:lang w:val="en-GB"/>
              </w:rPr>
              <w:t>Investment 11. Equity injection into the National Development Bank</w:t>
            </w:r>
          </w:p>
          <w:p w14:paraId="225E67D0" w14:textId="77777777" w:rsidR="00BE1A15" w:rsidRPr="009F5E22" w:rsidRDefault="00BE1A15">
            <w:pPr>
              <w:spacing w:line="240" w:lineRule="auto"/>
              <w:jc w:val="both"/>
              <w:rPr>
                <w:rFonts w:ascii="Times New Roman" w:hAnsi="Times New Roman" w:cs="Times New Roman"/>
                <w:noProof/>
                <w:sz w:val="20"/>
                <w:szCs w:val="20"/>
                <w:lang w:val="en-GB"/>
              </w:rPr>
            </w:pPr>
          </w:p>
        </w:tc>
        <w:tc>
          <w:tcPr>
            <w:tcW w:w="1268" w:type="dxa"/>
            <w:tcBorders>
              <w:top w:val="single" w:sz="4" w:space="0" w:color="auto"/>
              <w:left w:val="nil"/>
              <w:bottom w:val="single" w:sz="4" w:space="0" w:color="auto"/>
              <w:right w:val="single" w:sz="4" w:space="0" w:color="auto"/>
            </w:tcBorders>
            <w:shd w:val="clear" w:color="auto" w:fill="C6EFCE"/>
            <w:noWrap/>
          </w:tcPr>
          <w:p w14:paraId="1AC159C7" w14:textId="77777777" w:rsidR="00BE1A15" w:rsidRPr="009F5E22" w:rsidRDefault="00BE1A15">
            <w:pPr>
              <w:spacing w:line="240" w:lineRule="auto"/>
              <w:jc w:val="center"/>
              <w:rPr>
                <w:rFonts w:ascii="Times New Roman" w:eastAsia="Times New Roman" w:hAnsi="Times New Roman" w:cs="Times New Roman"/>
                <w:noProof/>
                <w:sz w:val="20"/>
                <w:szCs w:val="20"/>
              </w:rPr>
            </w:pPr>
            <w:r w:rsidRPr="009F5E22">
              <w:rPr>
                <w:rFonts w:ascii="Times New Roman" w:eastAsia="Times New Roman" w:hAnsi="Times New Roman" w:cs="Times New Roman"/>
                <w:noProof/>
                <w:sz w:val="20"/>
                <w:szCs w:val="20"/>
                <w:lang w:val="en-GB"/>
              </w:rPr>
              <w:t xml:space="preserve">Milestone </w:t>
            </w:r>
          </w:p>
        </w:tc>
        <w:tc>
          <w:tcPr>
            <w:tcW w:w="1380" w:type="dxa"/>
            <w:tcBorders>
              <w:top w:val="single" w:sz="4" w:space="0" w:color="auto"/>
              <w:left w:val="nil"/>
              <w:bottom w:val="single" w:sz="4" w:space="0" w:color="auto"/>
              <w:right w:val="single" w:sz="4" w:space="0" w:color="auto"/>
            </w:tcBorders>
            <w:shd w:val="clear" w:color="auto" w:fill="C6EFCE"/>
            <w:noWrap/>
          </w:tcPr>
          <w:p w14:paraId="069DD826" w14:textId="77777777" w:rsidR="00BE1A15" w:rsidRPr="009F5E22" w:rsidRDefault="00BE1A15">
            <w:pPr>
              <w:spacing w:line="240" w:lineRule="auto"/>
              <w:jc w:val="both"/>
              <w:rPr>
                <w:rFonts w:ascii="Times New Roman" w:eastAsia="Times New Roman" w:hAnsi="Times New Roman" w:cs="Times New Roman"/>
                <w:noProof/>
                <w:sz w:val="20"/>
                <w:szCs w:val="20"/>
              </w:rPr>
            </w:pPr>
            <w:r w:rsidRPr="009F5E22">
              <w:rPr>
                <w:rFonts w:ascii="Times New Roman" w:eastAsia="Times New Roman" w:hAnsi="Times New Roman" w:cs="Times New Roman"/>
                <w:noProof/>
                <w:sz w:val="20"/>
                <w:szCs w:val="20"/>
                <w:lang w:val="en-GB"/>
              </w:rPr>
              <w:t>Equity injection</w:t>
            </w:r>
          </w:p>
        </w:tc>
        <w:tc>
          <w:tcPr>
            <w:tcW w:w="1807" w:type="dxa"/>
            <w:tcBorders>
              <w:top w:val="single" w:sz="4" w:space="0" w:color="auto"/>
              <w:left w:val="nil"/>
              <w:bottom w:val="single" w:sz="4" w:space="0" w:color="auto"/>
              <w:right w:val="single" w:sz="4" w:space="0" w:color="auto"/>
            </w:tcBorders>
            <w:shd w:val="clear" w:color="auto" w:fill="C6EFCE"/>
            <w:noWrap/>
          </w:tcPr>
          <w:p w14:paraId="7079EDC3" w14:textId="77777777" w:rsidR="00BE1A15" w:rsidRPr="009F5E22" w:rsidRDefault="00BE1A15">
            <w:pPr>
              <w:spacing w:line="240" w:lineRule="auto"/>
              <w:jc w:val="both"/>
              <w:rPr>
                <w:rFonts w:ascii="Times New Roman" w:eastAsia="Times New Roman" w:hAnsi="Times New Roman" w:cs="Times New Roman"/>
                <w:noProof/>
                <w:sz w:val="20"/>
                <w:szCs w:val="20"/>
              </w:rPr>
            </w:pPr>
            <w:r w:rsidRPr="009F5E22">
              <w:rPr>
                <w:rFonts w:ascii="Times New Roman" w:eastAsia="Times New Roman" w:hAnsi="Times New Roman" w:cs="Times New Roman"/>
                <w:noProof/>
                <w:sz w:val="20"/>
                <w:szCs w:val="20"/>
                <w:lang w:val="en-GB"/>
              </w:rPr>
              <w:t>Certificate of transfer</w:t>
            </w:r>
          </w:p>
        </w:tc>
        <w:tc>
          <w:tcPr>
            <w:tcW w:w="1127" w:type="dxa"/>
            <w:tcBorders>
              <w:top w:val="nil"/>
              <w:left w:val="nil"/>
              <w:bottom w:val="single" w:sz="4" w:space="0" w:color="auto"/>
              <w:right w:val="single" w:sz="4" w:space="0" w:color="auto"/>
            </w:tcBorders>
            <w:shd w:val="clear" w:color="auto" w:fill="C6EFCE"/>
            <w:noWrap/>
          </w:tcPr>
          <w:p w14:paraId="10A34861" w14:textId="77777777" w:rsidR="00BE1A15" w:rsidRPr="009F5E22" w:rsidRDefault="00BE1A15">
            <w:pPr>
              <w:spacing w:line="240" w:lineRule="auto"/>
              <w:rPr>
                <w:rFonts w:ascii="Times New Roman" w:eastAsia="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631C7280" w14:textId="77777777" w:rsidR="00BE1A15" w:rsidRPr="009F5E22" w:rsidRDefault="00BE1A15">
            <w:pPr>
              <w:spacing w:line="240" w:lineRule="auto"/>
              <w:rPr>
                <w:rFonts w:ascii="Times New Roman" w:eastAsia="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55617A5B" w14:textId="77777777" w:rsidR="00BE1A15" w:rsidRPr="009F5E22" w:rsidRDefault="00BE1A15">
            <w:pPr>
              <w:spacing w:line="240" w:lineRule="auto"/>
              <w:rPr>
                <w:rFonts w:ascii="Times New Roman" w:eastAsia="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179FD771" w14:textId="77777777" w:rsidR="00BE1A15" w:rsidRPr="009F5E22" w:rsidRDefault="00BE1A15">
            <w:pPr>
              <w:spacing w:line="240" w:lineRule="auto"/>
              <w:jc w:val="center"/>
              <w:rPr>
                <w:rFonts w:ascii="Times New Roman" w:eastAsia="Times New Roman" w:hAnsi="Times New Roman" w:cs="Times New Roman"/>
                <w:noProof/>
                <w:sz w:val="20"/>
                <w:szCs w:val="20"/>
              </w:rPr>
            </w:pPr>
            <w:r w:rsidRPr="009F5E22">
              <w:rPr>
                <w:rFonts w:ascii="Times New Roman" w:eastAsia="Times New Roman" w:hAnsi="Times New Roman" w:cs="Times New Roman"/>
                <w:noProof/>
                <w:sz w:val="20"/>
                <w:szCs w:val="20"/>
                <w:lang w:val="en-GB"/>
              </w:rPr>
              <w:t>Q2</w:t>
            </w:r>
          </w:p>
        </w:tc>
        <w:tc>
          <w:tcPr>
            <w:tcW w:w="840" w:type="dxa"/>
            <w:tcBorders>
              <w:top w:val="nil"/>
              <w:left w:val="nil"/>
              <w:bottom w:val="single" w:sz="4" w:space="0" w:color="auto"/>
              <w:right w:val="single" w:sz="4" w:space="0" w:color="auto"/>
            </w:tcBorders>
            <w:shd w:val="clear" w:color="auto" w:fill="C6EFCE"/>
            <w:noWrap/>
          </w:tcPr>
          <w:p w14:paraId="6A18D07B" w14:textId="77777777" w:rsidR="00BE1A15" w:rsidRPr="009F5E22" w:rsidRDefault="00BE1A15">
            <w:pPr>
              <w:spacing w:line="240" w:lineRule="auto"/>
              <w:jc w:val="center"/>
              <w:rPr>
                <w:rFonts w:ascii="Times New Roman" w:eastAsia="Times New Roman" w:hAnsi="Times New Roman" w:cs="Times New Roman"/>
                <w:noProof/>
                <w:sz w:val="20"/>
                <w:szCs w:val="20"/>
              </w:rPr>
            </w:pPr>
            <w:r w:rsidRPr="009F5E22">
              <w:rPr>
                <w:rFonts w:ascii="Times New Roman" w:eastAsia="Times New Roman" w:hAnsi="Times New Roman" w:cs="Times New Roman"/>
                <w:noProof/>
                <w:sz w:val="20"/>
                <w:szCs w:val="20"/>
                <w:lang w:val="en-GB"/>
              </w:rPr>
              <w:t>2026</w:t>
            </w:r>
          </w:p>
        </w:tc>
        <w:tc>
          <w:tcPr>
            <w:tcW w:w="3107" w:type="dxa"/>
            <w:tcBorders>
              <w:top w:val="single" w:sz="4" w:space="0" w:color="auto"/>
              <w:left w:val="nil"/>
              <w:bottom w:val="single" w:sz="4" w:space="0" w:color="auto"/>
              <w:right w:val="single" w:sz="4" w:space="0" w:color="auto"/>
            </w:tcBorders>
            <w:shd w:val="clear" w:color="auto" w:fill="C6EFCE"/>
            <w:noWrap/>
          </w:tcPr>
          <w:p w14:paraId="5502F4FF" w14:textId="7DB81C41" w:rsidR="00BE1A15" w:rsidRPr="009F5E22" w:rsidRDefault="00BE1A15">
            <w:pPr>
              <w:spacing w:line="240" w:lineRule="auto"/>
              <w:jc w:val="both"/>
              <w:rPr>
                <w:rFonts w:ascii="Times New Roman" w:eastAsia="Times New Roman" w:hAnsi="Times New Roman" w:cs="Times New Roman"/>
                <w:noProof/>
                <w:color w:val="000000" w:themeColor="text1"/>
                <w:sz w:val="20"/>
                <w:szCs w:val="20"/>
              </w:rPr>
            </w:pPr>
            <w:r w:rsidRPr="009F5E22">
              <w:rPr>
                <w:rFonts w:ascii="Times New Roman" w:eastAsia="Times New Roman" w:hAnsi="Times New Roman" w:cs="Times New Roman"/>
                <w:noProof/>
                <w:sz w:val="20"/>
                <w:szCs w:val="20"/>
                <w:lang w:val="en-GB"/>
              </w:rPr>
              <w:t xml:space="preserve">Romania shall transfer EUR </w:t>
            </w:r>
            <w:r w:rsidR="00DB1ABC" w:rsidRPr="009F5E22">
              <w:rPr>
                <w:rFonts w:ascii="Times New Roman" w:eastAsia="Times New Roman" w:hAnsi="Times New Roman" w:cs="Times New Roman"/>
                <w:noProof/>
                <w:sz w:val="20"/>
                <w:szCs w:val="20"/>
                <w:lang w:val="en-GB"/>
              </w:rPr>
              <w:t>2</w:t>
            </w:r>
            <w:r w:rsidR="005B2F92">
              <w:rPr>
                <w:rFonts w:ascii="Times New Roman" w:eastAsia="Times New Roman" w:hAnsi="Times New Roman" w:cs="Times New Roman"/>
                <w:noProof/>
                <w:sz w:val="20"/>
                <w:szCs w:val="20"/>
                <w:lang w:val="en-GB"/>
              </w:rPr>
              <w:t>5</w:t>
            </w:r>
            <w:r w:rsidR="00DB1ABC" w:rsidRPr="009F5E22">
              <w:rPr>
                <w:rFonts w:ascii="Times New Roman" w:eastAsia="Times New Roman" w:hAnsi="Times New Roman" w:cs="Times New Roman"/>
                <w:noProof/>
                <w:sz w:val="20"/>
                <w:szCs w:val="20"/>
                <w:lang w:val="en-GB"/>
              </w:rPr>
              <w:t>0</w:t>
            </w:r>
            <w:r w:rsidRPr="009F5E22">
              <w:rPr>
                <w:rFonts w:ascii="Times New Roman" w:eastAsia="Times New Roman" w:hAnsi="Times New Roman" w:cs="Times New Roman"/>
                <w:noProof/>
                <w:sz w:val="20"/>
                <w:szCs w:val="20"/>
                <w:lang w:val="en-GB"/>
              </w:rPr>
              <w:t xml:space="preserve"> million to the National Development Bank to increase its equity. Beyond the equity injection into the National Development Bank which constitutes the RRF investment, Romania shall transmit a report outlining the actions taken by the National Development Bank by 31 August 2026 to implement the investment policy, including the steps taken for the implementation of the financial products that the additional equity is expected to initially support, as well as the expected steps to be taken for further implementing those products..</w:t>
            </w:r>
          </w:p>
        </w:tc>
      </w:tr>
    </w:tbl>
    <w:p w14:paraId="67478E2F" w14:textId="77777777" w:rsidR="00BE1A15" w:rsidRPr="00291374" w:rsidRDefault="00BE1A15" w:rsidP="00BE1A15">
      <w:pPr>
        <w:rPr>
          <w:rFonts w:ascii="Times New Roman" w:eastAsia="Times New Roman" w:hAnsi="Times New Roman" w:cs="Times New Roman"/>
          <w:b/>
          <w:bCs/>
          <w:noProof/>
          <w:color w:val="D13438"/>
          <w:u w:val="single"/>
          <w:lang w:val="en-GB"/>
        </w:rPr>
        <w:sectPr w:rsidR="00BE1A15" w:rsidRPr="00291374" w:rsidSect="00BE1A15">
          <w:headerReference w:type="even" r:id="rId204"/>
          <w:headerReference w:type="default" r:id="rId205"/>
          <w:footerReference w:type="even" r:id="rId206"/>
          <w:footerReference w:type="default" r:id="rId207"/>
          <w:headerReference w:type="first" r:id="rId208"/>
          <w:footerReference w:type="first" r:id="rId209"/>
          <w:pgSz w:w="16839" w:h="11907" w:orient="landscape"/>
          <w:pgMar w:top="1134" w:right="1134" w:bottom="1134" w:left="1134" w:header="567" w:footer="567" w:gutter="0"/>
          <w:cols w:space="720"/>
          <w:docGrid w:linePitch="360"/>
        </w:sectPr>
      </w:pPr>
    </w:p>
    <w:p w14:paraId="02CDAD31" w14:textId="77777777" w:rsidR="008D6D49" w:rsidRPr="00291374" w:rsidRDefault="008D6D49" w:rsidP="008D6D49">
      <w:pPr>
        <w:keepNext/>
        <w:numPr>
          <w:ilvl w:val="0"/>
          <w:numId w:val="46"/>
        </w:numPr>
        <w:tabs>
          <w:tab w:val="left" w:pos="850"/>
        </w:tabs>
        <w:spacing w:before="360" w:after="120" w:line="240" w:lineRule="auto"/>
        <w:jc w:val="both"/>
        <w:outlineLvl w:val="0"/>
        <w:rPr>
          <w:rFonts w:ascii="Times New Roman" w:hAnsi="Times New Roman" w:cs="Times New Roman"/>
          <w:b/>
          <w:bCs/>
          <w:smallCaps/>
          <w:noProof/>
          <w:lang w:val="en-GB"/>
        </w:rPr>
      </w:pPr>
      <w:r w:rsidRPr="00291374">
        <w:rPr>
          <w:rFonts w:ascii="Times New Roman" w:hAnsi="Times New Roman" w:cs="Times New Roman"/>
          <w:b/>
          <w:smallCaps/>
          <w:noProof/>
          <w:lang w:val="en-GB"/>
        </w:rPr>
        <w:t>COMPONENT 9: Business support, research, development and innovation</w:t>
      </w:r>
    </w:p>
    <w:p w14:paraId="2779E63A"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This component includes a set of reforms and investments to enhance the business environment in Romania, including the research, development and innovation sector. </w:t>
      </w:r>
    </w:p>
    <w:p w14:paraId="0A82061C" w14:textId="4769D945"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this component is to support businesses in Romania, especially small and medium-sized enterprises as well as public organisations performing research, development and innovation. The reforms supporting the investments include regulatory changes to reduce the administrative burden for firms by simplifying legislation/start-up/exit procedures as well as obtaining licenses. Reforms also address unclear governance, the fragmentation and effectiveness of the research development and innovations system and support its cooperation with the private sector. Investments relate to the creation of a digital platform for providing simplified public services for business including for obtaining licences, access to finance to small and medium size enterprises and companies through financial instruments and grants. Complementary investments shall relate to funding research competence centres and research projects lead by internationally reputed researchers.</w:t>
      </w:r>
      <w:r w:rsidR="00D23D91">
        <w:rPr>
          <w:rFonts w:ascii="Times New Roman" w:hAnsi="Times New Roman" w:cs="Times New Roman"/>
          <w:noProof/>
          <w:lang w:val="en-GB"/>
        </w:rPr>
        <w:t xml:space="preserve"> </w:t>
      </w:r>
    </w:p>
    <w:p w14:paraId="39310BC8"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reforms and investments shall contribute to addressing the country-specific recommendation conveyed to Romania in 2019 and 2020, on the need to improve the quality and predictability of decision-making process (country-specific recommendation 5, 2019); and to front-load mature public investment projects that support the economy’s competitiveness, such as supporting research and development activities and the integration of local providers into EU strategic value chains (country-specific recommendation 3, 2020).</w:t>
      </w:r>
    </w:p>
    <w:p w14:paraId="299DC68F"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24D719B1" w14:textId="77777777" w:rsidR="008D6D49" w:rsidRPr="00291374" w:rsidRDefault="008D6D49" w:rsidP="008D6D49">
      <w:pPr>
        <w:keepNext/>
        <w:numPr>
          <w:ilvl w:val="1"/>
          <w:numId w:val="0"/>
        </w:numPr>
        <w:spacing w:before="120" w:after="120" w:line="240" w:lineRule="auto"/>
        <w:ind w:left="850" w:hanging="850"/>
        <w:jc w:val="both"/>
        <w:outlineLvl w:val="1"/>
        <w:rPr>
          <w:rFonts w:ascii="Times New Roman" w:eastAsiaTheme="majorEastAsia" w:hAnsi="Times New Roman" w:cs="Times New Roman"/>
          <w:b/>
          <w:bCs/>
          <w:noProof/>
          <w:szCs w:val="26"/>
          <w:lang w:val="en-GB"/>
        </w:rPr>
      </w:pPr>
      <w:r w:rsidRPr="00291374">
        <w:rPr>
          <w:rFonts w:ascii="Times New Roman" w:hAnsi="Times New Roman" w:cs="Times New Roman"/>
          <w:b/>
          <w:noProof/>
          <w:lang w:val="en-GB"/>
        </w:rPr>
        <w:t xml:space="preserve">I.1. </w:t>
      </w:r>
      <w:r w:rsidRPr="00291374">
        <w:rPr>
          <w:rFonts w:ascii="Times New Roman" w:hAnsi="Times New Roman" w:cs="Times New Roman"/>
          <w:noProof/>
          <w:lang w:val="en-GB"/>
        </w:rPr>
        <w:tab/>
      </w:r>
      <w:r w:rsidRPr="00291374">
        <w:rPr>
          <w:rFonts w:ascii="Times New Roman" w:hAnsi="Times New Roman" w:cs="Times New Roman"/>
          <w:b/>
          <w:noProof/>
          <w:lang w:val="en-GB"/>
        </w:rPr>
        <w:t xml:space="preserve">Description of the reforms and investments for </w:t>
      </w:r>
      <w:bookmarkStart w:id="17" w:name="_Hlk207637738"/>
      <w:r w:rsidRPr="00291374">
        <w:rPr>
          <w:rFonts w:ascii="Times New Roman" w:hAnsi="Times New Roman" w:cs="Times New Roman"/>
          <w:b/>
          <w:noProof/>
          <w:lang w:val="en-GB"/>
        </w:rPr>
        <w:t>non-repayable financial support</w:t>
      </w:r>
      <w:bookmarkEnd w:id="17"/>
    </w:p>
    <w:p w14:paraId="6B01688D" w14:textId="77777777" w:rsidR="008D6D49" w:rsidRPr="00291374"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Investment 2.a – Financial instruments for the private sector</w:t>
      </w:r>
    </w:p>
    <w:p w14:paraId="3014CD7A" w14:textId="77777777" w:rsidR="008D6D49" w:rsidRPr="00291374" w:rsidRDefault="008D6D49" w:rsidP="008D6D49">
      <w:pPr>
        <w:spacing w:before="120" w:after="120" w:line="240" w:lineRule="auto"/>
        <w:jc w:val="both"/>
        <w:rPr>
          <w:rFonts w:ascii="Times New Roman" w:hAnsi="Times New Roman" w:cs="Times New Roman"/>
          <w:i/>
          <w:noProof/>
          <w:lang w:val="en-GB"/>
        </w:rPr>
      </w:pPr>
      <w:r w:rsidRPr="00291374">
        <w:rPr>
          <w:rFonts w:ascii="Times New Roman" w:hAnsi="Times New Roman" w:cs="Times New Roman"/>
          <w:i/>
          <w:noProof/>
          <w:lang w:val="en-GB"/>
        </w:rPr>
        <w:t>Sub-investment 2.a. Climate Action Portfolio Guarantee</w:t>
      </w:r>
    </w:p>
    <w:p w14:paraId="291B9CA9" w14:textId="77777777" w:rsidR="008D6D49" w:rsidRPr="00291374" w:rsidRDefault="008D6D49" w:rsidP="008D6D49">
      <w:pPr>
        <w:spacing w:before="120" w:after="120" w:line="240" w:lineRule="auto"/>
        <w:jc w:val="both"/>
        <w:rPr>
          <w:rFonts w:ascii="Times New Roman" w:hAnsi="Times New Roman" w:cs="Times New Roman"/>
          <w:noProof/>
          <w:lang w:val="en-GB"/>
        </w:rPr>
      </w:pPr>
      <w:bookmarkStart w:id="18" w:name="_Hlk211440179"/>
      <w:r w:rsidRPr="00291374">
        <w:rPr>
          <w:rFonts w:ascii="Times New Roman" w:hAnsi="Times New Roman" w:cs="Times New Roman"/>
          <w:noProof/>
          <w:lang w:val="en-GB"/>
        </w:rPr>
        <w:t>The objective of this sub-investment is to deliver finance and investments to SMEs (up to 249 employees), companies with up to 500 employees, and individuals through working capital, credit lines, investment loans, or leasing, aimed at investments and finance</w:t>
      </w:r>
      <w:r w:rsidRPr="00291374">
        <w:rPr>
          <w:rFonts w:ascii="Times New Roman" w:hAnsi="Times New Roman" w:cs="Times New Roman"/>
          <w:noProof/>
          <w:color w:val="FF0000"/>
          <w:lang w:val="en-GB"/>
        </w:rPr>
        <w:t xml:space="preserve"> </w:t>
      </w:r>
      <w:r w:rsidRPr="00291374">
        <w:rPr>
          <w:rFonts w:ascii="Times New Roman" w:hAnsi="Times New Roman" w:cs="Times New Roman"/>
          <w:noProof/>
          <w:lang w:val="en-GB"/>
        </w:rPr>
        <w:t xml:space="preserve">for energy efficiency increases in enterprises and the residential and buildings sector. The purpose of the instrument shall be to address Romania’s current challenges in supporting investments in the energy efficiency and renewable energy sectors. The sub-investment shall take the form of a portfolio guarantee, to be implemented as a contribution to InvestEU by the European Investment Fund (“EIF”). The specific goals and energy efficiency ambitions of the instrument, as well as structure and eligibility criteria shall be fully aligned and correspond to the ones of the InvestEU EU-Compartment instrument, currently under development. </w:t>
      </w:r>
    </w:p>
    <w:p w14:paraId="2355C2FB"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In order to ensure that the sub-investment complies with the ‘Do no significant harm’ Technical Guidance (2021/C58/01), the contribution agreement between the European Commission and the Romanian Government shall require the application of the Commission’s technical guidance on sustainability proofing for the InvestEU Fund. The guarantee agreement between the European Commission and the EIF shall in addition exclude the following list of activities and assets from eligibility: (i) activities and assets related to fossil fuels, including downstream use</w:t>
      </w:r>
      <w:r w:rsidRPr="00291374">
        <w:rPr>
          <w:rFonts w:ascii="Times New Roman" w:hAnsi="Times New Roman" w:cs="Times New Roman"/>
          <w:noProof/>
          <w:vertAlign w:val="superscript"/>
          <w:lang w:val="en-GB"/>
        </w:rPr>
        <w:footnoteReference w:id="18"/>
      </w:r>
      <w:r w:rsidRPr="00291374">
        <w:rPr>
          <w:rFonts w:ascii="Times New Roman" w:hAnsi="Times New Roman" w:cs="Times New Roman"/>
          <w:noProof/>
          <w:lang w:val="en-GB"/>
        </w:rPr>
        <w:t xml:space="preserve"> and (ii) activities and assets under the EU Emission Trading System (ETS) achieving projected greenhouse gas emissions that are not lower than the relevant benchmarks.</w:t>
      </w:r>
      <w:r w:rsidRPr="00291374">
        <w:rPr>
          <w:rFonts w:ascii="Times New Roman" w:hAnsi="Times New Roman" w:cs="Times New Roman"/>
          <w:noProof/>
          <w:vertAlign w:val="superscript"/>
          <w:lang w:val="en-GB"/>
        </w:rPr>
        <w:footnoteReference w:id="19"/>
      </w:r>
    </w:p>
    <w:p w14:paraId="2C25EAE1"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complements sub-investment 2.2. Climate Action Portfolio Guarantee</w:t>
      </w:r>
    </w:p>
    <w:bookmarkEnd w:id="18"/>
    <w:p w14:paraId="45B08F75" w14:textId="77777777" w:rsidR="008D6D49" w:rsidRPr="00291374"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Investment 3.a. Private sector aid schemes</w:t>
      </w:r>
    </w:p>
    <w:p w14:paraId="217C4D8D" w14:textId="77777777" w:rsidR="008D6D49" w:rsidRPr="00291374" w:rsidRDefault="008D6D49" w:rsidP="008D6D49">
      <w:pPr>
        <w:spacing w:before="120" w:after="120" w:line="240" w:lineRule="auto"/>
        <w:jc w:val="both"/>
        <w:rPr>
          <w:rFonts w:ascii="Times New Roman" w:hAnsi="Times New Roman" w:cs="Times New Roman"/>
          <w:i/>
          <w:noProof/>
          <w:lang w:val="en-GB"/>
        </w:rPr>
      </w:pPr>
      <w:r w:rsidRPr="00291374">
        <w:rPr>
          <w:rFonts w:ascii="Times New Roman" w:hAnsi="Times New Roman" w:cs="Times New Roman"/>
          <w:i/>
          <w:noProof/>
          <w:lang w:val="en-GB"/>
        </w:rPr>
        <w:t xml:space="preserve">Sub-investment 3.a. </w:t>
      </w:r>
      <w:bookmarkStart w:id="19" w:name="_Hlk209626017"/>
      <w:r w:rsidRPr="00291374">
        <w:rPr>
          <w:rFonts w:ascii="Times New Roman" w:hAnsi="Times New Roman" w:cs="Times New Roman"/>
          <w:i/>
          <w:noProof/>
          <w:lang w:val="en-GB"/>
        </w:rPr>
        <w:t>Aid scheme for the digitalisation of SMEs</w:t>
      </w:r>
      <w:bookmarkEnd w:id="19"/>
    </w:p>
    <w:p w14:paraId="38B7F017"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sub-investment is to support small and medium sized enterprises (SMEs) digitalisation. </w:t>
      </w:r>
    </w:p>
    <w:p w14:paraId="03828258"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sub-investment consists in two instruments: i) a grant scheme to support entrepreneurs in development of advanced digital technologies ii) a grant scheme of up to EUR 100 000 per enterprise to support SMEs adopting digital technologies</w:t>
      </w:r>
    </w:p>
    <w:p w14:paraId="40CF113B"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complements sub-investment 3.1. Aid scheme for the digitalisation of SMEs</w:t>
      </w:r>
    </w:p>
    <w:p w14:paraId="62D4E52A" w14:textId="77777777" w:rsidR="008D6D49" w:rsidRPr="00291374"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 xml:space="preserve">Reform 2.a. Streamline governance of research, development and innovation </w:t>
      </w:r>
    </w:p>
    <w:p w14:paraId="1C686935"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reform is to streamline the governance of the research, development and innovation system in Romania. </w:t>
      </w:r>
    </w:p>
    <w:p w14:paraId="6C98CDC6" w14:textId="03233A6A"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reform consists in the adoption of legal act(s) for the coordination of RDI activities</w:t>
      </w:r>
      <w:r w:rsidR="00D23D91">
        <w:rPr>
          <w:rFonts w:ascii="Times New Roman" w:hAnsi="Times New Roman" w:cs="Times New Roman"/>
          <w:noProof/>
          <w:lang w:val="en-GB"/>
        </w:rPr>
        <w:t xml:space="preserve"> </w:t>
      </w:r>
      <w:r w:rsidRPr="00291374">
        <w:rPr>
          <w:rFonts w:ascii="Times New Roman" w:hAnsi="Times New Roman" w:cs="Times New Roman"/>
          <w:noProof/>
          <w:lang w:val="en-GB"/>
        </w:rPr>
        <w:t>policy.</w:t>
      </w:r>
    </w:p>
    <w:p w14:paraId="3D1B159F"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complements reform 2 - Streamline governance of research, development and innovation.</w:t>
      </w:r>
    </w:p>
    <w:p w14:paraId="531955CB" w14:textId="77777777" w:rsidR="008D6D49" w:rsidRPr="00291374"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 xml:space="preserve">Reform 3. Reform of research career </w:t>
      </w:r>
    </w:p>
    <w:p w14:paraId="0DFD2F35"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reform is to increase the attractiveness of the research career and the performance of researchers. </w:t>
      </w:r>
    </w:p>
    <w:p w14:paraId="4508AB4B"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reform consists in the adoption of legal act(s) to reform the research career in Romania.</w:t>
      </w:r>
    </w:p>
    <w:p w14:paraId="78A02812" w14:textId="6EB1FCCD" w:rsidR="008D6D49" w:rsidRPr="00291374" w:rsidRDefault="008D6D49" w:rsidP="008D6D49">
      <w:pPr>
        <w:spacing w:before="120" w:after="120" w:line="240" w:lineRule="auto"/>
        <w:jc w:val="both"/>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Investment 5.a. Establishment</w:t>
      </w:r>
      <w:r w:rsidR="00D23D91">
        <w:rPr>
          <w:rFonts w:ascii="Times New Roman" w:eastAsia="NSimSun" w:hAnsi="Times New Roman" w:cs="Times New Roman"/>
          <w:noProof/>
          <w:kern w:val="3"/>
          <w:u w:val="single"/>
          <w:lang w:val="en-GB"/>
        </w:rPr>
        <w:t xml:space="preserve"> </w:t>
      </w:r>
      <w:r w:rsidRPr="00291374">
        <w:rPr>
          <w:rFonts w:ascii="Times New Roman" w:eastAsia="NSimSun" w:hAnsi="Times New Roman" w:cs="Times New Roman"/>
          <w:noProof/>
          <w:kern w:val="3"/>
          <w:u w:val="single"/>
          <w:lang w:val="en-GB"/>
        </w:rPr>
        <w:t>of Centres of Competence</w:t>
      </w:r>
    </w:p>
    <w:p w14:paraId="332E33D9"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the investment is to tackle the thematic fragmentation of research, development and innovation organizations. </w:t>
      </w:r>
    </w:p>
    <w:p w14:paraId="0E87E8AC"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the establishment of five “Centres of Competence” for research activities. </w:t>
      </w:r>
    </w:p>
    <w:p w14:paraId="0EF5C3FD"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complements investment 5 - Establishment and operationalisation of Centres of Competence.</w:t>
      </w:r>
    </w:p>
    <w:p w14:paraId="056C688D" w14:textId="77777777" w:rsidR="008D6D49" w:rsidRPr="00291374"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 xml:space="preserve">Investment 8. Development of a programme to attract highly specialised human resources from abroad in research, development and innovation activities </w:t>
      </w:r>
    </w:p>
    <w:p w14:paraId="2AF3A012"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increase the research capacity of the research development and innovation organisation. </w:t>
      </w:r>
    </w:p>
    <w:p w14:paraId="5F50AAE1"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granting funding to research projects led by top international researchers hosted by research, development and innovation organisation based in Romania. </w:t>
      </w:r>
    </w:p>
    <w:p w14:paraId="34B8597F" w14:textId="77777777" w:rsidR="008D6D49" w:rsidRPr="00291374" w:rsidRDefault="008D6D49" w:rsidP="008D6D49">
      <w:pPr>
        <w:spacing w:before="120" w:after="120" w:line="240" w:lineRule="auto"/>
        <w:jc w:val="both"/>
        <w:rPr>
          <w:rFonts w:ascii="Times New Roman" w:hAnsi="Times New Roman" w:cs="Times New Roman"/>
          <w:noProof/>
          <w:lang w:val="en-GB"/>
        </w:rPr>
      </w:pPr>
    </w:p>
    <w:p w14:paraId="1F4E3C39" w14:textId="77777777" w:rsidR="008D6D49" w:rsidRPr="00291374"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 xml:space="preserve">Investment 9 - Support for the holders of certificates of excellence received in the Marie Sklodowska Curie Individual Fellowship Award </w:t>
      </w:r>
    </w:p>
    <w:p w14:paraId="17691D71"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increase the attractiveness of research careers and support confirmed researchers in carrying out their research project. </w:t>
      </w:r>
    </w:p>
    <w:p w14:paraId="369B3D83"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providing researchers who are awarded with the Marie Sklodowska Curie Individual Fellowship Seal of Excellence by 31 December 2023 with a grant to carry out Horizon 2020 and Horizon Europe research projects. </w:t>
      </w:r>
    </w:p>
    <w:p w14:paraId="7C938CAC" w14:textId="77777777" w:rsidR="008D6D49" w:rsidRPr="00291374"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 xml:space="preserve">Investment 10 - Establishment and financial support of a national network of eight regional career guidance centres </w:t>
      </w:r>
    </w:p>
    <w:p w14:paraId="4388AAA1"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provide research career orientation and attract people to the research profession. </w:t>
      </w:r>
    </w:p>
    <w:p w14:paraId="6D06BDF9"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the establishment and financial support of a network of research career orientation centers. </w:t>
      </w:r>
    </w:p>
    <w:p w14:paraId="36B2F158" w14:textId="77777777" w:rsidR="008D6D49" w:rsidRPr="00291374" w:rsidRDefault="008D6D49" w:rsidP="008D6D49">
      <w:pPr>
        <w:spacing w:before="120" w:after="120" w:line="240" w:lineRule="auto"/>
        <w:jc w:val="both"/>
        <w:rPr>
          <w:rFonts w:ascii="Times New Roman" w:hAnsi="Times New Roman" w:cs="Times New Roman"/>
          <w:bCs/>
          <w:noProof/>
          <w:lang w:val="en-GB"/>
        </w:rPr>
        <w:sectPr w:rsidR="008D6D49" w:rsidRPr="00291374" w:rsidSect="008D6D49">
          <w:headerReference w:type="even" r:id="rId210"/>
          <w:headerReference w:type="default" r:id="rId211"/>
          <w:footerReference w:type="even" r:id="rId212"/>
          <w:footerReference w:type="default" r:id="rId213"/>
          <w:headerReference w:type="first" r:id="rId214"/>
          <w:footerReference w:type="first" r:id="rId215"/>
          <w:pgSz w:w="11907" w:h="16839"/>
          <w:pgMar w:top="1134" w:right="1134" w:bottom="1134" w:left="1134" w:header="567" w:footer="567" w:gutter="0"/>
          <w:cols w:space="708"/>
          <w:docGrid w:linePitch="360"/>
        </w:sectPr>
      </w:pPr>
    </w:p>
    <w:p w14:paraId="09E1886D" w14:textId="77777777" w:rsidR="008D6D49" w:rsidRPr="00291374" w:rsidRDefault="008D6D49" w:rsidP="008D6D49">
      <w:pPr>
        <w:keepNext/>
        <w:spacing w:before="120" w:after="120" w:line="240" w:lineRule="auto"/>
        <w:ind w:left="850" w:hanging="130"/>
        <w:jc w:val="both"/>
        <w:outlineLvl w:val="1"/>
        <w:rPr>
          <w:rFonts w:ascii="Times New Roman" w:eastAsiaTheme="majorEastAsia" w:hAnsi="Times New Roman" w:cs="Times New Roman"/>
          <w:b/>
          <w:bCs/>
          <w:noProof/>
          <w:lang w:val="en-GB"/>
        </w:rPr>
      </w:pPr>
      <w:bookmarkStart w:id="20" w:name="_Hlk207637452"/>
      <w:r w:rsidRPr="00291374">
        <w:rPr>
          <w:rFonts w:ascii="Times New Roman" w:hAnsi="Times New Roman" w:cs="Times New Roman"/>
          <w:b/>
          <w:bCs/>
          <w:noProof/>
          <w:lang w:val="en-GB"/>
        </w:rPr>
        <w:t xml:space="preserve">I.2. </w:t>
      </w:r>
      <w:r w:rsidRPr="00291374">
        <w:rPr>
          <w:rFonts w:ascii="Times New Roman" w:hAnsi="Times New Roman" w:cs="Times New Roman"/>
          <w:noProof/>
        </w:rPr>
        <w:tab/>
      </w:r>
      <w:r w:rsidRPr="00291374">
        <w:rPr>
          <w:rFonts w:ascii="Times New Roman" w:hAnsi="Times New Roman" w:cs="Times New Roman"/>
          <w:b/>
          <w:bCs/>
          <w:noProof/>
          <w:lang w:val="en-GB"/>
        </w:rPr>
        <w:t>Milestones, targets, indicators, and timetable for monitoring and implementation for the non-repayable financial support</w:t>
      </w:r>
    </w:p>
    <w:tbl>
      <w:tblPr>
        <w:tblW w:w="15876" w:type="dxa"/>
        <w:jc w:val="center"/>
        <w:tblLayout w:type="fixed"/>
        <w:tblCellMar>
          <w:left w:w="28" w:type="dxa"/>
          <w:right w:w="28" w:type="dxa"/>
        </w:tblCellMar>
        <w:tblLook w:val="04A0" w:firstRow="1" w:lastRow="0" w:firstColumn="1" w:lastColumn="0" w:noHBand="0" w:noVBand="1"/>
      </w:tblPr>
      <w:tblGrid>
        <w:gridCol w:w="606"/>
        <w:gridCol w:w="1844"/>
        <w:gridCol w:w="1089"/>
        <w:gridCol w:w="1496"/>
        <w:gridCol w:w="1766"/>
        <w:gridCol w:w="1558"/>
        <w:gridCol w:w="996"/>
        <w:gridCol w:w="978"/>
        <w:gridCol w:w="943"/>
        <w:gridCol w:w="1065"/>
        <w:gridCol w:w="3535"/>
      </w:tblGrid>
      <w:tr w:rsidR="001466C3" w:rsidRPr="009F5E22" w14:paraId="43AFF318" w14:textId="77777777" w:rsidTr="001466C3">
        <w:trPr>
          <w:trHeight w:val="300"/>
          <w:tblHeader/>
          <w:jc w:val="center"/>
        </w:trPr>
        <w:tc>
          <w:tcPr>
            <w:tcW w:w="60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C3B6DB4" w14:textId="77777777" w:rsidR="001466C3" w:rsidRPr="009F5E22" w:rsidRDefault="001466C3" w:rsidP="001466C3">
            <w:pPr>
              <w:spacing w:after="0" w:line="240" w:lineRule="auto"/>
              <w:jc w:val="center"/>
              <w:rPr>
                <w:rFonts w:ascii="Times New Roman" w:eastAsia="Times New Roman" w:hAnsi="Times New Roman" w:cs="Times New Roman"/>
                <w:b/>
                <w:bCs/>
                <w:noProof/>
                <w:sz w:val="20"/>
                <w:szCs w:val="20"/>
                <w:lang w:val="en-GB"/>
              </w:rPr>
            </w:pPr>
            <w:r w:rsidRPr="009F5E22">
              <w:rPr>
                <w:rFonts w:ascii="Times New Roman" w:hAnsi="Times New Roman" w:cs="Times New Roman"/>
                <w:b/>
                <w:bCs/>
                <w:noProof/>
                <w:sz w:val="20"/>
                <w:szCs w:val="20"/>
                <w:lang w:val="en-GB"/>
              </w:rPr>
              <w:t>Seq. Num</w:t>
            </w:r>
          </w:p>
        </w:tc>
        <w:tc>
          <w:tcPr>
            <w:tcW w:w="18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EEC5D64" w14:textId="77777777" w:rsidR="001466C3" w:rsidRPr="009F5E22" w:rsidRDefault="001466C3" w:rsidP="001466C3">
            <w:pPr>
              <w:spacing w:after="0" w:line="240" w:lineRule="auto"/>
              <w:jc w:val="center"/>
              <w:rPr>
                <w:rFonts w:ascii="Times New Roman" w:eastAsia="Times New Roman" w:hAnsi="Times New Roman" w:cs="Times New Roman"/>
                <w:b/>
                <w:bCs/>
                <w:noProof/>
                <w:sz w:val="20"/>
                <w:szCs w:val="20"/>
                <w:lang w:val="en-GB"/>
              </w:rPr>
            </w:pPr>
            <w:r w:rsidRPr="009F5E22">
              <w:rPr>
                <w:rFonts w:ascii="Times New Roman" w:hAnsi="Times New Roman" w:cs="Times New Roman"/>
                <w:b/>
                <w:bCs/>
                <w:noProof/>
                <w:sz w:val="20"/>
                <w:szCs w:val="20"/>
                <w:lang w:val="en-GB"/>
              </w:rPr>
              <w:t>Related Measure (Reform or Investment)</w:t>
            </w:r>
          </w:p>
        </w:tc>
        <w:tc>
          <w:tcPr>
            <w:tcW w:w="10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C7BEB6" w14:textId="77777777" w:rsidR="001466C3" w:rsidRPr="009F5E22" w:rsidRDefault="001466C3" w:rsidP="001466C3">
            <w:pPr>
              <w:spacing w:after="0" w:line="240" w:lineRule="auto"/>
              <w:jc w:val="center"/>
              <w:rPr>
                <w:rFonts w:ascii="Times New Roman" w:eastAsia="Times New Roman" w:hAnsi="Times New Roman" w:cs="Times New Roman"/>
                <w:b/>
                <w:bCs/>
                <w:noProof/>
                <w:sz w:val="20"/>
                <w:szCs w:val="20"/>
                <w:lang w:val="en-GB"/>
              </w:rPr>
            </w:pPr>
            <w:r w:rsidRPr="009F5E22">
              <w:rPr>
                <w:rFonts w:ascii="Times New Roman" w:hAnsi="Times New Roman" w:cs="Times New Roman"/>
                <w:b/>
                <w:bCs/>
                <w:noProof/>
                <w:sz w:val="20"/>
                <w:szCs w:val="20"/>
                <w:lang w:val="en-GB"/>
              </w:rPr>
              <w:t>Milestone/Target</w:t>
            </w:r>
          </w:p>
        </w:tc>
        <w:tc>
          <w:tcPr>
            <w:tcW w:w="149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EC2FD9" w14:textId="77777777" w:rsidR="001466C3" w:rsidRPr="009F5E22" w:rsidRDefault="001466C3" w:rsidP="001466C3">
            <w:pPr>
              <w:spacing w:after="0" w:line="240" w:lineRule="auto"/>
              <w:jc w:val="center"/>
              <w:rPr>
                <w:rFonts w:ascii="Times New Roman" w:eastAsia="Times New Roman" w:hAnsi="Times New Roman" w:cs="Times New Roman"/>
                <w:b/>
                <w:bCs/>
                <w:noProof/>
                <w:sz w:val="20"/>
                <w:szCs w:val="20"/>
                <w:lang w:val="en-GB"/>
              </w:rPr>
            </w:pPr>
            <w:r w:rsidRPr="009F5E22">
              <w:rPr>
                <w:rFonts w:ascii="Times New Roman" w:hAnsi="Times New Roman" w:cs="Times New Roman"/>
                <w:b/>
                <w:bCs/>
                <w:noProof/>
                <w:sz w:val="20"/>
                <w:szCs w:val="20"/>
                <w:lang w:val="en-GB"/>
              </w:rPr>
              <w:t>Name</w:t>
            </w:r>
          </w:p>
        </w:tc>
        <w:tc>
          <w:tcPr>
            <w:tcW w:w="17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5DD4CD" w14:textId="15ED93BC" w:rsidR="001466C3" w:rsidRPr="009F5E22" w:rsidRDefault="001466C3" w:rsidP="009F5E22">
            <w:pPr>
              <w:spacing w:after="0" w:line="240" w:lineRule="auto"/>
              <w:jc w:val="center"/>
              <w:rPr>
                <w:rFonts w:ascii="Times New Roman" w:eastAsia="Times New Roman" w:hAnsi="Times New Roman" w:cs="Times New Roman"/>
                <w:b/>
                <w:bCs/>
                <w:noProof/>
                <w:sz w:val="20"/>
                <w:szCs w:val="20"/>
                <w:lang w:val="en-GB"/>
              </w:rPr>
            </w:pPr>
            <w:r w:rsidRPr="009F5E22">
              <w:rPr>
                <w:rFonts w:ascii="Times New Roman" w:hAnsi="Times New Roman" w:cs="Times New Roman"/>
                <w:b/>
                <w:bCs/>
                <w:noProof/>
                <w:sz w:val="20"/>
                <w:szCs w:val="20"/>
                <w:lang w:val="en-GB"/>
              </w:rPr>
              <w:t>Qualitative</w:t>
            </w:r>
            <w:r w:rsidR="009F5E22">
              <w:rPr>
                <w:rFonts w:ascii="Times New Roman" w:hAnsi="Times New Roman" w:cs="Times New Roman"/>
                <w:b/>
                <w:bCs/>
                <w:noProof/>
                <w:sz w:val="20"/>
                <w:szCs w:val="20"/>
                <w:lang w:val="en-GB"/>
              </w:rPr>
              <w:t xml:space="preserve"> </w:t>
            </w:r>
            <w:r w:rsidRPr="009F5E22">
              <w:rPr>
                <w:rFonts w:ascii="Times New Roman" w:hAnsi="Times New Roman" w:cs="Times New Roman"/>
                <w:b/>
                <w:bCs/>
                <w:noProof/>
                <w:sz w:val="20"/>
                <w:szCs w:val="20"/>
                <w:lang w:val="en-GB"/>
              </w:rPr>
              <w:t>indicators</w:t>
            </w:r>
            <w:r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rPr>
              <w:br/>
            </w:r>
            <w:r w:rsidRPr="009F5E22">
              <w:rPr>
                <w:rFonts w:ascii="Times New Roman" w:hAnsi="Times New Roman" w:cs="Times New Roman"/>
                <w:b/>
                <w:bCs/>
                <w:noProof/>
                <w:sz w:val="20"/>
                <w:szCs w:val="20"/>
                <w:lang w:val="en-GB"/>
              </w:rPr>
              <w:t>(for milestones)</w:t>
            </w:r>
          </w:p>
        </w:tc>
        <w:tc>
          <w:tcPr>
            <w:tcW w:w="353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576CB5F" w14:textId="25FC9519" w:rsidR="001466C3" w:rsidRPr="009F5E22" w:rsidRDefault="001466C3" w:rsidP="009F5E22">
            <w:pPr>
              <w:spacing w:after="0" w:line="240" w:lineRule="auto"/>
              <w:jc w:val="center"/>
              <w:rPr>
                <w:rFonts w:ascii="Times New Roman" w:eastAsia="Times New Roman" w:hAnsi="Times New Roman" w:cs="Times New Roman"/>
                <w:b/>
                <w:bCs/>
                <w:noProof/>
                <w:sz w:val="20"/>
                <w:szCs w:val="20"/>
                <w:lang w:val="en-GB"/>
              </w:rPr>
            </w:pPr>
            <w:r w:rsidRPr="009F5E22">
              <w:rPr>
                <w:rFonts w:ascii="Times New Roman" w:hAnsi="Times New Roman" w:cs="Times New Roman"/>
                <w:b/>
                <w:bCs/>
                <w:noProof/>
                <w:sz w:val="20"/>
                <w:szCs w:val="20"/>
                <w:lang w:val="en-GB"/>
              </w:rPr>
              <w:t>Quantitative</w:t>
            </w:r>
            <w:r w:rsidR="009F5E22">
              <w:rPr>
                <w:rFonts w:ascii="Times New Roman" w:hAnsi="Times New Roman" w:cs="Times New Roman"/>
                <w:b/>
                <w:bCs/>
                <w:noProof/>
                <w:sz w:val="20"/>
                <w:szCs w:val="20"/>
                <w:lang w:val="en-GB"/>
              </w:rPr>
              <w:t xml:space="preserve"> </w:t>
            </w:r>
            <w:r w:rsidRPr="009F5E22">
              <w:rPr>
                <w:rFonts w:ascii="Times New Roman" w:hAnsi="Times New Roman" w:cs="Times New Roman"/>
                <w:b/>
                <w:bCs/>
                <w:noProof/>
                <w:sz w:val="20"/>
                <w:szCs w:val="20"/>
                <w:lang w:val="en-GB"/>
              </w:rPr>
              <w:t xml:space="preserve">indicators </w:t>
            </w:r>
            <w:r w:rsidRPr="009F5E22">
              <w:rPr>
                <w:rFonts w:ascii="Times New Roman" w:hAnsi="Times New Roman" w:cs="Times New Roman"/>
                <w:noProof/>
                <w:sz w:val="20"/>
                <w:szCs w:val="20"/>
              </w:rPr>
              <w:br/>
            </w:r>
            <w:r w:rsidRPr="009F5E22">
              <w:rPr>
                <w:rFonts w:ascii="Times New Roman" w:hAnsi="Times New Roman" w:cs="Times New Roman"/>
                <w:b/>
                <w:bCs/>
                <w:noProof/>
                <w:sz w:val="20"/>
                <w:szCs w:val="20"/>
                <w:lang w:val="en-GB"/>
              </w:rPr>
              <w:t>(for targets)</w:t>
            </w:r>
          </w:p>
        </w:tc>
        <w:tc>
          <w:tcPr>
            <w:tcW w:w="2008" w:type="dxa"/>
            <w:gridSpan w:val="2"/>
            <w:tcBorders>
              <w:top w:val="single" w:sz="4" w:space="0" w:color="auto"/>
              <w:left w:val="nil"/>
              <w:bottom w:val="single" w:sz="4" w:space="0" w:color="auto"/>
              <w:right w:val="single" w:sz="4" w:space="0" w:color="auto"/>
            </w:tcBorders>
            <w:shd w:val="clear" w:color="auto" w:fill="BDD7EE"/>
            <w:vAlign w:val="center"/>
            <w:hideMark/>
          </w:tcPr>
          <w:p w14:paraId="1B489BA8" w14:textId="5CFA1CD9" w:rsidR="001466C3" w:rsidRPr="009F5E22" w:rsidRDefault="001466C3" w:rsidP="009F5E22">
            <w:pPr>
              <w:spacing w:after="0" w:line="240" w:lineRule="auto"/>
              <w:jc w:val="center"/>
              <w:rPr>
                <w:rFonts w:ascii="Times New Roman" w:eastAsia="Times New Roman" w:hAnsi="Times New Roman" w:cs="Times New Roman"/>
                <w:b/>
                <w:bCs/>
                <w:noProof/>
                <w:sz w:val="20"/>
                <w:szCs w:val="20"/>
                <w:lang w:val="en-GB"/>
              </w:rPr>
            </w:pPr>
            <w:r w:rsidRPr="009F5E22">
              <w:rPr>
                <w:rFonts w:ascii="Times New Roman" w:hAnsi="Times New Roman" w:cs="Times New Roman"/>
                <w:b/>
                <w:bCs/>
                <w:noProof/>
                <w:sz w:val="20"/>
                <w:szCs w:val="20"/>
                <w:lang w:val="en-GB"/>
              </w:rPr>
              <w:t>Indicative timeline</w:t>
            </w:r>
            <w:r w:rsidR="009F5E22">
              <w:rPr>
                <w:rFonts w:ascii="Times New Roman" w:hAnsi="Times New Roman" w:cs="Times New Roman"/>
                <w:b/>
                <w:bCs/>
                <w:noProof/>
                <w:sz w:val="20"/>
                <w:szCs w:val="20"/>
                <w:lang w:val="en-GB"/>
              </w:rPr>
              <w:t xml:space="preserve"> </w:t>
            </w:r>
            <w:r w:rsidRPr="009F5E22">
              <w:rPr>
                <w:rFonts w:ascii="Times New Roman" w:hAnsi="Times New Roman" w:cs="Times New Roman"/>
                <w:b/>
                <w:bCs/>
                <w:noProof/>
                <w:sz w:val="20"/>
                <w:szCs w:val="20"/>
                <w:lang w:val="en-GB"/>
              </w:rPr>
              <w:t xml:space="preserve">for completion </w:t>
            </w:r>
          </w:p>
        </w:tc>
        <w:tc>
          <w:tcPr>
            <w:tcW w:w="35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8836ED" w14:textId="77777777" w:rsidR="001466C3" w:rsidRPr="009F5E22" w:rsidRDefault="001466C3" w:rsidP="001466C3">
            <w:pPr>
              <w:spacing w:after="0" w:line="240" w:lineRule="auto"/>
              <w:jc w:val="center"/>
              <w:rPr>
                <w:rFonts w:ascii="Times New Roman" w:eastAsia="Times New Roman" w:hAnsi="Times New Roman" w:cs="Times New Roman"/>
                <w:b/>
                <w:bCs/>
                <w:noProof/>
                <w:sz w:val="20"/>
                <w:szCs w:val="20"/>
                <w:lang w:val="en-GB"/>
              </w:rPr>
            </w:pPr>
            <w:r w:rsidRPr="009F5E22">
              <w:rPr>
                <w:rFonts w:ascii="Times New Roman" w:hAnsi="Times New Roman" w:cs="Times New Roman"/>
                <w:b/>
                <w:bCs/>
                <w:noProof/>
                <w:sz w:val="20"/>
                <w:szCs w:val="20"/>
                <w:lang w:val="en-GB"/>
              </w:rPr>
              <w:t>Description of each milestone and target</w:t>
            </w:r>
          </w:p>
        </w:tc>
      </w:tr>
      <w:tr w:rsidR="001466C3" w:rsidRPr="009F5E22" w14:paraId="78F2E4C7" w14:textId="77777777" w:rsidTr="009F5E22">
        <w:trPr>
          <w:trHeight w:val="300"/>
          <w:tblHeader/>
          <w:jc w:val="center"/>
        </w:trPr>
        <w:tc>
          <w:tcPr>
            <w:tcW w:w="606" w:type="dxa"/>
            <w:vMerge/>
            <w:tcBorders>
              <w:top w:val="single" w:sz="4" w:space="0" w:color="auto"/>
              <w:left w:val="single" w:sz="4" w:space="0" w:color="auto"/>
              <w:bottom w:val="single" w:sz="4" w:space="0" w:color="auto"/>
              <w:right w:val="single" w:sz="4" w:space="0" w:color="auto"/>
            </w:tcBorders>
            <w:hideMark/>
          </w:tcPr>
          <w:p w14:paraId="500DC71E" w14:textId="77777777" w:rsidR="001466C3" w:rsidRPr="009F5E22" w:rsidRDefault="001466C3" w:rsidP="001466C3">
            <w:pPr>
              <w:spacing w:after="0" w:line="240" w:lineRule="auto"/>
              <w:jc w:val="center"/>
              <w:rPr>
                <w:rFonts w:ascii="Times New Roman" w:eastAsia="Times New Roman" w:hAnsi="Times New Roman" w:cs="Times New Roman"/>
                <w:noProof/>
                <w:sz w:val="20"/>
                <w:szCs w:val="20"/>
                <w:lang w:val="en-GB" w:eastAsia="en-GB"/>
              </w:rPr>
            </w:pPr>
          </w:p>
        </w:tc>
        <w:tc>
          <w:tcPr>
            <w:tcW w:w="1844" w:type="dxa"/>
            <w:vMerge/>
            <w:tcBorders>
              <w:top w:val="single" w:sz="4" w:space="0" w:color="auto"/>
              <w:left w:val="single" w:sz="4" w:space="0" w:color="auto"/>
              <w:bottom w:val="single" w:sz="4" w:space="0" w:color="auto"/>
              <w:right w:val="single" w:sz="4" w:space="0" w:color="auto"/>
            </w:tcBorders>
            <w:hideMark/>
          </w:tcPr>
          <w:p w14:paraId="3B9CBD37"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089" w:type="dxa"/>
            <w:vMerge/>
            <w:tcBorders>
              <w:top w:val="single" w:sz="4" w:space="0" w:color="auto"/>
              <w:left w:val="single" w:sz="4" w:space="0" w:color="auto"/>
              <w:bottom w:val="single" w:sz="4" w:space="0" w:color="auto"/>
              <w:right w:val="single" w:sz="4" w:space="0" w:color="auto"/>
            </w:tcBorders>
            <w:hideMark/>
          </w:tcPr>
          <w:p w14:paraId="0713AF5D" w14:textId="77777777" w:rsidR="001466C3" w:rsidRPr="009F5E22" w:rsidRDefault="001466C3" w:rsidP="001466C3">
            <w:pPr>
              <w:spacing w:after="0" w:line="240" w:lineRule="auto"/>
              <w:jc w:val="center"/>
              <w:rPr>
                <w:rFonts w:ascii="Times New Roman" w:eastAsia="Times New Roman" w:hAnsi="Times New Roman" w:cs="Times New Roman"/>
                <w:noProof/>
                <w:sz w:val="20"/>
                <w:szCs w:val="20"/>
                <w:lang w:val="en-GB" w:eastAsia="en-GB"/>
              </w:rPr>
            </w:pPr>
          </w:p>
        </w:tc>
        <w:tc>
          <w:tcPr>
            <w:tcW w:w="1496" w:type="dxa"/>
            <w:vMerge/>
            <w:tcBorders>
              <w:top w:val="single" w:sz="4" w:space="0" w:color="auto"/>
              <w:left w:val="single" w:sz="4" w:space="0" w:color="auto"/>
              <w:bottom w:val="single" w:sz="4" w:space="0" w:color="auto"/>
              <w:right w:val="single" w:sz="4" w:space="0" w:color="auto"/>
            </w:tcBorders>
            <w:hideMark/>
          </w:tcPr>
          <w:p w14:paraId="193B4819"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766" w:type="dxa"/>
            <w:vMerge/>
            <w:tcBorders>
              <w:top w:val="single" w:sz="4" w:space="0" w:color="auto"/>
              <w:left w:val="single" w:sz="4" w:space="0" w:color="auto"/>
              <w:bottom w:val="single" w:sz="4" w:space="0" w:color="auto"/>
              <w:right w:val="single" w:sz="4" w:space="0" w:color="auto"/>
            </w:tcBorders>
            <w:hideMark/>
          </w:tcPr>
          <w:p w14:paraId="12499B3C"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558" w:type="dxa"/>
            <w:tcBorders>
              <w:top w:val="nil"/>
              <w:left w:val="single" w:sz="4" w:space="0" w:color="auto"/>
              <w:bottom w:val="single" w:sz="4" w:space="0" w:color="auto"/>
              <w:right w:val="single" w:sz="4" w:space="0" w:color="auto"/>
            </w:tcBorders>
            <w:shd w:val="clear" w:color="auto" w:fill="BDD7EE"/>
            <w:vAlign w:val="center"/>
            <w:hideMark/>
          </w:tcPr>
          <w:p w14:paraId="67E8CA37" w14:textId="5CAA162C" w:rsidR="001466C3" w:rsidRPr="009F5E22" w:rsidRDefault="001466C3" w:rsidP="009F5E22">
            <w:pPr>
              <w:spacing w:after="0" w:line="240" w:lineRule="auto"/>
              <w:jc w:val="center"/>
              <w:rPr>
                <w:rFonts w:ascii="Times New Roman" w:eastAsia="Times New Roman" w:hAnsi="Times New Roman" w:cs="Times New Roman"/>
                <w:b/>
                <w:bCs/>
                <w:noProof/>
                <w:sz w:val="20"/>
                <w:szCs w:val="20"/>
                <w:lang w:val="en-GB"/>
              </w:rPr>
            </w:pPr>
            <w:r w:rsidRPr="009F5E22">
              <w:rPr>
                <w:rFonts w:ascii="Times New Roman" w:hAnsi="Times New Roman" w:cs="Times New Roman"/>
                <w:b/>
                <w:bCs/>
                <w:noProof/>
                <w:sz w:val="20"/>
                <w:szCs w:val="20"/>
                <w:lang w:val="en-GB"/>
              </w:rPr>
              <w:t>Unit</w:t>
            </w:r>
            <w:r w:rsidR="009F5E22">
              <w:rPr>
                <w:rFonts w:ascii="Times New Roman" w:hAnsi="Times New Roman" w:cs="Times New Roman"/>
                <w:b/>
                <w:bCs/>
                <w:noProof/>
                <w:sz w:val="20"/>
                <w:szCs w:val="20"/>
                <w:lang w:val="en-GB"/>
              </w:rPr>
              <w:t xml:space="preserve"> </w:t>
            </w:r>
            <w:r w:rsidRPr="009F5E22">
              <w:rPr>
                <w:rFonts w:ascii="Times New Roman" w:hAnsi="Times New Roman" w:cs="Times New Roman"/>
                <w:b/>
                <w:bCs/>
                <w:noProof/>
                <w:sz w:val="20"/>
                <w:szCs w:val="20"/>
                <w:lang w:val="en-GB"/>
              </w:rPr>
              <w:t>of</w:t>
            </w:r>
            <w:r w:rsidR="009F5E22">
              <w:rPr>
                <w:rFonts w:ascii="Times New Roman" w:hAnsi="Times New Roman" w:cs="Times New Roman"/>
                <w:b/>
                <w:bCs/>
                <w:noProof/>
                <w:sz w:val="20"/>
                <w:szCs w:val="20"/>
                <w:lang w:val="en-GB"/>
              </w:rPr>
              <w:t xml:space="preserve"> </w:t>
            </w:r>
            <w:r w:rsidRPr="009F5E22">
              <w:rPr>
                <w:rFonts w:ascii="Times New Roman" w:hAnsi="Times New Roman" w:cs="Times New Roman"/>
                <w:b/>
                <w:bCs/>
                <w:noProof/>
                <w:sz w:val="20"/>
                <w:szCs w:val="20"/>
                <w:lang w:val="en-GB"/>
              </w:rPr>
              <w:t>measure</w:t>
            </w:r>
          </w:p>
        </w:tc>
        <w:tc>
          <w:tcPr>
            <w:tcW w:w="996" w:type="dxa"/>
            <w:tcBorders>
              <w:top w:val="nil"/>
              <w:left w:val="nil"/>
              <w:bottom w:val="single" w:sz="4" w:space="0" w:color="auto"/>
              <w:right w:val="single" w:sz="4" w:space="0" w:color="auto"/>
            </w:tcBorders>
            <w:shd w:val="clear" w:color="auto" w:fill="BDD7EE"/>
            <w:vAlign w:val="center"/>
            <w:hideMark/>
          </w:tcPr>
          <w:p w14:paraId="68A298C3" w14:textId="77777777" w:rsidR="001466C3" w:rsidRPr="009F5E22" w:rsidRDefault="001466C3" w:rsidP="001466C3">
            <w:pPr>
              <w:spacing w:after="0" w:line="240" w:lineRule="auto"/>
              <w:jc w:val="center"/>
              <w:rPr>
                <w:rFonts w:ascii="Times New Roman" w:eastAsia="Times New Roman" w:hAnsi="Times New Roman" w:cs="Times New Roman"/>
                <w:b/>
                <w:bCs/>
                <w:noProof/>
                <w:sz w:val="20"/>
                <w:szCs w:val="20"/>
                <w:lang w:val="en-GB"/>
              </w:rPr>
            </w:pPr>
            <w:r w:rsidRPr="009F5E22">
              <w:rPr>
                <w:rFonts w:ascii="Times New Roman" w:hAnsi="Times New Roman" w:cs="Times New Roman"/>
                <w:b/>
                <w:bCs/>
                <w:noProof/>
                <w:sz w:val="20"/>
                <w:szCs w:val="20"/>
                <w:lang w:val="en-GB"/>
              </w:rPr>
              <w:t xml:space="preserve">Baseline </w:t>
            </w:r>
          </w:p>
        </w:tc>
        <w:tc>
          <w:tcPr>
            <w:tcW w:w="978" w:type="dxa"/>
            <w:tcBorders>
              <w:top w:val="nil"/>
              <w:left w:val="nil"/>
              <w:bottom w:val="single" w:sz="4" w:space="0" w:color="auto"/>
              <w:right w:val="single" w:sz="4" w:space="0" w:color="auto"/>
            </w:tcBorders>
            <w:shd w:val="clear" w:color="auto" w:fill="BDD7EE"/>
            <w:vAlign w:val="center"/>
            <w:hideMark/>
          </w:tcPr>
          <w:p w14:paraId="40CB698D" w14:textId="77777777" w:rsidR="001466C3" w:rsidRPr="009F5E22" w:rsidRDefault="001466C3" w:rsidP="001466C3">
            <w:pPr>
              <w:spacing w:after="0" w:line="240" w:lineRule="auto"/>
              <w:jc w:val="center"/>
              <w:rPr>
                <w:rFonts w:ascii="Times New Roman" w:eastAsia="Times New Roman" w:hAnsi="Times New Roman" w:cs="Times New Roman"/>
                <w:b/>
                <w:bCs/>
                <w:noProof/>
                <w:sz w:val="20"/>
                <w:szCs w:val="20"/>
                <w:lang w:val="en-GB"/>
              </w:rPr>
            </w:pPr>
            <w:r w:rsidRPr="009F5E22">
              <w:rPr>
                <w:rFonts w:ascii="Times New Roman" w:hAnsi="Times New Roman" w:cs="Times New Roman"/>
                <w:b/>
                <w:bCs/>
                <w:noProof/>
                <w:sz w:val="20"/>
                <w:szCs w:val="20"/>
                <w:lang w:val="en-GB"/>
              </w:rPr>
              <w:t xml:space="preserve">Goal </w:t>
            </w:r>
          </w:p>
        </w:tc>
        <w:tc>
          <w:tcPr>
            <w:tcW w:w="943" w:type="dxa"/>
            <w:tcBorders>
              <w:top w:val="nil"/>
              <w:left w:val="nil"/>
              <w:bottom w:val="single" w:sz="4" w:space="0" w:color="auto"/>
              <w:right w:val="single" w:sz="4" w:space="0" w:color="auto"/>
            </w:tcBorders>
            <w:shd w:val="clear" w:color="auto" w:fill="BDD7EE"/>
            <w:vAlign w:val="center"/>
            <w:hideMark/>
          </w:tcPr>
          <w:p w14:paraId="569D1199" w14:textId="77777777" w:rsidR="001466C3" w:rsidRPr="009F5E22" w:rsidRDefault="001466C3" w:rsidP="001466C3">
            <w:pPr>
              <w:spacing w:after="0" w:line="240" w:lineRule="auto"/>
              <w:jc w:val="center"/>
              <w:rPr>
                <w:rFonts w:ascii="Times New Roman" w:eastAsia="Times New Roman" w:hAnsi="Times New Roman" w:cs="Times New Roman"/>
                <w:b/>
                <w:bCs/>
                <w:noProof/>
                <w:sz w:val="20"/>
                <w:szCs w:val="20"/>
                <w:lang w:val="en-GB"/>
              </w:rPr>
            </w:pPr>
            <w:r w:rsidRPr="009F5E22">
              <w:rPr>
                <w:rFonts w:ascii="Times New Roman" w:hAnsi="Times New Roman" w:cs="Times New Roman"/>
                <w:b/>
                <w:bCs/>
                <w:noProof/>
                <w:sz w:val="20"/>
                <w:szCs w:val="20"/>
                <w:lang w:val="en-GB"/>
              </w:rPr>
              <w:t>Quarter</w:t>
            </w:r>
          </w:p>
        </w:tc>
        <w:tc>
          <w:tcPr>
            <w:tcW w:w="1065" w:type="dxa"/>
            <w:tcBorders>
              <w:top w:val="nil"/>
              <w:left w:val="nil"/>
              <w:bottom w:val="single" w:sz="4" w:space="0" w:color="auto"/>
              <w:right w:val="single" w:sz="4" w:space="0" w:color="auto"/>
            </w:tcBorders>
            <w:shd w:val="clear" w:color="auto" w:fill="BDD7EE"/>
            <w:vAlign w:val="center"/>
            <w:hideMark/>
          </w:tcPr>
          <w:p w14:paraId="62B91071" w14:textId="77777777" w:rsidR="001466C3" w:rsidRPr="009F5E22" w:rsidRDefault="001466C3" w:rsidP="001466C3">
            <w:pPr>
              <w:spacing w:after="0" w:line="240" w:lineRule="auto"/>
              <w:jc w:val="center"/>
              <w:rPr>
                <w:rFonts w:ascii="Times New Roman" w:eastAsia="Times New Roman" w:hAnsi="Times New Roman" w:cs="Times New Roman"/>
                <w:b/>
                <w:bCs/>
                <w:noProof/>
                <w:sz w:val="20"/>
                <w:szCs w:val="20"/>
                <w:lang w:val="en-GB"/>
              </w:rPr>
            </w:pPr>
            <w:r w:rsidRPr="009F5E22">
              <w:rPr>
                <w:rFonts w:ascii="Times New Roman" w:hAnsi="Times New Roman" w:cs="Times New Roman"/>
                <w:b/>
                <w:bCs/>
                <w:noProof/>
                <w:sz w:val="20"/>
                <w:szCs w:val="20"/>
                <w:lang w:val="en-GB"/>
              </w:rPr>
              <w:t>Year</w:t>
            </w:r>
          </w:p>
        </w:tc>
        <w:tc>
          <w:tcPr>
            <w:tcW w:w="3535" w:type="dxa"/>
            <w:vMerge/>
            <w:tcBorders>
              <w:top w:val="single" w:sz="4" w:space="0" w:color="auto"/>
              <w:bottom w:val="single" w:sz="4" w:space="0" w:color="auto"/>
              <w:right w:val="single" w:sz="4" w:space="0" w:color="auto"/>
            </w:tcBorders>
            <w:hideMark/>
          </w:tcPr>
          <w:p w14:paraId="70B8B489"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r>
      <w:tr w:rsidR="001466C3" w:rsidRPr="009F5E22" w14:paraId="2AF483BE"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193F8D9F"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252</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3628D2D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Investment 2.a. Financial instruments for the private sector - Climate Action Portfolio Guarantee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572C95C2"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647A1AA7"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Finance or investment operations amounting to 100% of the total amount of resources allocated to the instrument approved by the InvestEU Investment Committee</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3B5D5714"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06E26F03" w14:textId="77777777" w:rsidR="001466C3" w:rsidRPr="009F5E22" w:rsidRDefault="001466C3" w:rsidP="001466C3">
            <w:pPr>
              <w:spacing w:after="0" w:line="240" w:lineRule="auto"/>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Percentage (%)</w:t>
            </w:r>
          </w:p>
          <w:p w14:paraId="37C98A47"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996" w:type="dxa"/>
            <w:tcBorders>
              <w:top w:val="nil"/>
              <w:left w:val="single" w:sz="4" w:space="0" w:color="auto"/>
              <w:bottom w:val="single" w:sz="4" w:space="0" w:color="auto"/>
              <w:right w:val="single" w:sz="4" w:space="0" w:color="auto"/>
            </w:tcBorders>
            <w:shd w:val="clear" w:color="auto" w:fill="C6EFCE"/>
            <w:noWrap/>
          </w:tcPr>
          <w:p w14:paraId="49CA8482"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0</w:t>
            </w:r>
          </w:p>
        </w:tc>
        <w:tc>
          <w:tcPr>
            <w:tcW w:w="978" w:type="dxa"/>
            <w:tcBorders>
              <w:top w:val="nil"/>
              <w:left w:val="single" w:sz="4" w:space="0" w:color="auto"/>
              <w:bottom w:val="single" w:sz="4" w:space="0" w:color="auto"/>
              <w:right w:val="single" w:sz="4" w:space="0" w:color="auto"/>
            </w:tcBorders>
            <w:shd w:val="clear" w:color="auto" w:fill="C6EFCE"/>
            <w:noWrap/>
          </w:tcPr>
          <w:p w14:paraId="794A4A56"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100</w:t>
            </w:r>
          </w:p>
        </w:tc>
        <w:tc>
          <w:tcPr>
            <w:tcW w:w="943" w:type="dxa"/>
            <w:tcBorders>
              <w:top w:val="nil"/>
              <w:left w:val="single" w:sz="4" w:space="0" w:color="auto"/>
              <w:bottom w:val="single" w:sz="4" w:space="0" w:color="auto"/>
              <w:right w:val="single" w:sz="4" w:space="0" w:color="auto"/>
            </w:tcBorders>
            <w:shd w:val="clear" w:color="auto" w:fill="C6EFCE"/>
            <w:noWrap/>
          </w:tcPr>
          <w:p w14:paraId="3212C0A6"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1065" w:type="dxa"/>
            <w:tcBorders>
              <w:top w:val="nil"/>
              <w:left w:val="single" w:sz="4" w:space="0" w:color="auto"/>
              <w:bottom w:val="single" w:sz="4" w:space="0" w:color="auto"/>
              <w:right w:val="single" w:sz="4" w:space="0" w:color="auto"/>
            </w:tcBorders>
            <w:shd w:val="clear" w:color="auto" w:fill="C6EFCE"/>
            <w:noWrap/>
          </w:tcPr>
          <w:p w14:paraId="14758071"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2024</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7ACD243F"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Finance or investment operations amounting to 100% of the total amount of resources allocated to the instrument approved by the InvestEU Investment Committee</w:t>
            </w:r>
          </w:p>
        </w:tc>
      </w:tr>
      <w:tr w:rsidR="001466C3" w:rsidRPr="009F5E22" w14:paraId="37ECCA85"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016ED76F"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263</w:t>
            </w:r>
          </w:p>
        </w:tc>
        <w:tc>
          <w:tcPr>
            <w:tcW w:w="1844" w:type="dxa"/>
            <w:tcBorders>
              <w:top w:val="nil"/>
              <w:left w:val="single" w:sz="4" w:space="0" w:color="auto"/>
              <w:bottom w:val="single" w:sz="4" w:space="0" w:color="auto"/>
              <w:right w:val="single" w:sz="4" w:space="0" w:color="auto"/>
            </w:tcBorders>
            <w:shd w:val="clear" w:color="auto" w:fill="C6EFCE"/>
            <w:noWrap/>
          </w:tcPr>
          <w:p w14:paraId="144B74C6"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Investment 3.a. Private sector aid schemes - Aid scheme for the digitalisation of SMEs</w:t>
            </w:r>
          </w:p>
        </w:tc>
        <w:tc>
          <w:tcPr>
            <w:tcW w:w="1089" w:type="dxa"/>
            <w:tcBorders>
              <w:top w:val="nil"/>
              <w:left w:val="single" w:sz="4" w:space="0" w:color="auto"/>
              <w:bottom w:val="single" w:sz="4" w:space="0" w:color="auto"/>
              <w:right w:val="single" w:sz="4" w:space="0" w:color="auto"/>
            </w:tcBorders>
            <w:shd w:val="clear" w:color="auto" w:fill="C6EFCE"/>
            <w:noWrap/>
          </w:tcPr>
          <w:p w14:paraId="2DCB934B"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96" w:type="dxa"/>
            <w:tcBorders>
              <w:top w:val="nil"/>
              <w:left w:val="single" w:sz="4" w:space="0" w:color="auto"/>
              <w:bottom w:val="single" w:sz="4" w:space="0" w:color="auto"/>
              <w:right w:val="single" w:sz="4" w:space="0" w:color="auto"/>
            </w:tcBorders>
            <w:shd w:val="clear" w:color="auto" w:fill="C6EFCE"/>
            <w:noWrap/>
          </w:tcPr>
          <w:p w14:paraId="75DE6E89"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Number of financing contracts signed </w:t>
            </w:r>
          </w:p>
        </w:tc>
        <w:tc>
          <w:tcPr>
            <w:tcW w:w="1766" w:type="dxa"/>
            <w:tcBorders>
              <w:top w:val="nil"/>
              <w:left w:val="single" w:sz="4" w:space="0" w:color="auto"/>
              <w:bottom w:val="single" w:sz="4" w:space="0" w:color="auto"/>
              <w:right w:val="single" w:sz="4" w:space="0" w:color="auto"/>
            </w:tcBorders>
            <w:shd w:val="clear" w:color="auto" w:fill="C6EFCE"/>
            <w:noWrap/>
          </w:tcPr>
          <w:p w14:paraId="71436E7F"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42F2F5F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Number</w:t>
            </w:r>
          </w:p>
        </w:tc>
        <w:tc>
          <w:tcPr>
            <w:tcW w:w="996" w:type="dxa"/>
            <w:tcBorders>
              <w:top w:val="nil"/>
              <w:left w:val="single" w:sz="4" w:space="0" w:color="auto"/>
              <w:bottom w:val="single" w:sz="4" w:space="0" w:color="auto"/>
              <w:right w:val="single" w:sz="4" w:space="0" w:color="auto"/>
            </w:tcBorders>
            <w:shd w:val="clear" w:color="auto" w:fill="C6EFCE"/>
            <w:noWrap/>
          </w:tcPr>
          <w:p w14:paraId="7DD22FD5"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0</w:t>
            </w:r>
          </w:p>
        </w:tc>
        <w:tc>
          <w:tcPr>
            <w:tcW w:w="978" w:type="dxa"/>
            <w:tcBorders>
              <w:top w:val="nil"/>
              <w:left w:val="single" w:sz="4" w:space="0" w:color="auto"/>
              <w:bottom w:val="single" w:sz="4" w:space="0" w:color="auto"/>
              <w:right w:val="single" w:sz="4" w:space="0" w:color="auto"/>
            </w:tcBorders>
            <w:shd w:val="clear" w:color="auto" w:fill="C6EFCE"/>
            <w:noWrap/>
          </w:tcPr>
          <w:p w14:paraId="0382064E" w14:textId="5C89DFBA"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4</w:t>
            </w:r>
            <w:r w:rsidR="007E3CE5" w:rsidRPr="009F5E22">
              <w:rPr>
                <w:rFonts w:ascii="Times New Roman" w:hAnsi="Times New Roman" w:cs="Times New Roman"/>
                <w:noProof/>
                <w:sz w:val="20"/>
                <w:szCs w:val="20"/>
                <w:lang w:val="en-GB"/>
              </w:rPr>
              <w:t> </w:t>
            </w:r>
            <w:r w:rsidRPr="009F5E22">
              <w:rPr>
                <w:rFonts w:ascii="Times New Roman" w:hAnsi="Times New Roman" w:cs="Times New Roman"/>
                <w:noProof/>
                <w:sz w:val="20"/>
                <w:szCs w:val="20"/>
                <w:lang w:val="en-GB"/>
              </w:rPr>
              <w:t>611</w:t>
            </w:r>
          </w:p>
          <w:p w14:paraId="2E387EA2" w14:textId="77777777" w:rsidR="001466C3" w:rsidRPr="009F5E22" w:rsidRDefault="001466C3" w:rsidP="001466C3">
            <w:pPr>
              <w:rPr>
                <w:rFonts w:ascii="Times New Roman" w:hAnsi="Times New Roman" w:cs="Times New Roman"/>
                <w:noProof/>
                <w:sz w:val="20"/>
                <w:szCs w:val="20"/>
                <w:lang w:val="en-GB"/>
              </w:rPr>
            </w:pPr>
          </w:p>
        </w:tc>
        <w:tc>
          <w:tcPr>
            <w:tcW w:w="943" w:type="dxa"/>
            <w:tcBorders>
              <w:top w:val="nil"/>
              <w:left w:val="single" w:sz="4" w:space="0" w:color="auto"/>
              <w:bottom w:val="single" w:sz="4" w:space="0" w:color="auto"/>
              <w:right w:val="single" w:sz="4" w:space="0" w:color="auto"/>
            </w:tcBorders>
            <w:shd w:val="clear" w:color="auto" w:fill="C6EFCE"/>
            <w:noWrap/>
          </w:tcPr>
          <w:p w14:paraId="485ECB57"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1065" w:type="dxa"/>
            <w:tcBorders>
              <w:top w:val="nil"/>
              <w:left w:val="single" w:sz="4" w:space="0" w:color="auto"/>
              <w:bottom w:val="single" w:sz="4" w:space="0" w:color="auto"/>
              <w:right w:val="single" w:sz="4" w:space="0" w:color="auto"/>
            </w:tcBorders>
            <w:shd w:val="clear" w:color="auto" w:fill="C6EFCE"/>
            <w:noWrap/>
          </w:tcPr>
          <w:p w14:paraId="77ABB52C"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2025</w:t>
            </w:r>
          </w:p>
        </w:tc>
        <w:tc>
          <w:tcPr>
            <w:tcW w:w="3535" w:type="dxa"/>
            <w:tcBorders>
              <w:top w:val="nil"/>
              <w:left w:val="single" w:sz="4" w:space="0" w:color="auto"/>
              <w:bottom w:val="single" w:sz="4" w:space="0" w:color="auto"/>
              <w:right w:val="single" w:sz="4" w:space="0" w:color="auto"/>
            </w:tcBorders>
            <w:shd w:val="clear" w:color="auto" w:fill="C6EFCE"/>
            <w:noWrap/>
          </w:tcPr>
          <w:p w14:paraId="115260C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Financing contracts signed with enterprises to support the uptake of digital technologies/solutions and the digital transformation of the business processes. </w:t>
            </w:r>
          </w:p>
          <w:p w14:paraId="2056AB0D"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r>
      <w:tr w:rsidR="001466C3" w:rsidRPr="009F5E22" w14:paraId="331974E5"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41E66727" w14:textId="5649584E" w:rsidR="001466C3" w:rsidRPr="009F5E22" w:rsidRDefault="001466C3" w:rsidP="009F5E22">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272</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3F102BFE"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Reform 2.a. Streamline governance of research, development and innovation</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6A748D88"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14668794" w14:textId="3DC1FC68"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Establishment of a permanent system that ensures the</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design, implementation, monitoring and evaluat</w:t>
            </w:r>
            <w:r w:rsidR="001A7361">
              <w:rPr>
                <w:rFonts w:ascii="Times New Roman" w:hAnsi="Times New Roman" w:cs="Times New Roman"/>
                <w:noProof/>
                <w:sz w:val="20"/>
                <w:szCs w:val="20"/>
                <w:lang w:val="en-GB"/>
              </w:rPr>
              <w:t>i</w:t>
            </w:r>
            <w:r w:rsidRPr="009F5E22">
              <w:rPr>
                <w:rFonts w:ascii="Times New Roman" w:hAnsi="Times New Roman" w:cs="Times New Roman"/>
                <w:noProof/>
                <w:sz w:val="20"/>
                <w:szCs w:val="20"/>
                <w:lang w:val="en-GB"/>
              </w:rPr>
              <w:t>on</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RDI</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policy</w:t>
            </w:r>
            <w:r w:rsidR="008A0CE7">
              <w:rPr>
                <w:rFonts w:ascii="Times New Roman" w:hAnsi="Times New Roman" w:cs="Times New Roman"/>
                <w:noProof/>
                <w:sz w:val="20"/>
                <w:szCs w:val="20"/>
                <w:lang w:val="en-GB"/>
              </w:rPr>
              <w:t xml:space="preserve">, </w:t>
            </w:r>
            <w:r w:rsidR="008A0CE7" w:rsidRPr="008A0CE7">
              <w:rPr>
                <w:rFonts w:ascii="Times New Roman" w:hAnsi="Times New Roman" w:cs="Times New Roman"/>
                <w:noProof/>
                <w:sz w:val="20"/>
                <w:szCs w:val="20"/>
                <w:lang w:val="en-GB"/>
              </w:rPr>
              <w:t>and approval of a report on the progress on the implementation of the recommendations detailed in the Policy Support Facility Romania Country Report.</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3C6C0531" w14:textId="13106308"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Legal act(s)</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establishing a permanent system that ensures the design, implementation, monitoring and evaluation of RDI policy</w:t>
            </w:r>
            <w:r w:rsidR="00962FA1" w:rsidRPr="00962FA1">
              <w:rPr>
                <w:rFonts w:ascii="Times New Roman" w:hAnsi="Times New Roman" w:cs="Times New Roman"/>
                <w:noProof/>
                <w:sz w:val="20"/>
                <w:szCs w:val="20"/>
                <w:lang w:val="en-GB"/>
              </w:rPr>
              <w:t>, and approved report on the progress on the implementation of the recommendations detailed in the Policy Support Facility Romania Country Report.</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17100D2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5DD48D25"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3E379C55"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76754530"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0BEC3A40"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2026</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00836DD0"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Legal act(s) shall contain provisions to establish a permanent system that ensures the harmonised design,implementation, monitoring and evaluation of research, development and innovation policy across funding institutions.</w:t>
            </w:r>
          </w:p>
          <w:p w14:paraId="4D187FC1"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p w14:paraId="0E74D4EE" w14:textId="721164B1" w:rsidR="001466C3" w:rsidRPr="009F5E22" w:rsidRDefault="006238A5" w:rsidP="001466C3">
            <w:pPr>
              <w:spacing w:after="0" w:line="240" w:lineRule="auto"/>
              <w:jc w:val="both"/>
              <w:rPr>
                <w:rFonts w:ascii="Times New Roman" w:hAnsi="Times New Roman" w:cs="Times New Roman"/>
                <w:noProof/>
                <w:sz w:val="20"/>
                <w:szCs w:val="20"/>
                <w:lang w:val="en-GB"/>
              </w:rPr>
            </w:pPr>
            <w:r w:rsidRPr="006238A5">
              <w:rPr>
                <w:rFonts w:ascii="Times New Roman" w:hAnsi="Times New Roman" w:cs="Times New Roman"/>
                <w:noProof/>
                <w:sz w:val="20"/>
                <w:szCs w:val="20"/>
                <w:lang w:val="en-GB"/>
              </w:rPr>
              <w:t>The National Council for Science and Technology Policy shall approve a report on the progress on the implementation of the recommendations detailed in the Policy Support Facility Romania Country Report.</w:t>
            </w:r>
            <w:r w:rsidRPr="006238A5" w:rsidDel="006238A5">
              <w:rPr>
                <w:rFonts w:ascii="Times New Roman" w:hAnsi="Times New Roman" w:cs="Times New Roman"/>
                <w:noProof/>
                <w:sz w:val="20"/>
                <w:szCs w:val="20"/>
                <w:lang w:val="en-GB"/>
              </w:rPr>
              <w:t xml:space="preserve"> </w:t>
            </w:r>
          </w:p>
        </w:tc>
      </w:tr>
      <w:tr w:rsidR="001466C3" w:rsidRPr="009F5E22" w14:paraId="6D0ACBAA"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72A64523"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273</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6FB748A6" w14:textId="4083B768"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Reform 2.a.</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Streamline governance of research, development and innovation</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656AE8BC"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3A87B32D" w14:textId="080FC95B" w:rsidR="001466C3" w:rsidRPr="009F5E22" w:rsidRDefault="001466C3" w:rsidP="00552A44">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Entry into force of legal act(s) establishing a single body that encompasses the existing councils, ensures inter-ministerial coordination and reaches out to the private sector</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02F18A10"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Legal act(s) for the establishment of the single body </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074A2A95"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43505466"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7BC29559"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72E8731C"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5A94FC12"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2023</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209724F8"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Legal act(s) modifications to create a new body with a decisional role focused on RDI and smart specialization policies, at the governmental level with the involvement of responsible ministries. </w:t>
            </w:r>
          </w:p>
          <w:p w14:paraId="6171FD2F"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This body shall cover the coordination of RDI activities (research driven innovation and entrepreneurship included) at the national level. The secretariat of this body shall be assured by National Research Authority. </w:t>
            </w:r>
          </w:p>
        </w:tc>
      </w:tr>
      <w:tr w:rsidR="001466C3" w:rsidRPr="009F5E22" w14:paraId="68D3D27A"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52341F8F"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274</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34AB92E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Reform 3. Reform of the research career</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352EAB17"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5A6653AA"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Entry into force of legal act(s) on the researcher’s career and status </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22A4977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Legal act(s) on the researcher’s career and status</w:t>
            </w:r>
          </w:p>
          <w:p w14:paraId="1F52BF77"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p w14:paraId="448803E8"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310AC6A8"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0573D9AD"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48726FA1"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69314CA7"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2356825A"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2024</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48D38ED0"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Legal act(s) shall detail the Key Performance Indicators (that shall be used to evaluate the performance of researchers, and shall detail the standards for “good conduct in scientific research”, and therefore access to funding and scholarships.</w:t>
            </w:r>
          </w:p>
          <w:p w14:paraId="771A8C6A"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new legislation shall include the following requirements:</w:t>
            </w:r>
          </w:p>
          <w:p w14:paraId="5089A9F4" w14:textId="77777777" w:rsidR="001466C3" w:rsidRPr="009F5E22" w:rsidRDefault="001466C3" w:rsidP="001466C3">
            <w:pPr>
              <w:numPr>
                <w:ilvl w:val="0"/>
                <w:numId w:val="95"/>
              </w:numPr>
              <w:spacing w:after="0" w:line="240" w:lineRule="auto"/>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advance research career based on merit-based principles, </w:t>
            </w:r>
          </w:p>
          <w:p w14:paraId="4C49E1C3" w14:textId="19C0DB39" w:rsidR="001466C3" w:rsidRPr="009F5E22" w:rsidRDefault="001466C3" w:rsidP="001466C3">
            <w:pPr>
              <w:numPr>
                <w:ilvl w:val="0"/>
                <w:numId w:val="95"/>
              </w:numPr>
              <w:spacing w:after="0" w:line="240" w:lineRule="auto"/>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ensure recruitment through</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 xml:space="preserve">transparent, open and competitive procedures, </w:t>
            </w:r>
          </w:p>
          <w:p w14:paraId="4966D3CD" w14:textId="77777777" w:rsidR="001466C3" w:rsidRPr="009F5E22" w:rsidRDefault="001466C3" w:rsidP="001466C3">
            <w:pPr>
              <w:numPr>
                <w:ilvl w:val="0"/>
                <w:numId w:val="95"/>
              </w:numPr>
              <w:spacing w:after="0" w:line="240" w:lineRule="auto"/>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Ensure good practices in ethics and integrity in scientific research.</w:t>
            </w:r>
          </w:p>
          <w:p w14:paraId="08D830C6"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Legal act(s) shall equally include a framework of financial and non-financial incentives to encourage the adoption of the European Charter for Researchers and Code for the Recruitment of Researchers by research institutions. </w:t>
            </w:r>
          </w:p>
        </w:tc>
      </w:tr>
      <w:tr w:rsidR="001466C3" w:rsidRPr="009F5E22" w14:paraId="49DADCD7"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213E7527"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275</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7421230B"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Reform 3. Reform of the research career</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364A60F2"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5E75F8CE"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Institutions that adhered to the European Charter for Researchers and Code for the Recruitment of Researchers initiated the process of design, application and assessment of Action Plans </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6ED6EF51"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46A7F9A0"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Number</w:t>
            </w: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35204B10"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5</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32EC79C8"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16</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3508C6BF"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2CBD661A"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2025</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7902CFAE" w14:textId="1A8A19AF"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11 additional institutions that adhered to the European Charter for Researchers and Code for the Recruitment of Researchers, shall initiate the</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 xml:space="preserve">process of design, application and assessment of Action Plans based on the European Commission’s 'Human Resources Strategy for Researchers' (HRS4R) tool. </w:t>
            </w:r>
          </w:p>
          <w:p w14:paraId="7BE6370D"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r>
      <w:tr w:rsidR="001466C3" w:rsidRPr="009F5E22" w14:paraId="1FD0CA91"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6C570C54"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281</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6280E5C1"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Investment 5.a Establishment of Competence Centres</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05FB050B"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09FD2801"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Enterprises receiving</w:t>
            </w:r>
            <w:r w:rsidRPr="009F5E22">
              <w:rPr>
                <w:rFonts w:ascii="Times New Roman" w:hAnsi="Times New Roman" w:cs="Times New Roman"/>
                <w:noProof/>
                <w:sz w:val="20"/>
                <w:szCs w:val="20"/>
              </w:rPr>
              <w:t xml:space="preserve"> funding for research, development and innovation activities</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4FF459E5"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6C29947C"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Number</w:t>
            </w: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12324146"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0</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2CFEE762"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sidDel="00442DC4">
              <w:rPr>
                <w:rFonts w:ascii="Times New Roman" w:hAnsi="Times New Roman" w:cs="Times New Roman"/>
                <w:noProof/>
                <w:sz w:val="20"/>
                <w:szCs w:val="20"/>
                <w:lang w:val="en-GB"/>
              </w:rPr>
              <w:t>25</w:t>
            </w:r>
            <w:r w:rsidRPr="009F5E22">
              <w:rPr>
                <w:rFonts w:ascii="Times New Roman" w:hAnsi="Times New Roman" w:cs="Times New Roman"/>
                <w:noProof/>
                <w:sz w:val="20"/>
                <w:szCs w:val="20"/>
                <w:lang w:val="en-GB"/>
              </w:rPr>
              <w:t xml:space="preserve"> </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49FF62FB"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Q1</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658522DB"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2026</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3F970613"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At least 25 enterprises shall have received funding for research, development and innovation activities through competence centres.</w:t>
            </w:r>
          </w:p>
        </w:tc>
      </w:tr>
      <w:tr w:rsidR="001466C3" w:rsidRPr="009F5E22" w14:paraId="2D8C1BDB"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27F7D0FA"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284</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6918D86A" w14:textId="3528F185"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Investment 8.</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Programme to attract human resources from abroad in research, development and innovation activities</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7933534A"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410F3698"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Projects led by international researchers </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7FAE30AB"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p w14:paraId="588E0CF3" w14:textId="77777777" w:rsidR="001466C3" w:rsidRPr="009F5E22" w:rsidRDefault="001466C3" w:rsidP="001466C3">
            <w:pPr>
              <w:ind w:firstLine="720"/>
              <w:rPr>
                <w:rFonts w:ascii="Times New Roman" w:hAnsi="Times New Roman" w:cs="Times New Roman"/>
                <w:noProof/>
                <w:sz w:val="20"/>
                <w:szCs w:val="20"/>
                <w:lang w:val="en-GB"/>
              </w:rPr>
            </w:pP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5C93B7CB"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r w:rsidRPr="009F5E22">
              <w:rPr>
                <w:rFonts w:ascii="Times New Roman" w:eastAsia="Times New Roman" w:hAnsi="Times New Roman" w:cs="Times New Roman"/>
                <w:noProof/>
                <w:sz w:val="20"/>
                <w:szCs w:val="20"/>
                <w:lang w:val="en-GB" w:eastAsia="en-GB"/>
              </w:rPr>
              <w:t xml:space="preserve">Number </w:t>
            </w: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29FEC7B4"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0</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2E401FE1"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100</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6D13CC42"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2B8FF1CB"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2023</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4C3BCF4A"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100 selected projects led by international researchers hosted by research, development and innovation organisations in Romania.</w:t>
            </w:r>
          </w:p>
        </w:tc>
      </w:tr>
      <w:tr w:rsidR="001466C3" w:rsidRPr="009F5E22" w14:paraId="79678D84"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73156F75"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285</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1861BF9C"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Investment 9. Support for the holders of certificates of excellence received in the Marie Sklodowska Curie Individual Fellowship Award</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790090EB"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25C491FE"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Marie Sklodowska Curie recipients of Seal of Excellence</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01217240"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7B28C4D5"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Number</w:t>
            </w: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66141970"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0</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2C20BF05"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10</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7F4CFAC7"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473DADF0"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2023</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441875AF" w14:textId="20C03075" w:rsidR="001466C3" w:rsidRPr="009F5E22" w:rsidRDefault="001466C3" w:rsidP="00552A44">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At least 10 Marie Sklodowska Curie recipients of Seal of Excellence for excellent individual fellowships shall receive a grant to carry out Horizon 2020 and Horizon Europe research projects.</w:t>
            </w:r>
          </w:p>
        </w:tc>
      </w:tr>
      <w:tr w:rsidR="001466C3" w:rsidRPr="009F5E22" w14:paraId="06509863"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14AD0415"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287</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4C82484F"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Investment 10. Establishment and financial support of a national network of eight regional career guidance centres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3D1CDEC2"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179A8D13" w14:textId="1817243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Established regional centres for research</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career orientation</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1F22C827"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14654721"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Number</w:t>
            </w: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0C6670FE"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0</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510975FF"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8</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73009A8A"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79359757"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eastAsia="en-IE"/>
              </w:rPr>
              <w:t>2026</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17FBE483"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8 regional centers for research career orientation shall be hosted by 8 public universities. The roles of the centers shall be:</w:t>
            </w:r>
          </w:p>
          <w:p w14:paraId="357A2B77" w14:textId="77777777" w:rsidR="001466C3" w:rsidRPr="009F5E22" w:rsidRDefault="001466C3" w:rsidP="001466C3">
            <w:pPr>
              <w:numPr>
                <w:ilvl w:val="0"/>
                <w:numId w:val="96"/>
              </w:numPr>
              <w:spacing w:after="0" w:line="240" w:lineRule="auto"/>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providing career orientation to researchers,</w:t>
            </w:r>
          </w:p>
          <w:p w14:paraId="2AE23EB6" w14:textId="77777777" w:rsidR="001466C3" w:rsidRPr="009F5E22" w:rsidRDefault="001466C3" w:rsidP="001466C3">
            <w:pPr>
              <w:numPr>
                <w:ilvl w:val="0"/>
                <w:numId w:val="96"/>
              </w:numPr>
              <w:spacing w:after="0" w:line="240" w:lineRule="auto"/>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attracting people to a research career,</w:t>
            </w:r>
          </w:p>
          <w:p w14:paraId="6032576B" w14:textId="325BCD44" w:rsidR="001466C3" w:rsidRPr="009F5E22" w:rsidRDefault="001466C3" w:rsidP="00552A44">
            <w:pPr>
              <w:numPr>
                <w:ilvl w:val="0"/>
                <w:numId w:val="96"/>
              </w:numPr>
              <w:spacing w:after="0" w:line="240" w:lineRule="auto"/>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working as a network. </w:t>
            </w:r>
          </w:p>
        </w:tc>
      </w:tr>
    </w:tbl>
    <w:p w14:paraId="5CF2D2BF" w14:textId="77777777" w:rsidR="008D6D49" w:rsidRPr="00291374" w:rsidRDefault="008D6D49" w:rsidP="008D6D49">
      <w:pPr>
        <w:spacing w:before="120" w:after="120" w:line="240" w:lineRule="auto"/>
        <w:jc w:val="both"/>
        <w:rPr>
          <w:rFonts w:ascii="Times New Roman" w:hAnsi="Times New Roman" w:cs="Times New Roman"/>
          <w:noProof/>
          <w:sz w:val="20"/>
          <w:szCs w:val="20"/>
          <w:lang w:val="en-GB"/>
        </w:rPr>
      </w:pPr>
    </w:p>
    <w:bookmarkEnd w:id="20"/>
    <w:p w14:paraId="6A8BDFD9" w14:textId="77777777" w:rsidR="008D6D49" w:rsidRPr="00291374" w:rsidRDefault="008D6D49" w:rsidP="008D6D49">
      <w:pPr>
        <w:spacing w:before="120" w:after="120" w:line="240" w:lineRule="auto"/>
        <w:jc w:val="both"/>
        <w:rPr>
          <w:rFonts w:ascii="Times New Roman" w:hAnsi="Times New Roman" w:cs="Times New Roman"/>
          <w:noProof/>
          <w:lang w:val="en-GB"/>
        </w:rPr>
        <w:sectPr w:rsidR="008D6D49" w:rsidRPr="00291374" w:rsidSect="008D6D49">
          <w:headerReference w:type="even" r:id="rId216"/>
          <w:headerReference w:type="default" r:id="rId217"/>
          <w:footerReference w:type="even" r:id="rId218"/>
          <w:footerReference w:type="default" r:id="rId219"/>
          <w:headerReference w:type="first" r:id="rId220"/>
          <w:footerReference w:type="first" r:id="rId221"/>
          <w:pgSz w:w="16839" w:h="11907" w:orient="landscape"/>
          <w:pgMar w:top="1134" w:right="1134" w:bottom="1134" w:left="1134" w:header="567" w:footer="567" w:gutter="0"/>
          <w:cols w:space="720"/>
          <w:docGrid w:linePitch="360"/>
        </w:sectPr>
      </w:pPr>
    </w:p>
    <w:p w14:paraId="13176858" w14:textId="77777777" w:rsidR="008D6D49" w:rsidRPr="00291374" w:rsidRDefault="008D6D49" w:rsidP="001466C3">
      <w:pPr>
        <w:keepNext/>
        <w:spacing w:before="120" w:after="120" w:line="240" w:lineRule="auto"/>
        <w:ind w:left="850" w:hanging="850"/>
        <w:jc w:val="both"/>
        <w:outlineLvl w:val="1"/>
        <w:rPr>
          <w:rFonts w:ascii="Times New Roman" w:hAnsi="Times New Roman" w:cs="Times New Roman"/>
          <w:b/>
          <w:noProof/>
          <w:lang w:val="en-GB"/>
        </w:rPr>
      </w:pPr>
      <w:r w:rsidRPr="00291374">
        <w:rPr>
          <w:rFonts w:ascii="Times New Roman" w:hAnsi="Times New Roman" w:cs="Times New Roman"/>
          <w:b/>
          <w:noProof/>
          <w:lang w:val="en-GB"/>
        </w:rPr>
        <w:t xml:space="preserve">I.3. </w:t>
      </w:r>
      <w:r w:rsidRPr="001466C3">
        <w:rPr>
          <w:noProof/>
        </w:rPr>
        <w:tab/>
      </w:r>
      <w:r w:rsidRPr="00291374">
        <w:rPr>
          <w:rFonts w:ascii="Times New Roman" w:hAnsi="Times New Roman" w:cs="Times New Roman"/>
          <w:b/>
          <w:noProof/>
          <w:lang w:val="en-GB"/>
        </w:rPr>
        <w:t>Description of the reforms and investments for loans</w:t>
      </w:r>
    </w:p>
    <w:p w14:paraId="040AA9A6" w14:textId="77777777" w:rsidR="008D6D49" w:rsidRPr="00291374" w:rsidRDefault="008D6D49" w:rsidP="008D6D49">
      <w:pPr>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Reform 1. Legislative transparency, de-bureaucratisation and procedural simplification for business</w:t>
      </w:r>
    </w:p>
    <w:p w14:paraId="281B0931"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reform is to reduce the administrative burden for businesses. </w:t>
      </w:r>
    </w:p>
    <w:p w14:paraId="303C6602"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This reform consists in the adoption of legal act(s) to simplify and increase the transparency of regulatory procedures for firms. </w:t>
      </w:r>
    </w:p>
    <w:p w14:paraId="18221FF7" w14:textId="77777777" w:rsidR="008D6D49" w:rsidRPr="00291374" w:rsidRDefault="008D6D49" w:rsidP="008D6D49">
      <w:pPr>
        <w:spacing w:before="120" w:after="120" w:line="240" w:lineRule="auto"/>
        <w:jc w:val="both"/>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Investment 1. Digital platforms on legislative transparency, de-bureaucratisation and procedural simplification for business.</w:t>
      </w:r>
    </w:p>
    <w:p w14:paraId="7030F3E9"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provide digital access and the possibility to perform operations related to specific regulatory requirements for business. </w:t>
      </w:r>
    </w:p>
    <w:p w14:paraId="210A1FCB"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the establishment of digital platforms to provide services for businesses. </w:t>
      </w:r>
    </w:p>
    <w:p w14:paraId="1C7262D3" w14:textId="77777777" w:rsidR="008D6D49" w:rsidRPr="00291374"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Investment 2.</w:t>
      </w:r>
      <w:r w:rsidRPr="00291374">
        <w:rPr>
          <w:rFonts w:ascii="Times New Roman" w:eastAsia="NSimSun" w:hAnsi="Times New Roman" w:cs="Times New Roman"/>
          <w:noProof/>
          <w:u w:val="single"/>
          <w:lang w:val="en-GB"/>
        </w:rPr>
        <w:t xml:space="preserve"> Financial instruments for the private sector</w:t>
      </w:r>
    </w:p>
    <w:p w14:paraId="6B45F558" w14:textId="77777777" w:rsidR="008D6D49" w:rsidRPr="00291374" w:rsidRDefault="008D6D49" w:rsidP="008D6D49">
      <w:pPr>
        <w:spacing w:before="120" w:after="120" w:line="240" w:lineRule="auto"/>
        <w:jc w:val="both"/>
        <w:rPr>
          <w:rFonts w:ascii="Times New Roman" w:hAnsi="Times New Roman" w:cs="Times New Roman"/>
          <w:i/>
          <w:iCs/>
          <w:noProof/>
          <w:lang w:val="en-GB"/>
        </w:rPr>
      </w:pPr>
      <w:r w:rsidRPr="00291374">
        <w:rPr>
          <w:rFonts w:ascii="Times New Roman" w:hAnsi="Times New Roman" w:cs="Times New Roman"/>
          <w:i/>
          <w:iCs/>
          <w:noProof/>
          <w:lang w:val="en-GB"/>
        </w:rPr>
        <w:t>Sub-investment 2.1. Portfolio Guarantee for Resilience</w:t>
      </w:r>
    </w:p>
    <w:p w14:paraId="75E20FC0"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sub-investment is to address financial hurdles faced by Romanian enterprises in accessing finance, namely: increased cost of finance, lack of collateral and impaired credit channels. In particular, the sub-investment shall target the liquidity/solvency challenges of Romanian enterprises, which arise from the significant and temporary reduction of their revenues, due to the COVID-19 crisis. In this context, the instrument shall be designed to improve access to finance and revitalise blocked lending channels during and in the aftermath of the COVID-19 crisis by supporting investments or working capital needs of enterprises. The sub-investment shall take the form of a portfolio guarantee, to be implemented as a contribution to InvestEU by the European Investment Fund (“EIF”). </w:t>
      </w:r>
    </w:p>
    <w:p w14:paraId="7C833068"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To ensure that the sub-investment complies with the ‘Do no significant harm’ Technical Guidance (2021/C58/01), the contribution agreement between the European Commission and the Romanian Government shall require the application of the Commission’s technical guidance on sustainability proofing for the InvestEU Fund. The guarantee agreement between the European Commission and the EIF shall in addition exclude the following list of activities and assets from eligibility: (i) activities and assets related to fossil fuels, including downstream use</w:t>
      </w:r>
      <w:r w:rsidRPr="00291374">
        <w:rPr>
          <w:rFonts w:ascii="Times New Roman" w:hAnsi="Times New Roman" w:cs="Times New Roman"/>
          <w:noProof/>
          <w:vertAlign w:val="superscript"/>
          <w:lang w:val="en-GB"/>
        </w:rPr>
        <w:footnoteReference w:id="20"/>
      </w:r>
      <w:r w:rsidRPr="00291374">
        <w:rPr>
          <w:rFonts w:ascii="Times New Roman" w:hAnsi="Times New Roman" w:cs="Times New Roman"/>
          <w:noProof/>
          <w:lang w:val="en-GB"/>
        </w:rPr>
        <w:t xml:space="preserve"> and (ii) activities and assets under the EU Emission Trading System (ETS) achieving projected greenhouse gas emissions that are not lower than the relevant benchmarks.</w:t>
      </w:r>
      <w:r w:rsidRPr="00291374">
        <w:rPr>
          <w:rFonts w:ascii="Times New Roman" w:hAnsi="Times New Roman" w:cs="Times New Roman"/>
          <w:noProof/>
          <w:vertAlign w:val="superscript"/>
          <w:lang w:val="en-GB"/>
        </w:rPr>
        <w:footnoteReference w:id="21"/>
      </w:r>
    </w:p>
    <w:p w14:paraId="4FE50921" w14:textId="77777777" w:rsidR="008D6D49" w:rsidRPr="00291374" w:rsidRDefault="008D6D49" w:rsidP="008D6D49">
      <w:pPr>
        <w:spacing w:before="120" w:after="120" w:line="240" w:lineRule="auto"/>
        <w:jc w:val="both"/>
        <w:rPr>
          <w:rFonts w:ascii="Times New Roman" w:hAnsi="Times New Roman" w:cs="Times New Roman"/>
          <w:i/>
          <w:noProof/>
          <w:lang w:val="en-GB"/>
        </w:rPr>
      </w:pPr>
      <w:r w:rsidRPr="00291374">
        <w:rPr>
          <w:rFonts w:ascii="Times New Roman" w:hAnsi="Times New Roman" w:cs="Times New Roman"/>
          <w:i/>
          <w:noProof/>
          <w:lang w:val="en-GB"/>
        </w:rPr>
        <w:t xml:space="preserve">Sub-investment 2.2. </w:t>
      </w:r>
      <w:bookmarkStart w:id="21" w:name="_Hlk209625075"/>
      <w:r w:rsidRPr="00291374">
        <w:rPr>
          <w:rFonts w:ascii="Times New Roman" w:hAnsi="Times New Roman" w:cs="Times New Roman"/>
          <w:i/>
          <w:noProof/>
          <w:lang w:val="en-GB"/>
        </w:rPr>
        <w:t>Climate Action Portfolio Guarantee</w:t>
      </w:r>
      <w:bookmarkEnd w:id="21"/>
    </w:p>
    <w:p w14:paraId="209C20DD"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this sub-investment is to deliver finance and investments to SMEs (up to 249 employees), companies with up to 500 employees, and individuals through working capital, credit lines, investment loans, or leasing, aimed at investments and finance</w:t>
      </w:r>
      <w:r w:rsidRPr="00291374">
        <w:rPr>
          <w:rFonts w:ascii="Times New Roman" w:hAnsi="Times New Roman" w:cs="Times New Roman"/>
          <w:noProof/>
          <w:color w:val="FF0000"/>
          <w:lang w:val="en-GB"/>
        </w:rPr>
        <w:t xml:space="preserve"> </w:t>
      </w:r>
      <w:r w:rsidRPr="00291374">
        <w:rPr>
          <w:rFonts w:ascii="Times New Roman" w:hAnsi="Times New Roman" w:cs="Times New Roman"/>
          <w:noProof/>
          <w:lang w:val="en-GB"/>
        </w:rPr>
        <w:t xml:space="preserve">for energy efficiency increases in enterprises and the residential and buildings sector. The purpose of the instrument shall be to address Romania’s current challenges in supporting investments in the energy efficiency and renewable energy sectors. The sub-investment shall take the form of a portfolio guarantee, to be implemented as a contribution to InvestEU by the European Investment Fund (“EIF”). The specific goals and energy efficiency ambitions of the instrument, as well as structure and eligibility criteria shall be fully aligned and correspond to the ones of the InvestEU EU-Compartment instrument, currently under development. </w:t>
      </w:r>
    </w:p>
    <w:p w14:paraId="20A58B04"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In order to ensure that the sub-investment complies with the ‘Do no significant harm’ Technical Guidance (2021/C58/01), the contribution agreement between the European Commission and the Romanian Government shall require the application of the Commission’s technical guidance on sustainability proofing for the InvestEU Fund. The guarantee agreement between the European Commission and the EIF shall in addition exclude the following list of activities and assets from eligibility: (i) activities and assets related to fossil fuels, including downstream use</w:t>
      </w:r>
      <w:r w:rsidRPr="00291374">
        <w:rPr>
          <w:rFonts w:ascii="Times New Roman" w:hAnsi="Times New Roman" w:cs="Times New Roman"/>
          <w:noProof/>
          <w:vertAlign w:val="superscript"/>
          <w:lang w:val="en-GB"/>
        </w:rPr>
        <w:footnoteReference w:id="22"/>
      </w:r>
      <w:r w:rsidRPr="00291374">
        <w:rPr>
          <w:rFonts w:ascii="Times New Roman" w:hAnsi="Times New Roman" w:cs="Times New Roman"/>
          <w:noProof/>
          <w:lang w:val="en-GB"/>
        </w:rPr>
        <w:t xml:space="preserve"> and (ii) activities and assets under the EU Emission Trading System (ETS) achieving projected greenhouse gas emissions that are not lower than the relevant benchmarks.</w:t>
      </w:r>
      <w:r w:rsidRPr="00291374">
        <w:rPr>
          <w:rFonts w:ascii="Times New Roman" w:hAnsi="Times New Roman" w:cs="Times New Roman"/>
          <w:noProof/>
          <w:vertAlign w:val="superscript"/>
          <w:lang w:val="en-GB"/>
        </w:rPr>
        <w:footnoteReference w:id="23"/>
      </w:r>
    </w:p>
    <w:p w14:paraId="09D2CBEF"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complements investment 2.a. Climate Action Portfolio Guarantee</w:t>
      </w:r>
    </w:p>
    <w:p w14:paraId="797760BD" w14:textId="77777777" w:rsidR="008D6D49" w:rsidRPr="00291374" w:rsidRDefault="008D6D49" w:rsidP="008D6D49">
      <w:pPr>
        <w:spacing w:before="120" w:after="120" w:line="240" w:lineRule="auto"/>
        <w:jc w:val="both"/>
        <w:rPr>
          <w:rFonts w:ascii="Times New Roman" w:hAnsi="Times New Roman" w:cs="Times New Roman"/>
          <w:i/>
          <w:noProof/>
          <w:lang w:val="en-GB"/>
        </w:rPr>
      </w:pPr>
      <w:r w:rsidRPr="00291374">
        <w:rPr>
          <w:rFonts w:ascii="Times New Roman" w:hAnsi="Times New Roman" w:cs="Times New Roman"/>
          <w:i/>
          <w:noProof/>
          <w:lang w:val="en-GB"/>
        </w:rPr>
        <w:t xml:space="preserve">Sub-investment 2.3 for SMEs and mid-caps: Recovery Venture Capital Fund </w:t>
      </w:r>
    </w:p>
    <w:p w14:paraId="73C72752"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sub-investment is to provide equity support </w:t>
      </w:r>
      <w:r w:rsidRPr="00291374">
        <w:rPr>
          <w:rFonts w:ascii="Times New Roman" w:hAnsi="Times New Roman" w:cs="Times New Roman"/>
          <w:noProof/>
        </w:rPr>
        <w:t>for SMEs, mid-caps, including start-ups, companies in early and advanced growth stages, and infrastructure projects focused on renewable energy, and energy efficiency</w:t>
      </w:r>
      <w:r w:rsidRPr="00291374">
        <w:rPr>
          <w:rFonts w:ascii="Times New Roman" w:hAnsi="Times New Roman" w:cs="Times New Roman"/>
          <w:noProof/>
          <w:lang w:val="en-GB"/>
        </w:rPr>
        <w:t xml:space="preserve">. The support shall be delivered through venture capital funds and infrastructure funds, as part of a Risk Capital Fund, managed by the European Investment Fund (“EIF”). </w:t>
      </w:r>
    </w:p>
    <w:p w14:paraId="3A3C6DF3"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In order to ensure that the sub-investment complies with the ‘Do no significant harm’ Technical Guidance (2021/C58/01), the financing agreement between the Romanian Government and the EIF, and the subsequent investment policy of the financial instrument shall </w:t>
      </w:r>
    </w:p>
    <w:p w14:paraId="3B52D22D" w14:textId="77777777" w:rsidR="008D6D49" w:rsidRPr="00291374" w:rsidRDefault="008D6D49" w:rsidP="001466C3">
      <w:pPr>
        <w:numPr>
          <w:ilvl w:val="0"/>
          <w:numId w:val="97"/>
        </w:numPr>
        <w:spacing w:before="120" w:after="120" w:line="240" w:lineRule="auto"/>
        <w:contextualSpacing/>
        <w:jc w:val="both"/>
        <w:rPr>
          <w:rFonts w:ascii="Times New Roman" w:hAnsi="Times New Roman" w:cs="Times New Roman"/>
          <w:noProof/>
          <w:bdr w:val="none" w:sz="0" w:space="0" w:color="auto" w:frame="1"/>
          <w:lang w:val="en-GB"/>
        </w:rPr>
      </w:pPr>
      <w:r w:rsidRPr="001466C3">
        <w:rPr>
          <w:rFonts w:ascii="Times New Roman" w:eastAsiaTheme="minorHAnsi" w:hAnsi="Times New Roman" w:cs="Times New Roman"/>
          <w:noProof/>
          <w:kern w:val="2"/>
          <w:bdr w:val="none" w:sz="0" w:space="0" w:color="auto" w:frame="1"/>
          <w:lang w:val="en-GB" w:eastAsia="en-US"/>
          <w14:ligatures w14:val="standardContextual"/>
        </w:rPr>
        <w:t>require the application of the Commission’s technical guidance on sustainability proofing for the InvestEU Fund; and</w:t>
      </w:r>
    </w:p>
    <w:p w14:paraId="7355EC73" w14:textId="77777777" w:rsidR="008D6D49" w:rsidRPr="00291374" w:rsidRDefault="008D6D49" w:rsidP="001466C3">
      <w:pPr>
        <w:numPr>
          <w:ilvl w:val="0"/>
          <w:numId w:val="97"/>
        </w:numPr>
        <w:spacing w:before="120" w:after="120" w:line="240" w:lineRule="auto"/>
        <w:contextualSpacing/>
        <w:jc w:val="both"/>
        <w:rPr>
          <w:rFonts w:ascii="Times New Roman" w:hAnsi="Times New Roman" w:cs="Times New Roman"/>
          <w:noProof/>
          <w:bdr w:val="none" w:sz="0" w:space="0" w:color="auto" w:frame="1"/>
          <w:lang w:val="en-GB"/>
        </w:rPr>
      </w:pPr>
      <w:r w:rsidRPr="001466C3">
        <w:rPr>
          <w:rFonts w:ascii="Times New Roman" w:eastAsiaTheme="minorHAnsi" w:hAnsi="Times New Roman" w:cs="Times New Roman"/>
          <w:noProof/>
          <w:kern w:val="2"/>
          <w:lang w:val="en-GB" w:eastAsia="en-US"/>
          <w14:ligatures w14:val="standardContextual"/>
        </w:rPr>
        <w:t>exclude the following list of activities and assets from eligibility: (i) activities and assets related to fossil fuels, including downstream use</w:t>
      </w:r>
      <w:r w:rsidRPr="00291374">
        <w:rPr>
          <w:rStyle w:val="FootnoteReference"/>
          <w:rFonts w:ascii="Times New Roman" w:hAnsi="Times New Roman" w:cs="Times New Roman"/>
          <w:noProof/>
          <w:lang w:val="en-GB"/>
        </w:rPr>
        <w:footnoteReference w:id="24"/>
      </w:r>
      <w:r w:rsidRPr="00291374">
        <w:rPr>
          <w:rFonts w:ascii="Times New Roman" w:hAnsi="Times New Roman" w:cs="Times New Roman"/>
          <w:noProof/>
          <w:lang w:val="en-GB"/>
        </w:rPr>
        <w:t>; (ii) activities and assets under the EU Emission Trading System (ETS) achieving projected greenhouse gas emissions that are not lower than the relevant benchmarks</w:t>
      </w:r>
      <w:r w:rsidRPr="00291374">
        <w:rPr>
          <w:rStyle w:val="FootnoteReference"/>
          <w:rFonts w:ascii="Times New Roman" w:hAnsi="Times New Roman" w:cs="Times New Roman"/>
          <w:noProof/>
          <w:lang w:val="en-GB"/>
        </w:rPr>
        <w:footnoteReference w:id="25"/>
      </w:r>
      <w:r w:rsidRPr="00291374">
        <w:rPr>
          <w:rFonts w:ascii="Times New Roman" w:hAnsi="Times New Roman" w:cs="Times New Roman"/>
          <w:noProof/>
          <w:lang w:val="en-GB"/>
        </w:rPr>
        <w:t>; (iii) activities and assets related to waste landfills, incinerators</w:t>
      </w:r>
      <w:r w:rsidRPr="00291374">
        <w:rPr>
          <w:rStyle w:val="FootnoteReference"/>
          <w:rFonts w:ascii="Times New Roman" w:hAnsi="Times New Roman" w:cs="Times New Roman"/>
          <w:noProof/>
          <w:lang w:val="en-GB"/>
        </w:rPr>
        <w:footnoteReference w:id="26"/>
      </w:r>
      <w:r w:rsidRPr="00291374">
        <w:rPr>
          <w:rFonts w:ascii="Times New Roman" w:hAnsi="Times New Roman" w:cs="Times New Roman"/>
          <w:noProof/>
          <w:lang w:val="en-GB"/>
        </w:rPr>
        <w:t xml:space="preserve"> and mechanical biological treatment plants</w:t>
      </w:r>
      <w:r w:rsidRPr="00291374">
        <w:rPr>
          <w:rStyle w:val="FootnoteReference"/>
          <w:rFonts w:ascii="Times New Roman" w:hAnsi="Times New Roman" w:cs="Times New Roman"/>
          <w:noProof/>
          <w:lang w:val="en-GB"/>
        </w:rPr>
        <w:footnoteReference w:id="27"/>
      </w:r>
      <w:r w:rsidRPr="00291374">
        <w:rPr>
          <w:rFonts w:ascii="Times New Roman" w:hAnsi="Times New Roman" w:cs="Times New Roman"/>
          <w:noProof/>
          <w:lang w:val="en-GB"/>
        </w:rPr>
        <w:t>; and (iv) activities and assets where the long-term disposal of waste may cause harm to the environment; and</w:t>
      </w:r>
    </w:p>
    <w:p w14:paraId="425CEB64" w14:textId="77777777" w:rsidR="008D6D49" w:rsidRPr="00291374" w:rsidRDefault="008D6D49" w:rsidP="001466C3">
      <w:pPr>
        <w:numPr>
          <w:ilvl w:val="0"/>
          <w:numId w:val="97"/>
        </w:numPr>
        <w:spacing w:before="120" w:after="120" w:line="240" w:lineRule="auto"/>
        <w:contextualSpacing/>
        <w:jc w:val="both"/>
        <w:rPr>
          <w:rFonts w:ascii="Times New Roman" w:hAnsi="Times New Roman" w:cs="Times New Roman"/>
          <w:noProof/>
          <w:bdr w:val="none" w:sz="0" w:space="0" w:color="auto" w:frame="1"/>
          <w:lang w:val="en-GB"/>
        </w:rPr>
      </w:pPr>
      <w:r w:rsidRPr="001466C3">
        <w:rPr>
          <w:rFonts w:ascii="Times New Roman" w:eastAsiaTheme="minorHAnsi" w:hAnsi="Times New Roman" w:cs="Times New Roman"/>
          <w:noProof/>
          <w:kern w:val="2"/>
          <w:bdr w:val="none" w:sz="0" w:space="0" w:color="auto" w:frame="1"/>
          <w:lang w:val="en-GB" w:eastAsia="en-US"/>
          <w14:ligatures w14:val="standardContextual"/>
        </w:rPr>
        <w:t>require companies that derived more than 50% of their revenues during the preceding financial year from activities and/or assets that are covered by the exclusion list to adopt and publish green transition plans; and</w:t>
      </w:r>
    </w:p>
    <w:p w14:paraId="01BF3FA9" w14:textId="77777777" w:rsidR="008D6D49" w:rsidRPr="00291374" w:rsidRDefault="008D6D49" w:rsidP="001466C3">
      <w:pPr>
        <w:numPr>
          <w:ilvl w:val="0"/>
          <w:numId w:val="97"/>
        </w:numPr>
        <w:spacing w:before="120" w:after="120" w:line="240" w:lineRule="auto"/>
        <w:contextualSpacing/>
        <w:jc w:val="both"/>
        <w:rPr>
          <w:rFonts w:ascii="Times New Roman" w:hAnsi="Times New Roman" w:cs="Times New Roman"/>
          <w:noProof/>
          <w:bdr w:val="none" w:sz="0" w:space="0" w:color="auto" w:frame="1"/>
          <w:lang w:val="en-GB"/>
        </w:rPr>
      </w:pPr>
      <w:r w:rsidRPr="001466C3">
        <w:rPr>
          <w:rFonts w:ascii="Times New Roman" w:eastAsiaTheme="minorHAnsi" w:hAnsi="Times New Roman" w:cs="Times New Roman"/>
          <w:noProof/>
          <w:kern w:val="2"/>
          <w:bdr w:val="none" w:sz="0" w:space="0" w:color="auto" w:frame="1"/>
          <w:lang w:val="en-GB" w:eastAsia="en-US"/>
          <w14:ligatures w14:val="standardContextual"/>
        </w:rPr>
        <w:t>require the verification of legal compliance with the relevant EU and national environmental legislation of the beneficiary by the EIF for all transactions, including those exempted from sustainability proofing.</w:t>
      </w:r>
    </w:p>
    <w:p w14:paraId="20F9F231" w14:textId="77777777" w:rsidR="008D6D49" w:rsidRPr="00291374" w:rsidRDefault="008D6D49" w:rsidP="008D6D49">
      <w:pPr>
        <w:spacing w:before="120" w:after="120" w:line="240" w:lineRule="auto"/>
        <w:jc w:val="both"/>
        <w:rPr>
          <w:rFonts w:ascii="Times New Roman" w:hAnsi="Times New Roman" w:cs="Times New Roman"/>
          <w:i/>
          <w:noProof/>
          <w:lang w:val="en-GB"/>
        </w:rPr>
      </w:pPr>
      <w:r w:rsidRPr="00291374">
        <w:rPr>
          <w:rFonts w:ascii="Times New Roman" w:hAnsi="Times New Roman" w:cs="Times New Roman"/>
          <w:i/>
          <w:noProof/>
          <w:lang w:val="en-GB"/>
        </w:rPr>
        <w:t>Sub-measure 2.4: Fund of funds for digitalisation, climate action and other areas of interest</w:t>
      </w:r>
    </w:p>
    <w:p w14:paraId="2FCCF355"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the sub-investment is to provide support to large companies (with more than 500 employees and/or an annual turnover exceeding EUR 50m and an annual balance sheet total exceeding EUR 43m), public entities and Special Purpose Vehicles, through investments contributing to the low-carbon economy, as well as investments in digitalisation and fixed assets through a Fund of Funds. This shall encourage a greater amount of investment contributing to climate and digital objectives by the target companies and encourage the growth and expansion of the companies, in turn creating new employment opportunities and supporting the wider economic recovery. The support shall take the form of a Fund of Funds, the management of which shall be entrusted to the European Investment Bank (“EIB”). </w:t>
      </w:r>
    </w:p>
    <w:p w14:paraId="649FD0D4"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In order to ensure that the sub-investment complies with the ‘Do no significant harm’ Technical Guidance (2021/C58/01), the financing agreement between the Romanian Government and the EIB, and the subsequent investment policy of the financial instrument shall: </w:t>
      </w:r>
    </w:p>
    <w:p w14:paraId="621B43C2" w14:textId="77777777" w:rsidR="008D6D49" w:rsidRPr="00291374" w:rsidRDefault="008D6D49" w:rsidP="001466C3">
      <w:pPr>
        <w:numPr>
          <w:ilvl w:val="0"/>
          <w:numId w:val="98"/>
        </w:numPr>
        <w:spacing w:before="120" w:after="120" w:line="240" w:lineRule="auto"/>
        <w:contextualSpacing/>
        <w:jc w:val="both"/>
        <w:rPr>
          <w:rFonts w:ascii="Times New Roman" w:hAnsi="Times New Roman" w:cs="Times New Roman"/>
          <w:noProof/>
          <w:bdr w:val="none" w:sz="0" w:space="0" w:color="auto" w:frame="1"/>
          <w:lang w:val="en-GB"/>
        </w:rPr>
      </w:pPr>
      <w:r w:rsidRPr="001466C3">
        <w:rPr>
          <w:rFonts w:ascii="Times New Roman" w:eastAsiaTheme="minorHAnsi" w:hAnsi="Times New Roman" w:cs="Times New Roman"/>
          <w:noProof/>
          <w:kern w:val="2"/>
          <w:bdr w:val="none" w:sz="0" w:space="0" w:color="auto" w:frame="1"/>
          <w:lang w:val="en-GB" w:eastAsia="en-US"/>
          <w14:ligatures w14:val="standardContextual"/>
        </w:rPr>
        <w:t>require the application of the Commission’s technical guidance on sustainability proofing for the InvestEU Fund; and</w:t>
      </w:r>
    </w:p>
    <w:p w14:paraId="4B035526" w14:textId="77777777" w:rsidR="008D6D49" w:rsidRPr="00291374" w:rsidRDefault="008D6D49" w:rsidP="001466C3">
      <w:pPr>
        <w:numPr>
          <w:ilvl w:val="0"/>
          <w:numId w:val="98"/>
        </w:numPr>
        <w:spacing w:before="120" w:after="120" w:line="240" w:lineRule="auto"/>
        <w:contextualSpacing/>
        <w:jc w:val="both"/>
        <w:rPr>
          <w:rFonts w:ascii="Times New Roman" w:hAnsi="Times New Roman" w:cs="Times New Roman"/>
          <w:noProof/>
          <w:bdr w:val="none" w:sz="0" w:space="0" w:color="auto" w:frame="1"/>
          <w:lang w:val="en-GB"/>
        </w:rPr>
      </w:pPr>
      <w:r w:rsidRPr="001466C3">
        <w:rPr>
          <w:rFonts w:ascii="Times New Roman" w:eastAsiaTheme="minorHAnsi" w:hAnsi="Times New Roman" w:cs="Times New Roman"/>
          <w:noProof/>
          <w:kern w:val="2"/>
          <w:lang w:val="en-GB" w:eastAsia="en-US"/>
          <w14:ligatures w14:val="standardContextual"/>
        </w:rPr>
        <w:t>exclude the following list of activities and assets from eligibility: (i) activities and assets related to fossil fuels, including downstream use</w:t>
      </w:r>
      <w:r w:rsidRPr="00291374">
        <w:rPr>
          <w:rStyle w:val="FootnoteReference"/>
          <w:rFonts w:ascii="Times New Roman" w:hAnsi="Times New Roman" w:cs="Times New Roman"/>
          <w:noProof/>
          <w:lang w:val="en-GB"/>
        </w:rPr>
        <w:footnoteReference w:id="28"/>
      </w:r>
      <w:r w:rsidRPr="00291374">
        <w:rPr>
          <w:rFonts w:ascii="Times New Roman" w:hAnsi="Times New Roman" w:cs="Times New Roman"/>
          <w:noProof/>
          <w:lang w:val="en-GB"/>
        </w:rPr>
        <w:t>; (ii) activities and assets under the EU Emission Trading System (ETS) achieving projected greenhouse gas emissions that are not lower than the relevant benchmarks</w:t>
      </w:r>
      <w:r w:rsidRPr="00291374">
        <w:rPr>
          <w:rStyle w:val="FootnoteReference"/>
          <w:rFonts w:ascii="Times New Roman" w:hAnsi="Times New Roman" w:cs="Times New Roman"/>
          <w:noProof/>
          <w:lang w:val="en-GB"/>
        </w:rPr>
        <w:footnoteReference w:id="29"/>
      </w:r>
      <w:r w:rsidRPr="00291374">
        <w:rPr>
          <w:rFonts w:ascii="Times New Roman" w:hAnsi="Times New Roman" w:cs="Times New Roman"/>
          <w:noProof/>
          <w:lang w:val="en-GB"/>
        </w:rPr>
        <w:t>; (iii) activities and assets related to waste landfills, incinerators</w:t>
      </w:r>
      <w:r w:rsidRPr="00291374">
        <w:rPr>
          <w:rStyle w:val="FootnoteReference"/>
          <w:rFonts w:ascii="Times New Roman" w:hAnsi="Times New Roman" w:cs="Times New Roman"/>
          <w:noProof/>
          <w:lang w:val="en-GB"/>
        </w:rPr>
        <w:footnoteReference w:id="30"/>
      </w:r>
      <w:r w:rsidRPr="00291374">
        <w:rPr>
          <w:rFonts w:ascii="Times New Roman" w:hAnsi="Times New Roman" w:cs="Times New Roman"/>
          <w:noProof/>
          <w:lang w:val="en-GB"/>
        </w:rPr>
        <w:t xml:space="preserve"> and mechanical biological treatment plants</w:t>
      </w:r>
      <w:r w:rsidRPr="00291374">
        <w:rPr>
          <w:rStyle w:val="FootnoteReference"/>
          <w:rFonts w:ascii="Times New Roman" w:hAnsi="Times New Roman" w:cs="Times New Roman"/>
          <w:noProof/>
          <w:lang w:val="en-GB"/>
        </w:rPr>
        <w:footnoteReference w:id="31"/>
      </w:r>
      <w:r w:rsidRPr="00291374">
        <w:rPr>
          <w:rFonts w:ascii="Times New Roman" w:hAnsi="Times New Roman" w:cs="Times New Roman"/>
          <w:noProof/>
          <w:lang w:val="en-GB"/>
        </w:rPr>
        <w:t>; and (iv) activities and assets where the long-term disposal of waste may cause harm to the environment; and</w:t>
      </w:r>
    </w:p>
    <w:p w14:paraId="59E66D51" w14:textId="77777777" w:rsidR="008D6D49" w:rsidRPr="00291374" w:rsidRDefault="008D6D49" w:rsidP="001466C3">
      <w:pPr>
        <w:numPr>
          <w:ilvl w:val="0"/>
          <w:numId w:val="98"/>
        </w:numPr>
        <w:spacing w:before="120" w:after="120" w:line="240" w:lineRule="auto"/>
        <w:contextualSpacing/>
        <w:jc w:val="both"/>
        <w:rPr>
          <w:rFonts w:ascii="Times New Roman" w:hAnsi="Times New Roman" w:cs="Times New Roman"/>
          <w:noProof/>
          <w:bdr w:val="none" w:sz="0" w:space="0" w:color="auto" w:frame="1"/>
          <w:lang w:val="en-GB"/>
        </w:rPr>
      </w:pPr>
      <w:r w:rsidRPr="001466C3">
        <w:rPr>
          <w:rFonts w:ascii="Times New Roman" w:eastAsiaTheme="minorHAnsi" w:hAnsi="Times New Roman" w:cs="Times New Roman"/>
          <w:noProof/>
          <w:kern w:val="2"/>
          <w:bdr w:val="none" w:sz="0" w:space="0" w:color="auto" w:frame="1"/>
          <w:lang w:val="en-GB" w:eastAsia="en-US"/>
          <w14:ligatures w14:val="standardContextual"/>
        </w:rPr>
        <w:t>require the verification of legal compliance with the relevant EU and national environmental legislation of the beneficiary by the EIB for all transactions, including those exempted from sustainability proofing.</w:t>
      </w:r>
    </w:p>
    <w:p w14:paraId="77FCA672" w14:textId="77777777" w:rsidR="008D6D49" w:rsidRPr="001466C3" w:rsidRDefault="008D6D49" w:rsidP="001466C3">
      <w:pPr>
        <w:spacing w:before="120" w:after="120" w:line="240" w:lineRule="auto"/>
        <w:ind w:left="720"/>
        <w:contextualSpacing/>
        <w:jc w:val="both"/>
        <w:rPr>
          <w:rFonts w:ascii="Times New Roman" w:eastAsiaTheme="minorHAnsi" w:hAnsi="Times New Roman" w:cs="Times New Roman"/>
          <w:noProof/>
          <w:kern w:val="2"/>
          <w:bdr w:val="none" w:sz="0" w:space="0" w:color="auto" w:frame="1"/>
          <w:lang w:val="en-GB" w:eastAsia="en-US"/>
          <w14:ligatures w14:val="standardContextual"/>
        </w:rPr>
      </w:pPr>
    </w:p>
    <w:p w14:paraId="328A6471" w14:textId="77777777" w:rsidR="008D6D49" w:rsidRPr="00291374" w:rsidRDefault="008D6D49" w:rsidP="008D6D49">
      <w:pPr>
        <w:spacing w:before="120" w:after="120" w:line="240" w:lineRule="auto"/>
        <w:jc w:val="both"/>
        <w:rPr>
          <w:rFonts w:ascii="Times New Roman" w:hAnsi="Times New Roman" w:cs="Times New Roman"/>
          <w:i/>
          <w:noProof/>
          <w:lang w:val="en-GB"/>
        </w:rPr>
      </w:pPr>
      <w:r w:rsidRPr="00291374">
        <w:rPr>
          <w:rFonts w:ascii="Times New Roman" w:hAnsi="Times New Roman" w:cs="Times New Roman"/>
          <w:i/>
          <w:noProof/>
          <w:lang w:val="en-GB"/>
        </w:rPr>
        <w:t>Sub-investment 2.5: Energy efficiency investment in the residential and buildings sector</w:t>
      </w:r>
    </w:p>
    <w:p w14:paraId="023C14CD"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financial instrument shall take the form of a portfolio guarantee, implemented by the European Bank for Reconstruction and Development (EBRD).</w:t>
      </w:r>
    </w:p>
    <w:p w14:paraId="55F6B677"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sub-investment is to deliver finance and investments for energy efficiency and renewable energy in the residential and buildings sector. The sub-investment shall take the form of a portfolio guarantee, to be implemented as a contribution to InvestEU. by the European Bank for Reconstruction and Development (“EBRD”). </w:t>
      </w:r>
    </w:p>
    <w:p w14:paraId="74C2E3B3"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In order to ensure that the sub-investment complies with the ‘Do no significant harm’ Technical Guidance (2021/C58/01), the contribution agreement between the European Commission and the Romanian Government shall require the application of the Commission’s technical guidance on sustainability proofing for the InvestEU The guarantee agreement between the European Commission and the EBRD shall in addition exclude the following list of activities and assets from eligibility: (i) activities and assets related to fossil fuels, including downstream use</w:t>
      </w:r>
      <w:r w:rsidRPr="001466C3">
        <w:rPr>
          <w:rFonts w:ascii="Times New Roman" w:hAnsi="Times New Roman" w:cs="Times New Roman"/>
          <w:noProof/>
          <w:vertAlign w:val="superscript"/>
          <w:lang w:val="en-GB"/>
        </w:rPr>
        <w:footnoteReference w:id="32"/>
      </w:r>
      <w:r w:rsidRPr="00291374">
        <w:rPr>
          <w:rFonts w:ascii="Times New Roman" w:hAnsi="Times New Roman" w:cs="Times New Roman"/>
          <w:noProof/>
          <w:lang w:val="en-GB"/>
        </w:rPr>
        <w:t xml:space="preserve"> and (ii) activities and assets under the EU Emission Trading System (ETS) achieving projected greenhouse gas emissions that are not lower than the relevant benchmarks.</w:t>
      </w:r>
      <w:r w:rsidRPr="001466C3">
        <w:rPr>
          <w:rFonts w:ascii="Times New Roman" w:hAnsi="Times New Roman" w:cs="Times New Roman"/>
          <w:noProof/>
          <w:vertAlign w:val="superscript"/>
          <w:lang w:val="en-GB"/>
        </w:rPr>
        <w:footnoteReference w:id="33"/>
      </w:r>
    </w:p>
    <w:p w14:paraId="73A62D28" w14:textId="77777777" w:rsidR="008D6D49" w:rsidRPr="00291374" w:rsidRDefault="008D6D49" w:rsidP="008D6D49">
      <w:pPr>
        <w:spacing w:before="240" w:after="120" w:line="240" w:lineRule="auto"/>
        <w:jc w:val="both"/>
        <w:rPr>
          <w:rFonts w:ascii="Times New Roman" w:eastAsia="NSimSun" w:hAnsi="Times New Roman" w:cs="Times New Roman"/>
          <w:noProof/>
          <w:kern w:val="3"/>
          <w:u w:val="single"/>
          <w:lang w:val="en-GB"/>
        </w:rPr>
      </w:pPr>
      <w:r w:rsidRPr="00291374">
        <w:rPr>
          <w:rFonts w:ascii="Times New Roman" w:eastAsia="NSimSun" w:hAnsi="Times New Roman" w:cs="Times New Roman"/>
          <w:noProof/>
          <w:kern w:val="3"/>
          <w:u w:val="single"/>
          <w:lang w:val="en-GB"/>
        </w:rPr>
        <w:t>Investment 3. Private sector aid schemes</w:t>
      </w:r>
    </w:p>
    <w:p w14:paraId="491F3D5C" w14:textId="77777777" w:rsidR="008D6D49" w:rsidRPr="00291374" w:rsidRDefault="008D6D49" w:rsidP="008D6D49">
      <w:pPr>
        <w:suppressAutoHyphens/>
        <w:autoSpaceDN w:val="0"/>
        <w:spacing w:before="240" w:after="0" w:line="240" w:lineRule="auto"/>
        <w:textAlignment w:val="baseline"/>
        <w:rPr>
          <w:rFonts w:ascii="Times New Roman" w:eastAsiaTheme="majorEastAsia" w:hAnsi="Times New Roman" w:cs="Times New Roman"/>
          <w:i/>
          <w:iCs/>
          <w:noProof/>
          <w:kern w:val="3"/>
          <w:lang w:val="en-GB"/>
        </w:rPr>
      </w:pPr>
      <w:r w:rsidRPr="00291374">
        <w:rPr>
          <w:rFonts w:ascii="Times New Roman" w:eastAsiaTheme="majorEastAsia" w:hAnsi="Times New Roman" w:cs="Times New Roman"/>
          <w:i/>
          <w:iCs/>
          <w:noProof/>
          <w:kern w:val="3"/>
          <w:lang w:val="en-GB"/>
        </w:rPr>
        <w:t>Sub-investment 3.1. Aid scheme for the digitalisation of SMEs</w:t>
      </w:r>
    </w:p>
    <w:p w14:paraId="4E81C691" w14:textId="77777777" w:rsidR="008D6D49" w:rsidRPr="00291374"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Theme="majorEastAsia" w:hAnsi="Times New Roman" w:cs="Times New Roman"/>
          <w:noProof/>
          <w:kern w:val="3"/>
          <w:lang w:val="en-GB"/>
        </w:rPr>
        <w:t xml:space="preserve">The objective of this sub-investment is to support small and medium sized enterprises (SMEs) digitalisation. </w:t>
      </w:r>
    </w:p>
    <w:p w14:paraId="63AB81D7" w14:textId="77777777" w:rsidR="008D6D49" w:rsidRPr="00291374"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Theme="majorEastAsia" w:hAnsi="Times New Roman" w:cs="Times New Roman"/>
          <w:noProof/>
          <w:kern w:val="3"/>
          <w:lang w:val="en-GB"/>
        </w:rPr>
        <w:t xml:space="preserve">The sub-investment consists in two instruments: i) a grant scheme to support entrepreneurs in the R&amp;D and uptake of advanced digital technologies, and ii) a grant scheme of up to EUR 100 000 per enterprise to support SMEs adopting digital technologies. </w:t>
      </w:r>
    </w:p>
    <w:p w14:paraId="45A0F4CA" w14:textId="77777777" w:rsidR="008D6D49" w:rsidRPr="00291374"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noProof/>
          <w:kern w:val="3"/>
          <w:lang w:val="en-GB"/>
        </w:rPr>
      </w:pPr>
      <w:r w:rsidRPr="00291374">
        <w:rPr>
          <w:rFonts w:ascii="Times New Roman" w:eastAsiaTheme="majorEastAsia" w:hAnsi="Times New Roman" w:cs="Times New Roman"/>
          <w:noProof/>
          <w:kern w:val="3"/>
          <w:lang w:val="en-GB"/>
        </w:rPr>
        <w:t>This measure complements investment 3.a. Aid scheme for the digitalisation of SMEs.</w:t>
      </w:r>
    </w:p>
    <w:p w14:paraId="4ADBC180" w14:textId="77777777" w:rsidR="008D6D49" w:rsidRPr="00291374" w:rsidRDefault="008D6D49" w:rsidP="008D6D49">
      <w:pPr>
        <w:spacing w:before="240" w:after="120" w:line="240" w:lineRule="auto"/>
        <w:jc w:val="both"/>
        <w:rPr>
          <w:rFonts w:ascii="Times New Roman" w:hAnsi="Times New Roman" w:cs="Times New Roman"/>
          <w:i/>
          <w:iCs/>
          <w:noProof/>
          <w:lang w:val="en-GB"/>
        </w:rPr>
      </w:pPr>
      <w:r w:rsidRPr="00291374">
        <w:rPr>
          <w:rFonts w:ascii="Times New Roman" w:hAnsi="Times New Roman" w:cs="Times New Roman"/>
          <w:i/>
          <w:iCs/>
          <w:noProof/>
          <w:lang w:val="en-GB"/>
        </w:rPr>
        <w:t>Sub-investment 3.2 - Support for Romanian firms in listing on the stock exchange</w:t>
      </w:r>
    </w:p>
    <w:p w14:paraId="6B9B165A"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sub-investment is to support companies in increasing access to financing through the issuance of new shares. </w:t>
      </w:r>
    </w:p>
    <w:p w14:paraId="37B56625" w14:textId="6D73DF72"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sub-investment consists in funding</w:t>
      </w:r>
      <w:r w:rsidR="00D23D91">
        <w:rPr>
          <w:rFonts w:ascii="Times New Roman" w:hAnsi="Times New Roman" w:cs="Times New Roman"/>
          <w:noProof/>
          <w:lang w:val="en-GB"/>
        </w:rPr>
        <w:t xml:space="preserve"> </w:t>
      </w:r>
      <w:r w:rsidRPr="00291374">
        <w:rPr>
          <w:rFonts w:ascii="Times New Roman" w:hAnsi="Times New Roman" w:cs="Times New Roman"/>
          <w:noProof/>
          <w:lang w:val="en-GB"/>
        </w:rPr>
        <w:t>companies</w:t>
      </w:r>
      <w:r w:rsidR="00D23D91">
        <w:rPr>
          <w:rFonts w:ascii="Times New Roman" w:hAnsi="Times New Roman" w:cs="Times New Roman"/>
          <w:noProof/>
          <w:lang w:val="en-GB"/>
        </w:rPr>
        <w:t xml:space="preserve"> </w:t>
      </w:r>
      <w:r w:rsidRPr="00291374">
        <w:rPr>
          <w:rFonts w:ascii="Times New Roman" w:hAnsi="Times New Roman" w:cs="Times New Roman"/>
          <w:noProof/>
          <w:lang w:val="en-GB"/>
        </w:rPr>
        <w:t xml:space="preserve">in Romania through financing contracts </w:t>
      </w:r>
      <w:r w:rsidR="001466C3" w:rsidRPr="001466C3">
        <w:rPr>
          <w:rFonts w:ascii="Times New Roman" w:hAnsi="Times New Roman" w:cs="Times New Roman"/>
          <w:noProof/>
          <w:lang w:val="en-GB"/>
        </w:rPr>
        <w:t>containing</w:t>
      </w:r>
      <w:r w:rsidRPr="00291374">
        <w:rPr>
          <w:rFonts w:ascii="Times New Roman" w:hAnsi="Times New Roman" w:cs="Times New Roman"/>
          <w:noProof/>
          <w:lang w:val="en-GB"/>
        </w:rPr>
        <w:t xml:space="preserve"> provisions on their listing on the Bucharest Stock Exchange.</w:t>
      </w:r>
    </w:p>
    <w:p w14:paraId="451C5F33" w14:textId="77777777" w:rsidR="008D6D49" w:rsidRPr="00291374" w:rsidRDefault="008D6D49" w:rsidP="008D6D49">
      <w:pPr>
        <w:suppressAutoHyphens/>
        <w:autoSpaceDN w:val="0"/>
        <w:spacing w:before="240" w:after="12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 xml:space="preserve">Investment 4. Cross-border and multi-country projects — Low Power Processors and Semiconductor Chips </w:t>
      </w:r>
    </w:p>
    <w:p w14:paraId="6C7D057C" w14:textId="77777777" w:rsidR="008D6D49" w:rsidRPr="00291374" w:rsidRDefault="008D6D49" w:rsidP="008D6D49">
      <w:pPr>
        <w:spacing w:before="120" w:after="120" w:line="240" w:lineRule="auto"/>
        <w:jc w:val="both"/>
        <w:textAlignment w:val="baseline"/>
        <w:rPr>
          <w:rFonts w:ascii="Times New Roman" w:hAnsi="Times New Roman" w:cs="Times New Roman"/>
          <w:noProof/>
          <w:lang w:val="en-GB"/>
        </w:rPr>
      </w:pPr>
      <w:r w:rsidRPr="00291374">
        <w:rPr>
          <w:rFonts w:ascii="Times New Roman" w:hAnsi="Times New Roman" w:cs="Times New Roman"/>
          <w:noProof/>
          <w:lang w:val="en-GB"/>
        </w:rPr>
        <w:t>The objective of this investment is to support the development of microelectronics field in Romania.</w:t>
      </w:r>
    </w:p>
    <w:p w14:paraId="13485DB6" w14:textId="48F29564" w:rsidR="008D6D49" w:rsidRPr="001466C3" w:rsidRDefault="008D6D49" w:rsidP="008D6D4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investment consists in: i)</w:t>
      </w:r>
      <w:r w:rsidR="00D23D91">
        <w:rPr>
          <w:rFonts w:ascii="Times New Roman" w:eastAsia="Times New Roman" w:hAnsi="Times New Roman" w:cs="Times New Roman"/>
          <w:noProof/>
          <w:lang w:val="en-GB"/>
        </w:rPr>
        <w:t xml:space="preserve"> </w:t>
      </w:r>
      <w:r w:rsidRPr="00291374">
        <w:rPr>
          <w:rFonts w:ascii="Times New Roman" w:eastAsia="Aptos" w:hAnsi="Times New Roman" w:cs="Times New Roman"/>
          <w:noProof/>
          <w:lang w:val="en-GB"/>
        </w:rPr>
        <w:t>securing intellectual property,</w:t>
      </w:r>
      <w:r w:rsidRPr="00291374">
        <w:rPr>
          <w:rFonts w:ascii="Times New Roman" w:eastAsia="Times New Roman" w:hAnsi="Times New Roman" w:cs="Times New Roman"/>
          <w:noProof/>
          <w:lang w:val="en-GB"/>
        </w:rPr>
        <w:t xml:space="preserve"> ii) </w:t>
      </w:r>
      <w:r w:rsidRPr="00291374">
        <w:rPr>
          <w:rFonts w:ascii="Times New Roman" w:eastAsia="Aptos" w:hAnsi="Times New Roman" w:cs="Times New Roman"/>
          <w:noProof/>
          <w:lang w:val="en-GB"/>
        </w:rPr>
        <w:t>accelerating the application of advanced technologies</w:t>
      </w:r>
      <w:r w:rsidRPr="00291374">
        <w:rPr>
          <w:rFonts w:ascii="Times New Roman" w:eastAsia="Times New Roman" w:hAnsi="Times New Roman" w:cs="Times New Roman"/>
          <w:noProof/>
          <w:lang w:val="en-GB"/>
        </w:rPr>
        <w:t xml:space="preserve"> ; and iii) coordinating with capabilities and needs at European level.</w:t>
      </w:r>
    </w:p>
    <w:p w14:paraId="5A3FC5BD" w14:textId="77777777" w:rsidR="008D6D49" w:rsidRPr="00291374"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 xml:space="preserve">Reform 2. Streamline governance of research, development and innovation </w:t>
      </w:r>
    </w:p>
    <w:p w14:paraId="5B91CD75"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reform is to streamline the governance of the research, development and innovation system in Romania. </w:t>
      </w:r>
    </w:p>
    <w:p w14:paraId="0383EDA1"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reform consists in the adoption of legal act(s) to streamline and strengthen the governance and application of research, development and innovation policies.</w:t>
      </w:r>
    </w:p>
    <w:p w14:paraId="773FF115"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sub-measure complements reform 2.a. Streamline governance of research, development and innovation</w:t>
      </w:r>
    </w:p>
    <w:p w14:paraId="6B10AA49" w14:textId="77777777" w:rsidR="008D6D49" w:rsidRPr="00291374"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 xml:space="preserve">Reform 4. Increased cooperation between business and research </w:t>
      </w:r>
    </w:p>
    <w:p w14:paraId="7961B5DE" w14:textId="1D133953"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the reform is to increase the cooperation between businesses and</w:t>
      </w:r>
      <w:r w:rsidR="00D23D91">
        <w:rPr>
          <w:rFonts w:ascii="Times New Roman" w:hAnsi="Times New Roman" w:cs="Times New Roman"/>
          <w:noProof/>
          <w:lang w:val="en-GB"/>
        </w:rPr>
        <w:t xml:space="preserve"> </w:t>
      </w:r>
      <w:r w:rsidRPr="00291374">
        <w:rPr>
          <w:rFonts w:ascii="Times New Roman" w:hAnsi="Times New Roman" w:cs="Times New Roman"/>
          <w:noProof/>
          <w:lang w:val="en-GB"/>
        </w:rPr>
        <w:t xml:space="preserve">public research organisations and to create a favourable environment for public and private investments. </w:t>
      </w:r>
    </w:p>
    <w:p w14:paraId="348AEF86" w14:textId="3D2C2D10"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reform consists in</w:t>
      </w:r>
      <w:r w:rsidR="00D23D91">
        <w:rPr>
          <w:rFonts w:ascii="Times New Roman" w:hAnsi="Times New Roman" w:cs="Times New Roman"/>
          <w:noProof/>
          <w:lang w:val="en-GB"/>
        </w:rPr>
        <w:t xml:space="preserve"> </w:t>
      </w:r>
      <w:r w:rsidRPr="00291374">
        <w:rPr>
          <w:rFonts w:ascii="Times New Roman" w:eastAsia="Times New Roman" w:hAnsi="Times New Roman" w:cs="Times New Roman"/>
          <w:noProof/>
          <w:lang w:val="en-GB"/>
        </w:rPr>
        <w:t xml:space="preserve">simplifying research projects’ management and </w:t>
      </w:r>
      <w:r w:rsidRPr="00291374">
        <w:rPr>
          <w:rFonts w:ascii="Times New Roman" w:hAnsi="Times New Roman" w:cs="Times New Roman"/>
          <w:noProof/>
          <w:lang w:val="en-GB"/>
        </w:rPr>
        <w:t xml:space="preserve">increasing cooperation between business and research. </w:t>
      </w:r>
    </w:p>
    <w:p w14:paraId="5113B47B"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u w:val="single"/>
          <w:lang w:val="en-GB"/>
        </w:rPr>
        <w:t>Reform 5. Support to integrate the research, development and innovation organisations in Romania in the European Research Area</w:t>
      </w:r>
      <w:r w:rsidRPr="00291374">
        <w:rPr>
          <w:rFonts w:ascii="Times New Roman" w:hAnsi="Times New Roman" w:cs="Times New Roman"/>
          <w:noProof/>
          <w:lang w:val="en-GB"/>
        </w:rPr>
        <w:t xml:space="preserve"> </w:t>
      </w:r>
    </w:p>
    <w:p w14:paraId="7BFFB37D"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reform is to increase the performance and consolidation of the public research, development and innovation organisations in Romania and their integration into the European Research Area. </w:t>
      </w:r>
    </w:p>
    <w:p w14:paraId="1B95B654"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reform consists in the adoption of legal act(s) for the integration of research institutions. </w:t>
      </w:r>
    </w:p>
    <w:p w14:paraId="598067FD" w14:textId="77777777" w:rsidR="008D6D49" w:rsidRPr="00291374"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Investment 5. Establishment of Centres of Competence</w:t>
      </w:r>
    </w:p>
    <w:p w14:paraId="2E224CF2"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the investment is to tackle the thematic fragmentation of research, development and innovation organizations. </w:t>
      </w:r>
    </w:p>
    <w:p w14:paraId="74EEB94D"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the establishment of five “Centres of Competence” to carry out research activities. </w:t>
      </w:r>
    </w:p>
    <w:p w14:paraId="0547B391" w14:textId="77777777" w:rsidR="008D6D49" w:rsidRPr="00291374" w:rsidRDefault="008D6D49" w:rsidP="008D6D4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complements investment 5.a. Establishment and operationalisation of Centres of Competence.</w:t>
      </w:r>
    </w:p>
    <w:p w14:paraId="2AC06711" w14:textId="77777777" w:rsidR="008D6D49" w:rsidRPr="00291374" w:rsidRDefault="008D6D49" w:rsidP="008D6D49">
      <w:pPr>
        <w:spacing w:before="120" w:after="120" w:line="240" w:lineRule="auto"/>
        <w:jc w:val="both"/>
        <w:rPr>
          <w:rFonts w:ascii="Times New Roman" w:hAnsi="Times New Roman" w:cs="Times New Roman"/>
          <w:noProof/>
          <w:lang w:val="en-GB"/>
        </w:rPr>
      </w:pPr>
    </w:p>
    <w:p w14:paraId="323EC327" w14:textId="77777777" w:rsidR="008D6D49" w:rsidRPr="00291374" w:rsidRDefault="008D6D49" w:rsidP="008D6D49">
      <w:pPr>
        <w:rPr>
          <w:rFonts w:ascii="Times New Roman" w:hAnsi="Times New Roman" w:cs="Times New Roman"/>
          <w:noProof/>
          <w:lang w:val="en-GB"/>
        </w:rPr>
      </w:pPr>
    </w:p>
    <w:p w14:paraId="2CD1900D" w14:textId="77777777" w:rsidR="008D6D49" w:rsidRPr="00291374" w:rsidRDefault="008D6D49" w:rsidP="008D6D49">
      <w:pPr>
        <w:rPr>
          <w:rFonts w:ascii="Times New Roman" w:hAnsi="Times New Roman" w:cs="Times New Roman"/>
          <w:noProof/>
          <w:lang w:val="en-GB"/>
        </w:rPr>
        <w:sectPr w:rsidR="008D6D49" w:rsidRPr="00291374" w:rsidSect="008D6D49">
          <w:headerReference w:type="even" r:id="rId222"/>
          <w:headerReference w:type="default" r:id="rId223"/>
          <w:footerReference w:type="even" r:id="rId224"/>
          <w:footerReference w:type="default" r:id="rId225"/>
          <w:headerReference w:type="first" r:id="rId226"/>
          <w:footerReference w:type="first" r:id="rId227"/>
          <w:pgSz w:w="11907" w:h="16839"/>
          <w:pgMar w:top="1134" w:right="1134" w:bottom="1134" w:left="1134" w:header="567" w:footer="567" w:gutter="0"/>
          <w:cols w:space="720"/>
          <w:docGrid w:linePitch="360"/>
        </w:sectPr>
      </w:pPr>
    </w:p>
    <w:p w14:paraId="7E90173D" w14:textId="77777777" w:rsidR="008D6D49" w:rsidRPr="00291374" w:rsidRDefault="008D6D49" w:rsidP="008D6D49">
      <w:pPr>
        <w:keepNext/>
        <w:numPr>
          <w:ilvl w:val="1"/>
          <w:numId w:val="0"/>
        </w:numPr>
        <w:spacing w:before="120" w:after="120" w:line="240" w:lineRule="auto"/>
        <w:ind w:left="850" w:hanging="130"/>
        <w:jc w:val="both"/>
        <w:outlineLvl w:val="1"/>
        <w:rPr>
          <w:rFonts w:ascii="Times New Roman" w:eastAsiaTheme="majorEastAsia" w:hAnsi="Times New Roman" w:cs="Times New Roman"/>
          <w:b/>
          <w:bCs/>
          <w:noProof/>
          <w:szCs w:val="26"/>
          <w:lang w:val="en-GB"/>
        </w:rPr>
      </w:pPr>
      <w:r w:rsidRPr="00291374">
        <w:rPr>
          <w:rFonts w:ascii="Times New Roman" w:hAnsi="Times New Roman" w:cs="Times New Roman"/>
          <w:b/>
          <w:noProof/>
          <w:lang w:val="en-GB"/>
        </w:rPr>
        <w:t xml:space="preserve">I.4. </w:t>
      </w:r>
      <w:r w:rsidRPr="00291374">
        <w:rPr>
          <w:rFonts w:ascii="Times New Roman" w:hAnsi="Times New Roman" w:cs="Times New Roman"/>
          <w:noProof/>
          <w:lang w:val="en-GB"/>
        </w:rPr>
        <w:tab/>
      </w:r>
      <w:r w:rsidRPr="00291374">
        <w:rPr>
          <w:rFonts w:ascii="Times New Roman" w:hAnsi="Times New Roman" w:cs="Times New Roman"/>
          <w:b/>
          <w:noProof/>
          <w:lang w:val="en-GB"/>
        </w:rPr>
        <w:t xml:space="preserve">Milestones, targets, indicators, and timetable for monitoring and implementation for the loan </w:t>
      </w:r>
    </w:p>
    <w:tbl>
      <w:tblPr>
        <w:tblW w:w="15876" w:type="dxa"/>
        <w:jc w:val="center"/>
        <w:tblLayout w:type="fixed"/>
        <w:tblCellMar>
          <w:left w:w="28" w:type="dxa"/>
          <w:right w:w="28" w:type="dxa"/>
        </w:tblCellMar>
        <w:tblLook w:val="04A0" w:firstRow="1" w:lastRow="0" w:firstColumn="1" w:lastColumn="0" w:noHBand="0" w:noVBand="1"/>
      </w:tblPr>
      <w:tblGrid>
        <w:gridCol w:w="606"/>
        <w:gridCol w:w="1844"/>
        <w:gridCol w:w="1089"/>
        <w:gridCol w:w="1496"/>
        <w:gridCol w:w="1766"/>
        <w:gridCol w:w="1558"/>
        <w:gridCol w:w="1116"/>
        <w:gridCol w:w="858"/>
        <w:gridCol w:w="943"/>
        <w:gridCol w:w="1065"/>
        <w:gridCol w:w="3535"/>
      </w:tblGrid>
      <w:tr w:rsidR="001466C3" w:rsidRPr="009F5E22" w14:paraId="05CB1867" w14:textId="77777777" w:rsidTr="001466C3">
        <w:trPr>
          <w:trHeight w:val="300"/>
          <w:tblHeader/>
          <w:jc w:val="center"/>
        </w:trPr>
        <w:tc>
          <w:tcPr>
            <w:tcW w:w="60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8D87B2A" w14:textId="77777777" w:rsidR="001466C3" w:rsidRPr="009F5E22" w:rsidRDefault="001466C3" w:rsidP="001466C3">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Seq. Num</w:t>
            </w:r>
          </w:p>
        </w:tc>
        <w:tc>
          <w:tcPr>
            <w:tcW w:w="18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3F9EBC7" w14:textId="77777777" w:rsidR="001466C3" w:rsidRPr="009F5E22" w:rsidRDefault="001466C3" w:rsidP="001466C3">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Related Measure (Reform or Investment)</w:t>
            </w:r>
          </w:p>
        </w:tc>
        <w:tc>
          <w:tcPr>
            <w:tcW w:w="10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D6EBF6" w14:textId="5DCD0046" w:rsidR="001466C3" w:rsidRPr="009F5E22" w:rsidRDefault="001466C3" w:rsidP="001466C3">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Milestone/</w:t>
            </w:r>
            <w:r w:rsidR="009F5E22">
              <w:rPr>
                <w:rFonts w:ascii="Times New Roman" w:hAnsi="Times New Roman" w:cs="Times New Roman"/>
                <w:b/>
                <w:noProof/>
                <w:sz w:val="20"/>
                <w:szCs w:val="20"/>
                <w:lang w:val="en-GB"/>
              </w:rPr>
              <w:t xml:space="preserve"> </w:t>
            </w:r>
            <w:r w:rsidRPr="009F5E22">
              <w:rPr>
                <w:rFonts w:ascii="Times New Roman" w:hAnsi="Times New Roman" w:cs="Times New Roman"/>
                <w:b/>
                <w:noProof/>
                <w:sz w:val="20"/>
                <w:szCs w:val="20"/>
                <w:lang w:val="en-GB"/>
              </w:rPr>
              <w:t>Target</w:t>
            </w:r>
          </w:p>
        </w:tc>
        <w:tc>
          <w:tcPr>
            <w:tcW w:w="149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271ED2" w14:textId="77777777" w:rsidR="001466C3" w:rsidRPr="009F5E22" w:rsidRDefault="001466C3" w:rsidP="001466C3">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Name</w:t>
            </w:r>
          </w:p>
        </w:tc>
        <w:tc>
          <w:tcPr>
            <w:tcW w:w="17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D16AEEA" w14:textId="1C5B792E" w:rsidR="001466C3" w:rsidRPr="009F5E22" w:rsidRDefault="001466C3" w:rsidP="009F5E22">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Qualitative</w:t>
            </w:r>
            <w:r w:rsidR="009F5E22">
              <w:rPr>
                <w:rFonts w:ascii="Times New Roman" w:hAnsi="Times New Roman" w:cs="Times New Roman"/>
                <w:b/>
                <w:noProof/>
                <w:sz w:val="20"/>
                <w:szCs w:val="20"/>
                <w:lang w:val="en-GB"/>
              </w:rPr>
              <w:t xml:space="preserve"> </w:t>
            </w:r>
            <w:r w:rsidRPr="009F5E22">
              <w:rPr>
                <w:rFonts w:ascii="Times New Roman" w:hAnsi="Times New Roman" w:cs="Times New Roman"/>
                <w:b/>
                <w:noProof/>
                <w:sz w:val="20"/>
                <w:szCs w:val="20"/>
                <w:lang w:val="en-GB"/>
              </w:rPr>
              <w:t>indicators</w:t>
            </w:r>
            <w:r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br/>
            </w:r>
            <w:r w:rsidRPr="009F5E22">
              <w:rPr>
                <w:rFonts w:ascii="Times New Roman" w:hAnsi="Times New Roman" w:cs="Times New Roman"/>
                <w:b/>
                <w:noProof/>
                <w:sz w:val="20"/>
                <w:szCs w:val="20"/>
                <w:lang w:val="en-GB"/>
              </w:rPr>
              <w:t>(for milestones)</w:t>
            </w:r>
          </w:p>
        </w:tc>
        <w:tc>
          <w:tcPr>
            <w:tcW w:w="353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E8D8266" w14:textId="6429FF3B" w:rsidR="001466C3" w:rsidRPr="009F5E22" w:rsidRDefault="001466C3" w:rsidP="009F5E22">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Quantitative</w:t>
            </w:r>
            <w:r w:rsidR="009F5E22">
              <w:rPr>
                <w:rFonts w:ascii="Times New Roman" w:hAnsi="Times New Roman" w:cs="Times New Roman"/>
                <w:b/>
                <w:noProof/>
                <w:sz w:val="20"/>
                <w:szCs w:val="20"/>
                <w:lang w:val="en-GB"/>
              </w:rPr>
              <w:t xml:space="preserve"> </w:t>
            </w:r>
            <w:r w:rsidRPr="009F5E22">
              <w:rPr>
                <w:rFonts w:ascii="Times New Roman" w:hAnsi="Times New Roman" w:cs="Times New Roman"/>
                <w:b/>
                <w:noProof/>
                <w:sz w:val="20"/>
                <w:szCs w:val="20"/>
                <w:lang w:val="en-GB"/>
              </w:rPr>
              <w:t xml:space="preserve">indicators </w:t>
            </w:r>
            <w:r w:rsidRPr="009F5E22">
              <w:rPr>
                <w:rFonts w:ascii="Times New Roman" w:hAnsi="Times New Roman" w:cs="Times New Roman"/>
                <w:noProof/>
                <w:sz w:val="20"/>
                <w:szCs w:val="20"/>
                <w:lang w:val="en-GB"/>
              </w:rPr>
              <w:br/>
            </w:r>
            <w:r w:rsidRPr="009F5E22">
              <w:rPr>
                <w:rFonts w:ascii="Times New Roman" w:hAnsi="Times New Roman" w:cs="Times New Roman"/>
                <w:b/>
                <w:noProof/>
                <w:sz w:val="20"/>
                <w:szCs w:val="20"/>
                <w:lang w:val="en-GB"/>
              </w:rPr>
              <w:t>(for targets)</w:t>
            </w:r>
          </w:p>
        </w:tc>
        <w:tc>
          <w:tcPr>
            <w:tcW w:w="2008" w:type="dxa"/>
            <w:gridSpan w:val="2"/>
            <w:tcBorders>
              <w:top w:val="single" w:sz="4" w:space="0" w:color="auto"/>
              <w:left w:val="nil"/>
              <w:bottom w:val="single" w:sz="4" w:space="0" w:color="auto"/>
              <w:right w:val="single" w:sz="4" w:space="0" w:color="auto"/>
            </w:tcBorders>
            <w:shd w:val="clear" w:color="auto" w:fill="BDD7EE"/>
            <w:vAlign w:val="center"/>
            <w:hideMark/>
          </w:tcPr>
          <w:p w14:paraId="7A8A9541" w14:textId="139A1AA9" w:rsidR="001466C3" w:rsidRPr="009F5E22" w:rsidRDefault="001466C3" w:rsidP="009F5E22">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Indicative timeline</w:t>
            </w:r>
            <w:r w:rsidR="009F5E22">
              <w:rPr>
                <w:rFonts w:ascii="Times New Roman" w:hAnsi="Times New Roman" w:cs="Times New Roman"/>
                <w:b/>
                <w:noProof/>
                <w:sz w:val="20"/>
                <w:szCs w:val="20"/>
                <w:lang w:val="en-GB"/>
              </w:rPr>
              <w:t xml:space="preserve"> </w:t>
            </w:r>
            <w:r w:rsidRPr="009F5E22">
              <w:rPr>
                <w:rFonts w:ascii="Times New Roman" w:hAnsi="Times New Roman" w:cs="Times New Roman"/>
                <w:b/>
                <w:noProof/>
                <w:sz w:val="20"/>
                <w:szCs w:val="20"/>
                <w:lang w:val="en-GB"/>
              </w:rPr>
              <w:t xml:space="preserve">for completion </w:t>
            </w:r>
          </w:p>
        </w:tc>
        <w:tc>
          <w:tcPr>
            <w:tcW w:w="35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8CE8C8" w14:textId="77777777" w:rsidR="001466C3" w:rsidRPr="009F5E22" w:rsidRDefault="001466C3" w:rsidP="001466C3">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Description of each milestone and target</w:t>
            </w:r>
          </w:p>
        </w:tc>
      </w:tr>
      <w:tr w:rsidR="001466C3" w:rsidRPr="009F5E22" w14:paraId="4718AFC0" w14:textId="77777777" w:rsidTr="009F5E22">
        <w:trPr>
          <w:trHeight w:val="560"/>
          <w:tblHeader/>
          <w:jc w:val="center"/>
        </w:trPr>
        <w:tc>
          <w:tcPr>
            <w:tcW w:w="606" w:type="dxa"/>
            <w:vMerge/>
            <w:tcBorders>
              <w:top w:val="single" w:sz="4" w:space="0" w:color="auto"/>
              <w:left w:val="single" w:sz="4" w:space="0" w:color="auto"/>
              <w:bottom w:val="single" w:sz="4" w:space="0" w:color="auto"/>
              <w:right w:val="single" w:sz="4" w:space="0" w:color="auto"/>
            </w:tcBorders>
            <w:hideMark/>
          </w:tcPr>
          <w:p w14:paraId="5B73CF6E" w14:textId="77777777" w:rsidR="001466C3" w:rsidRPr="009F5E22" w:rsidRDefault="001466C3" w:rsidP="001466C3">
            <w:pPr>
              <w:spacing w:after="0" w:line="240" w:lineRule="auto"/>
              <w:jc w:val="center"/>
              <w:rPr>
                <w:rFonts w:ascii="Times New Roman" w:eastAsia="Times New Roman" w:hAnsi="Times New Roman" w:cs="Times New Roman"/>
                <w:noProof/>
                <w:sz w:val="20"/>
                <w:szCs w:val="20"/>
                <w:lang w:val="en-GB" w:eastAsia="en-GB"/>
              </w:rPr>
            </w:pPr>
          </w:p>
        </w:tc>
        <w:tc>
          <w:tcPr>
            <w:tcW w:w="1844" w:type="dxa"/>
            <w:vMerge/>
            <w:tcBorders>
              <w:top w:val="single" w:sz="4" w:space="0" w:color="auto"/>
              <w:left w:val="single" w:sz="4" w:space="0" w:color="auto"/>
              <w:bottom w:val="single" w:sz="4" w:space="0" w:color="auto"/>
              <w:right w:val="single" w:sz="4" w:space="0" w:color="auto"/>
            </w:tcBorders>
            <w:hideMark/>
          </w:tcPr>
          <w:p w14:paraId="04E988A7"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089" w:type="dxa"/>
            <w:vMerge/>
            <w:tcBorders>
              <w:top w:val="single" w:sz="4" w:space="0" w:color="auto"/>
              <w:left w:val="single" w:sz="4" w:space="0" w:color="auto"/>
              <w:bottom w:val="single" w:sz="4" w:space="0" w:color="auto"/>
              <w:right w:val="single" w:sz="4" w:space="0" w:color="auto"/>
            </w:tcBorders>
            <w:hideMark/>
          </w:tcPr>
          <w:p w14:paraId="0E2C3268" w14:textId="77777777" w:rsidR="001466C3" w:rsidRPr="009F5E22" w:rsidRDefault="001466C3" w:rsidP="001466C3">
            <w:pPr>
              <w:spacing w:after="0" w:line="240" w:lineRule="auto"/>
              <w:jc w:val="center"/>
              <w:rPr>
                <w:rFonts w:ascii="Times New Roman" w:eastAsia="Times New Roman" w:hAnsi="Times New Roman" w:cs="Times New Roman"/>
                <w:noProof/>
                <w:sz w:val="20"/>
                <w:szCs w:val="20"/>
                <w:lang w:val="en-GB" w:eastAsia="en-GB"/>
              </w:rPr>
            </w:pPr>
          </w:p>
        </w:tc>
        <w:tc>
          <w:tcPr>
            <w:tcW w:w="1496" w:type="dxa"/>
            <w:vMerge/>
            <w:tcBorders>
              <w:top w:val="single" w:sz="4" w:space="0" w:color="auto"/>
              <w:left w:val="single" w:sz="4" w:space="0" w:color="auto"/>
              <w:bottom w:val="single" w:sz="4" w:space="0" w:color="auto"/>
              <w:right w:val="single" w:sz="4" w:space="0" w:color="auto"/>
            </w:tcBorders>
            <w:hideMark/>
          </w:tcPr>
          <w:p w14:paraId="50967B0D"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766" w:type="dxa"/>
            <w:vMerge/>
            <w:tcBorders>
              <w:top w:val="single" w:sz="4" w:space="0" w:color="auto"/>
              <w:left w:val="single" w:sz="4" w:space="0" w:color="auto"/>
              <w:bottom w:val="single" w:sz="4" w:space="0" w:color="auto"/>
              <w:right w:val="single" w:sz="4" w:space="0" w:color="auto"/>
            </w:tcBorders>
            <w:hideMark/>
          </w:tcPr>
          <w:p w14:paraId="37FB6F33"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558" w:type="dxa"/>
            <w:tcBorders>
              <w:top w:val="nil"/>
              <w:left w:val="single" w:sz="4" w:space="0" w:color="auto"/>
              <w:bottom w:val="single" w:sz="4" w:space="0" w:color="auto"/>
              <w:right w:val="single" w:sz="4" w:space="0" w:color="auto"/>
            </w:tcBorders>
            <w:shd w:val="clear" w:color="auto" w:fill="BDD7EE"/>
            <w:vAlign w:val="center"/>
            <w:hideMark/>
          </w:tcPr>
          <w:p w14:paraId="5E1F73F4" w14:textId="77FDC720" w:rsidR="001466C3" w:rsidRPr="009F5E22" w:rsidRDefault="001466C3" w:rsidP="009F5E22">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Unit</w:t>
            </w:r>
            <w:r w:rsidR="009F5E22">
              <w:rPr>
                <w:rFonts w:ascii="Times New Roman" w:hAnsi="Times New Roman" w:cs="Times New Roman"/>
                <w:b/>
                <w:noProof/>
                <w:sz w:val="20"/>
                <w:szCs w:val="20"/>
                <w:lang w:val="en-GB"/>
              </w:rPr>
              <w:t xml:space="preserve"> </w:t>
            </w:r>
            <w:r w:rsidRPr="009F5E22">
              <w:rPr>
                <w:rFonts w:ascii="Times New Roman" w:hAnsi="Times New Roman" w:cs="Times New Roman"/>
                <w:b/>
                <w:noProof/>
                <w:sz w:val="20"/>
                <w:szCs w:val="20"/>
                <w:lang w:val="en-GB"/>
              </w:rPr>
              <w:t>of</w:t>
            </w:r>
            <w:r w:rsidR="009F5E22">
              <w:rPr>
                <w:rFonts w:ascii="Times New Roman" w:hAnsi="Times New Roman" w:cs="Times New Roman"/>
                <w:b/>
                <w:noProof/>
                <w:sz w:val="20"/>
                <w:szCs w:val="20"/>
                <w:lang w:val="en-GB"/>
              </w:rPr>
              <w:t xml:space="preserve"> </w:t>
            </w:r>
            <w:r w:rsidRPr="009F5E22">
              <w:rPr>
                <w:rFonts w:ascii="Times New Roman" w:hAnsi="Times New Roman" w:cs="Times New Roman"/>
                <w:b/>
                <w:noProof/>
                <w:sz w:val="20"/>
                <w:szCs w:val="20"/>
                <w:lang w:val="en-GB"/>
              </w:rPr>
              <w:t>measure</w:t>
            </w:r>
          </w:p>
        </w:tc>
        <w:tc>
          <w:tcPr>
            <w:tcW w:w="1116" w:type="dxa"/>
            <w:tcBorders>
              <w:top w:val="nil"/>
              <w:left w:val="nil"/>
              <w:bottom w:val="single" w:sz="4" w:space="0" w:color="auto"/>
              <w:right w:val="single" w:sz="4" w:space="0" w:color="auto"/>
            </w:tcBorders>
            <w:shd w:val="clear" w:color="auto" w:fill="BDD7EE"/>
            <w:vAlign w:val="center"/>
            <w:hideMark/>
          </w:tcPr>
          <w:p w14:paraId="77B04F5F" w14:textId="77777777" w:rsidR="001466C3" w:rsidRPr="009F5E22" w:rsidRDefault="001466C3" w:rsidP="001466C3">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 xml:space="preserve">Baseline </w:t>
            </w:r>
          </w:p>
        </w:tc>
        <w:tc>
          <w:tcPr>
            <w:tcW w:w="858" w:type="dxa"/>
            <w:tcBorders>
              <w:top w:val="nil"/>
              <w:left w:val="nil"/>
              <w:bottom w:val="single" w:sz="4" w:space="0" w:color="auto"/>
              <w:right w:val="single" w:sz="4" w:space="0" w:color="auto"/>
            </w:tcBorders>
            <w:shd w:val="clear" w:color="auto" w:fill="BDD7EE"/>
            <w:vAlign w:val="center"/>
            <w:hideMark/>
          </w:tcPr>
          <w:p w14:paraId="41E1F9C1" w14:textId="77777777" w:rsidR="001466C3" w:rsidRPr="009F5E22" w:rsidRDefault="001466C3" w:rsidP="001466C3">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 xml:space="preserve">Goal </w:t>
            </w:r>
          </w:p>
        </w:tc>
        <w:tc>
          <w:tcPr>
            <w:tcW w:w="943" w:type="dxa"/>
            <w:tcBorders>
              <w:top w:val="nil"/>
              <w:left w:val="nil"/>
              <w:bottom w:val="single" w:sz="4" w:space="0" w:color="auto"/>
              <w:right w:val="single" w:sz="4" w:space="0" w:color="auto"/>
            </w:tcBorders>
            <w:shd w:val="clear" w:color="auto" w:fill="BDD7EE"/>
            <w:vAlign w:val="center"/>
            <w:hideMark/>
          </w:tcPr>
          <w:p w14:paraId="15373FE7" w14:textId="77777777" w:rsidR="001466C3" w:rsidRPr="009F5E22" w:rsidRDefault="001466C3" w:rsidP="001466C3">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Quarter</w:t>
            </w:r>
          </w:p>
        </w:tc>
        <w:tc>
          <w:tcPr>
            <w:tcW w:w="1065" w:type="dxa"/>
            <w:tcBorders>
              <w:top w:val="nil"/>
              <w:left w:val="nil"/>
              <w:bottom w:val="single" w:sz="4" w:space="0" w:color="auto"/>
              <w:right w:val="single" w:sz="4" w:space="0" w:color="auto"/>
            </w:tcBorders>
            <w:shd w:val="clear" w:color="auto" w:fill="BDD7EE"/>
            <w:vAlign w:val="center"/>
            <w:hideMark/>
          </w:tcPr>
          <w:p w14:paraId="039B2BC8" w14:textId="77777777" w:rsidR="001466C3" w:rsidRPr="009F5E22" w:rsidRDefault="001466C3" w:rsidP="001466C3">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Year</w:t>
            </w:r>
          </w:p>
        </w:tc>
        <w:tc>
          <w:tcPr>
            <w:tcW w:w="3535" w:type="dxa"/>
            <w:vMerge/>
            <w:tcBorders>
              <w:top w:val="single" w:sz="4" w:space="0" w:color="auto"/>
              <w:bottom w:val="single" w:sz="4" w:space="0" w:color="auto"/>
              <w:right w:val="single" w:sz="4" w:space="0" w:color="auto"/>
            </w:tcBorders>
            <w:hideMark/>
          </w:tcPr>
          <w:p w14:paraId="72EB473C"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r>
      <w:tr w:rsidR="001466C3" w:rsidRPr="009F5E22" w14:paraId="4D09007D"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191B2268"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241</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4103B876"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Reform 1. Legislative transparency, de-bureaucratisation and procedural simplification for business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46C8680D"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114C84C1"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Entry into force of legislative amendments to streamline, simplify and fully digitise business related procedures </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3F8DA546"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Provision in the law indicating the entry into force of i) Law no. 31/1990 – Company Law, ii) Law no. 26/1990, republished, regarding the trade register, iii) Decree-law no. 122/1990 on the authorization and functioning in Romania of the representatives of foreign companies and economic organizations and iv) Law no. 53/2003 – Labour Code </w:t>
            </w:r>
          </w:p>
        </w:tc>
        <w:tc>
          <w:tcPr>
            <w:tcW w:w="1558" w:type="dxa"/>
            <w:tcBorders>
              <w:top w:val="nil"/>
              <w:left w:val="single" w:sz="4" w:space="0" w:color="auto"/>
              <w:bottom w:val="single" w:sz="4" w:space="0" w:color="auto"/>
              <w:right w:val="single" w:sz="4" w:space="0" w:color="auto"/>
            </w:tcBorders>
            <w:shd w:val="clear" w:color="auto" w:fill="C6EFCE"/>
            <w:noWrap/>
          </w:tcPr>
          <w:p w14:paraId="380A3B02"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116" w:type="dxa"/>
            <w:tcBorders>
              <w:top w:val="nil"/>
              <w:left w:val="single" w:sz="4" w:space="0" w:color="auto"/>
              <w:bottom w:val="single" w:sz="4" w:space="0" w:color="auto"/>
              <w:right w:val="single" w:sz="4" w:space="0" w:color="auto"/>
            </w:tcBorders>
            <w:shd w:val="clear" w:color="auto" w:fill="C6EFCE"/>
            <w:noWrap/>
          </w:tcPr>
          <w:p w14:paraId="7B8687A0"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858" w:type="dxa"/>
            <w:tcBorders>
              <w:top w:val="nil"/>
              <w:left w:val="single" w:sz="4" w:space="0" w:color="auto"/>
              <w:bottom w:val="single" w:sz="4" w:space="0" w:color="auto"/>
              <w:right w:val="single" w:sz="4" w:space="0" w:color="auto"/>
            </w:tcBorders>
            <w:shd w:val="clear" w:color="auto" w:fill="C6EFCE"/>
            <w:noWrap/>
          </w:tcPr>
          <w:p w14:paraId="730E0566"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943" w:type="dxa"/>
            <w:tcBorders>
              <w:top w:val="nil"/>
              <w:left w:val="single" w:sz="4" w:space="0" w:color="auto"/>
              <w:bottom w:val="single" w:sz="4" w:space="0" w:color="auto"/>
              <w:right w:val="single" w:sz="4" w:space="0" w:color="auto"/>
            </w:tcBorders>
            <w:shd w:val="clear" w:color="auto" w:fill="C6EFCE"/>
            <w:noWrap/>
          </w:tcPr>
          <w:p w14:paraId="7BF2190E"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Q3</w:t>
            </w:r>
          </w:p>
        </w:tc>
        <w:tc>
          <w:tcPr>
            <w:tcW w:w="1065" w:type="dxa"/>
            <w:tcBorders>
              <w:top w:val="nil"/>
              <w:left w:val="single" w:sz="4" w:space="0" w:color="auto"/>
              <w:bottom w:val="single" w:sz="4" w:space="0" w:color="auto"/>
              <w:right w:val="single" w:sz="4" w:space="0" w:color="auto"/>
            </w:tcBorders>
            <w:shd w:val="clear" w:color="auto" w:fill="C6EFCE"/>
            <w:noWrap/>
          </w:tcPr>
          <w:p w14:paraId="11B829CC"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61282663"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legislative changes shall reduce the administrative burden the business environment by simplifying legislation/start-up/exit procedures for firms, in particular the following processes:</w:t>
            </w:r>
          </w:p>
          <w:p w14:paraId="5C559568"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a) set up a company, exit from the market/closure of a business; </w:t>
            </w:r>
          </w:p>
          <w:p w14:paraId="5A5190C5"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b) streamlining, simplifying and digitising procedures for the authorisation and operation of foreign representations in Romania; </w:t>
            </w:r>
          </w:p>
          <w:p w14:paraId="062BB52E"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c) reporting of labour market obligations for companies and other mandatory reporting</w:t>
            </w:r>
          </w:p>
          <w:p w14:paraId="55D2507E"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Legislative changes shall be made on the following normative acts:</w:t>
            </w:r>
          </w:p>
          <w:p w14:paraId="0066E71E"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Company law no. 31/1990, initiated by the Ministry of Justice;</w:t>
            </w:r>
          </w:p>
          <w:p w14:paraId="06BD0840"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Law no. 26/1990, republished, regarding the trade register;</w:t>
            </w:r>
          </w:p>
          <w:p w14:paraId="1CF22205"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Decree Law no. 122/1990 on the authorization and functioning in Romania of the representatives of foreign companies and economic organizations, Initiated by the Ministry of Economy, Entrepreneurship and Tourism;</w:t>
            </w:r>
          </w:p>
          <w:p w14:paraId="100FE676"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Law no. 53/2003 on the Labour Code, initiated by the Ministry of Labour and Social Protection</w:t>
            </w:r>
          </w:p>
        </w:tc>
      </w:tr>
      <w:tr w:rsidR="001466C3" w:rsidRPr="009F5E22" w14:paraId="64E97D5D"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6D64A5C5"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242</w:t>
            </w:r>
          </w:p>
        </w:tc>
        <w:tc>
          <w:tcPr>
            <w:tcW w:w="1844" w:type="dxa"/>
            <w:tcBorders>
              <w:top w:val="nil"/>
              <w:left w:val="single" w:sz="4" w:space="0" w:color="auto"/>
              <w:bottom w:val="single" w:sz="4" w:space="0" w:color="auto"/>
              <w:right w:val="single" w:sz="4" w:space="0" w:color="auto"/>
            </w:tcBorders>
            <w:shd w:val="clear" w:color="auto" w:fill="C6EFCE"/>
            <w:noWrap/>
          </w:tcPr>
          <w:p w14:paraId="49385D5E"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Reform 1. Legislative transparency, de-bureaucratisation and procedural simplification for business </w:t>
            </w:r>
          </w:p>
        </w:tc>
        <w:tc>
          <w:tcPr>
            <w:tcW w:w="1089" w:type="dxa"/>
            <w:tcBorders>
              <w:top w:val="nil"/>
              <w:left w:val="single" w:sz="4" w:space="0" w:color="auto"/>
              <w:bottom w:val="single" w:sz="4" w:space="0" w:color="auto"/>
              <w:right w:val="single" w:sz="4" w:space="0" w:color="auto"/>
            </w:tcBorders>
            <w:shd w:val="clear" w:color="auto" w:fill="C6EFCE"/>
            <w:noWrap/>
          </w:tcPr>
          <w:p w14:paraId="1262C115"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96" w:type="dxa"/>
            <w:tcBorders>
              <w:top w:val="nil"/>
              <w:left w:val="single" w:sz="4" w:space="0" w:color="auto"/>
              <w:bottom w:val="single" w:sz="4" w:space="0" w:color="auto"/>
              <w:right w:val="single" w:sz="4" w:space="0" w:color="auto"/>
            </w:tcBorders>
            <w:shd w:val="clear" w:color="auto" w:fill="C6EFCE"/>
            <w:noWrap/>
          </w:tcPr>
          <w:p w14:paraId="7196059D"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Entry into force of legislative amendments to simplify and make the conduct of the SME test transparent and applicable</w:t>
            </w:r>
          </w:p>
        </w:tc>
        <w:tc>
          <w:tcPr>
            <w:tcW w:w="1766" w:type="dxa"/>
            <w:tcBorders>
              <w:top w:val="nil"/>
              <w:left w:val="single" w:sz="4" w:space="0" w:color="auto"/>
              <w:bottom w:val="single" w:sz="4" w:space="0" w:color="auto"/>
              <w:right w:val="single" w:sz="4" w:space="0" w:color="auto"/>
            </w:tcBorders>
            <w:shd w:val="clear" w:color="auto" w:fill="C6EFCE"/>
            <w:noWrap/>
          </w:tcPr>
          <w:p w14:paraId="236240B6"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Provision in the law indicating the entry into force of Law no. 346/2004 on promoting the establishment and development of small and medium enterprises</w:t>
            </w:r>
          </w:p>
        </w:tc>
        <w:tc>
          <w:tcPr>
            <w:tcW w:w="1558" w:type="dxa"/>
            <w:tcBorders>
              <w:top w:val="nil"/>
              <w:left w:val="single" w:sz="4" w:space="0" w:color="auto"/>
              <w:bottom w:val="single" w:sz="4" w:space="0" w:color="auto"/>
              <w:right w:val="single" w:sz="4" w:space="0" w:color="auto"/>
            </w:tcBorders>
            <w:shd w:val="clear" w:color="auto" w:fill="C6EFCE"/>
            <w:noWrap/>
          </w:tcPr>
          <w:p w14:paraId="0B595685"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116" w:type="dxa"/>
            <w:tcBorders>
              <w:top w:val="nil"/>
              <w:left w:val="single" w:sz="4" w:space="0" w:color="auto"/>
              <w:bottom w:val="single" w:sz="4" w:space="0" w:color="auto"/>
              <w:right w:val="single" w:sz="4" w:space="0" w:color="auto"/>
            </w:tcBorders>
            <w:shd w:val="clear" w:color="auto" w:fill="C6EFCE"/>
            <w:noWrap/>
          </w:tcPr>
          <w:p w14:paraId="7D58DBF8"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858" w:type="dxa"/>
            <w:tcBorders>
              <w:top w:val="nil"/>
              <w:left w:val="single" w:sz="4" w:space="0" w:color="auto"/>
              <w:bottom w:val="single" w:sz="4" w:space="0" w:color="auto"/>
              <w:right w:val="single" w:sz="4" w:space="0" w:color="auto"/>
            </w:tcBorders>
            <w:shd w:val="clear" w:color="auto" w:fill="C6EFCE"/>
            <w:noWrap/>
          </w:tcPr>
          <w:p w14:paraId="54FBA703"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943" w:type="dxa"/>
            <w:tcBorders>
              <w:top w:val="nil"/>
              <w:left w:val="single" w:sz="4" w:space="0" w:color="auto"/>
              <w:bottom w:val="single" w:sz="4" w:space="0" w:color="auto"/>
              <w:right w:val="single" w:sz="4" w:space="0" w:color="auto"/>
            </w:tcBorders>
            <w:shd w:val="clear" w:color="auto" w:fill="C6EFCE"/>
            <w:noWrap/>
          </w:tcPr>
          <w:p w14:paraId="554309E9"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Q3</w:t>
            </w:r>
          </w:p>
        </w:tc>
        <w:tc>
          <w:tcPr>
            <w:tcW w:w="1065" w:type="dxa"/>
            <w:tcBorders>
              <w:top w:val="nil"/>
              <w:left w:val="single" w:sz="4" w:space="0" w:color="auto"/>
              <w:bottom w:val="single" w:sz="4" w:space="0" w:color="auto"/>
              <w:right w:val="single" w:sz="4" w:space="0" w:color="auto"/>
            </w:tcBorders>
            <w:shd w:val="clear" w:color="auto" w:fill="C6EFCE"/>
            <w:noWrap/>
          </w:tcPr>
          <w:p w14:paraId="07E01819"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tc>
        <w:tc>
          <w:tcPr>
            <w:tcW w:w="3535" w:type="dxa"/>
            <w:tcBorders>
              <w:top w:val="nil"/>
              <w:left w:val="single" w:sz="4" w:space="0" w:color="auto"/>
              <w:bottom w:val="single" w:sz="4" w:space="0" w:color="auto"/>
              <w:right w:val="single" w:sz="4" w:space="0" w:color="auto"/>
            </w:tcBorders>
            <w:shd w:val="clear" w:color="auto" w:fill="C6EFCE"/>
            <w:noWrap/>
          </w:tcPr>
          <w:p w14:paraId="3B093280"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legislative changes are related to the SME test (the ex-ante evaluation of the economic, social and environmental impact of legislative proposals on SMEs). </w:t>
            </w:r>
          </w:p>
          <w:p w14:paraId="6AE333E9"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changes shall ensure that:</w:t>
            </w:r>
          </w:p>
          <w:p w14:paraId="294B6290" w14:textId="77777777" w:rsidR="001466C3" w:rsidRPr="009F5E22" w:rsidRDefault="001466C3" w:rsidP="001466C3">
            <w:pPr>
              <w:numPr>
                <w:ilvl w:val="0"/>
                <w:numId w:val="99"/>
              </w:numPr>
              <w:spacing w:before="120" w:after="0" w:line="240" w:lineRule="auto"/>
              <w:ind w:left="299" w:hanging="218"/>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A larger and representative sample of SMEs is consulted</w:t>
            </w:r>
          </w:p>
          <w:p w14:paraId="4C10FDF6" w14:textId="77777777" w:rsidR="001466C3" w:rsidRPr="009F5E22" w:rsidRDefault="001466C3" w:rsidP="001466C3">
            <w:pPr>
              <w:numPr>
                <w:ilvl w:val="0"/>
                <w:numId w:val="99"/>
              </w:numPr>
              <w:spacing w:before="120" w:after="0" w:line="240" w:lineRule="auto"/>
              <w:ind w:left="299" w:hanging="218"/>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results of the SME test for each legislative proposals are published within 30 days</w:t>
            </w:r>
          </w:p>
          <w:p w14:paraId="42EBA36E" w14:textId="77777777" w:rsidR="001466C3" w:rsidRPr="009F5E22" w:rsidRDefault="001466C3" w:rsidP="001466C3">
            <w:pPr>
              <w:numPr>
                <w:ilvl w:val="0"/>
                <w:numId w:val="99"/>
              </w:numPr>
              <w:spacing w:before="120" w:after="0" w:line="240" w:lineRule="auto"/>
              <w:ind w:left="299" w:hanging="218"/>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results of the SME test are embedded into the legislatives proposal/amendments related to SMEs.</w:t>
            </w:r>
          </w:p>
        </w:tc>
      </w:tr>
      <w:tr w:rsidR="001466C3" w:rsidRPr="009F5E22" w14:paraId="2CD12B0B"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6C7B40C9"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243</w:t>
            </w:r>
          </w:p>
        </w:tc>
        <w:tc>
          <w:tcPr>
            <w:tcW w:w="1844" w:type="dxa"/>
            <w:tcBorders>
              <w:top w:val="nil"/>
              <w:left w:val="single" w:sz="4" w:space="0" w:color="auto"/>
              <w:bottom w:val="single" w:sz="4" w:space="0" w:color="auto"/>
              <w:right w:val="single" w:sz="4" w:space="0" w:color="auto"/>
            </w:tcBorders>
            <w:shd w:val="clear" w:color="auto" w:fill="C6EFCE"/>
            <w:noWrap/>
          </w:tcPr>
          <w:p w14:paraId="4F713D5B"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Reform 1. Legislative transparency, de-bureaucratisation and procedural simplification for business </w:t>
            </w:r>
          </w:p>
        </w:tc>
        <w:tc>
          <w:tcPr>
            <w:tcW w:w="1089" w:type="dxa"/>
            <w:tcBorders>
              <w:top w:val="nil"/>
              <w:left w:val="single" w:sz="4" w:space="0" w:color="auto"/>
              <w:bottom w:val="single" w:sz="4" w:space="0" w:color="auto"/>
              <w:right w:val="single" w:sz="4" w:space="0" w:color="auto"/>
            </w:tcBorders>
            <w:shd w:val="clear" w:color="auto" w:fill="C6EFCE"/>
            <w:noWrap/>
          </w:tcPr>
          <w:p w14:paraId="464B99E9"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96" w:type="dxa"/>
            <w:tcBorders>
              <w:top w:val="nil"/>
              <w:left w:val="single" w:sz="4" w:space="0" w:color="auto"/>
              <w:bottom w:val="single" w:sz="4" w:space="0" w:color="auto"/>
              <w:right w:val="single" w:sz="4" w:space="0" w:color="auto"/>
            </w:tcBorders>
            <w:shd w:val="clear" w:color="auto" w:fill="C6EFCE"/>
            <w:noWrap/>
          </w:tcPr>
          <w:p w14:paraId="5D5C4EEB"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Entry into force of the law “Single Industrial Licence” </w:t>
            </w:r>
          </w:p>
        </w:tc>
        <w:tc>
          <w:tcPr>
            <w:tcW w:w="1766" w:type="dxa"/>
            <w:tcBorders>
              <w:top w:val="nil"/>
              <w:left w:val="single" w:sz="4" w:space="0" w:color="auto"/>
              <w:bottom w:val="single" w:sz="4" w:space="0" w:color="auto"/>
              <w:right w:val="single" w:sz="4" w:space="0" w:color="auto"/>
            </w:tcBorders>
            <w:shd w:val="clear" w:color="auto" w:fill="C6EFCE"/>
            <w:noWrap/>
          </w:tcPr>
          <w:p w14:paraId="394C6DF4"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Provision in the law indicating the entry into force of the Single Industrial Licence</w:t>
            </w:r>
          </w:p>
        </w:tc>
        <w:tc>
          <w:tcPr>
            <w:tcW w:w="1558" w:type="dxa"/>
            <w:tcBorders>
              <w:top w:val="nil"/>
              <w:left w:val="single" w:sz="4" w:space="0" w:color="auto"/>
              <w:bottom w:val="single" w:sz="4" w:space="0" w:color="auto"/>
              <w:right w:val="single" w:sz="4" w:space="0" w:color="auto"/>
            </w:tcBorders>
            <w:shd w:val="clear" w:color="auto" w:fill="C6EFCE"/>
            <w:noWrap/>
          </w:tcPr>
          <w:p w14:paraId="442308A6"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116" w:type="dxa"/>
            <w:tcBorders>
              <w:top w:val="nil"/>
              <w:left w:val="single" w:sz="4" w:space="0" w:color="auto"/>
              <w:bottom w:val="single" w:sz="4" w:space="0" w:color="auto"/>
              <w:right w:val="single" w:sz="4" w:space="0" w:color="auto"/>
            </w:tcBorders>
            <w:shd w:val="clear" w:color="auto" w:fill="C6EFCE"/>
            <w:noWrap/>
          </w:tcPr>
          <w:p w14:paraId="0F0FAE6F"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858" w:type="dxa"/>
            <w:tcBorders>
              <w:top w:val="nil"/>
              <w:left w:val="single" w:sz="4" w:space="0" w:color="auto"/>
              <w:bottom w:val="single" w:sz="4" w:space="0" w:color="auto"/>
              <w:right w:val="single" w:sz="4" w:space="0" w:color="auto"/>
            </w:tcBorders>
            <w:shd w:val="clear" w:color="auto" w:fill="C6EFCE"/>
            <w:noWrap/>
          </w:tcPr>
          <w:p w14:paraId="67A3A1E7"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943" w:type="dxa"/>
            <w:tcBorders>
              <w:top w:val="nil"/>
              <w:left w:val="single" w:sz="4" w:space="0" w:color="auto"/>
              <w:bottom w:val="single" w:sz="4" w:space="0" w:color="auto"/>
              <w:right w:val="single" w:sz="4" w:space="0" w:color="auto"/>
            </w:tcBorders>
            <w:shd w:val="clear" w:color="auto" w:fill="C6EFCE"/>
            <w:noWrap/>
          </w:tcPr>
          <w:p w14:paraId="0B8702FF"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1065" w:type="dxa"/>
            <w:tcBorders>
              <w:top w:val="nil"/>
              <w:left w:val="single" w:sz="4" w:space="0" w:color="auto"/>
              <w:bottom w:val="single" w:sz="4" w:space="0" w:color="auto"/>
              <w:right w:val="single" w:sz="4" w:space="0" w:color="auto"/>
            </w:tcBorders>
            <w:shd w:val="clear" w:color="auto" w:fill="C6EFCE"/>
            <w:noWrap/>
          </w:tcPr>
          <w:p w14:paraId="558AAF93"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tc>
        <w:tc>
          <w:tcPr>
            <w:tcW w:w="3535" w:type="dxa"/>
            <w:tcBorders>
              <w:top w:val="nil"/>
              <w:left w:val="single" w:sz="4" w:space="0" w:color="auto"/>
              <w:bottom w:val="single" w:sz="4" w:space="0" w:color="auto"/>
              <w:right w:val="single" w:sz="4" w:space="0" w:color="auto"/>
            </w:tcBorders>
            <w:shd w:val="clear" w:color="auto" w:fill="C6EFCE"/>
            <w:noWrap/>
          </w:tcPr>
          <w:p w14:paraId="447E8A6C"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law of the Single Industrial Licence, shall ensure: </w:t>
            </w:r>
          </w:p>
          <w:p w14:paraId="459119EA" w14:textId="77777777" w:rsidR="001466C3" w:rsidRPr="009F5E22" w:rsidRDefault="001466C3" w:rsidP="001466C3">
            <w:pPr>
              <w:numPr>
                <w:ilvl w:val="0"/>
                <w:numId w:val="100"/>
              </w:numPr>
              <w:spacing w:before="120" w:after="0" w:line="240" w:lineRule="auto"/>
              <w:ind w:left="441"/>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a reorganisation of the procedures needed to obtain industry-related licences,</w:t>
            </w:r>
          </w:p>
          <w:p w14:paraId="6A9C0730" w14:textId="77777777" w:rsidR="001466C3" w:rsidRPr="009F5E22" w:rsidRDefault="001466C3" w:rsidP="001466C3">
            <w:pPr>
              <w:numPr>
                <w:ilvl w:val="0"/>
                <w:numId w:val="100"/>
              </w:numPr>
              <w:spacing w:before="120" w:after="0" w:line="240" w:lineRule="auto"/>
              <w:ind w:left="441"/>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the integration of existing sectorial licences into one single streamlined procedure, </w:t>
            </w:r>
          </w:p>
          <w:p w14:paraId="7ECCACD4" w14:textId="77777777" w:rsidR="001466C3" w:rsidRPr="009F5E22" w:rsidRDefault="001466C3" w:rsidP="001466C3">
            <w:pPr>
              <w:numPr>
                <w:ilvl w:val="0"/>
                <w:numId w:val="100"/>
              </w:numPr>
              <w:spacing w:before="120" w:after="0" w:line="240" w:lineRule="auto"/>
              <w:ind w:left="441"/>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redesign of the application procedures, the institution of a Coordinating Body, an Inter-ministerial working group, to coordinate these procedures, </w:t>
            </w:r>
          </w:p>
          <w:p w14:paraId="0D0F2C8B" w14:textId="77777777" w:rsidR="001466C3" w:rsidRPr="009F5E22" w:rsidRDefault="001466C3" w:rsidP="001466C3">
            <w:pPr>
              <w:numPr>
                <w:ilvl w:val="0"/>
                <w:numId w:val="100"/>
              </w:numPr>
              <w:spacing w:before="120" w:after="0" w:line="240" w:lineRule="auto"/>
              <w:ind w:left="441"/>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abolishment of dual controls and of unneeded license renewal requirements, </w:t>
            </w:r>
          </w:p>
          <w:p w14:paraId="1A2C76C9" w14:textId="77777777" w:rsidR="001466C3" w:rsidRPr="009F5E22" w:rsidRDefault="001466C3" w:rsidP="001466C3">
            <w:pPr>
              <w:numPr>
                <w:ilvl w:val="0"/>
                <w:numId w:val="100"/>
              </w:numPr>
              <w:spacing w:before="120" w:after="0" w:line="240" w:lineRule="auto"/>
              <w:ind w:left="441"/>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Creation of a taxonomy of license types, according to their main features and characteristics </w:t>
            </w:r>
          </w:p>
          <w:p w14:paraId="36D5CFE4" w14:textId="77777777" w:rsidR="001466C3" w:rsidRPr="009F5E22" w:rsidRDefault="001466C3" w:rsidP="001466C3">
            <w:pPr>
              <w:numPr>
                <w:ilvl w:val="0"/>
                <w:numId w:val="100"/>
              </w:numPr>
              <w:spacing w:before="120" w:after="0" w:line="240" w:lineRule="auto"/>
              <w:ind w:left="441"/>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an amendment of the 2003 law that establishes a “silence is consent” policy – Government Emergency Ordinance no. 27/2003 – aiming to have a timer for tacit approval (silence is consent) which enters into force when the electronic platform registers the licensing request. The licensing request shall be granted automatically if/when tacit approval occurs;</w:t>
            </w:r>
          </w:p>
          <w:p w14:paraId="4395339F" w14:textId="77777777" w:rsidR="001466C3" w:rsidRPr="009F5E22" w:rsidRDefault="001466C3" w:rsidP="001466C3">
            <w:pPr>
              <w:numPr>
                <w:ilvl w:val="0"/>
                <w:numId w:val="100"/>
              </w:numPr>
              <w:spacing w:before="120" w:after="0" w:line="240" w:lineRule="auto"/>
              <w:ind w:left="441"/>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adoption, in Romanian legislation of the “once-only” principle, enabling the investors’ right to only be required to supply the same information or documents to public institutions once;</w:t>
            </w:r>
          </w:p>
          <w:p w14:paraId="4DEA33C7" w14:textId="77777777" w:rsidR="001466C3" w:rsidRPr="009F5E22" w:rsidRDefault="001466C3" w:rsidP="001466C3">
            <w:pPr>
              <w:numPr>
                <w:ilvl w:val="0"/>
                <w:numId w:val="100"/>
              </w:numPr>
              <w:spacing w:before="120" w:after="0" w:line="240" w:lineRule="auto"/>
              <w:ind w:left="441"/>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adoption of the necessary legislative amendments for the full implementation of an Electronic Point of Single Contact, including a definition of its main features. </w:t>
            </w:r>
          </w:p>
        </w:tc>
      </w:tr>
      <w:tr w:rsidR="001466C3" w:rsidRPr="009F5E22" w14:paraId="10593180"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6F6CFEFD"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244</w:t>
            </w:r>
          </w:p>
        </w:tc>
        <w:tc>
          <w:tcPr>
            <w:tcW w:w="1844" w:type="dxa"/>
            <w:tcBorders>
              <w:top w:val="nil"/>
              <w:left w:val="single" w:sz="4" w:space="0" w:color="auto"/>
              <w:bottom w:val="single" w:sz="4" w:space="0" w:color="auto"/>
              <w:right w:val="single" w:sz="4" w:space="0" w:color="auto"/>
            </w:tcBorders>
            <w:shd w:val="clear" w:color="auto" w:fill="C6EFCE"/>
            <w:noWrap/>
          </w:tcPr>
          <w:p w14:paraId="437F2061"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Reform 1. Legislative transparency, de-bureaucratisation and procedural simplification for business </w:t>
            </w:r>
          </w:p>
        </w:tc>
        <w:tc>
          <w:tcPr>
            <w:tcW w:w="1089" w:type="dxa"/>
            <w:tcBorders>
              <w:top w:val="nil"/>
              <w:left w:val="single" w:sz="4" w:space="0" w:color="auto"/>
              <w:bottom w:val="single" w:sz="4" w:space="0" w:color="auto"/>
              <w:right w:val="single" w:sz="4" w:space="0" w:color="auto"/>
            </w:tcBorders>
            <w:shd w:val="clear" w:color="auto" w:fill="C6EFCE"/>
            <w:noWrap/>
          </w:tcPr>
          <w:p w14:paraId="7F09F570"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96" w:type="dxa"/>
            <w:tcBorders>
              <w:top w:val="nil"/>
              <w:left w:val="single" w:sz="4" w:space="0" w:color="auto"/>
              <w:bottom w:val="single" w:sz="4" w:space="0" w:color="auto"/>
              <w:right w:val="single" w:sz="4" w:space="0" w:color="auto"/>
            </w:tcBorders>
            <w:shd w:val="clear" w:color="auto" w:fill="C6EFCE"/>
            <w:noWrap/>
          </w:tcPr>
          <w:p w14:paraId="3C19BF7A" w14:textId="69E6BC5D"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Reducing the time to start a business</w:t>
            </w:r>
            <w:r w:rsidR="00D23D91" w:rsidRPr="009F5E22">
              <w:rPr>
                <w:rFonts w:ascii="Times New Roman" w:hAnsi="Times New Roman" w:cs="Times New Roman"/>
                <w:noProof/>
                <w:sz w:val="20"/>
                <w:szCs w:val="20"/>
                <w:lang w:val="en-GB"/>
              </w:rPr>
              <w:t xml:space="preserve"> </w:t>
            </w:r>
          </w:p>
        </w:tc>
        <w:tc>
          <w:tcPr>
            <w:tcW w:w="1766" w:type="dxa"/>
            <w:tcBorders>
              <w:top w:val="nil"/>
              <w:left w:val="single" w:sz="4" w:space="0" w:color="auto"/>
              <w:bottom w:val="single" w:sz="4" w:space="0" w:color="auto"/>
              <w:right w:val="single" w:sz="4" w:space="0" w:color="auto"/>
            </w:tcBorders>
            <w:shd w:val="clear" w:color="auto" w:fill="C6EFCE"/>
            <w:noWrap/>
          </w:tcPr>
          <w:p w14:paraId="42D3737A"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4501E616" w14:textId="77777777" w:rsidR="001466C3" w:rsidRPr="009F5E22" w:rsidRDefault="001466C3" w:rsidP="001466C3">
            <w:pPr>
              <w:spacing w:after="0" w:line="240" w:lineRule="auto"/>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Percentage (%)</w:t>
            </w:r>
          </w:p>
          <w:p w14:paraId="74E4C0DE"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06C7ED8D"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0</w:t>
            </w:r>
          </w:p>
        </w:tc>
        <w:tc>
          <w:tcPr>
            <w:tcW w:w="858" w:type="dxa"/>
            <w:tcBorders>
              <w:top w:val="nil"/>
              <w:left w:val="single" w:sz="4" w:space="0" w:color="auto"/>
              <w:bottom w:val="single" w:sz="4" w:space="0" w:color="auto"/>
              <w:right w:val="single" w:sz="4" w:space="0" w:color="auto"/>
            </w:tcBorders>
            <w:shd w:val="clear" w:color="auto" w:fill="C6EFCE"/>
            <w:noWrap/>
          </w:tcPr>
          <w:p w14:paraId="3EF0F916"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50</w:t>
            </w:r>
          </w:p>
        </w:tc>
        <w:tc>
          <w:tcPr>
            <w:tcW w:w="943" w:type="dxa"/>
            <w:tcBorders>
              <w:top w:val="nil"/>
              <w:left w:val="single" w:sz="4" w:space="0" w:color="auto"/>
              <w:bottom w:val="single" w:sz="4" w:space="0" w:color="auto"/>
              <w:right w:val="single" w:sz="4" w:space="0" w:color="auto"/>
            </w:tcBorders>
            <w:shd w:val="clear" w:color="auto" w:fill="C6EFCE"/>
            <w:noWrap/>
          </w:tcPr>
          <w:p w14:paraId="3D90AA0B"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1065" w:type="dxa"/>
            <w:tcBorders>
              <w:top w:val="nil"/>
              <w:left w:val="single" w:sz="4" w:space="0" w:color="auto"/>
              <w:bottom w:val="single" w:sz="4" w:space="0" w:color="auto"/>
              <w:right w:val="single" w:sz="4" w:space="0" w:color="auto"/>
            </w:tcBorders>
            <w:shd w:val="clear" w:color="auto" w:fill="C6EFCE"/>
            <w:noWrap/>
          </w:tcPr>
          <w:p w14:paraId="71D834CB"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2025</w:t>
            </w:r>
          </w:p>
        </w:tc>
        <w:tc>
          <w:tcPr>
            <w:tcW w:w="3535" w:type="dxa"/>
            <w:tcBorders>
              <w:top w:val="nil"/>
              <w:left w:val="single" w:sz="4" w:space="0" w:color="auto"/>
              <w:bottom w:val="single" w:sz="4" w:space="0" w:color="auto"/>
              <w:right w:val="single" w:sz="4" w:space="0" w:color="auto"/>
            </w:tcBorders>
            <w:shd w:val="clear" w:color="auto" w:fill="C6EFCE"/>
            <w:noWrap/>
          </w:tcPr>
          <w:p w14:paraId="0E6E56EC" w14:textId="77777777" w:rsidR="001466C3" w:rsidRPr="009F5E22" w:rsidRDefault="001466C3" w:rsidP="001466C3">
            <w:pPr>
              <w:spacing w:before="120" w:after="0" w:line="240" w:lineRule="auto"/>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50% reduction in the time needed to start a business in 2025 compared to the 2020 baseline of 20 days</w:t>
            </w:r>
          </w:p>
          <w:p w14:paraId="3A0942EC" w14:textId="77777777" w:rsidR="001466C3" w:rsidRPr="009F5E22" w:rsidRDefault="001466C3" w:rsidP="001466C3">
            <w:pPr>
              <w:spacing w:before="120" w:after="0" w:line="240" w:lineRule="auto"/>
              <w:contextualSpacing/>
              <w:jc w:val="both"/>
              <w:rPr>
                <w:rFonts w:ascii="Times New Roman" w:hAnsi="Times New Roman" w:cs="Times New Roman"/>
                <w:noProof/>
                <w:sz w:val="20"/>
                <w:szCs w:val="20"/>
                <w:lang w:val="en-GB"/>
              </w:rPr>
            </w:pPr>
          </w:p>
        </w:tc>
      </w:tr>
      <w:tr w:rsidR="001466C3" w:rsidRPr="009F5E22" w14:paraId="19FFBD96"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48CCC634"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245</w:t>
            </w:r>
          </w:p>
        </w:tc>
        <w:tc>
          <w:tcPr>
            <w:tcW w:w="1844" w:type="dxa"/>
            <w:tcBorders>
              <w:top w:val="nil"/>
              <w:left w:val="single" w:sz="4" w:space="0" w:color="auto"/>
              <w:bottom w:val="single" w:sz="4" w:space="0" w:color="auto"/>
              <w:right w:val="single" w:sz="4" w:space="0" w:color="auto"/>
            </w:tcBorders>
            <w:shd w:val="clear" w:color="auto" w:fill="C6EFCE"/>
            <w:noWrap/>
          </w:tcPr>
          <w:p w14:paraId="72DC9666" w14:textId="659C9588"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Reform 1 </w:t>
            </w:r>
            <w:r w:rsidR="00620F42">
              <w:rPr>
                <w:rFonts w:ascii="Times New Roman" w:hAnsi="Times New Roman" w:cs="Times New Roman"/>
                <w:noProof/>
                <w:sz w:val="20"/>
                <w:szCs w:val="20"/>
                <w:lang w:val="en-GB"/>
              </w:rPr>
              <w:t>L</w:t>
            </w:r>
            <w:r w:rsidRPr="009F5E22">
              <w:rPr>
                <w:rFonts w:ascii="Times New Roman" w:hAnsi="Times New Roman" w:cs="Times New Roman"/>
                <w:noProof/>
                <w:sz w:val="20"/>
                <w:szCs w:val="20"/>
                <w:lang w:val="en-GB"/>
              </w:rPr>
              <w:t xml:space="preserve">egislative transparency, de-bureaucratisation and procedural simplification for business </w:t>
            </w:r>
          </w:p>
          <w:p w14:paraId="1382BB46"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1089" w:type="dxa"/>
            <w:tcBorders>
              <w:top w:val="nil"/>
              <w:left w:val="single" w:sz="4" w:space="0" w:color="auto"/>
              <w:bottom w:val="single" w:sz="4" w:space="0" w:color="auto"/>
              <w:right w:val="single" w:sz="4" w:space="0" w:color="auto"/>
            </w:tcBorders>
            <w:shd w:val="clear" w:color="auto" w:fill="C6EFCE"/>
            <w:noWrap/>
          </w:tcPr>
          <w:p w14:paraId="1957156B"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96" w:type="dxa"/>
            <w:tcBorders>
              <w:top w:val="nil"/>
              <w:left w:val="single" w:sz="4" w:space="0" w:color="auto"/>
              <w:bottom w:val="single" w:sz="4" w:space="0" w:color="auto"/>
              <w:right w:val="single" w:sz="4" w:space="0" w:color="auto"/>
            </w:tcBorders>
            <w:shd w:val="clear" w:color="auto" w:fill="C6EFCE"/>
            <w:noWrap/>
          </w:tcPr>
          <w:p w14:paraId="3CDD6B0F"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Legislative acts/ modification related to SMEs for which the test was applied</w:t>
            </w:r>
          </w:p>
        </w:tc>
        <w:tc>
          <w:tcPr>
            <w:tcW w:w="1766" w:type="dxa"/>
            <w:tcBorders>
              <w:top w:val="nil"/>
              <w:left w:val="single" w:sz="4" w:space="0" w:color="auto"/>
              <w:bottom w:val="single" w:sz="4" w:space="0" w:color="auto"/>
              <w:right w:val="single" w:sz="4" w:space="0" w:color="auto"/>
            </w:tcBorders>
            <w:shd w:val="clear" w:color="auto" w:fill="C6EFCE"/>
            <w:noWrap/>
          </w:tcPr>
          <w:p w14:paraId="1560F957"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444A3EBF" w14:textId="77777777" w:rsidR="001466C3" w:rsidRPr="009F5E22" w:rsidRDefault="001466C3" w:rsidP="001466C3">
            <w:pPr>
              <w:spacing w:after="0" w:line="240" w:lineRule="auto"/>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Percentage (%)</w:t>
            </w:r>
          </w:p>
          <w:p w14:paraId="6F55EB71"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4E3647E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50% [2020]</w:t>
            </w:r>
          </w:p>
          <w:p w14:paraId="1370906E"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858" w:type="dxa"/>
            <w:tcBorders>
              <w:top w:val="nil"/>
              <w:left w:val="single" w:sz="4" w:space="0" w:color="auto"/>
              <w:bottom w:val="single" w:sz="4" w:space="0" w:color="auto"/>
              <w:right w:val="single" w:sz="4" w:space="0" w:color="auto"/>
            </w:tcBorders>
            <w:shd w:val="clear" w:color="auto" w:fill="C6EFCE"/>
            <w:noWrap/>
          </w:tcPr>
          <w:p w14:paraId="606191F1"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100% </w:t>
            </w:r>
          </w:p>
          <w:p w14:paraId="1A28BD6B"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943" w:type="dxa"/>
            <w:tcBorders>
              <w:top w:val="nil"/>
              <w:left w:val="single" w:sz="4" w:space="0" w:color="auto"/>
              <w:bottom w:val="single" w:sz="4" w:space="0" w:color="auto"/>
              <w:right w:val="single" w:sz="4" w:space="0" w:color="auto"/>
            </w:tcBorders>
            <w:shd w:val="clear" w:color="auto" w:fill="C6EFCE"/>
            <w:noWrap/>
          </w:tcPr>
          <w:p w14:paraId="27F776CF"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1065" w:type="dxa"/>
            <w:tcBorders>
              <w:top w:val="nil"/>
              <w:left w:val="single" w:sz="4" w:space="0" w:color="auto"/>
              <w:bottom w:val="single" w:sz="4" w:space="0" w:color="auto"/>
              <w:right w:val="single" w:sz="4" w:space="0" w:color="auto"/>
            </w:tcBorders>
            <w:shd w:val="clear" w:color="auto" w:fill="C6EFCE"/>
            <w:noWrap/>
          </w:tcPr>
          <w:p w14:paraId="5B959ADF"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2026</w:t>
            </w:r>
          </w:p>
        </w:tc>
        <w:tc>
          <w:tcPr>
            <w:tcW w:w="3535" w:type="dxa"/>
            <w:tcBorders>
              <w:top w:val="nil"/>
              <w:left w:val="single" w:sz="4" w:space="0" w:color="auto"/>
              <w:bottom w:val="single" w:sz="4" w:space="0" w:color="auto"/>
              <w:right w:val="single" w:sz="4" w:space="0" w:color="auto"/>
            </w:tcBorders>
            <w:shd w:val="clear" w:color="auto" w:fill="C6EFCE"/>
            <w:noWrap/>
          </w:tcPr>
          <w:p w14:paraId="15633548"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SME Test is applied to 100% of draft legislative acts with an impact on SMEs, submitted for approval to the competent ministry responsible for small and medium-sized enterprises.</w:t>
            </w:r>
          </w:p>
        </w:tc>
      </w:tr>
      <w:tr w:rsidR="001466C3" w:rsidRPr="009F5E22" w14:paraId="1978E5AD"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0318E057"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246</w:t>
            </w:r>
          </w:p>
        </w:tc>
        <w:tc>
          <w:tcPr>
            <w:tcW w:w="1844" w:type="dxa"/>
            <w:tcBorders>
              <w:top w:val="nil"/>
              <w:left w:val="single" w:sz="4" w:space="0" w:color="auto"/>
              <w:bottom w:val="single" w:sz="4" w:space="0" w:color="auto"/>
              <w:right w:val="single" w:sz="4" w:space="0" w:color="auto"/>
            </w:tcBorders>
            <w:shd w:val="clear" w:color="auto" w:fill="C6EFCE"/>
            <w:noWrap/>
          </w:tcPr>
          <w:p w14:paraId="6C630999"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Investment 1. Digital platforms on legislative transparency, de-bureaucratisation and procedural simplification for business. </w:t>
            </w:r>
          </w:p>
        </w:tc>
        <w:tc>
          <w:tcPr>
            <w:tcW w:w="1089" w:type="dxa"/>
            <w:tcBorders>
              <w:top w:val="nil"/>
              <w:left w:val="single" w:sz="4" w:space="0" w:color="auto"/>
              <w:bottom w:val="single" w:sz="4" w:space="0" w:color="auto"/>
              <w:right w:val="single" w:sz="4" w:space="0" w:color="auto"/>
            </w:tcBorders>
            <w:shd w:val="clear" w:color="auto" w:fill="C6EFCE"/>
            <w:noWrap/>
          </w:tcPr>
          <w:p w14:paraId="2E7421EE"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96" w:type="dxa"/>
            <w:tcBorders>
              <w:top w:val="nil"/>
              <w:left w:val="single" w:sz="4" w:space="0" w:color="auto"/>
              <w:bottom w:val="single" w:sz="4" w:space="0" w:color="auto"/>
              <w:right w:val="single" w:sz="4" w:space="0" w:color="auto"/>
            </w:tcBorders>
            <w:shd w:val="clear" w:color="auto" w:fill="C6EFCE"/>
            <w:noWrap/>
          </w:tcPr>
          <w:p w14:paraId="38466EDE"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Digital platforms connected to the government cloud and accessible </w:t>
            </w:r>
          </w:p>
        </w:tc>
        <w:tc>
          <w:tcPr>
            <w:tcW w:w="1766" w:type="dxa"/>
            <w:tcBorders>
              <w:top w:val="nil"/>
              <w:left w:val="single" w:sz="4" w:space="0" w:color="auto"/>
              <w:bottom w:val="single" w:sz="4" w:space="0" w:color="auto"/>
              <w:right w:val="single" w:sz="4" w:space="0" w:color="auto"/>
            </w:tcBorders>
            <w:shd w:val="clear" w:color="auto" w:fill="C6EFCE"/>
            <w:noWrap/>
          </w:tcPr>
          <w:p w14:paraId="01181876"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Digital platforms established and accessible</w:t>
            </w:r>
          </w:p>
        </w:tc>
        <w:tc>
          <w:tcPr>
            <w:tcW w:w="1558" w:type="dxa"/>
            <w:tcBorders>
              <w:top w:val="nil"/>
              <w:left w:val="single" w:sz="4" w:space="0" w:color="auto"/>
              <w:bottom w:val="single" w:sz="4" w:space="0" w:color="auto"/>
              <w:right w:val="single" w:sz="4" w:space="0" w:color="auto"/>
            </w:tcBorders>
            <w:shd w:val="clear" w:color="auto" w:fill="C6EFCE"/>
            <w:noWrap/>
          </w:tcPr>
          <w:p w14:paraId="146F2A3B"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07B3D83A"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858" w:type="dxa"/>
            <w:tcBorders>
              <w:top w:val="nil"/>
              <w:left w:val="single" w:sz="4" w:space="0" w:color="auto"/>
              <w:bottom w:val="single" w:sz="4" w:space="0" w:color="auto"/>
              <w:right w:val="single" w:sz="4" w:space="0" w:color="auto"/>
            </w:tcBorders>
            <w:shd w:val="clear" w:color="auto" w:fill="C6EFCE"/>
            <w:noWrap/>
          </w:tcPr>
          <w:p w14:paraId="197AF04B"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943" w:type="dxa"/>
            <w:tcBorders>
              <w:top w:val="nil"/>
              <w:left w:val="single" w:sz="4" w:space="0" w:color="auto"/>
              <w:bottom w:val="single" w:sz="4" w:space="0" w:color="auto"/>
              <w:right w:val="single" w:sz="4" w:space="0" w:color="auto"/>
            </w:tcBorders>
            <w:shd w:val="clear" w:color="auto" w:fill="C6EFCE"/>
            <w:noWrap/>
          </w:tcPr>
          <w:p w14:paraId="1C612675"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1065" w:type="dxa"/>
            <w:tcBorders>
              <w:top w:val="nil"/>
              <w:left w:val="single" w:sz="4" w:space="0" w:color="auto"/>
              <w:bottom w:val="single" w:sz="4" w:space="0" w:color="auto"/>
              <w:right w:val="single" w:sz="4" w:space="0" w:color="auto"/>
            </w:tcBorders>
            <w:shd w:val="clear" w:color="auto" w:fill="C6EFCE"/>
            <w:noWrap/>
          </w:tcPr>
          <w:p w14:paraId="560D10FC"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2025</w:t>
            </w:r>
          </w:p>
        </w:tc>
        <w:tc>
          <w:tcPr>
            <w:tcW w:w="3535" w:type="dxa"/>
            <w:tcBorders>
              <w:top w:val="nil"/>
              <w:left w:val="single" w:sz="4" w:space="0" w:color="auto"/>
              <w:bottom w:val="single" w:sz="4" w:space="0" w:color="auto"/>
              <w:right w:val="single" w:sz="4" w:space="0" w:color="auto"/>
            </w:tcBorders>
            <w:shd w:val="clear" w:color="auto" w:fill="C6EFCE"/>
            <w:noWrap/>
          </w:tcPr>
          <w:p w14:paraId="4E5177C3"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At least two public digital platforms that are connected to the government cloud shall be accessible online: </w:t>
            </w:r>
          </w:p>
          <w:p w14:paraId="266C5EB1"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A one stop shop for licenses / authorizations / certifications,</w:t>
            </w:r>
          </w:p>
          <w:p w14:paraId="26796087"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A platform </w:t>
            </w:r>
            <w:r w:rsidRPr="009F5E22">
              <w:rPr>
                <w:rFonts w:ascii="Times New Roman" w:eastAsia="Times New Roman" w:hAnsi="Times New Roman" w:cs="Times New Roman"/>
                <w:noProof/>
                <w:sz w:val="20"/>
                <w:szCs w:val="20"/>
                <w:lang w:val="en-GB"/>
              </w:rPr>
              <w:t>enabling digital authorization of foreign representations and enabling consultative dialogue with the business sector.</w:t>
            </w:r>
          </w:p>
        </w:tc>
      </w:tr>
      <w:tr w:rsidR="001466C3" w:rsidRPr="009F5E22" w14:paraId="6B188EA9"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4E0FCE07"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247</w:t>
            </w:r>
          </w:p>
        </w:tc>
        <w:tc>
          <w:tcPr>
            <w:tcW w:w="1844" w:type="dxa"/>
            <w:tcBorders>
              <w:top w:val="nil"/>
              <w:left w:val="single" w:sz="4" w:space="0" w:color="auto"/>
              <w:bottom w:val="single" w:sz="4" w:space="0" w:color="auto"/>
              <w:right w:val="single" w:sz="4" w:space="0" w:color="auto"/>
            </w:tcBorders>
            <w:shd w:val="clear" w:color="auto" w:fill="C6EFCE"/>
            <w:noWrap/>
          </w:tcPr>
          <w:p w14:paraId="4F5FB484"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Investment 2.1 Financial instruments for the private sector - Portfolio guarantee for resilience </w:t>
            </w:r>
          </w:p>
        </w:tc>
        <w:tc>
          <w:tcPr>
            <w:tcW w:w="1089" w:type="dxa"/>
            <w:tcBorders>
              <w:top w:val="nil"/>
              <w:left w:val="single" w:sz="4" w:space="0" w:color="auto"/>
              <w:bottom w:val="single" w:sz="4" w:space="0" w:color="auto"/>
              <w:right w:val="single" w:sz="4" w:space="0" w:color="auto"/>
            </w:tcBorders>
            <w:shd w:val="clear" w:color="auto" w:fill="C6EFCE"/>
            <w:noWrap/>
          </w:tcPr>
          <w:p w14:paraId="259CFADB"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96" w:type="dxa"/>
            <w:tcBorders>
              <w:top w:val="nil"/>
              <w:left w:val="single" w:sz="4" w:space="0" w:color="auto"/>
              <w:bottom w:val="single" w:sz="4" w:space="0" w:color="auto"/>
              <w:right w:val="single" w:sz="4" w:space="0" w:color="auto"/>
            </w:tcBorders>
            <w:shd w:val="clear" w:color="auto" w:fill="C6EFCE"/>
            <w:noWrap/>
          </w:tcPr>
          <w:p w14:paraId="1250614D"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Signature of the contribution agreement between the European Commission and the Romanian Government.</w:t>
            </w:r>
          </w:p>
        </w:tc>
        <w:tc>
          <w:tcPr>
            <w:tcW w:w="1766" w:type="dxa"/>
            <w:tcBorders>
              <w:top w:val="nil"/>
              <w:left w:val="single" w:sz="4" w:space="0" w:color="auto"/>
              <w:bottom w:val="single" w:sz="4" w:space="0" w:color="auto"/>
              <w:right w:val="single" w:sz="4" w:space="0" w:color="auto"/>
            </w:tcBorders>
            <w:shd w:val="clear" w:color="auto" w:fill="C6EFCE"/>
            <w:noWrap/>
          </w:tcPr>
          <w:p w14:paraId="30B1943A"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Agreement signed</w:t>
            </w:r>
          </w:p>
        </w:tc>
        <w:tc>
          <w:tcPr>
            <w:tcW w:w="1558" w:type="dxa"/>
            <w:tcBorders>
              <w:top w:val="nil"/>
              <w:left w:val="single" w:sz="4" w:space="0" w:color="auto"/>
              <w:bottom w:val="single" w:sz="4" w:space="0" w:color="auto"/>
              <w:right w:val="single" w:sz="4" w:space="0" w:color="auto"/>
            </w:tcBorders>
            <w:shd w:val="clear" w:color="auto" w:fill="C6EFCE"/>
            <w:noWrap/>
          </w:tcPr>
          <w:p w14:paraId="279032F7"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61FFE28E"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858" w:type="dxa"/>
            <w:tcBorders>
              <w:top w:val="nil"/>
              <w:left w:val="single" w:sz="4" w:space="0" w:color="auto"/>
              <w:bottom w:val="single" w:sz="4" w:space="0" w:color="auto"/>
              <w:right w:val="single" w:sz="4" w:space="0" w:color="auto"/>
            </w:tcBorders>
            <w:shd w:val="clear" w:color="auto" w:fill="C6EFCE"/>
            <w:noWrap/>
          </w:tcPr>
          <w:p w14:paraId="30A33D99"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943" w:type="dxa"/>
            <w:tcBorders>
              <w:top w:val="nil"/>
              <w:left w:val="single" w:sz="4" w:space="0" w:color="auto"/>
              <w:bottom w:val="single" w:sz="4" w:space="0" w:color="auto"/>
              <w:right w:val="single" w:sz="4" w:space="0" w:color="auto"/>
            </w:tcBorders>
            <w:shd w:val="clear" w:color="auto" w:fill="C6EFCE"/>
            <w:noWrap/>
          </w:tcPr>
          <w:p w14:paraId="017EF286"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1065" w:type="dxa"/>
            <w:tcBorders>
              <w:top w:val="nil"/>
              <w:left w:val="single" w:sz="4" w:space="0" w:color="auto"/>
              <w:bottom w:val="single" w:sz="4" w:space="0" w:color="auto"/>
              <w:right w:val="single" w:sz="4" w:space="0" w:color="auto"/>
            </w:tcBorders>
            <w:shd w:val="clear" w:color="auto" w:fill="C6EFCE"/>
            <w:noWrap/>
          </w:tcPr>
          <w:p w14:paraId="7E2AAD48"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2021</w:t>
            </w:r>
          </w:p>
        </w:tc>
        <w:tc>
          <w:tcPr>
            <w:tcW w:w="3535" w:type="dxa"/>
            <w:tcBorders>
              <w:top w:val="nil"/>
              <w:left w:val="single" w:sz="4" w:space="0" w:color="auto"/>
              <w:bottom w:val="single" w:sz="4" w:space="0" w:color="auto"/>
              <w:right w:val="single" w:sz="4" w:space="0" w:color="auto"/>
            </w:tcBorders>
            <w:shd w:val="clear" w:color="auto" w:fill="C6EFCE"/>
            <w:noWrap/>
          </w:tcPr>
          <w:p w14:paraId="4646A29C"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Signature of the Contribution Agreement between the European Commission and the Romanian Government, including:</w:t>
            </w:r>
          </w:p>
          <w:p w14:paraId="1ED91F01" w14:textId="77777777" w:rsidR="001466C3" w:rsidRPr="009F5E22" w:rsidRDefault="001466C3" w:rsidP="001466C3">
            <w:pPr>
              <w:numPr>
                <w:ilvl w:val="2"/>
                <w:numId w:val="101"/>
              </w:numPr>
              <w:spacing w:after="0" w:line="240" w:lineRule="auto"/>
              <w:ind w:left="178" w:hanging="308"/>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Compliance with the ‘Do no significant harm’ Technical Guidance (2021/C58/01) of supported transactions under this measure through the use of sustainability proofing and an exclusion list.</w:t>
            </w:r>
          </w:p>
          <w:p w14:paraId="0A872529" w14:textId="77777777" w:rsidR="001466C3" w:rsidRPr="009F5E22" w:rsidRDefault="001466C3" w:rsidP="001466C3">
            <w:pPr>
              <w:numPr>
                <w:ilvl w:val="2"/>
                <w:numId w:val="101"/>
              </w:numPr>
              <w:spacing w:after="0" w:line="240" w:lineRule="auto"/>
              <w:ind w:left="178" w:hanging="308"/>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Criteria to ensure that the financial instrument is in line with Commission’s Guidance Note of 22 January 2021 (SWD(2021) 12 final) related to financial instruments.</w:t>
            </w:r>
          </w:p>
          <w:p w14:paraId="7DA9476B"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Considering that the proposed instrument shall be implemented as a contribution to InvestEU (MS-Compartment or top-up of an existing product under the EU-Compartment), the points (a) and (b) mentioned above shall be ensured through the application of the InvestEU provisions and the selected Implementing Partner’s lending policy and exclusion criteria. Additional exclusions necessary in order to ensure compliance with the ‘Do no significant harm’ Technical Guidance (2021/C58/01) shall be specified in the guarantee agreement between the European Commission and the European Investment Fund (EIF).</w:t>
            </w:r>
          </w:p>
          <w:p w14:paraId="6225D68B"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financial instrument shall take the form of a portfolio guarantee, implemented by the EIF, and deliver finance and investments to SMEs with up to 249 employees and/or companies with up to 500 employees, and/or individuals (“beneficiaries”) through working capital, credit lines, investment loans, or leasing. The financial instrument shall address the current hurdles faced by Romanian enterprises in accessing finance, namely: increased cost of finance, lack of collateral and impaired credit channels. In particular, the instrument shall target liquidity/solvency challenges faced by the enterprises’ due to their inability to meet their financial obligations resulting from the significant - temporary reduction of their revenues, as a result of the COVID-19 crisis. In this context, the instrument shall be designed to improve access to finance and revitalize blocked lending channels during and in the aftermath of the COVID-19 crisis by supporting investments or working capital needs of enterprises. It is expected that at least 1 500 beneficiaries shall be supported under the instrument. </w:t>
            </w:r>
          </w:p>
          <w:p w14:paraId="60A48A4E"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structure of the instrument shall enable to leverage private funds. </w:t>
            </w:r>
          </w:p>
          <w:p w14:paraId="235ABD30"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Any returns to the financial instrument, including from repayments, as well as profits obtained through the use of RRF funds, less the remuneration of the fund manager and the financial intermediaries, shall be used for the same policy goals, including after 2026.</w:t>
            </w:r>
          </w:p>
        </w:tc>
      </w:tr>
      <w:tr w:rsidR="001466C3" w:rsidRPr="009F5E22" w14:paraId="395AE62A"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2825DA63" w14:textId="77777777" w:rsidR="001466C3" w:rsidRPr="009F5E22" w:rsidRDefault="001466C3" w:rsidP="001466C3">
            <w:pPr>
              <w:spacing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248</w:t>
            </w:r>
          </w:p>
        </w:tc>
        <w:tc>
          <w:tcPr>
            <w:tcW w:w="1844" w:type="dxa"/>
            <w:tcBorders>
              <w:top w:val="nil"/>
              <w:left w:val="single" w:sz="4" w:space="0" w:color="auto"/>
              <w:bottom w:val="single" w:sz="4" w:space="0" w:color="auto"/>
              <w:right w:val="single" w:sz="4" w:space="0" w:color="auto"/>
            </w:tcBorders>
            <w:shd w:val="clear" w:color="auto" w:fill="C6EFCE"/>
            <w:noWrap/>
          </w:tcPr>
          <w:p w14:paraId="4F37DE82" w14:textId="364B8C01" w:rsidR="001466C3" w:rsidRPr="009F5E22" w:rsidRDefault="001466C3" w:rsidP="001466C3">
            <w:pPr>
              <w:spacing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Investment 2.1 Financial instruments for the private sector - Portfolio guarantee for resilience</w:t>
            </w:r>
            <w:r w:rsidR="00D23D91" w:rsidRPr="009F5E22">
              <w:rPr>
                <w:rFonts w:ascii="Times New Roman" w:hAnsi="Times New Roman" w:cs="Times New Roman"/>
                <w:noProof/>
                <w:sz w:val="20"/>
                <w:szCs w:val="20"/>
                <w:lang w:val="en-GB"/>
              </w:rPr>
              <w:t xml:space="preserve"> </w:t>
            </w:r>
          </w:p>
        </w:tc>
        <w:tc>
          <w:tcPr>
            <w:tcW w:w="1089" w:type="dxa"/>
            <w:tcBorders>
              <w:top w:val="nil"/>
              <w:left w:val="single" w:sz="4" w:space="0" w:color="auto"/>
              <w:bottom w:val="single" w:sz="4" w:space="0" w:color="auto"/>
              <w:right w:val="single" w:sz="4" w:space="0" w:color="auto"/>
            </w:tcBorders>
            <w:shd w:val="clear" w:color="auto" w:fill="C6EFCE"/>
            <w:noWrap/>
          </w:tcPr>
          <w:p w14:paraId="2D5FF333" w14:textId="77777777" w:rsidR="001466C3" w:rsidRPr="009F5E22" w:rsidRDefault="001466C3" w:rsidP="001466C3">
            <w:pPr>
              <w:spacing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96" w:type="dxa"/>
            <w:tcBorders>
              <w:top w:val="nil"/>
              <w:left w:val="single" w:sz="4" w:space="0" w:color="auto"/>
              <w:bottom w:val="single" w:sz="4" w:space="0" w:color="auto"/>
              <w:right w:val="single" w:sz="4" w:space="0" w:color="auto"/>
            </w:tcBorders>
            <w:shd w:val="clear" w:color="auto" w:fill="C6EFCE"/>
            <w:noWrap/>
          </w:tcPr>
          <w:p w14:paraId="5501BA6D" w14:textId="77777777" w:rsidR="001466C3" w:rsidRPr="009F5E22" w:rsidRDefault="001466C3" w:rsidP="001466C3">
            <w:pPr>
              <w:spacing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Government adoption of signed Contribution Agreement</w:t>
            </w:r>
          </w:p>
        </w:tc>
        <w:tc>
          <w:tcPr>
            <w:tcW w:w="1766" w:type="dxa"/>
            <w:tcBorders>
              <w:top w:val="nil"/>
              <w:left w:val="single" w:sz="4" w:space="0" w:color="auto"/>
              <w:bottom w:val="single" w:sz="4" w:space="0" w:color="auto"/>
              <w:right w:val="single" w:sz="4" w:space="0" w:color="auto"/>
            </w:tcBorders>
            <w:shd w:val="clear" w:color="auto" w:fill="C6EFCE"/>
            <w:noWrap/>
          </w:tcPr>
          <w:p w14:paraId="3E59CBB4" w14:textId="77777777" w:rsidR="001466C3" w:rsidRPr="009F5E22" w:rsidRDefault="001466C3" w:rsidP="001466C3">
            <w:pPr>
              <w:spacing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Signed Contribution Agreement and its government adoption</w:t>
            </w:r>
          </w:p>
        </w:tc>
        <w:tc>
          <w:tcPr>
            <w:tcW w:w="1558" w:type="dxa"/>
            <w:tcBorders>
              <w:top w:val="nil"/>
              <w:left w:val="single" w:sz="4" w:space="0" w:color="auto"/>
              <w:bottom w:val="single" w:sz="4" w:space="0" w:color="auto"/>
              <w:right w:val="single" w:sz="4" w:space="0" w:color="auto"/>
            </w:tcBorders>
            <w:shd w:val="clear" w:color="auto" w:fill="C6EFCE"/>
            <w:noWrap/>
          </w:tcPr>
          <w:p w14:paraId="15E885A5" w14:textId="77777777" w:rsidR="001466C3" w:rsidRPr="009F5E22" w:rsidRDefault="001466C3" w:rsidP="001466C3">
            <w:pPr>
              <w:spacing w:line="240" w:lineRule="auto"/>
              <w:rPr>
                <w:rFonts w:ascii="Times New Roman" w:hAnsi="Times New Roman" w:cs="Times New Roman"/>
                <w:noProof/>
                <w:sz w:val="20"/>
                <w:szCs w:val="20"/>
                <w:lang w:val="en-GB"/>
              </w:rPr>
            </w:pPr>
          </w:p>
        </w:tc>
        <w:tc>
          <w:tcPr>
            <w:tcW w:w="1116" w:type="dxa"/>
            <w:tcBorders>
              <w:top w:val="nil"/>
              <w:left w:val="single" w:sz="4" w:space="0" w:color="auto"/>
              <w:bottom w:val="single" w:sz="4" w:space="0" w:color="auto"/>
              <w:right w:val="single" w:sz="4" w:space="0" w:color="auto"/>
            </w:tcBorders>
            <w:shd w:val="clear" w:color="auto" w:fill="C6EFCE"/>
            <w:noWrap/>
          </w:tcPr>
          <w:p w14:paraId="145BC8D6" w14:textId="77777777" w:rsidR="001466C3" w:rsidRPr="009F5E22" w:rsidRDefault="001466C3" w:rsidP="001466C3">
            <w:pPr>
              <w:spacing w:line="240" w:lineRule="auto"/>
              <w:jc w:val="both"/>
              <w:rPr>
                <w:rFonts w:ascii="Times New Roman" w:hAnsi="Times New Roman" w:cs="Times New Roman"/>
                <w:noProof/>
                <w:sz w:val="20"/>
                <w:szCs w:val="20"/>
                <w:lang w:val="en-GB"/>
              </w:rPr>
            </w:pPr>
          </w:p>
        </w:tc>
        <w:tc>
          <w:tcPr>
            <w:tcW w:w="858" w:type="dxa"/>
            <w:tcBorders>
              <w:top w:val="nil"/>
              <w:left w:val="single" w:sz="4" w:space="0" w:color="auto"/>
              <w:bottom w:val="single" w:sz="4" w:space="0" w:color="auto"/>
              <w:right w:val="single" w:sz="4" w:space="0" w:color="auto"/>
            </w:tcBorders>
            <w:shd w:val="clear" w:color="auto" w:fill="C6EFCE"/>
            <w:noWrap/>
          </w:tcPr>
          <w:p w14:paraId="20346E92" w14:textId="77777777" w:rsidR="001466C3" w:rsidRPr="009F5E22" w:rsidRDefault="001466C3" w:rsidP="001466C3">
            <w:pPr>
              <w:spacing w:line="240" w:lineRule="auto"/>
              <w:jc w:val="both"/>
              <w:rPr>
                <w:rFonts w:ascii="Times New Roman" w:hAnsi="Times New Roman" w:cs="Times New Roman"/>
                <w:noProof/>
                <w:sz w:val="20"/>
                <w:szCs w:val="20"/>
                <w:lang w:val="en-GB"/>
              </w:rPr>
            </w:pPr>
          </w:p>
        </w:tc>
        <w:tc>
          <w:tcPr>
            <w:tcW w:w="943" w:type="dxa"/>
            <w:tcBorders>
              <w:top w:val="nil"/>
              <w:left w:val="single" w:sz="4" w:space="0" w:color="auto"/>
              <w:bottom w:val="single" w:sz="4" w:space="0" w:color="auto"/>
              <w:right w:val="single" w:sz="4" w:space="0" w:color="auto"/>
            </w:tcBorders>
            <w:shd w:val="clear" w:color="auto" w:fill="C6EFCE"/>
            <w:noWrap/>
          </w:tcPr>
          <w:p w14:paraId="16828CB1" w14:textId="77777777" w:rsidR="001466C3" w:rsidRPr="009F5E22" w:rsidRDefault="001466C3" w:rsidP="001466C3">
            <w:pPr>
              <w:spacing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1065" w:type="dxa"/>
            <w:tcBorders>
              <w:top w:val="nil"/>
              <w:left w:val="single" w:sz="4" w:space="0" w:color="auto"/>
              <w:bottom w:val="single" w:sz="4" w:space="0" w:color="auto"/>
              <w:right w:val="single" w:sz="4" w:space="0" w:color="auto"/>
            </w:tcBorders>
            <w:shd w:val="clear" w:color="auto" w:fill="C6EFCE"/>
            <w:noWrap/>
          </w:tcPr>
          <w:p w14:paraId="295C17E0" w14:textId="77777777" w:rsidR="001466C3" w:rsidRPr="009F5E22" w:rsidRDefault="001466C3" w:rsidP="001466C3">
            <w:pPr>
              <w:spacing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2026</w:t>
            </w:r>
          </w:p>
        </w:tc>
        <w:tc>
          <w:tcPr>
            <w:tcW w:w="3535" w:type="dxa"/>
            <w:tcBorders>
              <w:top w:val="nil"/>
              <w:left w:val="single" w:sz="4" w:space="0" w:color="auto"/>
              <w:bottom w:val="single" w:sz="4" w:space="0" w:color="auto"/>
              <w:right w:val="single" w:sz="4" w:space="0" w:color="auto"/>
            </w:tcBorders>
            <w:shd w:val="clear" w:color="auto" w:fill="C6EFCE"/>
            <w:noWrap/>
          </w:tcPr>
          <w:p w14:paraId="4D0CC158" w14:textId="77777777" w:rsidR="001466C3" w:rsidRPr="009F5E22" w:rsidRDefault="001466C3" w:rsidP="001466C3">
            <w:pPr>
              <w:spacing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Government adoption of a signed Contribution Agreement in respect of the Member State Compartment Under the InvestEU programme (in addition to the agreement covered by Milestone 247) between the government of Romania and the European Commission for an amount of EUR 200 million, allocated to the SME Window. </w:t>
            </w:r>
          </w:p>
          <w:p w14:paraId="7D62260E" w14:textId="77777777" w:rsidR="001466C3" w:rsidRPr="009F5E22" w:rsidRDefault="001466C3" w:rsidP="001466C3">
            <w:pPr>
              <w:spacing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Contribution Agreement shall include the proposed implementing partner and the description of the monitoring system to be used to report on the funds being mobilized.</w:t>
            </w:r>
          </w:p>
        </w:tc>
      </w:tr>
      <w:tr w:rsidR="001466C3" w:rsidRPr="009F5E22" w14:paraId="6F8E8CD4"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6F3CB57E"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249</w:t>
            </w:r>
          </w:p>
        </w:tc>
        <w:tc>
          <w:tcPr>
            <w:tcW w:w="1844" w:type="dxa"/>
            <w:tcBorders>
              <w:top w:val="nil"/>
              <w:left w:val="single" w:sz="4" w:space="0" w:color="auto"/>
              <w:bottom w:val="single" w:sz="4" w:space="0" w:color="auto"/>
              <w:right w:val="single" w:sz="4" w:space="0" w:color="auto"/>
            </w:tcBorders>
            <w:shd w:val="clear" w:color="auto" w:fill="C6EFCE"/>
            <w:noWrap/>
          </w:tcPr>
          <w:p w14:paraId="070B939F"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Investment 2.1 Financial instruments for the private sector - Portfolio guarantee for resilience </w:t>
            </w:r>
          </w:p>
        </w:tc>
        <w:tc>
          <w:tcPr>
            <w:tcW w:w="1089" w:type="dxa"/>
            <w:tcBorders>
              <w:top w:val="nil"/>
              <w:left w:val="single" w:sz="4" w:space="0" w:color="auto"/>
              <w:bottom w:val="single" w:sz="4" w:space="0" w:color="auto"/>
              <w:right w:val="single" w:sz="4" w:space="0" w:color="auto"/>
            </w:tcBorders>
            <w:shd w:val="clear" w:color="auto" w:fill="C6EFCE"/>
            <w:noWrap/>
          </w:tcPr>
          <w:p w14:paraId="622ADD27"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96" w:type="dxa"/>
            <w:tcBorders>
              <w:top w:val="nil"/>
              <w:left w:val="single" w:sz="4" w:space="0" w:color="auto"/>
              <w:bottom w:val="single" w:sz="4" w:space="0" w:color="auto"/>
              <w:right w:val="single" w:sz="4" w:space="0" w:color="auto"/>
            </w:tcBorders>
            <w:shd w:val="clear" w:color="auto" w:fill="C6EFCE"/>
            <w:noWrap/>
          </w:tcPr>
          <w:p w14:paraId="2173095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Finance or investment operations amounting to 100% of the resources allocated to the instrument approved by the InvestEU Investment Committee.</w:t>
            </w:r>
          </w:p>
        </w:tc>
        <w:tc>
          <w:tcPr>
            <w:tcW w:w="1766" w:type="dxa"/>
            <w:tcBorders>
              <w:top w:val="nil"/>
              <w:left w:val="single" w:sz="4" w:space="0" w:color="auto"/>
              <w:bottom w:val="single" w:sz="4" w:space="0" w:color="auto"/>
              <w:right w:val="single" w:sz="4" w:space="0" w:color="auto"/>
            </w:tcBorders>
            <w:shd w:val="clear" w:color="auto" w:fill="C6EFCE"/>
            <w:noWrap/>
          </w:tcPr>
          <w:p w14:paraId="553954B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13731C90" w14:textId="77777777" w:rsidR="001466C3" w:rsidRPr="009F5E22" w:rsidRDefault="001466C3" w:rsidP="001466C3">
            <w:pPr>
              <w:spacing w:after="0" w:line="240" w:lineRule="auto"/>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Percentage (%)</w:t>
            </w:r>
          </w:p>
          <w:p w14:paraId="421B895E"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3571B8CF"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0</w:t>
            </w:r>
          </w:p>
        </w:tc>
        <w:tc>
          <w:tcPr>
            <w:tcW w:w="858" w:type="dxa"/>
            <w:tcBorders>
              <w:top w:val="nil"/>
              <w:left w:val="single" w:sz="4" w:space="0" w:color="auto"/>
              <w:bottom w:val="single" w:sz="4" w:space="0" w:color="auto"/>
              <w:right w:val="single" w:sz="4" w:space="0" w:color="auto"/>
            </w:tcBorders>
            <w:shd w:val="clear" w:color="auto" w:fill="C6EFCE"/>
            <w:noWrap/>
          </w:tcPr>
          <w:p w14:paraId="66CBB8FC"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100</w:t>
            </w:r>
          </w:p>
        </w:tc>
        <w:tc>
          <w:tcPr>
            <w:tcW w:w="943" w:type="dxa"/>
            <w:tcBorders>
              <w:top w:val="nil"/>
              <w:left w:val="single" w:sz="4" w:space="0" w:color="auto"/>
              <w:bottom w:val="single" w:sz="4" w:space="0" w:color="auto"/>
              <w:right w:val="single" w:sz="4" w:space="0" w:color="auto"/>
            </w:tcBorders>
            <w:shd w:val="clear" w:color="auto" w:fill="C6EFCE"/>
            <w:noWrap/>
          </w:tcPr>
          <w:p w14:paraId="308488F2"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1065" w:type="dxa"/>
            <w:tcBorders>
              <w:top w:val="nil"/>
              <w:left w:val="single" w:sz="4" w:space="0" w:color="auto"/>
              <w:bottom w:val="single" w:sz="4" w:space="0" w:color="auto"/>
              <w:right w:val="single" w:sz="4" w:space="0" w:color="auto"/>
            </w:tcBorders>
            <w:shd w:val="clear" w:color="auto" w:fill="C6EFCE"/>
            <w:noWrap/>
          </w:tcPr>
          <w:p w14:paraId="678666E1"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2026</w:t>
            </w:r>
          </w:p>
        </w:tc>
        <w:tc>
          <w:tcPr>
            <w:tcW w:w="3535" w:type="dxa"/>
            <w:tcBorders>
              <w:top w:val="nil"/>
              <w:left w:val="single" w:sz="4" w:space="0" w:color="auto"/>
              <w:bottom w:val="single" w:sz="4" w:space="0" w:color="auto"/>
              <w:right w:val="single" w:sz="4" w:space="0" w:color="auto"/>
            </w:tcBorders>
            <w:shd w:val="clear" w:color="auto" w:fill="C6EFCE"/>
            <w:noWrap/>
          </w:tcPr>
          <w:p w14:paraId="2A25C41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Finance or investment operations amounting to 100% of the total amount of resources allocated to the instrument (EUR 500 million) approved by the InvestEU Investment Committee.</w:t>
            </w:r>
          </w:p>
          <w:p w14:paraId="05DFA376"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r>
      <w:tr w:rsidR="001466C3" w:rsidRPr="009F5E22" w14:paraId="4530A291"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4ABD8C3D"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250</w:t>
            </w:r>
          </w:p>
        </w:tc>
        <w:tc>
          <w:tcPr>
            <w:tcW w:w="1844" w:type="dxa"/>
            <w:tcBorders>
              <w:top w:val="nil"/>
              <w:left w:val="single" w:sz="4" w:space="0" w:color="auto"/>
              <w:bottom w:val="single" w:sz="4" w:space="0" w:color="auto"/>
              <w:right w:val="single" w:sz="4" w:space="0" w:color="auto"/>
            </w:tcBorders>
            <w:shd w:val="clear" w:color="auto" w:fill="C6EFCE"/>
            <w:noWrap/>
          </w:tcPr>
          <w:p w14:paraId="64B9D74D"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Investment 2.2. Financial instruments for the private sector - Climate Action Portfolio Guarantee </w:t>
            </w:r>
          </w:p>
        </w:tc>
        <w:tc>
          <w:tcPr>
            <w:tcW w:w="1089" w:type="dxa"/>
            <w:tcBorders>
              <w:top w:val="nil"/>
              <w:left w:val="single" w:sz="4" w:space="0" w:color="auto"/>
              <w:bottom w:val="single" w:sz="4" w:space="0" w:color="auto"/>
              <w:right w:val="single" w:sz="4" w:space="0" w:color="auto"/>
            </w:tcBorders>
            <w:shd w:val="clear" w:color="auto" w:fill="C6EFCE"/>
            <w:noWrap/>
          </w:tcPr>
          <w:p w14:paraId="48858854"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96" w:type="dxa"/>
            <w:tcBorders>
              <w:top w:val="nil"/>
              <w:left w:val="single" w:sz="4" w:space="0" w:color="auto"/>
              <w:bottom w:val="single" w:sz="4" w:space="0" w:color="auto"/>
              <w:right w:val="single" w:sz="4" w:space="0" w:color="auto"/>
            </w:tcBorders>
            <w:shd w:val="clear" w:color="auto" w:fill="C6EFCE"/>
            <w:noWrap/>
          </w:tcPr>
          <w:p w14:paraId="45CBD2CF"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Signature of the contribution agreement between the European Commission and the Romanian Government.</w:t>
            </w:r>
          </w:p>
        </w:tc>
        <w:tc>
          <w:tcPr>
            <w:tcW w:w="1766" w:type="dxa"/>
            <w:tcBorders>
              <w:top w:val="nil"/>
              <w:left w:val="single" w:sz="4" w:space="0" w:color="auto"/>
              <w:bottom w:val="single" w:sz="4" w:space="0" w:color="auto"/>
              <w:right w:val="single" w:sz="4" w:space="0" w:color="auto"/>
            </w:tcBorders>
            <w:shd w:val="clear" w:color="auto" w:fill="C6EFCE"/>
            <w:noWrap/>
          </w:tcPr>
          <w:p w14:paraId="3763364D"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Agreement signed</w:t>
            </w:r>
          </w:p>
        </w:tc>
        <w:tc>
          <w:tcPr>
            <w:tcW w:w="1558" w:type="dxa"/>
            <w:tcBorders>
              <w:top w:val="nil"/>
              <w:left w:val="single" w:sz="4" w:space="0" w:color="auto"/>
              <w:bottom w:val="single" w:sz="4" w:space="0" w:color="auto"/>
              <w:right w:val="single" w:sz="4" w:space="0" w:color="auto"/>
            </w:tcBorders>
            <w:shd w:val="clear" w:color="auto" w:fill="C6EFCE"/>
            <w:noWrap/>
          </w:tcPr>
          <w:p w14:paraId="7426FF69"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17215E60"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858" w:type="dxa"/>
            <w:tcBorders>
              <w:top w:val="nil"/>
              <w:left w:val="single" w:sz="4" w:space="0" w:color="auto"/>
              <w:bottom w:val="single" w:sz="4" w:space="0" w:color="auto"/>
              <w:right w:val="single" w:sz="4" w:space="0" w:color="auto"/>
            </w:tcBorders>
            <w:shd w:val="clear" w:color="auto" w:fill="C6EFCE"/>
            <w:noWrap/>
          </w:tcPr>
          <w:p w14:paraId="762E4CD5"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943" w:type="dxa"/>
            <w:tcBorders>
              <w:top w:val="nil"/>
              <w:left w:val="single" w:sz="4" w:space="0" w:color="auto"/>
              <w:bottom w:val="single" w:sz="4" w:space="0" w:color="auto"/>
              <w:right w:val="single" w:sz="4" w:space="0" w:color="auto"/>
            </w:tcBorders>
            <w:shd w:val="clear" w:color="auto" w:fill="C6EFCE"/>
            <w:noWrap/>
          </w:tcPr>
          <w:p w14:paraId="69467DEA"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1065" w:type="dxa"/>
            <w:tcBorders>
              <w:top w:val="nil"/>
              <w:left w:val="single" w:sz="4" w:space="0" w:color="auto"/>
              <w:bottom w:val="single" w:sz="4" w:space="0" w:color="auto"/>
              <w:right w:val="single" w:sz="4" w:space="0" w:color="auto"/>
            </w:tcBorders>
            <w:shd w:val="clear" w:color="auto" w:fill="C6EFCE"/>
            <w:noWrap/>
          </w:tcPr>
          <w:p w14:paraId="505961A2"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2021</w:t>
            </w:r>
          </w:p>
        </w:tc>
        <w:tc>
          <w:tcPr>
            <w:tcW w:w="3535" w:type="dxa"/>
            <w:tcBorders>
              <w:top w:val="nil"/>
              <w:left w:val="single" w:sz="4" w:space="0" w:color="auto"/>
              <w:bottom w:val="single" w:sz="4" w:space="0" w:color="auto"/>
              <w:right w:val="single" w:sz="4" w:space="0" w:color="auto"/>
            </w:tcBorders>
            <w:shd w:val="clear" w:color="auto" w:fill="C6EFCE"/>
            <w:noWrap/>
          </w:tcPr>
          <w:p w14:paraId="100365B6"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Signature of the Contribution Agreement between the European Commission and the Romanian Government, including:</w:t>
            </w:r>
          </w:p>
          <w:p w14:paraId="6D61B32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a. Selection criteria for compliance with the “Do no significant harm” Technical Guidance (2021/C58/01) of supported transactions under this measure through the use of sustainability proofing, and an exclusion list.</w:t>
            </w:r>
          </w:p>
          <w:p w14:paraId="58220C25"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b. Criteria to ensure that the financial instrument is in line with Commission’s Guidance Note of 22 January 2021 (SWD(2021) 12 final) related to financial instruments.</w:t>
            </w:r>
          </w:p>
          <w:p w14:paraId="2D38DDC1"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Considering that the proposed instrument shall be implemented as a contribution to InvestEU (potential top-up of an existing product under the EU-Compartment), the points (a), and (b) mentioned above shall be ensured through the application of the InvestEU provisions and the selected Implementing Partner’s lending policy and exclusion criteria. Additional exclusions necessary in order to ensure compliance with the ‘Do no significant harm’ Technical Guidance (2021/C58/01) shall be specified in the guarantee agreement between the European Commission and the European Investment Fund (EIF).</w:t>
            </w:r>
          </w:p>
          <w:p w14:paraId="79A007AE"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financial instrument shall take the form of a portfolio guarantee, implemented by the EIF, and deliver finance and investments to SMEs with up to 249 employees, companies with up to 500 employees, and individuals (“beneficiaries”) through working capital, credit lines, investment loans, or leasing, aimed at investments and finance for energy efficiency improvements in enterprises and the residential and buildings sector. It is expected that at least 250 beneficiaries shall be supported under the instrument. The purpose of the instrument shall be to address Romania’s current challenges in supporting investments in the energy efficiency and renewable energy sectors. The specific goals and energy efficiency ambitions of the instrument, as well as structure and eligibility criteria shall be fully aligned and correspond to the ones of the InvestEU EU-Compartment instrument, currently under development.</w:t>
            </w:r>
          </w:p>
          <w:p w14:paraId="0B53A4DC"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structure of the instrument shall enable to leverage private funds. </w:t>
            </w:r>
          </w:p>
          <w:p w14:paraId="22E84F2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Any returns to the financial instrument, including from repayments, as well as profits obtained through the use of RRF funds, less the remuneration of the fund manager and the financial intermediaries, shall be used for the same policy goals, including after 2026.</w:t>
            </w:r>
          </w:p>
        </w:tc>
      </w:tr>
      <w:tr w:rsidR="001466C3" w:rsidRPr="009F5E22" w14:paraId="124EDB20"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75D97EFF"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253</w:t>
            </w:r>
          </w:p>
        </w:tc>
        <w:tc>
          <w:tcPr>
            <w:tcW w:w="1844" w:type="dxa"/>
            <w:tcBorders>
              <w:top w:val="nil"/>
              <w:left w:val="single" w:sz="4" w:space="0" w:color="auto"/>
              <w:bottom w:val="single" w:sz="4" w:space="0" w:color="auto"/>
              <w:right w:val="single" w:sz="4" w:space="0" w:color="auto"/>
            </w:tcBorders>
            <w:shd w:val="clear" w:color="auto" w:fill="C6EFCE"/>
            <w:noWrap/>
          </w:tcPr>
          <w:p w14:paraId="33E9F32D"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Investment 2.3 Financial instruments for the private sector - Recovery Venture Capital Fund </w:t>
            </w:r>
          </w:p>
        </w:tc>
        <w:tc>
          <w:tcPr>
            <w:tcW w:w="1089" w:type="dxa"/>
            <w:tcBorders>
              <w:top w:val="nil"/>
              <w:left w:val="single" w:sz="4" w:space="0" w:color="auto"/>
              <w:bottom w:val="single" w:sz="4" w:space="0" w:color="auto"/>
              <w:right w:val="single" w:sz="4" w:space="0" w:color="auto"/>
            </w:tcBorders>
            <w:shd w:val="clear" w:color="auto" w:fill="C6EFCE"/>
            <w:noWrap/>
          </w:tcPr>
          <w:p w14:paraId="3122C69D"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96" w:type="dxa"/>
            <w:tcBorders>
              <w:top w:val="nil"/>
              <w:left w:val="single" w:sz="4" w:space="0" w:color="auto"/>
              <w:bottom w:val="single" w:sz="4" w:space="0" w:color="auto"/>
              <w:right w:val="single" w:sz="4" w:space="0" w:color="auto"/>
            </w:tcBorders>
            <w:shd w:val="clear" w:color="auto" w:fill="C6EFCE"/>
            <w:noWrap/>
          </w:tcPr>
          <w:p w14:paraId="1E2A3088"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Signature of the financing agreement between the European Investment Fund and the Romanian Government for the creation of the Recovery Risk Capital Fund (“the Fund”) and adoption of the investment policy of the Fund. </w:t>
            </w:r>
          </w:p>
        </w:tc>
        <w:tc>
          <w:tcPr>
            <w:tcW w:w="1766" w:type="dxa"/>
            <w:tcBorders>
              <w:top w:val="nil"/>
              <w:left w:val="single" w:sz="4" w:space="0" w:color="auto"/>
              <w:bottom w:val="single" w:sz="4" w:space="0" w:color="auto"/>
              <w:right w:val="single" w:sz="4" w:space="0" w:color="auto"/>
            </w:tcBorders>
            <w:shd w:val="clear" w:color="auto" w:fill="C6EFCE"/>
            <w:noWrap/>
          </w:tcPr>
          <w:p w14:paraId="53948D6C"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Agreement signed</w:t>
            </w:r>
          </w:p>
        </w:tc>
        <w:tc>
          <w:tcPr>
            <w:tcW w:w="1558" w:type="dxa"/>
            <w:tcBorders>
              <w:top w:val="nil"/>
              <w:left w:val="single" w:sz="4" w:space="0" w:color="auto"/>
              <w:bottom w:val="single" w:sz="4" w:space="0" w:color="auto"/>
              <w:right w:val="single" w:sz="4" w:space="0" w:color="auto"/>
            </w:tcBorders>
            <w:shd w:val="clear" w:color="auto" w:fill="C6EFCE"/>
            <w:noWrap/>
          </w:tcPr>
          <w:p w14:paraId="05025509"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4584E3DB"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858" w:type="dxa"/>
            <w:tcBorders>
              <w:top w:val="nil"/>
              <w:left w:val="single" w:sz="4" w:space="0" w:color="auto"/>
              <w:bottom w:val="single" w:sz="4" w:space="0" w:color="auto"/>
              <w:right w:val="single" w:sz="4" w:space="0" w:color="auto"/>
            </w:tcBorders>
            <w:shd w:val="clear" w:color="auto" w:fill="C6EFCE"/>
            <w:noWrap/>
          </w:tcPr>
          <w:p w14:paraId="16261B22"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943" w:type="dxa"/>
            <w:tcBorders>
              <w:top w:val="nil"/>
              <w:left w:val="single" w:sz="4" w:space="0" w:color="auto"/>
              <w:bottom w:val="single" w:sz="4" w:space="0" w:color="auto"/>
              <w:right w:val="single" w:sz="4" w:space="0" w:color="auto"/>
            </w:tcBorders>
            <w:shd w:val="clear" w:color="auto" w:fill="C6EFCE"/>
            <w:noWrap/>
          </w:tcPr>
          <w:p w14:paraId="4EEBA145"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1065" w:type="dxa"/>
            <w:tcBorders>
              <w:top w:val="nil"/>
              <w:left w:val="single" w:sz="4" w:space="0" w:color="auto"/>
              <w:bottom w:val="single" w:sz="4" w:space="0" w:color="auto"/>
              <w:right w:val="single" w:sz="4" w:space="0" w:color="auto"/>
            </w:tcBorders>
            <w:shd w:val="clear" w:color="auto" w:fill="C6EFCE"/>
            <w:noWrap/>
          </w:tcPr>
          <w:p w14:paraId="4096BD91"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2021</w:t>
            </w:r>
          </w:p>
        </w:tc>
        <w:tc>
          <w:tcPr>
            <w:tcW w:w="3535" w:type="dxa"/>
            <w:tcBorders>
              <w:top w:val="nil"/>
              <w:left w:val="single" w:sz="4" w:space="0" w:color="auto"/>
              <w:bottom w:val="single" w:sz="4" w:space="0" w:color="auto"/>
              <w:right w:val="single" w:sz="4" w:space="0" w:color="auto"/>
            </w:tcBorders>
            <w:shd w:val="clear" w:color="auto" w:fill="C6EFCE"/>
            <w:noWrap/>
          </w:tcPr>
          <w:p w14:paraId="71F333EC"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Signature of the financing agreement between the European Investment Fund and the Romanian Government, and adoption of the investment policy of the Fund. The latter shall:</w:t>
            </w:r>
          </w:p>
          <w:p w14:paraId="1A1BD32E"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be adopted by the governing bodies of the financial instrument;</w:t>
            </w:r>
          </w:p>
          <w:p w14:paraId="38815BA9"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be in line with Commission’s Guidance Note of 22 January 2021 (SWD(2021) 12 final) related to financial instruments;</w:t>
            </w:r>
          </w:p>
          <w:p w14:paraId="55A634F7"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include selection criteria to ensure compliance with the “Do no significant harm” Technical Guidance (2021/C58/01) of supported transactions under this measure through the use of sustainability proofing, an exclusion list, the requirement of compliance with the relevant EU and national environmental legislation;</w:t>
            </w:r>
          </w:p>
          <w:p w14:paraId="644AC803"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include the requirement for beneficiaries that derived more than 50% of their revenues during the preceding financial year from activities or assets in the exclusion list to adopt and publish green transition plans.</w:t>
            </w:r>
          </w:p>
          <w:p w14:paraId="23E80497"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Fund shall provide financial instruments (equity) support for SMEs, mid-caps, including start-ups, companies in early and advanced growth stages, and infrastructure projects focused on renewable energy and energy efficiency. The support shall be delivered through venture capital funds and infrastructure funds. The targeted number of beneficiaries shall be 100.</w:t>
            </w:r>
          </w:p>
          <w:p w14:paraId="1704E51B"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management of the Fund shall be entrusted to the European Investment Fund (EIF). An Investment Committee shall be established, and be responsible for approving operations with intermediaries as proposed by the fund manager (EIF) based on market needs and in an open and market-conform way. Management fees of EIF shall include a performance element. </w:t>
            </w:r>
          </w:p>
          <w:p w14:paraId="31D604E4"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structure of the Fund shall enable to leverage private funds. </w:t>
            </w:r>
          </w:p>
          <w:p w14:paraId="7A866EA0"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Any returns to the Fund or financial instruments, including from repayments, as well as profits obtained through the use of RRF funds, less the remuneration of the fund manager and the financial intermediaries, shall be used for the same policy goals, including after 2026.</w:t>
            </w:r>
          </w:p>
        </w:tc>
      </w:tr>
      <w:tr w:rsidR="001466C3" w:rsidRPr="009F5E22" w14:paraId="2823634C"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76391CC9"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255</w:t>
            </w:r>
          </w:p>
        </w:tc>
        <w:tc>
          <w:tcPr>
            <w:tcW w:w="1844" w:type="dxa"/>
            <w:tcBorders>
              <w:top w:val="nil"/>
              <w:left w:val="single" w:sz="4" w:space="0" w:color="auto"/>
              <w:bottom w:val="single" w:sz="4" w:space="0" w:color="auto"/>
              <w:right w:val="single" w:sz="4" w:space="0" w:color="auto"/>
            </w:tcBorders>
            <w:shd w:val="clear" w:color="auto" w:fill="C6EFCE"/>
            <w:noWrap/>
          </w:tcPr>
          <w:p w14:paraId="081233C6"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Investment 2.3 Financial instruments for the private sector - Recovery Venture Capital Fund </w:t>
            </w:r>
          </w:p>
        </w:tc>
        <w:tc>
          <w:tcPr>
            <w:tcW w:w="1089" w:type="dxa"/>
            <w:tcBorders>
              <w:top w:val="nil"/>
              <w:left w:val="single" w:sz="4" w:space="0" w:color="auto"/>
              <w:bottom w:val="single" w:sz="4" w:space="0" w:color="auto"/>
              <w:right w:val="single" w:sz="4" w:space="0" w:color="auto"/>
            </w:tcBorders>
            <w:shd w:val="clear" w:color="auto" w:fill="C6EFCE"/>
            <w:noWrap/>
          </w:tcPr>
          <w:p w14:paraId="3D58E402"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96" w:type="dxa"/>
            <w:tcBorders>
              <w:top w:val="nil"/>
              <w:left w:val="single" w:sz="4" w:space="0" w:color="auto"/>
              <w:bottom w:val="single" w:sz="4" w:space="0" w:color="auto"/>
              <w:right w:val="single" w:sz="4" w:space="0" w:color="auto"/>
            </w:tcBorders>
            <w:shd w:val="clear" w:color="auto" w:fill="C6EFCE"/>
            <w:noWrap/>
          </w:tcPr>
          <w:p w14:paraId="162FF998"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Finance or investment operations amounting to 100% of the total amount of finance or investment targeted approved by the Investment Committee.</w:t>
            </w:r>
          </w:p>
        </w:tc>
        <w:tc>
          <w:tcPr>
            <w:tcW w:w="1766" w:type="dxa"/>
            <w:tcBorders>
              <w:top w:val="nil"/>
              <w:left w:val="single" w:sz="4" w:space="0" w:color="auto"/>
              <w:bottom w:val="single" w:sz="4" w:space="0" w:color="auto"/>
              <w:right w:val="single" w:sz="4" w:space="0" w:color="auto"/>
            </w:tcBorders>
            <w:shd w:val="clear" w:color="auto" w:fill="C6EFCE"/>
            <w:noWrap/>
          </w:tcPr>
          <w:p w14:paraId="49870007"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The Investment Committee shall approve 100% of the total amount of finance or investment targeted</w:t>
            </w:r>
          </w:p>
        </w:tc>
        <w:tc>
          <w:tcPr>
            <w:tcW w:w="1558" w:type="dxa"/>
            <w:tcBorders>
              <w:top w:val="nil"/>
              <w:left w:val="single" w:sz="4" w:space="0" w:color="auto"/>
              <w:bottom w:val="single" w:sz="4" w:space="0" w:color="auto"/>
              <w:right w:val="single" w:sz="4" w:space="0" w:color="auto"/>
            </w:tcBorders>
            <w:shd w:val="clear" w:color="auto" w:fill="C6EFCE"/>
            <w:noWrap/>
          </w:tcPr>
          <w:p w14:paraId="5B18F524" w14:textId="77777777" w:rsidR="001466C3" w:rsidRPr="009F5E22" w:rsidRDefault="001466C3" w:rsidP="001466C3">
            <w:pPr>
              <w:spacing w:after="0" w:line="240" w:lineRule="auto"/>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Percentage (%)</w:t>
            </w:r>
          </w:p>
          <w:p w14:paraId="678155CB"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67C54647"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0</w:t>
            </w:r>
          </w:p>
        </w:tc>
        <w:tc>
          <w:tcPr>
            <w:tcW w:w="858" w:type="dxa"/>
            <w:tcBorders>
              <w:top w:val="nil"/>
              <w:left w:val="single" w:sz="4" w:space="0" w:color="auto"/>
              <w:bottom w:val="single" w:sz="4" w:space="0" w:color="auto"/>
              <w:right w:val="single" w:sz="4" w:space="0" w:color="auto"/>
            </w:tcBorders>
            <w:shd w:val="clear" w:color="auto" w:fill="C6EFCE"/>
            <w:noWrap/>
          </w:tcPr>
          <w:p w14:paraId="16260376"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100</w:t>
            </w:r>
          </w:p>
        </w:tc>
        <w:tc>
          <w:tcPr>
            <w:tcW w:w="943" w:type="dxa"/>
            <w:tcBorders>
              <w:top w:val="nil"/>
              <w:left w:val="single" w:sz="4" w:space="0" w:color="auto"/>
              <w:bottom w:val="single" w:sz="4" w:space="0" w:color="auto"/>
              <w:right w:val="single" w:sz="4" w:space="0" w:color="auto"/>
            </w:tcBorders>
            <w:shd w:val="clear" w:color="auto" w:fill="C6EFCE"/>
            <w:noWrap/>
          </w:tcPr>
          <w:p w14:paraId="4B5F8E66"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1065" w:type="dxa"/>
            <w:tcBorders>
              <w:top w:val="nil"/>
              <w:left w:val="single" w:sz="4" w:space="0" w:color="auto"/>
              <w:bottom w:val="single" w:sz="4" w:space="0" w:color="auto"/>
              <w:right w:val="single" w:sz="4" w:space="0" w:color="auto"/>
            </w:tcBorders>
            <w:shd w:val="clear" w:color="auto" w:fill="C6EFCE"/>
            <w:noWrap/>
          </w:tcPr>
          <w:p w14:paraId="2BE6B24D"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2026</w:t>
            </w:r>
          </w:p>
        </w:tc>
        <w:tc>
          <w:tcPr>
            <w:tcW w:w="3535" w:type="dxa"/>
            <w:tcBorders>
              <w:top w:val="nil"/>
              <w:left w:val="single" w:sz="4" w:space="0" w:color="auto"/>
              <w:bottom w:val="single" w:sz="4" w:space="0" w:color="auto"/>
              <w:right w:val="single" w:sz="4" w:space="0" w:color="auto"/>
            </w:tcBorders>
            <w:shd w:val="clear" w:color="auto" w:fill="C6EFCE"/>
            <w:noWrap/>
          </w:tcPr>
          <w:p w14:paraId="4C53063E"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Finance or investment operations amounting to 100% of the total amount of finance or investment targeted approved by the Investment Committee.</w:t>
            </w:r>
          </w:p>
        </w:tc>
      </w:tr>
      <w:tr w:rsidR="001466C3" w:rsidRPr="009F5E22" w14:paraId="4C24C2FA"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70A52E3A"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256</w:t>
            </w:r>
          </w:p>
        </w:tc>
        <w:tc>
          <w:tcPr>
            <w:tcW w:w="1844" w:type="dxa"/>
            <w:tcBorders>
              <w:top w:val="nil"/>
              <w:left w:val="single" w:sz="4" w:space="0" w:color="auto"/>
              <w:bottom w:val="single" w:sz="4" w:space="0" w:color="auto"/>
              <w:right w:val="single" w:sz="4" w:space="0" w:color="auto"/>
            </w:tcBorders>
            <w:shd w:val="clear" w:color="auto" w:fill="C6EFCE"/>
            <w:noWrap/>
          </w:tcPr>
          <w:p w14:paraId="0BEB5C30"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Investment 2.4 Financial instruments for the private sector - Fund for digitalisation, climate action, and other areas of interest </w:t>
            </w:r>
          </w:p>
        </w:tc>
        <w:tc>
          <w:tcPr>
            <w:tcW w:w="1089" w:type="dxa"/>
            <w:tcBorders>
              <w:top w:val="nil"/>
              <w:left w:val="single" w:sz="4" w:space="0" w:color="auto"/>
              <w:bottom w:val="single" w:sz="4" w:space="0" w:color="auto"/>
              <w:right w:val="single" w:sz="4" w:space="0" w:color="auto"/>
            </w:tcBorders>
            <w:shd w:val="clear" w:color="auto" w:fill="C6EFCE"/>
            <w:noWrap/>
          </w:tcPr>
          <w:p w14:paraId="5F3C4D51"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96" w:type="dxa"/>
            <w:tcBorders>
              <w:top w:val="nil"/>
              <w:left w:val="single" w:sz="4" w:space="0" w:color="auto"/>
              <w:bottom w:val="single" w:sz="4" w:space="0" w:color="auto"/>
              <w:right w:val="single" w:sz="4" w:space="0" w:color="auto"/>
            </w:tcBorders>
            <w:shd w:val="clear" w:color="auto" w:fill="C6EFCE"/>
            <w:noWrap/>
          </w:tcPr>
          <w:p w14:paraId="276EF8E4"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Establishment of the financial instrument (“the Fund”), and adoption of the investment policy of the Fund.</w:t>
            </w:r>
          </w:p>
        </w:tc>
        <w:tc>
          <w:tcPr>
            <w:tcW w:w="1766" w:type="dxa"/>
            <w:tcBorders>
              <w:top w:val="nil"/>
              <w:left w:val="single" w:sz="4" w:space="0" w:color="auto"/>
              <w:bottom w:val="single" w:sz="4" w:space="0" w:color="auto"/>
              <w:right w:val="single" w:sz="4" w:space="0" w:color="auto"/>
            </w:tcBorders>
            <w:shd w:val="clear" w:color="auto" w:fill="C6EFCE"/>
            <w:noWrap/>
          </w:tcPr>
          <w:p w14:paraId="674EFBD9"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5C209670"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69382206"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858" w:type="dxa"/>
            <w:tcBorders>
              <w:top w:val="nil"/>
              <w:left w:val="single" w:sz="4" w:space="0" w:color="auto"/>
              <w:bottom w:val="single" w:sz="4" w:space="0" w:color="auto"/>
              <w:right w:val="single" w:sz="4" w:space="0" w:color="auto"/>
            </w:tcBorders>
            <w:shd w:val="clear" w:color="auto" w:fill="C6EFCE"/>
            <w:noWrap/>
          </w:tcPr>
          <w:p w14:paraId="297E2A21"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943" w:type="dxa"/>
            <w:tcBorders>
              <w:top w:val="nil"/>
              <w:left w:val="single" w:sz="4" w:space="0" w:color="auto"/>
              <w:bottom w:val="single" w:sz="4" w:space="0" w:color="auto"/>
              <w:right w:val="single" w:sz="4" w:space="0" w:color="auto"/>
            </w:tcBorders>
            <w:shd w:val="clear" w:color="auto" w:fill="C6EFCE"/>
            <w:noWrap/>
          </w:tcPr>
          <w:p w14:paraId="682307AE"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Q1</w:t>
            </w:r>
          </w:p>
        </w:tc>
        <w:tc>
          <w:tcPr>
            <w:tcW w:w="1065" w:type="dxa"/>
            <w:tcBorders>
              <w:top w:val="nil"/>
              <w:left w:val="single" w:sz="4" w:space="0" w:color="auto"/>
              <w:bottom w:val="single" w:sz="4" w:space="0" w:color="auto"/>
              <w:right w:val="single" w:sz="4" w:space="0" w:color="auto"/>
            </w:tcBorders>
            <w:shd w:val="clear" w:color="auto" w:fill="C6EFCE"/>
            <w:noWrap/>
          </w:tcPr>
          <w:p w14:paraId="22EA9A4B"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tc>
        <w:tc>
          <w:tcPr>
            <w:tcW w:w="3535" w:type="dxa"/>
            <w:tcBorders>
              <w:top w:val="nil"/>
              <w:left w:val="single" w:sz="4" w:space="0" w:color="auto"/>
              <w:bottom w:val="single" w:sz="4" w:space="0" w:color="auto"/>
              <w:right w:val="single" w:sz="4" w:space="0" w:color="auto"/>
            </w:tcBorders>
            <w:shd w:val="clear" w:color="auto" w:fill="C6EFCE"/>
            <w:noWrap/>
          </w:tcPr>
          <w:p w14:paraId="1D2E014C"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Signature of the financing agreement between the European Investment Bank and the Romanian Government, and adoption of the investment policy of the Fund. The latter shall:</w:t>
            </w:r>
          </w:p>
          <w:p w14:paraId="08F4701E"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be adopted by the governing bodies of the financial instrument;</w:t>
            </w:r>
          </w:p>
          <w:p w14:paraId="247DE885"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be in line with Commission’s Guidance Note of 22 January 2021 (SWD(2021) 12 final) related to financial instruments;</w:t>
            </w:r>
          </w:p>
          <w:p w14:paraId="0D4E03F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include selection criteria to ensure compliance with the ‘Do no significant harm’ Technical Guidance (2021/C58/01) of supported transactions under this measure through the use of sustainability proofing, an exclusion list, and the requirement of compliance with the relevant EU and national environmental legislation; </w:t>
            </w:r>
          </w:p>
          <w:p w14:paraId="04FA154A"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include a commitment to invest at least 33% of the funds to support the climate transition and 16% of the funds to support the digital transition, using the methodology in Annexes VI and VII of the RRF Regulation.</w:t>
            </w:r>
          </w:p>
          <w:p w14:paraId="090F581B"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Fund shall provide financial instruments (debt) support for at least 8 large companies (with more than 500 employees and/or an annual turnover exceeding EUR 50 million and an annual balance sheet total exceeding EUR 43 million), public entities and Special Purpose Vehicles, through investments contributing to the low-carbon economy, as well as investments in digitalisation and fixed assets, with the aim of encouraging a greater amount of investment contributing to climate and digital objectives by the target companies and also encouraging the growth and expansion of the companies, in turn creating new employment opportunities and supporting the wider economic recovery. The amount allocated to climate-related intervention fields, in line with annex VI of the RRF regulation, shall be EUR 33 million. The amount allocated to digitalisation-related intervention fields, in line with annex VII of the RRF Regulation, shall be EUR 16 million. The Fund may also include further climate and digitalisation related expenditure. </w:t>
            </w:r>
          </w:p>
          <w:p w14:paraId="2CB3BB55"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management of the Fund shall be entrusted to the European Investment Bank (EIB). An Investment Committee shall be established including independent experts, and be responsible for approving the grant-related components of the projects of final recipients (investees) as proposed by the fund manager (EIB) based on market needs and in an open and market-conform way. </w:t>
            </w:r>
          </w:p>
          <w:p w14:paraId="06267636"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structure of the Fund shall enable to leverage private funds. </w:t>
            </w:r>
          </w:p>
          <w:p w14:paraId="0C91B04A"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Any returns to the Fund or financial instruments, including from repayments, as well as profits obtained through the use of RRF funds, less the remuneration of the fund manager and the financial intermediaries, shall be used for the same policy goals, including after 2026.</w:t>
            </w:r>
          </w:p>
        </w:tc>
      </w:tr>
      <w:tr w:rsidR="001466C3" w:rsidRPr="009F5E22" w14:paraId="39A99721"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3958BE39"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258</w:t>
            </w:r>
          </w:p>
        </w:tc>
        <w:tc>
          <w:tcPr>
            <w:tcW w:w="1844" w:type="dxa"/>
            <w:tcBorders>
              <w:top w:val="nil"/>
              <w:left w:val="single" w:sz="4" w:space="0" w:color="auto"/>
              <w:bottom w:val="single" w:sz="4" w:space="0" w:color="auto"/>
              <w:right w:val="single" w:sz="4" w:space="0" w:color="auto"/>
            </w:tcBorders>
            <w:shd w:val="clear" w:color="auto" w:fill="C6EFCE"/>
            <w:noWrap/>
          </w:tcPr>
          <w:p w14:paraId="1C865C89"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Investment 2.4 Financial instruments for the private sector - Fund for digitalisation, climate action, and other areas of interest</w:t>
            </w:r>
          </w:p>
        </w:tc>
        <w:tc>
          <w:tcPr>
            <w:tcW w:w="1089" w:type="dxa"/>
            <w:tcBorders>
              <w:top w:val="nil"/>
              <w:left w:val="single" w:sz="4" w:space="0" w:color="auto"/>
              <w:bottom w:val="single" w:sz="4" w:space="0" w:color="auto"/>
              <w:right w:val="single" w:sz="4" w:space="0" w:color="auto"/>
            </w:tcBorders>
            <w:shd w:val="clear" w:color="auto" w:fill="C6EFCE"/>
            <w:noWrap/>
          </w:tcPr>
          <w:p w14:paraId="6998C6B7"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96" w:type="dxa"/>
            <w:tcBorders>
              <w:top w:val="nil"/>
              <w:left w:val="single" w:sz="4" w:space="0" w:color="auto"/>
              <w:bottom w:val="single" w:sz="4" w:space="0" w:color="auto"/>
              <w:right w:val="single" w:sz="4" w:space="0" w:color="auto"/>
            </w:tcBorders>
            <w:shd w:val="clear" w:color="auto" w:fill="C6EFCE"/>
            <w:noWrap/>
          </w:tcPr>
          <w:p w14:paraId="250C373E"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100% of the targeted beneficiaries supported.</w:t>
            </w:r>
          </w:p>
        </w:tc>
        <w:tc>
          <w:tcPr>
            <w:tcW w:w="1766" w:type="dxa"/>
            <w:tcBorders>
              <w:top w:val="nil"/>
              <w:left w:val="single" w:sz="4" w:space="0" w:color="auto"/>
              <w:bottom w:val="single" w:sz="4" w:space="0" w:color="auto"/>
              <w:right w:val="single" w:sz="4" w:space="0" w:color="auto"/>
            </w:tcBorders>
            <w:shd w:val="clear" w:color="auto" w:fill="C6EFCE"/>
            <w:noWrap/>
          </w:tcPr>
          <w:p w14:paraId="60B01A6A"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5EF24CFE" w14:textId="77777777" w:rsidR="001466C3" w:rsidRPr="009F5E22" w:rsidRDefault="001466C3" w:rsidP="001466C3">
            <w:pPr>
              <w:spacing w:after="0" w:line="240" w:lineRule="auto"/>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Percentage (%)</w:t>
            </w:r>
          </w:p>
          <w:p w14:paraId="1080891D"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2E18D309"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0</w:t>
            </w:r>
          </w:p>
        </w:tc>
        <w:tc>
          <w:tcPr>
            <w:tcW w:w="858" w:type="dxa"/>
            <w:tcBorders>
              <w:top w:val="nil"/>
              <w:left w:val="single" w:sz="4" w:space="0" w:color="auto"/>
              <w:bottom w:val="single" w:sz="4" w:space="0" w:color="auto"/>
              <w:right w:val="single" w:sz="4" w:space="0" w:color="auto"/>
            </w:tcBorders>
            <w:shd w:val="clear" w:color="auto" w:fill="C6EFCE"/>
            <w:noWrap/>
          </w:tcPr>
          <w:p w14:paraId="0964CE46"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100</w:t>
            </w:r>
          </w:p>
        </w:tc>
        <w:tc>
          <w:tcPr>
            <w:tcW w:w="943" w:type="dxa"/>
            <w:tcBorders>
              <w:top w:val="nil"/>
              <w:left w:val="single" w:sz="4" w:space="0" w:color="auto"/>
              <w:bottom w:val="single" w:sz="4" w:space="0" w:color="auto"/>
              <w:right w:val="single" w:sz="4" w:space="0" w:color="auto"/>
            </w:tcBorders>
            <w:shd w:val="clear" w:color="auto" w:fill="C6EFCE"/>
            <w:noWrap/>
          </w:tcPr>
          <w:p w14:paraId="7B4A0A46"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1065" w:type="dxa"/>
            <w:tcBorders>
              <w:top w:val="nil"/>
              <w:left w:val="single" w:sz="4" w:space="0" w:color="auto"/>
              <w:bottom w:val="single" w:sz="4" w:space="0" w:color="auto"/>
              <w:right w:val="single" w:sz="4" w:space="0" w:color="auto"/>
            </w:tcBorders>
            <w:shd w:val="clear" w:color="auto" w:fill="C6EFCE"/>
            <w:noWrap/>
          </w:tcPr>
          <w:p w14:paraId="62791E22"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2026</w:t>
            </w:r>
          </w:p>
        </w:tc>
        <w:tc>
          <w:tcPr>
            <w:tcW w:w="3535" w:type="dxa"/>
            <w:tcBorders>
              <w:top w:val="nil"/>
              <w:left w:val="single" w:sz="4" w:space="0" w:color="auto"/>
              <w:bottom w:val="single" w:sz="4" w:space="0" w:color="auto"/>
              <w:right w:val="single" w:sz="4" w:space="0" w:color="auto"/>
            </w:tcBorders>
            <w:shd w:val="clear" w:color="auto" w:fill="C6EFCE"/>
            <w:noWrap/>
          </w:tcPr>
          <w:p w14:paraId="5B85DE2F"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100% of the targeted beneficiaries supported.</w:t>
            </w:r>
          </w:p>
        </w:tc>
      </w:tr>
      <w:tr w:rsidR="001466C3" w:rsidRPr="009F5E22" w14:paraId="11C1A8CD"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3A178F9A"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259</w:t>
            </w:r>
          </w:p>
        </w:tc>
        <w:tc>
          <w:tcPr>
            <w:tcW w:w="1844" w:type="dxa"/>
            <w:tcBorders>
              <w:top w:val="nil"/>
              <w:left w:val="single" w:sz="4" w:space="0" w:color="auto"/>
              <w:bottom w:val="single" w:sz="4" w:space="0" w:color="auto"/>
              <w:right w:val="single" w:sz="4" w:space="0" w:color="auto"/>
            </w:tcBorders>
            <w:shd w:val="clear" w:color="auto" w:fill="C6EFCE"/>
            <w:noWrap/>
          </w:tcPr>
          <w:p w14:paraId="34ECCCC8"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Investment 2.5 Financial instruments for the private sector - Energy efficiency investment in the residential and buildings sector</w:t>
            </w:r>
            <w:r w:rsidRPr="009F5E22">
              <w:rPr>
                <w:rFonts w:ascii="Times New Roman" w:hAnsi="Times New Roman" w:cs="Times New Roman"/>
                <w:i/>
                <w:strike/>
                <w:noProof/>
                <w:sz w:val="20"/>
                <w:szCs w:val="20"/>
              </w:rPr>
              <w:t xml:space="preserve"> </w:t>
            </w:r>
          </w:p>
        </w:tc>
        <w:tc>
          <w:tcPr>
            <w:tcW w:w="1089" w:type="dxa"/>
            <w:tcBorders>
              <w:top w:val="nil"/>
              <w:left w:val="single" w:sz="4" w:space="0" w:color="auto"/>
              <w:bottom w:val="single" w:sz="4" w:space="0" w:color="auto"/>
              <w:right w:val="single" w:sz="4" w:space="0" w:color="auto"/>
            </w:tcBorders>
            <w:shd w:val="clear" w:color="auto" w:fill="C6EFCE"/>
            <w:noWrap/>
          </w:tcPr>
          <w:p w14:paraId="7B78D338"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96" w:type="dxa"/>
            <w:tcBorders>
              <w:top w:val="nil"/>
              <w:left w:val="single" w:sz="4" w:space="0" w:color="auto"/>
              <w:bottom w:val="single" w:sz="4" w:space="0" w:color="auto"/>
              <w:right w:val="single" w:sz="4" w:space="0" w:color="auto"/>
            </w:tcBorders>
            <w:shd w:val="clear" w:color="auto" w:fill="C6EFCE"/>
            <w:noWrap/>
          </w:tcPr>
          <w:p w14:paraId="654BFEE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Signature of the contribution agreement between the European Commission and the Romanian Government.</w:t>
            </w:r>
          </w:p>
        </w:tc>
        <w:tc>
          <w:tcPr>
            <w:tcW w:w="1766" w:type="dxa"/>
            <w:tcBorders>
              <w:top w:val="nil"/>
              <w:left w:val="single" w:sz="4" w:space="0" w:color="auto"/>
              <w:bottom w:val="single" w:sz="4" w:space="0" w:color="auto"/>
              <w:right w:val="single" w:sz="4" w:space="0" w:color="auto"/>
            </w:tcBorders>
            <w:shd w:val="clear" w:color="auto" w:fill="C6EFCE"/>
            <w:noWrap/>
          </w:tcPr>
          <w:p w14:paraId="2F7E018A"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100DD205"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7D3EB6D8"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858" w:type="dxa"/>
            <w:tcBorders>
              <w:top w:val="nil"/>
              <w:left w:val="single" w:sz="4" w:space="0" w:color="auto"/>
              <w:bottom w:val="single" w:sz="4" w:space="0" w:color="auto"/>
              <w:right w:val="single" w:sz="4" w:space="0" w:color="auto"/>
            </w:tcBorders>
            <w:shd w:val="clear" w:color="auto" w:fill="C6EFCE"/>
            <w:noWrap/>
          </w:tcPr>
          <w:p w14:paraId="69F9830A"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943" w:type="dxa"/>
            <w:tcBorders>
              <w:top w:val="nil"/>
              <w:left w:val="single" w:sz="4" w:space="0" w:color="auto"/>
              <w:bottom w:val="single" w:sz="4" w:space="0" w:color="auto"/>
              <w:right w:val="single" w:sz="4" w:space="0" w:color="auto"/>
            </w:tcBorders>
            <w:shd w:val="clear" w:color="auto" w:fill="C6EFCE"/>
            <w:noWrap/>
          </w:tcPr>
          <w:p w14:paraId="2424F92A"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1065" w:type="dxa"/>
            <w:tcBorders>
              <w:top w:val="nil"/>
              <w:left w:val="single" w:sz="4" w:space="0" w:color="auto"/>
              <w:bottom w:val="single" w:sz="4" w:space="0" w:color="auto"/>
              <w:right w:val="single" w:sz="4" w:space="0" w:color="auto"/>
            </w:tcBorders>
            <w:shd w:val="clear" w:color="auto" w:fill="C6EFCE"/>
            <w:noWrap/>
          </w:tcPr>
          <w:p w14:paraId="397794A1"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2021</w:t>
            </w:r>
          </w:p>
        </w:tc>
        <w:tc>
          <w:tcPr>
            <w:tcW w:w="3535" w:type="dxa"/>
            <w:tcBorders>
              <w:top w:val="nil"/>
              <w:left w:val="single" w:sz="4" w:space="0" w:color="auto"/>
              <w:bottom w:val="single" w:sz="4" w:space="0" w:color="auto"/>
              <w:right w:val="single" w:sz="4" w:space="0" w:color="auto"/>
            </w:tcBorders>
            <w:shd w:val="clear" w:color="auto" w:fill="C6EFCE"/>
            <w:noWrap/>
          </w:tcPr>
          <w:p w14:paraId="3B8DAC3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Signature of the Contribution Agreement between the European Commission and the Romanian Government, including:</w:t>
            </w:r>
          </w:p>
          <w:p w14:paraId="4513CD7C" w14:textId="77777777" w:rsidR="001466C3" w:rsidRPr="009F5E22" w:rsidRDefault="001466C3" w:rsidP="001466C3">
            <w:pPr>
              <w:numPr>
                <w:ilvl w:val="0"/>
                <w:numId w:val="102"/>
              </w:numPr>
              <w:spacing w:after="0" w:line="240" w:lineRule="auto"/>
              <w:ind w:hanging="414"/>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Selection criteria for compliance with the “Do no significant harm” Technical Guidance (2021/C58/01) of supported transaction under this measure through the use of sustainability proofing, and an exclusion list.</w:t>
            </w:r>
          </w:p>
          <w:p w14:paraId="23BEE74A" w14:textId="77777777" w:rsidR="001466C3" w:rsidRPr="009F5E22" w:rsidRDefault="001466C3" w:rsidP="001466C3">
            <w:pPr>
              <w:numPr>
                <w:ilvl w:val="0"/>
                <w:numId w:val="102"/>
              </w:numPr>
              <w:spacing w:after="0" w:line="240" w:lineRule="auto"/>
              <w:ind w:hanging="414"/>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Criteria to ensure that the financial instrument is in line with Commission’s Guidance Note of 22 January 2021 (SWD(2021) 12 final) related to financial instruments.</w:t>
            </w:r>
          </w:p>
          <w:p w14:paraId="6DBBC22B" w14:textId="77777777" w:rsidR="001466C3" w:rsidRPr="009F5E22" w:rsidRDefault="001466C3" w:rsidP="001466C3">
            <w:pPr>
              <w:numPr>
                <w:ilvl w:val="0"/>
                <w:numId w:val="102"/>
              </w:numPr>
              <w:spacing w:after="0" w:line="240" w:lineRule="auto"/>
              <w:ind w:hanging="414"/>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Considering that the proposed instrument shall be implemented as a contribution to InvestEU, the points (a), and (b) mentioned above shall be ensured through the application of the InvestEU provisions and the selected Implementing Partner’s lending policy and exclusion criteria. Additional exclusions necessary in order to ensure compliance with the ‘Do no significant harm’ Technical Guidance (2021/C58/01) shall be specified in the guarantee agreement between the European Commission and the European Bank for Reconstruction and Development (EBRD). </w:t>
            </w:r>
          </w:p>
          <w:p w14:paraId="5714E5FA"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financial instrument shall take the form of a portfolio guarantee, implemented by the European Bank for Reconstruction and Development (EBRD), and deliver finance and investments for energy efficiency and renewable energy in the residential and buildings sector,</w:t>
            </w:r>
            <w:r w:rsidRPr="009F5E22">
              <w:rPr>
                <w:rFonts w:ascii="Times New Roman" w:hAnsi="Times New Roman" w:cs="Times New Roman"/>
                <w:noProof/>
                <w:sz w:val="20"/>
                <w:szCs w:val="20"/>
              </w:rPr>
              <w:t xml:space="preserve"> </w:t>
            </w:r>
            <w:r w:rsidRPr="009F5E22">
              <w:rPr>
                <w:rFonts w:ascii="Times New Roman" w:hAnsi="Times New Roman" w:cs="Times New Roman"/>
                <w:noProof/>
                <w:sz w:val="20"/>
                <w:szCs w:val="20"/>
                <w:lang w:val="en-GB"/>
              </w:rPr>
              <w:t>to SMEs with (up to 249 employees), companies with up to 500 employees, and individuals (“beneficiaries”). The guarantee agreement may also provide for the financing of sustainable transport and biodiversity/natutre based solutions/green infrastructure, as well as other categories of beneficiaries. It is expected that at least 100 beneficiaries shall be supported under the instrument.</w:t>
            </w:r>
          </w:p>
          <w:p w14:paraId="57C7997C"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structure of the instrument shall enable to leverage private funds. </w:t>
            </w:r>
          </w:p>
          <w:p w14:paraId="1F5818F1"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Any returns to the financial instrument, including from repayments, as well as profits obtained through the use of RRF funds, less the remuneration of the fund manager and the financial intermediaries, shall be used for the same policy goals, including after 2026.</w:t>
            </w:r>
          </w:p>
        </w:tc>
      </w:tr>
      <w:tr w:rsidR="001466C3" w:rsidRPr="009F5E22" w14:paraId="71E92E4F"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4D756C61"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261</w:t>
            </w:r>
          </w:p>
        </w:tc>
        <w:tc>
          <w:tcPr>
            <w:tcW w:w="1844" w:type="dxa"/>
            <w:tcBorders>
              <w:top w:val="nil"/>
              <w:left w:val="single" w:sz="4" w:space="0" w:color="auto"/>
              <w:bottom w:val="single" w:sz="4" w:space="0" w:color="auto"/>
              <w:right w:val="single" w:sz="4" w:space="0" w:color="auto"/>
            </w:tcBorders>
            <w:shd w:val="clear" w:color="auto" w:fill="C6EFCE"/>
            <w:noWrap/>
          </w:tcPr>
          <w:p w14:paraId="2CCBB003"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Investment 2.5 Financial instruments for the private sector - Energy efficiency investment in the residential and buildings sector </w:t>
            </w:r>
          </w:p>
        </w:tc>
        <w:tc>
          <w:tcPr>
            <w:tcW w:w="1089" w:type="dxa"/>
            <w:tcBorders>
              <w:top w:val="nil"/>
              <w:left w:val="single" w:sz="4" w:space="0" w:color="auto"/>
              <w:bottom w:val="single" w:sz="4" w:space="0" w:color="auto"/>
              <w:right w:val="single" w:sz="4" w:space="0" w:color="auto"/>
            </w:tcBorders>
            <w:shd w:val="clear" w:color="auto" w:fill="C6EFCE"/>
            <w:noWrap/>
          </w:tcPr>
          <w:p w14:paraId="1D2C36B6"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96" w:type="dxa"/>
            <w:tcBorders>
              <w:top w:val="nil"/>
              <w:left w:val="single" w:sz="4" w:space="0" w:color="auto"/>
              <w:bottom w:val="single" w:sz="4" w:space="0" w:color="auto"/>
              <w:right w:val="single" w:sz="4" w:space="0" w:color="auto"/>
            </w:tcBorders>
            <w:shd w:val="clear" w:color="auto" w:fill="C6EFCE"/>
            <w:noWrap/>
          </w:tcPr>
          <w:p w14:paraId="443BB2DE"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Finance or investment operations amounting to 100% of the total amount of finance or investment targeted, approved by the InvestEU Investment Committee.</w:t>
            </w:r>
          </w:p>
        </w:tc>
        <w:tc>
          <w:tcPr>
            <w:tcW w:w="1766" w:type="dxa"/>
            <w:tcBorders>
              <w:top w:val="nil"/>
              <w:left w:val="single" w:sz="4" w:space="0" w:color="auto"/>
              <w:bottom w:val="single" w:sz="4" w:space="0" w:color="auto"/>
              <w:right w:val="single" w:sz="4" w:space="0" w:color="auto"/>
            </w:tcBorders>
            <w:shd w:val="clear" w:color="auto" w:fill="C6EFCE"/>
            <w:noWrap/>
          </w:tcPr>
          <w:p w14:paraId="4149C4D1"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46105B6B" w14:textId="77777777" w:rsidR="001466C3" w:rsidRPr="009F5E22" w:rsidRDefault="001466C3" w:rsidP="001466C3">
            <w:pPr>
              <w:spacing w:after="0" w:line="240" w:lineRule="auto"/>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Percentage (%)</w:t>
            </w:r>
          </w:p>
          <w:p w14:paraId="7C8FFB5F"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3AAB741B"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0</w:t>
            </w:r>
          </w:p>
        </w:tc>
        <w:tc>
          <w:tcPr>
            <w:tcW w:w="858" w:type="dxa"/>
            <w:tcBorders>
              <w:top w:val="nil"/>
              <w:left w:val="single" w:sz="4" w:space="0" w:color="auto"/>
              <w:bottom w:val="single" w:sz="4" w:space="0" w:color="auto"/>
              <w:right w:val="single" w:sz="4" w:space="0" w:color="auto"/>
            </w:tcBorders>
            <w:shd w:val="clear" w:color="auto" w:fill="C6EFCE"/>
            <w:noWrap/>
          </w:tcPr>
          <w:p w14:paraId="5E920EBE"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100</w:t>
            </w:r>
          </w:p>
        </w:tc>
        <w:tc>
          <w:tcPr>
            <w:tcW w:w="943" w:type="dxa"/>
            <w:tcBorders>
              <w:top w:val="nil"/>
              <w:left w:val="single" w:sz="4" w:space="0" w:color="auto"/>
              <w:bottom w:val="single" w:sz="4" w:space="0" w:color="auto"/>
              <w:right w:val="single" w:sz="4" w:space="0" w:color="auto"/>
            </w:tcBorders>
            <w:shd w:val="clear" w:color="auto" w:fill="C6EFCE"/>
            <w:noWrap/>
          </w:tcPr>
          <w:p w14:paraId="244C6E2F"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1065" w:type="dxa"/>
            <w:tcBorders>
              <w:top w:val="nil"/>
              <w:left w:val="single" w:sz="4" w:space="0" w:color="auto"/>
              <w:bottom w:val="single" w:sz="4" w:space="0" w:color="auto"/>
              <w:right w:val="single" w:sz="4" w:space="0" w:color="auto"/>
            </w:tcBorders>
            <w:shd w:val="clear" w:color="auto" w:fill="C6EFCE"/>
            <w:noWrap/>
          </w:tcPr>
          <w:p w14:paraId="232BCEC7"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2024</w:t>
            </w:r>
          </w:p>
        </w:tc>
        <w:tc>
          <w:tcPr>
            <w:tcW w:w="3535" w:type="dxa"/>
            <w:tcBorders>
              <w:top w:val="nil"/>
              <w:left w:val="single" w:sz="4" w:space="0" w:color="auto"/>
              <w:bottom w:val="single" w:sz="4" w:space="0" w:color="auto"/>
              <w:right w:val="single" w:sz="4" w:space="0" w:color="auto"/>
            </w:tcBorders>
            <w:shd w:val="clear" w:color="auto" w:fill="C6EFCE"/>
            <w:noWrap/>
          </w:tcPr>
          <w:p w14:paraId="62A869A1"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Financing or investment operations amounting to 100% of the total amount of investment targeted shall have been approved by the InvestEU Investment Committee.</w:t>
            </w:r>
          </w:p>
        </w:tc>
      </w:tr>
      <w:tr w:rsidR="001466C3" w:rsidRPr="009F5E22" w14:paraId="4A1E3A68"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19A29153"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262</w:t>
            </w:r>
          </w:p>
        </w:tc>
        <w:tc>
          <w:tcPr>
            <w:tcW w:w="1844" w:type="dxa"/>
            <w:tcBorders>
              <w:top w:val="nil"/>
              <w:left w:val="single" w:sz="4" w:space="0" w:color="auto"/>
              <w:bottom w:val="single" w:sz="4" w:space="0" w:color="auto"/>
              <w:right w:val="single" w:sz="4" w:space="0" w:color="auto"/>
            </w:tcBorders>
            <w:shd w:val="clear" w:color="auto" w:fill="C6EFCE"/>
            <w:noWrap/>
          </w:tcPr>
          <w:p w14:paraId="0CADE41D" w14:textId="39749D50"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Investment 3.1.</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Private sector aid schemes – Aid scheme for the digitalisation of SMEs</w:t>
            </w:r>
          </w:p>
        </w:tc>
        <w:tc>
          <w:tcPr>
            <w:tcW w:w="1089" w:type="dxa"/>
            <w:tcBorders>
              <w:top w:val="nil"/>
              <w:left w:val="single" w:sz="4" w:space="0" w:color="auto"/>
              <w:bottom w:val="single" w:sz="4" w:space="0" w:color="auto"/>
              <w:right w:val="single" w:sz="4" w:space="0" w:color="auto"/>
            </w:tcBorders>
            <w:shd w:val="clear" w:color="auto" w:fill="C6EFCE"/>
            <w:noWrap/>
          </w:tcPr>
          <w:p w14:paraId="0614E08A"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96" w:type="dxa"/>
            <w:tcBorders>
              <w:top w:val="nil"/>
              <w:left w:val="single" w:sz="4" w:space="0" w:color="auto"/>
              <w:bottom w:val="single" w:sz="4" w:space="0" w:color="auto"/>
              <w:right w:val="single" w:sz="4" w:space="0" w:color="auto"/>
            </w:tcBorders>
            <w:shd w:val="clear" w:color="auto" w:fill="C6EFCE"/>
            <w:noWrap/>
          </w:tcPr>
          <w:p w14:paraId="69F6C3DB"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Selection of the scheme administrator. </w:t>
            </w:r>
          </w:p>
        </w:tc>
        <w:tc>
          <w:tcPr>
            <w:tcW w:w="1766" w:type="dxa"/>
            <w:tcBorders>
              <w:top w:val="nil"/>
              <w:left w:val="single" w:sz="4" w:space="0" w:color="auto"/>
              <w:bottom w:val="single" w:sz="4" w:space="0" w:color="auto"/>
              <w:right w:val="single" w:sz="4" w:space="0" w:color="auto"/>
            </w:tcBorders>
            <w:shd w:val="clear" w:color="auto" w:fill="C6EFCE"/>
            <w:noWrap/>
          </w:tcPr>
          <w:p w14:paraId="3AC48B77"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Communication of selection</w:t>
            </w:r>
          </w:p>
        </w:tc>
        <w:tc>
          <w:tcPr>
            <w:tcW w:w="1558" w:type="dxa"/>
            <w:tcBorders>
              <w:top w:val="nil"/>
              <w:left w:val="single" w:sz="4" w:space="0" w:color="auto"/>
              <w:bottom w:val="single" w:sz="4" w:space="0" w:color="auto"/>
              <w:right w:val="single" w:sz="4" w:space="0" w:color="auto"/>
            </w:tcBorders>
            <w:shd w:val="clear" w:color="auto" w:fill="C6EFCE"/>
            <w:noWrap/>
          </w:tcPr>
          <w:p w14:paraId="21272515"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1116" w:type="dxa"/>
            <w:tcBorders>
              <w:top w:val="nil"/>
              <w:left w:val="single" w:sz="4" w:space="0" w:color="auto"/>
              <w:bottom w:val="single" w:sz="4" w:space="0" w:color="auto"/>
              <w:right w:val="single" w:sz="4" w:space="0" w:color="auto"/>
            </w:tcBorders>
            <w:shd w:val="clear" w:color="auto" w:fill="C6EFCE"/>
            <w:noWrap/>
          </w:tcPr>
          <w:p w14:paraId="75C649BA"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858" w:type="dxa"/>
            <w:tcBorders>
              <w:top w:val="nil"/>
              <w:left w:val="single" w:sz="4" w:space="0" w:color="auto"/>
              <w:bottom w:val="single" w:sz="4" w:space="0" w:color="auto"/>
              <w:right w:val="single" w:sz="4" w:space="0" w:color="auto"/>
            </w:tcBorders>
            <w:shd w:val="clear" w:color="auto" w:fill="C6EFCE"/>
            <w:noWrap/>
          </w:tcPr>
          <w:p w14:paraId="53076020"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943" w:type="dxa"/>
            <w:tcBorders>
              <w:top w:val="nil"/>
              <w:left w:val="single" w:sz="4" w:space="0" w:color="auto"/>
              <w:bottom w:val="single" w:sz="4" w:space="0" w:color="auto"/>
              <w:right w:val="single" w:sz="4" w:space="0" w:color="auto"/>
            </w:tcBorders>
            <w:shd w:val="clear" w:color="auto" w:fill="C6EFCE"/>
            <w:noWrap/>
          </w:tcPr>
          <w:p w14:paraId="5CFF99B1"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Q1</w:t>
            </w:r>
          </w:p>
        </w:tc>
        <w:tc>
          <w:tcPr>
            <w:tcW w:w="1065" w:type="dxa"/>
            <w:tcBorders>
              <w:top w:val="nil"/>
              <w:left w:val="single" w:sz="4" w:space="0" w:color="auto"/>
              <w:bottom w:val="single" w:sz="4" w:space="0" w:color="auto"/>
              <w:right w:val="single" w:sz="4" w:space="0" w:color="auto"/>
            </w:tcBorders>
            <w:shd w:val="clear" w:color="auto" w:fill="C6EFCE"/>
            <w:noWrap/>
          </w:tcPr>
          <w:p w14:paraId="54B814FC"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tc>
        <w:tc>
          <w:tcPr>
            <w:tcW w:w="3535" w:type="dxa"/>
            <w:tcBorders>
              <w:top w:val="nil"/>
              <w:left w:val="single" w:sz="4" w:space="0" w:color="auto"/>
              <w:bottom w:val="single" w:sz="4" w:space="0" w:color="auto"/>
              <w:right w:val="single" w:sz="4" w:space="0" w:color="auto"/>
            </w:tcBorders>
            <w:shd w:val="clear" w:color="auto" w:fill="C6EFCE"/>
            <w:noWrap/>
          </w:tcPr>
          <w:p w14:paraId="3509E0CA"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Selection of a scheme manager who shall implement the de minimis scheme (launching the call, assessing contracting and monitoring projects).</w:t>
            </w:r>
          </w:p>
          <w:p w14:paraId="570165AC"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Project selection criteria shall ensure:</w:t>
            </w:r>
          </w:p>
          <w:p w14:paraId="6BA64B7A" w14:textId="77777777" w:rsidR="001466C3" w:rsidRPr="009F5E22" w:rsidRDefault="001466C3" w:rsidP="001466C3">
            <w:pPr>
              <w:numPr>
                <w:ilvl w:val="0"/>
                <w:numId w:val="99"/>
              </w:numPr>
              <w:spacing w:before="120" w:after="0" w:line="240" w:lineRule="auto"/>
              <w:ind w:left="299" w:hanging="218"/>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commitment to invest 100% of the funds to support the digital transition, complying with intervention fields 010, 012, 021quater and 021quinquies of Annex VII to the RRF Regulation.</w:t>
            </w:r>
          </w:p>
          <w:p w14:paraId="65AA78E9" w14:textId="77777777" w:rsidR="001466C3" w:rsidRPr="009F5E22" w:rsidRDefault="001466C3" w:rsidP="001466C3">
            <w:pPr>
              <w:numPr>
                <w:ilvl w:val="0"/>
                <w:numId w:val="99"/>
              </w:numPr>
              <w:spacing w:before="120" w:after="0" w:line="240" w:lineRule="auto"/>
              <w:ind w:left="299" w:hanging="218"/>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compliance with the ‘Do no significant harm’ Technical Guidance (2021/C58/01). When submitting the application for financing agreement, the business plan shall present any potential risks that may arise for the environment and what are the methods of addressing them. </w:t>
            </w:r>
          </w:p>
          <w:p w14:paraId="57ED6A9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Effective management and control system shall be implemented, including by taking corrective action whenever necessary, and by performing sample checks at SME level.</w:t>
            </w:r>
          </w:p>
        </w:tc>
      </w:tr>
      <w:tr w:rsidR="001466C3" w:rsidRPr="009F5E22" w14:paraId="743D3D48"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04B379AF"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264</w:t>
            </w:r>
          </w:p>
        </w:tc>
        <w:tc>
          <w:tcPr>
            <w:tcW w:w="1844" w:type="dxa"/>
            <w:tcBorders>
              <w:top w:val="nil"/>
              <w:left w:val="single" w:sz="4" w:space="0" w:color="auto"/>
              <w:bottom w:val="single" w:sz="4" w:space="0" w:color="auto"/>
              <w:right w:val="single" w:sz="4" w:space="0" w:color="auto"/>
            </w:tcBorders>
            <w:shd w:val="clear" w:color="auto" w:fill="C6EFCE"/>
            <w:noWrap/>
          </w:tcPr>
          <w:p w14:paraId="744FD024"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Investment 3.2 Private sector aid schemes - De minimis scheme to assist Romanian firms in listing on the stock</w:t>
            </w:r>
          </w:p>
        </w:tc>
        <w:tc>
          <w:tcPr>
            <w:tcW w:w="1089" w:type="dxa"/>
            <w:tcBorders>
              <w:top w:val="nil"/>
              <w:left w:val="single" w:sz="4" w:space="0" w:color="auto"/>
              <w:bottom w:val="single" w:sz="4" w:space="0" w:color="auto"/>
              <w:right w:val="single" w:sz="4" w:space="0" w:color="auto"/>
            </w:tcBorders>
            <w:shd w:val="clear" w:color="auto" w:fill="C6EFCE"/>
            <w:noWrap/>
          </w:tcPr>
          <w:p w14:paraId="34F0DD4E"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96" w:type="dxa"/>
            <w:tcBorders>
              <w:top w:val="nil"/>
              <w:left w:val="single" w:sz="4" w:space="0" w:color="auto"/>
              <w:bottom w:val="single" w:sz="4" w:space="0" w:color="auto"/>
              <w:right w:val="single" w:sz="4" w:space="0" w:color="auto"/>
            </w:tcBorders>
            <w:shd w:val="clear" w:color="auto" w:fill="C6EFCE"/>
            <w:noWrap/>
          </w:tcPr>
          <w:p w14:paraId="1766C64A"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Selection of the scheme administrator </w:t>
            </w:r>
          </w:p>
        </w:tc>
        <w:tc>
          <w:tcPr>
            <w:tcW w:w="1766" w:type="dxa"/>
            <w:tcBorders>
              <w:top w:val="nil"/>
              <w:left w:val="single" w:sz="4" w:space="0" w:color="auto"/>
              <w:bottom w:val="single" w:sz="4" w:space="0" w:color="auto"/>
              <w:right w:val="single" w:sz="4" w:space="0" w:color="auto"/>
            </w:tcBorders>
            <w:shd w:val="clear" w:color="auto" w:fill="C6EFCE"/>
            <w:noWrap/>
          </w:tcPr>
          <w:p w14:paraId="5CD1CD43"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Communication of selection</w:t>
            </w:r>
          </w:p>
        </w:tc>
        <w:tc>
          <w:tcPr>
            <w:tcW w:w="1558" w:type="dxa"/>
            <w:tcBorders>
              <w:top w:val="nil"/>
              <w:left w:val="single" w:sz="4" w:space="0" w:color="auto"/>
              <w:bottom w:val="single" w:sz="4" w:space="0" w:color="auto"/>
              <w:right w:val="single" w:sz="4" w:space="0" w:color="auto"/>
            </w:tcBorders>
            <w:shd w:val="clear" w:color="auto" w:fill="C6EFCE"/>
            <w:noWrap/>
          </w:tcPr>
          <w:p w14:paraId="77BC6F0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1116" w:type="dxa"/>
            <w:tcBorders>
              <w:top w:val="nil"/>
              <w:left w:val="single" w:sz="4" w:space="0" w:color="auto"/>
              <w:bottom w:val="single" w:sz="4" w:space="0" w:color="auto"/>
              <w:right w:val="single" w:sz="4" w:space="0" w:color="auto"/>
            </w:tcBorders>
            <w:shd w:val="clear" w:color="auto" w:fill="C6EFCE"/>
            <w:noWrap/>
          </w:tcPr>
          <w:p w14:paraId="12FBA09B"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858" w:type="dxa"/>
            <w:tcBorders>
              <w:top w:val="nil"/>
              <w:left w:val="single" w:sz="4" w:space="0" w:color="auto"/>
              <w:bottom w:val="single" w:sz="4" w:space="0" w:color="auto"/>
              <w:right w:val="single" w:sz="4" w:space="0" w:color="auto"/>
            </w:tcBorders>
            <w:shd w:val="clear" w:color="auto" w:fill="C6EFCE"/>
            <w:noWrap/>
          </w:tcPr>
          <w:p w14:paraId="5A4D1DF8"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943" w:type="dxa"/>
            <w:tcBorders>
              <w:top w:val="nil"/>
              <w:left w:val="single" w:sz="4" w:space="0" w:color="auto"/>
              <w:bottom w:val="single" w:sz="4" w:space="0" w:color="auto"/>
              <w:right w:val="single" w:sz="4" w:space="0" w:color="auto"/>
            </w:tcBorders>
            <w:shd w:val="clear" w:color="auto" w:fill="C6EFCE"/>
            <w:noWrap/>
          </w:tcPr>
          <w:p w14:paraId="5B838DC1"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Q3</w:t>
            </w:r>
          </w:p>
        </w:tc>
        <w:tc>
          <w:tcPr>
            <w:tcW w:w="1065" w:type="dxa"/>
            <w:tcBorders>
              <w:top w:val="nil"/>
              <w:left w:val="single" w:sz="4" w:space="0" w:color="auto"/>
              <w:bottom w:val="single" w:sz="4" w:space="0" w:color="auto"/>
              <w:right w:val="single" w:sz="4" w:space="0" w:color="auto"/>
            </w:tcBorders>
            <w:shd w:val="clear" w:color="auto" w:fill="C6EFCE"/>
            <w:noWrap/>
          </w:tcPr>
          <w:p w14:paraId="60E21D12"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tc>
        <w:tc>
          <w:tcPr>
            <w:tcW w:w="3535" w:type="dxa"/>
            <w:tcBorders>
              <w:top w:val="nil"/>
              <w:left w:val="single" w:sz="4" w:space="0" w:color="auto"/>
              <w:bottom w:val="single" w:sz="4" w:space="0" w:color="auto"/>
              <w:right w:val="single" w:sz="4" w:space="0" w:color="auto"/>
            </w:tcBorders>
            <w:shd w:val="clear" w:color="auto" w:fill="C6EFCE"/>
            <w:noWrap/>
          </w:tcPr>
          <w:p w14:paraId="5D82345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Selection of a scheme manager who shall implement the de minimis scheme (launching the call, assessing contracting and monitoring projects)</w:t>
            </w:r>
          </w:p>
          <w:p w14:paraId="671E267F"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Grants shall be provided to companies willing to conduct a stock issuance, pre-qualified for listing, according to the conditions of the Bucharest Stock Exchange, on a first come, first served basis. </w:t>
            </w:r>
          </w:p>
          <w:p w14:paraId="0AB7C7E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aim is to prepare those companies that adhere to the Bucharest Stock Exchange listing rules for a successful capital market funding on any of the available market segments.</w:t>
            </w:r>
          </w:p>
          <w:p w14:paraId="477BD23D"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 order to ensure compliance with the Do No Significant Harm Technical Guidance (2021/C58/01), companies that derived more than 50% of their revenues during the preceding financial year from activities or assets in the exclusion list shall be required to adopt and publish green transition plans. The following list of activities and assets shall be excluded: (i) activities and assets related to fossil fuels, including downstream use; (ii) activities and assets under the EU Emission Trading System (ETS) achieving projected greenhouse gas emissions that are not lower than the relevant benchmarks; (iii) activities and assets related to waste landfills, incinerators and mechanical biological treatment plants; and (iv) activities and assets where the long-term disposal of waste may cause harm to the environment.</w:t>
            </w:r>
          </w:p>
        </w:tc>
      </w:tr>
      <w:tr w:rsidR="001466C3" w:rsidRPr="009F5E22" w14:paraId="06437E5C"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6C64EC2A"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265</w:t>
            </w:r>
          </w:p>
        </w:tc>
        <w:tc>
          <w:tcPr>
            <w:tcW w:w="1844" w:type="dxa"/>
            <w:tcBorders>
              <w:top w:val="nil"/>
              <w:left w:val="single" w:sz="4" w:space="0" w:color="auto"/>
              <w:bottom w:val="single" w:sz="4" w:space="0" w:color="auto"/>
              <w:right w:val="single" w:sz="4" w:space="0" w:color="auto"/>
            </w:tcBorders>
            <w:shd w:val="clear" w:color="auto" w:fill="C6EFCE"/>
            <w:noWrap/>
          </w:tcPr>
          <w:p w14:paraId="76C4EE95" w14:textId="089006DC"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Investment 3.2</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Support for Romanian firms in listing on the stock exchange</w:t>
            </w:r>
          </w:p>
        </w:tc>
        <w:tc>
          <w:tcPr>
            <w:tcW w:w="1089" w:type="dxa"/>
            <w:tcBorders>
              <w:top w:val="nil"/>
              <w:left w:val="single" w:sz="4" w:space="0" w:color="auto"/>
              <w:bottom w:val="single" w:sz="4" w:space="0" w:color="auto"/>
              <w:right w:val="single" w:sz="4" w:space="0" w:color="auto"/>
            </w:tcBorders>
            <w:shd w:val="clear" w:color="auto" w:fill="C6EFCE"/>
            <w:noWrap/>
          </w:tcPr>
          <w:p w14:paraId="7C01B68C"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96" w:type="dxa"/>
            <w:tcBorders>
              <w:top w:val="nil"/>
              <w:left w:val="single" w:sz="4" w:space="0" w:color="auto"/>
              <w:bottom w:val="single" w:sz="4" w:space="0" w:color="auto"/>
              <w:right w:val="single" w:sz="4" w:space="0" w:color="auto"/>
            </w:tcBorders>
            <w:shd w:val="clear" w:color="auto" w:fill="C6EFCE"/>
            <w:noWrap/>
          </w:tcPr>
          <w:p w14:paraId="68C512C4"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Number of signed financing contracts</w:t>
            </w:r>
          </w:p>
        </w:tc>
        <w:tc>
          <w:tcPr>
            <w:tcW w:w="1766" w:type="dxa"/>
            <w:tcBorders>
              <w:top w:val="nil"/>
              <w:left w:val="single" w:sz="4" w:space="0" w:color="auto"/>
              <w:bottom w:val="single" w:sz="4" w:space="0" w:color="auto"/>
              <w:right w:val="single" w:sz="4" w:space="0" w:color="auto"/>
            </w:tcBorders>
            <w:shd w:val="clear" w:color="auto" w:fill="C6EFCE"/>
            <w:noWrap/>
          </w:tcPr>
          <w:p w14:paraId="6B6DD76C"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6FEE2B7D"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Number</w:t>
            </w:r>
          </w:p>
        </w:tc>
        <w:tc>
          <w:tcPr>
            <w:tcW w:w="1116" w:type="dxa"/>
            <w:tcBorders>
              <w:top w:val="nil"/>
              <w:left w:val="single" w:sz="4" w:space="0" w:color="auto"/>
              <w:bottom w:val="single" w:sz="4" w:space="0" w:color="auto"/>
              <w:right w:val="single" w:sz="4" w:space="0" w:color="auto"/>
            </w:tcBorders>
            <w:shd w:val="clear" w:color="auto" w:fill="C6EFCE"/>
            <w:noWrap/>
          </w:tcPr>
          <w:p w14:paraId="1F0751EC"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0</w:t>
            </w:r>
          </w:p>
        </w:tc>
        <w:tc>
          <w:tcPr>
            <w:tcW w:w="858" w:type="dxa"/>
            <w:tcBorders>
              <w:top w:val="nil"/>
              <w:left w:val="single" w:sz="4" w:space="0" w:color="auto"/>
              <w:bottom w:val="single" w:sz="4" w:space="0" w:color="auto"/>
              <w:right w:val="single" w:sz="4" w:space="0" w:color="auto"/>
            </w:tcBorders>
            <w:shd w:val="clear" w:color="auto" w:fill="C6EFCE"/>
            <w:noWrap/>
          </w:tcPr>
          <w:p w14:paraId="76DE99C8"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w:t>
            </w:r>
          </w:p>
        </w:tc>
        <w:tc>
          <w:tcPr>
            <w:tcW w:w="943" w:type="dxa"/>
            <w:tcBorders>
              <w:top w:val="nil"/>
              <w:left w:val="single" w:sz="4" w:space="0" w:color="auto"/>
              <w:bottom w:val="single" w:sz="4" w:space="0" w:color="auto"/>
              <w:right w:val="single" w:sz="4" w:space="0" w:color="auto"/>
            </w:tcBorders>
            <w:shd w:val="clear" w:color="auto" w:fill="C6EFCE"/>
            <w:noWrap/>
          </w:tcPr>
          <w:p w14:paraId="54BE7FB2"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Q3</w:t>
            </w:r>
          </w:p>
        </w:tc>
        <w:tc>
          <w:tcPr>
            <w:tcW w:w="1065" w:type="dxa"/>
            <w:tcBorders>
              <w:top w:val="nil"/>
              <w:left w:val="single" w:sz="4" w:space="0" w:color="auto"/>
              <w:bottom w:val="single" w:sz="4" w:space="0" w:color="auto"/>
              <w:right w:val="single" w:sz="4" w:space="0" w:color="auto"/>
            </w:tcBorders>
            <w:shd w:val="clear" w:color="auto" w:fill="C6EFCE"/>
            <w:noWrap/>
          </w:tcPr>
          <w:p w14:paraId="2B35BB30"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2025</w:t>
            </w:r>
          </w:p>
        </w:tc>
        <w:tc>
          <w:tcPr>
            <w:tcW w:w="3535" w:type="dxa"/>
            <w:tcBorders>
              <w:top w:val="nil"/>
              <w:left w:val="single" w:sz="4" w:space="0" w:color="auto"/>
              <w:bottom w:val="single" w:sz="4" w:space="0" w:color="auto"/>
              <w:right w:val="single" w:sz="4" w:space="0" w:color="auto"/>
            </w:tcBorders>
            <w:shd w:val="clear" w:color="auto" w:fill="C6EFCE"/>
            <w:noWrap/>
          </w:tcPr>
          <w:p w14:paraId="475AED04"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At least two financing contracts shall be signed with enterprises, which shall contain provisions on the listing on the Bucharest Stock Exchange.</w:t>
            </w:r>
          </w:p>
        </w:tc>
      </w:tr>
      <w:tr w:rsidR="001466C3" w:rsidRPr="009F5E22" w14:paraId="5F5D48FD"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665342F8"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266</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233D2319"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Investment 4. Cross border</w:t>
            </w:r>
          </w:p>
          <w:p w14:paraId="7B784B59"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and multi-country</w:t>
            </w:r>
          </w:p>
          <w:p w14:paraId="43289AC0" w14:textId="43E7FFE6" w:rsidR="001466C3" w:rsidRPr="009F5E22" w:rsidRDefault="001466C3" w:rsidP="009F5E2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projects – Low Power Processors</w:t>
            </w:r>
            <w:r w:rsid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and</w:t>
            </w:r>
            <w:r w:rsid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Semiconductor</w:t>
            </w:r>
            <w:r w:rsid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 xml:space="preserve">Chips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07C5A167"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43CDA43D"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Entry into force of the Government Decision allocating the necessary funding of EUR 500</w:t>
            </w:r>
            <w:r w:rsidRPr="009F5E22">
              <w:rPr>
                <w:rFonts w:ascii="Times New Roman" w:hAnsi="Times New Roman" w:cs="Times New Roman"/>
                <w:strike/>
                <w:noProof/>
                <w:color w:val="FF0000"/>
                <w:sz w:val="20"/>
                <w:szCs w:val="20"/>
                <w:lang w:val="en-GB"/>
              </w:rPr>
              <w:t xml:space="preserve"> </w:t>
            </w:r>
            <w:r w:rsidRPr="009F5E22">
              <w:rPr>
                <w:rFonts w:ascii="Times New Roman" w:hAnsi="Times New Roman" w:cs="Times New Roman"/>
                <w:noProof/>
                <w:sz w:val="20"/>
                <w:szCs w:val="20"/>
                <w:lang w:val="en-GB"/>
              </w:rPr>
              <w:t>million to provide support to the scale-up of the national capabilities up to the first industrial development and the participation or association in a multi-country project</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43229E5D"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Provision in the law indicating the entry into force</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22222656"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13256ED6"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1E19C70F"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5DF65095"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4D7E3E91"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7F3323BA"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Government Decision shall establish the regulatory framework indicating the procedures and deadlines for submitting projects, as well as the eligibility criteria and requirements for the potential beneficiaries, also setting a budget allocation of EUR 500 million.</w:t>
            </w:r>
          </w:p>
          <w:p w14:paraId="67EE9BB7"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Additional information shall be set in accordance to other participating Member States to these projects.</w:t>
            </w:r>
          </w:p>
          <w:p w14:paraId="47D8B324"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multi-country project Low Power Processors and Semiconductor Chips is expected to be implemented mainly through participation or association to a planned Important Project of Common European Interest.</w:t>
            </w:r>
          </w:p>
        </w:tc>
      </w:tr>
      <w:tr w:rsidR="001466C3" w:rsidRPr="009F5E22" w14:paraId="2F61EE3A"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18C5F4BE"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267</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167970D0" w14:textId="4E58792A" w:rsidR="001466C3" w:rsidRPr="009F5E22" w:rsidRDefault="001466C3" w:rsidP="009F5E2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Investment 4. Cross border</w:t>
            </w:r>
            <w:r w:rsid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and multi-country</w:t>
            </w:r>
            <w:r w:rsid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projects – Low Power Processors</w:t>
            </w:r>
            <w:r w:rsid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and</w:t>
            </w:r>
            <w:r w:rsid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Semiconductor</w:t>
            </w:r>
            <w:r w:rsid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 xml:space="preserve">Chips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4BE98A2B"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59667836"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Entities selected for participation or association in the project</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4B1E9705"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6F9467C4"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Number</w:t>
            </w: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2B5DB8F3"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0</w:t>
            </w: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458D07BC"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10</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4E6E9FBF"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04F3442C"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2025</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038B010A"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At least ten entities shall be selected for participation or association in the multi-country project of Low Power Processors and Semiconductor Chips.</w:t>
            </w:r>
          </w:p>
          <w:p w14:paraId="06B380D4"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At least EUR 360 million of the funds allocated shall have been committed through the signature of contracts with the entities selected.</w:t>
            </w:r>
          </w:p>
        </w:tc>
      </w:tr>
      <w:tr w:rsidR="001466C3" w:rsidRPr="009F5E22" w14:paraId="092954EA"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5AFCFD29"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268</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3A44E747" w14:textId="1C2B25B5" w:rsidR="001466C3" w:rsidRPr="009F5E22" w:rsidRDefault="001466C3" w:rsidP="009F5E2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Investment 4. Cross border</w:t>
            </w:r>
            <w:r w:rsid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and multi-country</w:t>
            </w:r>
            <w:r w:rsid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projects – Low Power Processors</w:t>
            </w:r>
            <w:r w:rsid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and</w:t>
            </w:r>
            <w:r w:rsid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Semiconductor</w:t>
            </w:r>
            <w:r w:rsid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 xml:space="preserve">Chips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0069615E"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65C90D11"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Entities in consortia participating to calls for projects by the Joint Undertaking of Essential Digital Technologies (KDT JU)</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6D072EAD"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4796817B" w14:textId="77777777" w:rsidR="001466C3" w:rsidRPr="009F5E22" w:rsidRDefault="001466C3" w:rsidP="001466C3">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Number</w:t>
            </w: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73F23568"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0</w:t>
            </w: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2DF7BBF0"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3</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13F1A20F"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37E2D1F2"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139D091C"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At least 3 entities in consortia shall participate to calls for projects by the Joint Undertaking of Essential Digital Technologies (KDT JU).</w:t>
            </w:r>
          </w:p>
          <w:p w14:paraId="7E0461D0" w14:textId="7469A49A" w:rsidR="001466C3" w:rsidRPr="009F5E22" w:rsidRDefault="001466C3" w:rsidP="009F5E2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participants from the multi-country project on Low Power Processors and</w:t>
            </w:r>
            <w:r w:rsid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Semiconductor Chips shall contribute, in a multinational context, to the establishment of capabilities in the field in which KDT JU shall launch calls for project proposals. The activities of the two mechanisms are complementary.</w:t>
            </w:r>
          </w:p>
        </w:tc>
      </w:tr>
      <w:tr w:rsidR="001466C3" w:rsidRPr="009F5E22" w14:paraId="3BE0B6C2"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11AB3B4D"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270</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710EA57A" w14:textId="51C4BE28"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Reform 2.</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 xml:space="preserve">Streamline governance of research, development and innovation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59EF357A"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48E36269"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Policy Support Facility (PSF) Reform Implementation Unit established and operational </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56432EDC"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Adoption of a normative act for the operationalisation Policy Support Facility Reform Implementation Unit </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6A698A28"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6DE6115F"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2E35587B"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4F9040F9"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6C196593"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2021</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255A9F6E"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operationalisation of a temporary Policy Support Facility Reform Unit with the mandate to implement and monitor the Policy Support Facility recommendations translated into reforms of national research, development and innovation ecosystem.</w:t>
            </w:r>
          </w:p>
          <w:p w14:paraId="20A30F83"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new unit, with the support of the Policy Support Facility, shall redesign in a coordinated manner with the relevant public authorities, the architecture and functions of the research, development and innovation system, to enhance the quality of research and innovation investments for a resilient and performant system. For this, the mandate of the unit shall focus, inter alia, on 5 priorities: </w:t>
            </w:r>
          </w:p>
          <w:p w14:paraId="2A96D22F" w14:textId="77777777" w:rsidR="001466C3" w:rsidRPr="009F5E22" w:rsidRDefault="001466C3" w:rsidP="001466C3">
            <w:pPr>
              <w:numPr>
                <w:ilvl w:val="0"/>
                <w:numId w:val="103"/>
              </w:numPr>
              <w:spacing w:after="0" w:line="240" w:lineRule="auto"/>
              <w:contextualSpacing/>
              <w:jc w:val="both"/>
              <w:rPr>
                <w:rFonts w:ascii="Times New Roman" w:hAnsi="Times New Roman" w:cs="Times New Roman"/>
                <w:noProof/>
                <w:sz w:val="20"/>
                <w:szCs w:val="20"/>
                <w:lang w:val="en-GB" w:eastAsia="en-IE"/>
              </w:rPr>
            </w:pPr>
            <w:r w:rsidRPr="009F5E22">
              <w:rPr>
                <w:rFonts w:ascii="Times New Roman" w:hAnsi="Times New Roman" w:cs="Times New Roman"/>
                <w:noProof/>
                <w:sz w:val="20"/>
                <w:szCs w:val="20"/>
                <w:lang w:val="en-GB" w:eastAsia="en-IE"/>
              </w:rPr>
              <w:t xml:space="preserve">governance of research, development and innovation system; </w:t>
            </w:r>
          </w:p>
          <w:p w14:paraId="770A1463" w14:textId="77777777" w:rsidR="001466C3" w:rsidRPr="009F5E22" w:rsidRDefault="001466C3" w:rsidP="001466C3">
            <w:pPr>
              <w:numPr>
                <w:ilvl w:val="0"/>
                <w:numId w:val="103"/>
              </w:numPr>
              <w:spacing w:after="0" w:line="240" w:lineRule="auto"/>
              <w:contextualSpacing/>
              <w:jc w:val="both"/>
              <w:rPr>
                <w:rFonts w:ascii="Times New Roman" w:hAnsi="Times New Roman" w:cs="Times New Roman"/>
                <w:noProof/>
                <w:sz w:val="20"/>
                <w:szCs w:val="20"/>
                <w:lang w:val="en-GB" w:eastAsia="en-IE"/>
              </w:rPr>
            </w:pPr>
            <w:r w:rsidRPr="009F5E22">
              <w:rPr>
                <w:rFonts w:ascii="Times New Roman" w:hAnsi="Times New Roman" w:cs="Times New Roman"/>
                <w:noProof/>
                <w:sz w:val="20"/>
                <w:szCs w:val="20"/>
                <w:lang w:val="en-GB" w:eastAsia="en-IE"/>
              </w:rPr>
              <w:t xml:space="preserve">framework conditions for public research, human resources for research and innovation; </w:t>
            </w:r>
          </w:p>
          <w:p w14:paraId="58BD0676" w14:textId="77777777" w:rsidR="001466C3" w:rsidRPr="009F5E22" w:rsidRDefault="001466C3" w:rsidP="001466C3">
            <w:pPr>
              <w:numPr>
                <w:ilvl w:val="0"/>
                <w:numId w:val="103"/>
              </w:numPr>
              <w:spacing w:after="0" w:line="240" w:lineRule="auto"/>
              <w:contextualSpacing/>
              <w:jc w:val="both"/>
              <w:rPr>
                <w:rFonts w:ascii="Times New Roman" w:hAnsi="Times New Roman" w:cs="Times New Roman"/>
                <w:noProof/>
                <w:sz w:val="20"/>
                <w:szCs w:val="20"/>
                <w:lang w:val="en-GB" w:eastAsia="en-IE"/>
              </w:rPr>
            </w:pPr>
            <w:r w:rsidRPr="009F5E22">
              <w:rPr>
                <w:rFonts w:ascii="Times New Roman" w:hAnsi="Times New Roman" w:cs="Times New Roman"/>
                <w:noProof/>
                <w:sz w:val="20"/>
                <w:szCs w:val="20"/>
                <w:lang w:val="en-GB" w:eastAsia="en-IE"/>
              </w:rPr>
              <w:t xml:space="preserve">Internationalization of research, development and innovation organizations; </w:t>
            </w:r>
          </w:p>
          <w:p w14:paraId="66ADB74E" w14:textId="77777777" w:rsidR="001466C3" w:rsidRPr="009F5E22" w:rsidRDefault="001466C3" w:rsidP="001466C3">
            <w:pPr>
              <w:numPr>
                <w:ilvl w:val="0"/>
                <w:numId w:val="103"/>
              </w:numPr>
              <w:spacing w:after="0" w:line="240" w:lineRule="auto"/>
              <w:contextualSpacing/>
              <w:jc w:val="both"/>
              <w:rPr>
                <w:rFonts w:ascii="Times New Roman" w:hAnsi="Times New Roman" w:cs="Times New Roman"/>
                <w:noProof/>
                <w:sz w:val="20"/>
                <w:szCs w:val="20"/>
                <w:lang w:val="en-GB" w:eastAsia="en-IE"/>
              </w:rPr>
            </w:pPr>
            <w:r w:rsidRPr="009F5E22">
              <w:rPr>
                <w:rFonts w:ascii="Times New Roman" w:hAnsi="Times New Roman" w:cs="Times New Roman"/>
                <w:noProof/>
                <w:sz w:val="20"/>
                <w:szCs w:val="20"/>
                <w:lang w:val="en-GB" w:eastAsia="en-IE"/>
              </w:rPr>
              <w:t xml:space="preserve">public–private partnerships in of research, development and innovation; </w:t>
            </w:r>
          </w:p>
          <w:p w14:paraId="315E0E64" w14:textId="77777777" w:rsidR="001466C3" w:rsidRPr="009F5E22" w:rsidRDefault="001466C3" w:rsidP="001466C3">
            <w:pPr>
              <w:numPr>
                <w:ilvl w:val="0"/>
                <w:numId w:val="103"/>
              </w:numPr>
              <w:spacing w:after="0" w:line="240" w:lineRule="auto"/>
              <w:contextualSpacing/>
              <w:jc w:val="both"/>
              <w:rPr>
                <w:rFonts w:ascii="Times New Roman" w:hAnsi="Times New Roman" w:cs="Times New Roman"/>
                <w:noProof/>
                <w:sz w:val="20"/>
                <w:szCs w:val="20"/>
                <w:lang w:val="en-GB" w:eastAsia="en-IE"/>
              </w:rPr>
            </w:pPr>
            <w:r w:rsidRPr="009F5E22">
              <w:rPr>
                <w:rFonts w:ascii="Times New Roman" w:hAnsi="Times New Roman" w:cs="Times New Roman"/>
                <w:noProof/>
                <w:sz w:val="20"/>
                <w:szCs w:val="20"/>
                <w:lang w:val="en-GB" w:eastAsia="en-IE"/>
              </w:rPr>
              <w:t xml:space="preserve">impact of structural funds on the research, development and innovation system. </w:t>
            </w:r>
          </w:p>
          <w:p w14:paraId="005AF11E"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unit shall be operational between 2021-2026 and shall consist of 17 full-time equivalent staff.</w:t>
            </w:r>
          </w:p>
        </w:tc>
      </w:tr>
      <w:tr w:rsidR="001466C3" w:rsidRPr="009F5E22" w14:paraId="5B3FABAB"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36D0066C"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276</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65932C35"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Reform 4. Increased cooperation between business and research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5A13D853"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465ED7A5"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Entry into force of legal act(s) for a favourable environment for public and private investment in research, development and innovation</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3F83B99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Legal act(s) for the research, development and innovation investmentssimplification</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3B72EDB5"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43160029"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3E1102B5"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2DA19D1E"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2C1546B1"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2026</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4745B005"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Legal act(s) shall contain provisions for the gradual centralisation in an electronic single point of contact (website) providing access to publicly funded R &amp; D &amp; I calls.</w:t>
            </w:r>
          </w:p>
          <w:p w14:paraId="577E80BD"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In addition, these provisions shall provide for: </w:t>
            </w:r>
          </w:p>
          <w:p w14:paraId="2B1DB318" w14:textId="7194E1C3" w:rsidR="001466C3" w:rsidRPr="009F5E22" w:rsidRDefault="001466C3" w:rsidP="001466C3">
            <w:pPr>
              <w:numPr>
                <w:ilvl w:val="0"/>
                <w:numId w:val="99"/>
              </w:numPr>
              <w:spacing w:before="120" w:after="0" w:line="240" w:lineRule="auto"/>
              <w:ind w:left="315" w:hanging="300"/>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streamlining of national legislation</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to ensure that procedures related to contracting, financing, monitoring and evaluation are digitalized,</w:t>
            </w:r>
          </w:p>
          <w:p w14:paraId="2D6C70CB" w14:textId="77777777" w:rsidR="001466C3" w:rsidRPr="009F5E22" w:rsidRDefault="001466C3" w:rsidP="001466C3">
            <w:pPr>
              <w:numPr>
                <w:ilvl w:val="0"/>
                <w:numId w:val="99"/>
              </w:numPr>
              <w:spacing w:before="120" w:after="0" w:line="240" w:lineRule="auto"/>
              <w:ind w:left="315" w:hanging="300"/>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publication of scientific deliverables from publicly funded projects with the exception of security and defence related projects, </w:t>
            </w:r>
          </w:p>
          <w:p w14:paraId="342FE3C1" w14:textId="30A6E62B" w:rsidR="001466C3" w:rsidRPr="009F5E22" w:rsidRDefault="001466C3" w:rsidP="001466C3">
            <w:pPr>
              <w:numPr>
                <w:ilvl w:val="0"/>
                <w:numId w:val="99"/>
              </w:numPr>
              <w:spacing w:before="120" w:after="0" w:line="240" w:lineRule="auto"/>
              <w:ind w:left="315" w:hanging="300"/>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RDI projects publicly funded to</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be evaluated by internationally recognized researchers before approval by the Public Contracting Authority. ensuring the avoidance of conflict of interest.</w:t>
            </w:r>
          </w:p>
          <w:p w14:paraId="2C412BF2" w14:textId="77777777" w:rsidR="001466C3" w:rsidRPr="009F5E22" w:rsidRDefault="001466C3" w:rsidP="001466C3">
            <w:pPr>
              <w:numPr>
                <w:ilvl w:val="0"/>
                <w:numId w:val="99"/>
              </w:numPr>
              <w:spacing w:before="120" w:after="0" w:line="240" w:lineRule="auto"/>
              <w:ind w:left="315" w:hanging="300"/>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Establishment of the new National Innovation Unit (RoInnovation) , subordinated to the National Research Authority, that shall be responsible of promoting private sector innovation, attracting complementary private investment , and supporting the transfer of innovation results to the economy. The stable and predictable sources of funding for RoInnovation shall be allocated from European Funds, repayable and non-repayable external financing, own revenues and allocations from the national budget. </w:t>
            </w:r>
          </w:p>
        </w:tc>
      </w:tr>
      <w:tr w:rsidR="001466C3" w:rsidRPr="009F5E22" w14:paraId="44AAA08A"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34A9A746"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277</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6B82EE56"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Reform 4. Increased cooperation between business and research</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18FE4524"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6DAF3F21"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27% of public RDI projects have at least one business entity involved as a partner </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7715D90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1C332408" w14:textId="77777777" w:rsidR="001466C3" w:rsidRPr="009F5E22" w:rsidRDefault="001466C3" w:rsidP="001466C3">
            <w:pPr>
              <w:spacing w:after="0" w:line="240" w:lineRule="auto"/>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Percentage (%)</w:t>
            </w:r>
          </w:p>
          <w:p w14:paraId="70F9F595"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404F5B8D"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r w:rsidRPr="009F5E22">
              <w:rPr>
                <w:rFonts w:ascii="Times New Roman" w:eastAsia="Times New Roman" w:hAnsi="Times New Roman" w:cs="Times New Roman"/>
                <w:noProof/>
                <w:sz w:val="20"/>
                <w:szCs w:val="20"/>
                <w:lang w:val="en-GB" w:eastAsia="en-GB"/>
              </w:rPr>
              <w:t>0</w:t>
            </w: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3F7804F8"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r w:rsidRPr="009F5E22">
              <w:rPr>
                <w:rFonts w:ascii="Times New Roman" w:eastAsia="Times New Roman" w:hAnsi="Times New Roman" w:cs="Times New Roman"/>
                <w:noProof/>
                <w:sz w:val="20"/>
                <w:szCs w:val="20"/>
                <w:lang w:val="en-GB" w:eastAsia="en-GB"/>
              </w:rPr>
              <w:t>27</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7A636246"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51BE22DF"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2026</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064CA034" w14:textId="0DDE1A38"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27% of public research, development and innovation projects have at least one business entity involve</w:t>
            </w:r>
            <w:r w:rsidR="009F5E22">
              <w:rPr>
                <w:rFonts w:ascii="Times New Roman" w:hAnsi="Times New Roman" w:cs="Times New Roman"/>
                <w:noProof/>
                <w:sz w:val="20"/>
                <w:szCs w:val="20"/>
                <w:lang w:val="en-GB"/>
              </w:rPr>
              <w:t>d</w:t>
            </w:r>
            <w:r w:rsidRPr="009F5E22">
              <w:rPr>
                <w:rFonts w:ascii="Times New Roman" w:hAnsi="Times New Roman" w:cs="Times New Roman"/>
                <w:noProof/>
                <w:sz w:val="20"/>
                <w:szCs w:val="20"/>
                <w:lang w:val="en-GB"/>
              </w:rPr>
              <w:t xml:space="preserve"> as partner. </w:t>
            </w:r>
          </w:p>
        </w:tc>
      </w:tr>
      <w:tr w:rsidR="001466C3" w:rsidRPr="009F5E22" w14:paraId="65814B03"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60DDAA11"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278</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32D2498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Reform 5. Support to integrate the research, development and innovation organisations in Romania in the European Research Area</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485AD951"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604FD124" w14:textId="77777777" w:rsidR="001466C3" w:rsidRPr="009F5E22" w:rsidRDefault="001466C3" w:rsidP="003A352C">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Entry into force of </w:t>
            </w:r>
            <w:r w:rsidRPr="009F5E22" w:rsidDel="001056BD">
              <w:rPr>
                <w:rFonts w:ascii="Times New Roman" w:hAnsi="Times New Roman" w:cs="Times New Roman"/>
                <w:noProof/>
                <w:sz w:val="20"/>
                <w:szCs w:val="20"/>
                <w:lang w:val="en-GB"/>
              </w:rPr>
              <w:t>a law</w:t>
            </w:r>
            <w:r w:rsidRPr="009F5E22">
              <w:rPr>
                <w:rFonts w:ascii="Times New Roman" w:hAnsi="Times New Roman" w:cs="Times New Roman"/>
                <w:noProof/>
                <w:sz w:val="20"/>
                <w:szCs w:val="20"/>
                <w:lang w:val="en-GB"/>
              </w:rPr>
              <w:t xml:space="preserve"> encourages, facilitates and regulates the voluntary and functional integration and merger of research institutions in Romania</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2158A3E8" w14:textId="3ADEF80F" w:rsidR="001466C3" w:rsidRPr="009F5E22" w:rsidRDefault="001466C3" w:rsidP="003A352C">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Provision in the law indicating the entry into force of a law for</w:t>
            </w:r>
            <w:r w:rsidR="003A352C">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 xml:space="preserve">encouraging, facilitating and regulating the voluntary and functional integration and merger of research institutions in Romania </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6094C409"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4631756B"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72727624"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2C2B2EFA"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0FB5F5E1"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52A67009"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w:t>
            </w:r>
            <w:r w:rsidRPr="009F5E22" w:rsidDel="001056BD">
              <w:rPr>
                <w:rFonts w:ascii="Times New Roman" w:hAnsi="Times New Roman" w:cs="Times New Roman"/>
                <w:noProof/>
                <w:sz w:val="20"/>
                <w:szCs w:val="20"/>
                <w:lang w:val="en-GB"/>
              </w:rPr>
              <w:t xml:space="preserve">law </w:t>
            </w:r>
            <w:r w:rsidRPr="009F5E22">
              <w:rPr>
                <w:rFonts w:ascii="Times New Roman" w:hAnsi="Times New Roman" w:cs="Times New Roman"/>
                <w:noProof/>
                <w:sz w:val="20"/>
                <w:szCs w:val="20"/>
                <w:lang w:val="en-GB"/>
              </w:rPr>
              <w:t>shall enter into force to address the high fragmentation of the research system in Romania. This shall encourage, facilitate and regulate the integration of research institutions. The legislative framework shall take into account the recommendations of the 2021-2022 Horizon Europe Policy Support Facility, and shall specify at the minimum:</w:t>
            </w:r>
          </w:p>
          <w:p w14:paraId="5624E50E" w14:textId="77777777" w:rsidR="001466C3" w:rsidRPr="009F5E22" w:rsidRDefault="001466C3" w:rsidP="001466C3">
            <w:pPr>
              <w:numPr>
                <w:ilvl w:val="0"/>
                <w:numId w:val="104"/>
              </w:numPr>
              <w:spacing w:after="0" w:line="240" w:lineRule="auto"/>
              <w:ind w:left="299" w:hanging="284"/>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a periodic external evaluation (i.e. every 5 years) of all research and development institutes in Romania, including those at University level, based on international standards conducive towards scientific excellence and social-economic impact, in view of addressing the high fragmentation of the research &amp; development system and their integration into the European Research Area. One of the criteria to be included in the evaluation is the extent to which research organisations share research facilities.</w:t>
            </w:r>
          </w:p>
          <w:p w14:paraId="6074377B" w14:textId="77777777" w:rsidR="001466C3" w:rsidRPr="009F5E22" w:rsidRDefault="001466C3" w:rsidP="001466C3">
            <w:pPr>
              <w:numPr>
                <w:ilvl w:val="0"/>
                <w:numId w:val="104"/>
              </w:numPr>
              <w:spacing w:after="0" w:line="240" w:lineRule="auto"/>
              <w:ind w:left="299" w:hanging="284"/>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access to financial and non-financial support for research organisations, correlated with the results of the aforementioned periodic evaluation. </w:t>
            </w:r>
          </w:p>
        </w:tc>
      </w:tr>
      <w:tr w:rsidR="001466C3" w:rsidRPr="009F5E22" w14:paraId="1D7E9095"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2C27B06C"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279</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09A7DC28"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Reform 5. Support to integrate the research, development and innovation organisations in Romania in the European Research Area</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07B5917F"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5B9B79FF"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Percentage of research organisations sharing research infrastructure and/or facilities</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76A402B3"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0D088FC8" w14:textId="77777777" w:rsidR="001466C3" w:rsidRPr="009F5E22" w:rsidRDefault="001466C3" w:rsidP="001466C3">
            <w:pPr>
              <w:spacing w:after="0" w:line="240" w:lineRule="auto"/>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Percentage (%)</w:t>
            </w:r>
          </w:p>
          <w:p w14:paraId="1C809DC9"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0D31EF5B"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0</w:t>
            </w: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4FB82689"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25%</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66AB439D"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534DC2D0"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2026</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69378B2A"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25% of the research organisations shall share research infrastructure and/or facilities.</w:t>
            </w:r>
          </w:p>
          <w:p w14:paraId="12E2AFCA"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r>
      <w:tr w:rsidR="001466C3" w:rsidRPr="009F5E22" w14:paraId="3910A479"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1B7D6073"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280</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33E9D7B9"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Investment 5. Establishment and operationalisation of Competence Centres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2D0593AC"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49FF018E"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Establishment of 5 Centres of Competence</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56EB76C8"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Five Centres of Competence are established</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2238BA76"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7556189B"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02FAE70D"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6E7E9132"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08952335" w14:textId="77777777" w:rsidR="001466C3" w:rsidRPr="009F5E22" w:rsidRDefault="001466C3" w:rsidP="001466C3">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5C744BFE"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To tackle the thematic fragmentation of research, development and innovation organizations, a competitive call shall be organized for the selection of 5 complex research, development and innovation projects. The funding scheme is called “Competence Centre”. </w:t>
            </w:r>
          </w:p>
          <w:p w14:paraId="749441C3"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Based on the projects proposals submitted, as the result of the competitive, open and transparent call organised by the Ministry of Research, Digitalisation and Innovation, 5 centres of competence shall be established, one for each Horizon mission. The purpose is to implement Horizon Europe missions at national level in a coordinated manner and to tackle thematic fragmentation. </w:t>
            </w:r>
          </w:p>
          <w:p w14:paraId="76ABC4A8"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Centres of Competences shall be selected based on:</w:t>
            </w:r>
          </w:p>
          <w:p w14:paraId="36A453BF" w14:textId="77777777" w:rsidR="001466C3" w:rsidRPr="009F5E22" w:rsidRDefault="001466C3" w:rsidP="001466C3">
            <w:pPr>
              <w:numPr>
                <w:ilvl w:val="0"/>
                <w:numId w:val="104"/>
              </w:numPr>
              <w:spacing w:after="0" w:line="240" w:lineRule="auto"/>
              <w:ind w:left="299" w:hanging="284"/>
              <w:contextualSpacing/>
              <w:jc w:val="both"/>
              <w:rPr>
                <w:rFonts w:ascii="Times New Roman" w:hAnsi="Times New Roman" w:cs="Times New Roman"/>
                <w:noProof/>
                <w:sz w:val="20"/>
                <w:szCs w:val="20"/>
                <w:lang w:val="en-GB" w:eastAsia="en-IE"/>
              </w:rPr>
            </w:pPr>
            <w:r w:rsidRPr="009F5E22">
              <w:rPr>
                <w:rFonts w:ascii="Times New Roman" w:hAnsi="Times New Roman" w:cs="Times New Roman"/>
                <w:noProof/>
                <w:sz w:val="20"/>
                <w:szCs w:val="20"/>
                <w:lang w:val="en-GB" w:eastAsia="en-IE"/>
              </w:rPr>
              <w:t xml:space="preserve">a complex and applicative research, development and innovation projects proposed by consortia of public and private research, development and innovation organizations, including small and medium enterprises, who shall implement together Strategic Research and Innovation agenda of the correspondent mission from Horizon Europe and deliver research, development and innovation solutions for local communities. </w:t>
            </w:r>
          </w:p>
          <w:p w14:paraId="592DA3D2" w14:textId="77777777" w:rsidR="001466C3" w:rsidRPr="009F5E22" w:rsidRDefault="001466C3" w:rsidP="001466C3">
            <w:pPr>
              <w:numPr>
                <w:ilvl w:val="0"/>
                <w:numId w:val="104"/>
              </w:numPr>
              <w:spacing w:after="0" w:line="240" w:lineRule="auto"/>
              <w:ind w:left="299" w:hanging="284"/>
              <w:contextualSpacing/>
              <w:jc w:val="both"/>
              <w:rPr>
                <w:rFonts w:ascii="Times New Roman" w:hAnsi="Times New Roman" w:cs="Times New Roman"/>
                <w:noProof/>
                <w:sz w:val="20"/>
                <w:szCs w:val="20"/>
                <w:lang w:val="en-GB" w:eastAsia="en-IE"/>
              </w:rPr>
            </w:pPr>
            <w:r w:rsidRPr="009F5E22">
              <w:rPr>
                <w:rFonts w:ascii="Times New Roman" w:hAnsi="Times New Roman" w:cs="Times New Roman"/>
                <w:noProof/>
                <w:sz w:val="20"/>
                <w:szCs w:val="20"/>
                <w:lang w:val="en-GB" w:eastAsia="en-IE"/>
              </w:rPr>
              <w:t xml:space="preserve">The scientific merit of the project, its level of excellence and the coherence of the proposed research agenda with the strategic research agenda of the Horizon Europe missions shall be the main evaluation criteria for the selection of the funded proposals – one for each mission in Horizon Europe. </w:t>
            </w:r>
          </w:p>
          <w:p w14:paraId="46F29C89" w14:textId="77777777" w:rsidR="001466C3" w:rsidRPr="009F5E22" w:rsidRDefault="001466C3" w:rsidP="001466C3">
            <w:pPr>
              <w:numPr>
                <w:ilvl w:val="0"/>
                <w:numId w:val="104"/>
              </w:numPr>
              <w:spacing w:after="0" w:line="240" w:lineRule="auto"/>
              <w:ind w:left="299" w:hanging="284"/>
              <w:contextualSpacing/>
              <w:jc w:val="both"/>
              <w:rPr>
                <w:rFonts w:ascii="Times New Roman" w:hAnsi="Times New Roman" w:cs="Times New Roman"/>
                <w:noProof/>
                <w:sz w:val="20"/>
                <w:szCs w:val="20"/>
                <w:lang w:val="en-GB" w:eastAsia="en-IE"/>
              </w:rPr>
            </w:pPr>
            <w:r w:rsidRPr="009F5E22">
              <w:rPr>
                <w:rFonts w:ascii="Times New Roman" w:hAnsi="Times New Roman" w:cs="Times New Roman"/>
                <w:noProof/>
                <w:sz w:val="20"/>
                <w:szCs w:val="20"/>
                <w:lang w:val="en-GB" w:eastAsia="en-IE"/>
              </w:rPr>
              <w:t>The administrative capacity, experience and the quality of the management plan for the project shall also be assessed during the project evaluation process conducted with international experts. Complementarity among members of the consortium and past experience in working together are also criteria to be used in the selection process.</w:t>
            </w:r>
          </w:p>
          <w:p w14:paraId="646C072A" w14:textId="77777777" w:rsidR="001466C3" w:rsidRPr="009F5E22" w:rsidRDefault="001466C3" w:rsidP="001466C3">
            <w:pPr>
              <w:numPr>
                <w:ilvl w:val="0"/>
                <w:numId w:val="104"/>
              </w:numPr>
              <w:spacing w:after="0" w:line="240" w:lineRule="auto"/>
              <w:ind w:left="299" w:hanging="284"/>
              <w:contextualSpacing/>
              <w:jc w:val="both"/>
              <w:rPr>
                <w:rFonts w:ascii="Times New Roman" w:hAnsi="Times New Roman" w:cs="Times New Roman"/>
                <w:noProof/>
                <w:sz w:val="20"/>
                <w:szCs w:val="20"/>
                <w:lang w:val="en-GB" w:eastAsia="en-IE"/>
              </w:rPr>
            </w:pPr>
            <w:r w:rsidRPr="009F5E22">
              <w:rPr>
                <w:rFonts w:ascii="Times New Roman" w:hAnsi="Times New Roman" w:cs="Times New Roman"/>
                <w:noProof/>
                <w:sz w:val="20"/>
                <w:szCs w:val="20"/>
                <w:lang w:val="en-GB" w:eastAsia="en-IE"/>
              </w:rPr>
              <w:t>The eligible activities are research and innovation activities, upgraded research equipment, dissemination activities and support activities (studies regarding implementation of each mission in Romania), costs related to Intellectual Property Rights.</w:t>
            </w:r>
          </w:p>
          <w:p w14:paraId="1F5BB678" w14:textId="77777777" w:rsidR="001466C3" w:rsidRPr="009F5E22" w:rsidRDefault="001466C3" w:rsidP="001466C3">
            <w:pPr>
              <w:numPr>
                <w:ilvl w:val="0"/>
                <w:numId w:val="104"/>
              </w:numPr>
              <w:spacing w:after="0" w:line="240" w:lineRule="auto"/>
              <w:ind w:left="299" w:hanging="284"/>
              <w:contextualSpacing/>
              <w:jc w:val="both"/>
              <w:rPr>
                <w:rFonts w:ascii="Times New Roman" w:hAnsi="Times New Roman" w:cs="Times New Roman"/>
                <w:noProof/>
                <w:sz w:val="20"/>
                <w:szCs w:val="20"/>
                <w:lang w:val="en-GB" w:eastAsia="en-IE"/>
              </w:rPr>
            </w:pPr>
            <w:r w:rsidRPr="009F5E22">
              <w:rPr>
                <w:rFonts w:ascii="Times New Roman" w:hAnsi="Times New Roman" w:cs="Times New Roman"/>
                <w:noProof/>
                <w:sz w:val="20"/>
                <w:szCs w:val="20"/>
                <w:lang w:val="en-GB" w:eastAsia="en-IE"/>
              </w:rPr>
              <w:t xml:space="preserve">a mapping of research, development and innovation resources, including equipment and infrastructures, related to the thematic areas of the missions, also to be upgraded and used in a shared manner by the applicants. </w:t>
            </w:r>
          </w:p>
          <w:p w14:paraId="1C73D5C3" w14:textId="77777777" w:rsidR="001466C3" w:rsidRPr="009F5E22" w:rsidRDefault="001466C3" w:rsidP="001466C3">
            <w:pPr>
              <w:numPr>
                <w:ilvl w:val="0"/>
                <w:numId w:val="104"/>
              </w:numPr>
              <w:spacing w:after="0" w:line="240" w:lineRule="auto"/>
              <w:ind w:left="299" w:hanging="284"/>
              <w:contextualSpacing/>
              <w:jc w:val="both"/>
              <w:rPr>
                <w:rFonts w:ascii="Times New Roman" w:hAnsi="Times New Roman" w:cs="Times New Roman"/>
                <w:noProof/>
                <w:sz w:val="20"/>
                <w:szCs w:val="20"/>
                <w:lang w:val="en-GB" w:eastAsia="en-IE"/>
              </w:rPr>
            </w:pPr>
            <w:r w:rsidRPr="009F5E22">
              <w:rPr>
                <w:rFonts w:ascii="Times New Roman" w:hAnsi="Times New Roman" w:cs="Times New Roman"/>
                <w:noProof/>
                <w:sz w:val="20"/>
                <w:szCs w:val="20"/>
                <w:lang w:val="en-GB" w:eastAsia="en-IE"/>
              </w:rPr>
              <w:t>An eligible budget that is maximum EUR 5 million/project and with a minimum number of 5 partners (5 public research, development and innovation organizations + 5 private research, development and innovation organizations). There shall be a maximum budget for SMEs, of EUR 200 000 and a maximum budget for a public research, development and innovation organization of EUR 500 000. SMEs shall co-fund research and innovation activities with 25%.</w:t>
            </w:r>
          </w:p>
          <w:p w14:paraId="22DC6E36" w14:textId="77777777" w:rsidR="001466C3" w:rsidRPr="009F5E22" w:rsidRDefault="001466C3" w:rsidP="001466C3">
            <w:pPr>
              <w:numPr>
                <w:ilvl w:val="0"/>
                <w:numId w:val="104"/>
              </w:numPr>
              <w:spacing w:after="0" w:line="240" w:lineRule="auto"/>
              <w:ind w:left="299" w:hanging="284"/>
              <w:contextualSpacing/>
              <w:jc w:val="both"/>
              <w:rPr>
                <w:rFonts w:ascii="Times New Roman" w:hAnsi="Times New Roman" w:cs="Times New Roman"/>
                <w:noProof/>
                <w:sz w:val="20"/>
                <w:szCs w:val="20"/>
                <w:lang w:val="en-GB" w:eastAsia="en-IE"/>
              </w:rPr>
            </w:pPr>
            <w:r w:rsidRPr="009F5E22">
              <w:rPr>
                <w:rFonts w:ascii="Times New Roman" w:hAnsi="Times New Roman" w:cs="Times New Roman"/>
                <w:noProof/>
                <w:sz w:val="20"/>
                <w:szCs w:val="20"/>
                <w:lang w:val="en-GB" w:eastAsia="en-IE"/>
              </w:rPr>
              <w:t>An engagement with public authorities at various levels of governance and civil society in order to implement research, development and innovation solutions related to the Horizon Europe missions. As such, public authorities shall be involved as third parties without being directly linked to the research consortium of the competence centre and shall be among the recipients of some of the products/services/solutions identified by researcher from Competence Centres.</w:t>
            </w:r>
          </w:p>
          <w:p w14:paraId="7D7CD55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Each selected Centre of Competences shall aim to support at least 3 applications above the threshold to Horizon Europe by 2026.</w:t>
            </w:r>
          </w:p>
        </w:tc>
      </w:tr>
    </w:tbl>
    <w:p w14:paraId="4E828F32" w14:textId="77777777" w:rsidR="008D6D49" w:rsidRPr="00291374" w:rsidRDefault="008D6D49" w:rsidP="008D6D49">
      <w:pPr>
        <w:spacing w:before="120" w:after="120" w:line="240" w:lineRule="auto"/>
        <w:jc w:val="both"/>
        <w:rPr>
          <w:rFonts w:ascii="Times New Roman" w:hAnsi="Times New Roman" w:cs="Times New Roman"/>
          <w:noProof/>
          <w:lang w:val="en-GB"/>
        </w:rPr>
      </w:pPr>
    </w:p>
    <w:p w14:paraId="01BC57D2" w14:textId="77777777" w:rsidR="008D6D49" w:rsidRPr="00291374" w:rsidRDefault="008D6D49" w:rsidP="008D6D49">
      <w:pPr>
        <w:spacing w:before="120" w:after="120" w:line="240" w:lineRule="auto"/>
        <w:jc w:val="both"/>
        <w:rPr>
          <w:rFonts w:ascii="Times New Roman" w:hAnsi="Times New Roman" w:cs="Times New Roman"/>
          <w:noProof/>
          <w:lang w:val="en-GB"/>
        </w:rPr>
      </w:pPr>
    </w:p>
    <w:p w14:paraId="3181C0EC" w14:textId="77777777" w:rsidR="008D6D49" w:rsidRPr="00291374" w:rsidRDefault="008D6D49" w:rsidP="008D6D49">
      <w:pPr>
        <w:rPr>
          <w:rFonts w:ascii="Times New Roman" w:hAnsi="Times New Roman" w:cs="Times New Roman"/>
          <w:noProof/>
          <w:lang w:val="en-GB"/>
        </w:rPr>
        <w:sectPr w:rsidR="008D6D49" w:rsidRPr="00291374" w:rsidSect="008D6D49">
          <w:headerReference w:type="even" r:id="rId228"/>
          <w:headerReference w:type="default" r:id="rId229"/>
          <w:footerReference w:type="even" r:id="rId230"/>
          <w:footerReference w:type="default" r:id="rId231"/>
          <w:headerReference w:type="first" r:id="rId232"/>
          <w:footerReference w:type="first" r:id="rId233"/>
          <w:pgSz w:w="16839" w:h="11907" w:orient="landscape"/>
          <w:pgMar w:top="1134" w:right="1134" w:bottom="1134" w:left="1134" w:header="567" w:footer="567" w:gutter="0"/>
          <w:cols w:space="720"/>
          <w:docGrid w:linePitch="360"/>
        </w:sectPr>
      </w:pPr>
    </w:p>
    <w:p w14:paraId="5404E11E" w14:textId="09C0A1BA" w:rsidR="00E51A4F" w:rsidRPr="00291374" w:rsidRDefault="00E51A4F" w:rsidP="00E51A4F">
      <w:pPr>
        <w:keepNext/>
        <w:numPr>
          <w:ilvl w:val="0"/>
          <w:numId w:val="46"/>
        </w:numPr>
        <w:tabs>
          <w:tab w:val="left" w:pos="850"/>
        </w:tabs>
        <w:spacing w:before="360" w:after="120" w:line="240" w:lineRule="auto"/>
        <w:jc w:val="both"/>
        <w:outlineLvl w:val="0"/>
        <w:rPr>
          <w:rFonts w:ascii="Times New Roman" w:hAnsi="Times New Roman" w:cs="Times New Roman"/>
          <w:b/>
          <w:bCs/>
          <w:smallCaps/>
          <w:noProof/>
          <w:lang w:val="en-GB"/>
        </w:rPr>
      </w:pPr>
      <w:r w:rsidRPr="00291374">
        <w:rPr>
          <w:rFonts w:ascii="Times New Roman" w:hAnsi="Times New Roman" w:cs="Times New Roman"/>
          <w:b/>
          <w:smallCaps/>
          <w:noProof/>
          <w:lang w:val="en-GB"/>
        </w:rPr>
        <w:t xml:space="preserve">COMPONENT 10: Local Fund </w:t>
      </w:r>
    </w:p>
    <w:p w14:paraId="5A3D2433" w14:textId="77777777"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This component of the recovery and resilience plan addresses challenges related to territorial and social disparities in urban and rural areas, as well as urban mobility. </w:t>
      </w:r>
    </w:p>
    <w:p w14:paraId="76A28C5E" w14:textId="4EEE05A6"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this component is to support an urban and rural transformation through the use of green and digital solutions. The reforms supporting the investments include regulatory changes to support the functional urban and rural areas approach, through the implementation of metropolitan areas and of administrative consortia to increase access to local public social services, education, healthcare, housing and improved territorial planning. The component also includes reforms for sustainable urban mobility and should be seen in connection with the “Sustainable Transport” component. The investments supported by these reforms relate to the construction of housing facilities for vulnerable youngsters, health and education professionals, the renewal of public transport fleets, infrastructure for green and more secure transport, modernisation of local public buildings, and preparation/updating of spatial planning and urban planning documents in a digital format.</w:t>
      </w:r>
      <w:r w:rsidR="00D23D91">
        <w:rPr>
          <w:rFonts w:ascii="Times New Roman" w:hAnsi="Times New Roman" w:cs="Times New Roman"/>
          <w:noProof/>
          <w:lang w:val="en-GB"/>
        </w:rPr>
        <w:t xml:space="preserve"> </w:t>
      </w:r>
    </w:p>
    <w:p w14:paraId="54EFFC2A" w14:textId="77777777"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reforms and investments shall contribute to addressing the country-specific recommendations (country-specific recommendations) conveyed to Romania in 2019 and 2020, on the need to: (i) “focus investment on the green and digital transition, in particular on sustainable transport, digital service infrastructure” (country-specific recommendation 3, 2020) while “taking into account regional disparities” (country-specific recommendation 4, 2019); (ii) “provide adequate income substitution solutions and expand social protection measures and access to essential services for all” (country-specific recommendation 2, 2020) and “increase the coverage and quality of social services (country-specific recommendation 3, 2019); (iii) “improve the quality and effectiveness of public administration and the predictability of decision-making” (country-specific recommendation 4, 2020).</w:t>
      </w:r>
    </w:p>
    <w:p w14:paraId="15A9C794" w14:textId="77777777"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2D5A36F5" w14:textId="77777777" w:rsidR="00E51A4F" w:rsidRPr="00291374" w:rsidRDefault="00E51A4F" w:rsidP="00E51A4F">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J.1. </w:t>
      </w:r>
      <w:r w:rsidRPr="00291374">
        <w:rPr>
          <w:rFonts w:ascii="Times New Roman" w:hAnsi="Times New Roman" w:cs="Times New Roman"/>
          <w:noProof/>
          <w:lang w:val="en-GB"/>
        </w:rPr>
        <w:tab/>
      </w:r>
      <w:r w:rsidRPr="00291374">
        <w:rPr>
          <w:rFonts w:ascii="Times New Roman" w:hAnsi="Times New Roman" w:cs="Times New Roman"/>
          <w:b/>
          <w:noProof/>
          <w:lang w:val="en-GB"/>
        </w:rPr>
        <w:t>Description of the reforms and investments for non-repayable financial support</w:t>
      </w:r>
    </w:p>
    <w:p w14:paraId="78FB25B3" w14:textId="77777777" w:rsidR="00E51A4F" w:rsidRPr="00291374" w:rsidRDefault="00E51A4F" w:rsidP="00E51A4F">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 xml:space="preserve">Reform 1. Creating the framework for sustainable urban mobility </w:t>
      </w:r>
    </w:p>
    <w:p w14:paraId="55E235EB" w14:textId="77777777"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the reform is to support mobility in urban and rural areas, through digital and green transportation solutions. </w:t>
      </w:r>
    </w:p>
    <w:p w14:paraId="623B55CE" w14:textId="77777777" w:rsidR="00E51A4F" w:rsidRPr="00291374" w:rsidRDefault="00E51A4F" w:rsidP="00E51A4F">
      <w:pPr>
        <w:spacing w:before="120" w:after="120" w:line="240" w:lineRule="auto"/>
        <w:jc w:val="both"/>
        <w:rPr>
          <w:rFonts w:ascii="Times New Roman" w:hAnsi="Times New Roman" w:cs="Times New Roman"/>
          <w:b/>
          <w:noProof/>
          <w:lang w:val="en-GB"/>
        </w:rPr>
      </w:pPr>
      <w:r w:rsidRPr="00291374">
        <w:rPr>
          <w:rFonts w:ascii="Times New Roman" w:hAnsi="Times New Roman" w:cs="Times New Roman"/>
          <w:noProof/>
          <w:lang w:val="en-GB"/>
        </w:rPr>
        <w:t xml:space="preserve">The reform consists in the entry into force of legal acts for sustainable urban mobility, including measures to stimulate the renewal of the public transport fleet with clean vehicles, increase road safety and secure minimum national quality standards. </w:t>
      </w:r>
    </w:p>
    <w:p w14:paraId="1957AD16" w14:textId="77777777" w:rsidR="00E51A4F" w:rsidRPr="00291374" w:rsidRDefault="00E51A4F" w:rsidP="00E51A4F">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 xml:space="preserve">Investment 1. Sustainable urban mobility </w:t>
      </w:r>
    </w:p>
    <w:p w14:paraId="5397D206" w14:textId="77777777"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increase access to sustainable and safe mobility solutions in urban and rural areas. </w:t>
      </w:r>
    </w:p>
    <w:p w14:paraId="02611064" w14:textId="77777777"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investment consists in purchasing</w:t>
      </w:r>
      <w:r w:rsidRPr="00291374" w:rsidDel="00CC4FFE">
        <w:rPr>
          <w:rFonts w:ascii="Times New Roman" w:hAnsi="Times New Roman" w:cs="Times New Roman"/>
          <w:noProof/>
          <w:lang w:val="en-GB"/>
        </w:rPr>
        <w:t xml:space="preserve"> </w:t>
      </w:r>
      <w:r w:rsidRPr="00291374">
        <w:rPr>
          <w:rFonts w:ascii="Times New Roman" w:hAnsi="Times New Roman" w:cs="Times New Roman"/>
          <w:noProof/>
          <w:lang w:val="en-GB"/>
        </w:rPr>
        <w:t>zero-emissions public transport vehicles, connecting charging points for electric vehicles to the electricity grid, providing intelligent transport systems and other ICT infrastructure</w:t>
      </w:r>
      <w:r w:rsidRPr="00291374" w:rsidDel="00B9322A">
        <w:rPr>
          <w:rFonts w:ascii="Times New Roman" w:hAnsi="Times New Roman" w:cs="Times New Roman"/>
          <w:noProof/>
          <w:lang w:val="en-GB"/>
        </w:rPr>
        <w:t xml:space="preserve"> </w:t>
      </w:r>
      <w:r w:rsidRPr="00291374">
        <w:rPr>
          <w:rFonts w:ascii="Times New Roman" w:hAnsi="Times New Roman" w:cs="Times New Roman"/>
          <w:noProof/>
          <w:lang w:val="en-GB"/>
        </w:rPr>
        <w:t>and constructing 644 km of cycling lanes.</w:t>
      </w:r>
    </w:p>
    <w:p w14:paraId="485C0DF0" w14:textId="77777777" w:rsidR="00E51A4F" w:rsidRPr="00291374" w:rsidRDefault="00E51A4F" w:rsidP="00E51A4F">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 xml:space="preserve">Investment 3a. Renovation of public buildings to support better public service delivery by administrative territorial units </w:t>
      </w:r>
    </w:p>
    <w:p w14:paraId="0E8F7A72" w14:textId="77777777"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support the delivery of local public services. </w:t>
      </w:r>
    </w:p>
    <w:p w14:paraId="31591B1E" w14:textId="77777777"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This measure finances renovation of public buildings. </w:t>
      </w:r>
    </w:p>
    <w:p w14:paraId="42720E1D" w14:textId="77777777"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complements Investment 3:</w:t>
      </w:r>
      <w:r w:rsidRPr="00291374">
        <w:rPr>
          <w:rFonts w:ascii="Times New Roman" w:hAnsi="Times New Roman" w:cs="Times New Roman"/>
          <w:noProof/>
        </w:rPr>
        <w:t xml:space="preserve"> </w:t>
      </w:r>
      <w:r w:rsidRPr="00291374">
        <w:rPr>
          <w:rFonts w:ascii="Times New Roman" w:hAnsi="Times New Roman" w:cs="Times New Roman"/>
          <w:noProof/>
          <w:lang w:val="en-GB"/>
        </w:rPr>
        <w:t>Renovation of public buildings to support better public service delivery by administrative territorial units.</w:t>
      </w:r>
    </w:p>
    <w:p w14:paraId="2C943B90" w14:textId="77777777" w:rsidR="00E51A4F" w:rsidRPr="00291374" w:rsidRDefault="00E51A4F" w:rsidP="00E51A4F">
      <w:pPr>
        <w:spacing w:before="120" w:after="120" w:line="240" w:lineRule="auto"/>
        <w:jc w:val="both"/>
        <w:rPr>
          <w:rFonts w:ascii="Times New Roman" w:hAnsi="Times New Roman" w:cs="Times New Roman"/>
          <w:noProof/>
          <w:lang w:val="en-GB"/>
        </w:rPr>
      </w:pPr>
    </w:p>
    <w:p w14:paraId="4DBDD2A9" w14:textId="77777777" w:rsidR="00E51A4F" w:rsidRPr="00291374" w:rsidRDefault="00E51A4F" w:rsidP="00E51A4F">
      <w:pPr>
        <w:rPr>
          <w:rFonts w:ascii="Times New Roman" w:hAnsi="Times New Roman" w:cs="Times New Roman"/>
          <w:noProof/>
          <w:lang w:val="en-GB"/>
        </w:rPr>
      </w:pPr>
    </w:p>
    <w:p w14:paraId="064784F3" w14:textId="77777777" w:rsidR="00E51A4F" w:rsidRPr="00291374" w:rsidRDefault="00E51A4F" w:rsidP="00E51A4F">
      <w:pPr>
        <w:spacing w:before="120" w:after="120" w:line="240" w:lineRule="auto"/>
        <w:jc w:val="both"/>
        <w:rPr>
          <w:rFonts w:ascii="Times New Roman" w:hAnsi="Times New Roman" w:cs="Times New Roman"/>
          <w:noProof/>
          <w:lang w:val="en-GB"/>
        </w:rPr>
        <w:sectPr w:rsidR="00E51A4F" w:rsidRPr="00291374" w:rsidSect="00E51A4F">
          <w:headerReference w:type="even" r:id="rId234"/>
          <w:headerReference w:type="default" r:id="rId235"/>
          <w:footerReference w:type="even" r:id="rId236"/>
          <w:footerReference w:type="default" r:id="rId237"/>
          <w:headerReference w:type="first" r:id="rId238"/>
          <w:footerReference w:type="first" r:id="rId239"/>
          <w:pgSz w:w="11907" w:h="16839"/>
          <w:pgMar w:top="1134" w:right="1134" w:bottom="1134" w:left="1134" w:header="567" w:footer="567" w:gutter="0"/>
          <w:cols w:space="720"/>
          <w:docGrid w:linePitch="360"/>
        </w:sectPr>
      </w:pPr>
    </w:p>
    <w:p w14:paraId="00C412CE" w14:textId="77777777" w:rsidR="00E51A4F" w:rsidRPr="00291374" w:rsidRDefault="00E51A4F" w:rsidP="00E51A4F">
      <w:pPr>
        <w:keepNext/>
        <w:spacing w:before="120" w:after="120" w:line="240" w:lineRule="auto"/>
        <w:ind w:firstLine="720"/>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J.2. </w:t>
      </w:r>
      <w:r w:rsidRPr="00291374">
        <w:rPr>
          <w:rFonts w:ascii="Times New Roman" w:hAnsi="Times New Roman" w:cs="Times New Roman"/>
          <w:noProof/>
          <w:lang w:val="en-GB"/>
        </w:rPr>
        <w:tab/>
      </w:r>
      <w:r w:rsidRPr="00291374">
        <w:rPr>
          <w:rFonts w:ascii="Times New Roman" w:hAnsi="Times New Roman" w:cs="Times New Roman"/>
          <w:b/>
          <w:noProof/>
          <w:lang w:val="en-GB"/>
        </w:rPr>
        <w:t>Milestones, targets, indicators, and timetable for monitoring and implementation for non-repayable financial support</w:t>
      </w:r>
    </w:p>
    <w:tbl>
      <w:tblPr>
        <w:tblW w:w="15451" w:type="dxa"/>
        <w:jc w:val="center"/>
        <w:tblLayout w:type="fixed"/>
        <w:tblLook w:val="04A0" w:firstRow="1" w:lastRow="0" w:firstColumn="1" w:lastColumn="0" w:noHBand="0" w:noVBand="1"/>
      </w:tblPr>
      <w:tblGrid>
        <w:gridCol w:w="795"/>
        <w:gridCol w:w="1569"/>
        <w:gridCol w:w="1316"/>
        <w:gridCol w:w="1440"/>
        <w:gridCol w:w="1538"/>
        <w:gridCol w:w="1275"/>
        <w:gridCol w:w="1276"/>
        <w:gridCol w:w="1276"/>
        <w:gridCol w:w="1134"/>
        <w:gridCol w:w="845"/>
        <w:gridCol w:w="2987"/>
      </w:tblGrid>
      <w:tr w:rsidR="00E51A4F" w:rsidRPr="009F5E22" w14:paraId="01061E84" w14:textId="77777777">
        <w:trPr>
          <w:trHeight w:val="774"/>
          <w:tblHeader/>
          <w:jc w:val="center"/>
        </w:trPr>
        <w:tc>
          <w:tcPr>
            <w:tcW w:w="79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D1228F9" w14:textId="77777777" w:rsidR="00E51A4F" w:rsidRPr="009F5E22" w:rsidRDefault="00E51A4F">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Seq. Num.</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BAC4E1" w14:textId="77777777" w:rsidR="00E51A4F" w:rsidRPr="009F5E22" w:rsidRDefault="00E51A4F">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Related Measure (Reform or Investment)</w:t>
            </w:r>
          </w:p>
        </w:tc>
        <w:tc>
          <w:tcPr>
            <w:tcW w:w="131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1FCAD2" w14:textId="77777777" w:rsidR="00E51A4F" w:rsidRPr="009F5E22" w:rsidRDefault="00E51A4F">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Milestone / Target</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B4C763" w14:textId="77777777" w:rsidR="00E51A4F" w:rsidRPr="009F5E22" w:rsidRDefault="00E51A4F">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Name</w:t>
            </w:r>
          </w:p>
        </w:tc>
        <w:tc>
          <w:tcPr>
            <w:tcW w:w="15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51E66C" w14:textId="77777777" w:rsidR="00E51A4F" w:rsidRPr="009F5E22" w:rsidRDefault="00E51A4F">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 xml:space="preserve">Qualitative indicators </w:t>
            </w:r>
            <w:r w:rsidRPr="009F5E22">
              <w:rPr>
                <w:rFonts w:ascii="Times New Roman" w:hAnsi="Times New Roman" w:cs="Times New Roman"/>
                <w:noProof/>
                <w:sz w:val="20"/>
                <w:szCs w:val="20"/>
                <w:lang w:val="en-GB"/>
              </w:rPr>
              <w:br/>
            </w:r>
            <w:r w:rsidRPr="009F5E22">
              <w:rPr>
                <w:rFonts w:ascii="Times New Roman" w:hAnsi="Times New Roman" w:cs="Times New Roman"/>
                <w:b/>
                <w:noProof/>
                <w:sz w:val="20"/>
                <w:szCs w:val="20"/>
                <w:lang w:val="en-GB"/>
              </w:rPr>
              <w:t>(for milestones)</w:t>
            </w:r>
          </w:p>
        </w:tc>
        <w:tc>
          <w:tcPr>
            <w:tcW w:w="382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D01A5AF" w14:textId="77777777" w:rsidR="00E51A4F" w:rsidRPr="009F5E22" w:rsidRDefault="00E51A4F">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 xml:space="preserve">Quantitative indicators </w:t>
            </w:r>
            <w:r w:rsidRPr="009F5E22">
              <w:rPr>
                <w:rFonts w:ascii="Times New Roman" w:hAnsi="Times New Roman" w:cs="Times New Roman"/>
                <w:noProof/>
                <w:sz w:val="20"/>
                <w:szCs w:val="20"/>
                <w:lang w:val="en-GB"/>
              </w:rPr>
              <w:br/>
            </w:r>
            <w:r w:rsidRPr="009F5E22">
              <w:rPr>
                <w:rFonts w:ascii="Times New Roman" w:hAnsi="Times New Roman" w:cs="Times New Roman"/>
                <w:b/>
                <w:noProof/>
                <w:sz w:val="20"/>
                <w:szCs w:val="20"/>
                <w:lang w:val="en-GB"/>
              </w:rPr>
              <w:t>(for targets)</w:t>
            </w:r>
          </w:p>
        </w:tc>
        <w:tc>
          <w:tcPr>
            <w:tcW w:w="1979" w:type="dxa"/>
            <w:gridSpan w:val="2"/>
            <w:tcBorders>
              <w:top w:val="single" w:sz="4" w:space="0" w:color="auto"/>
              <w:left w:val="nil"/>
              <w:bottom w:val="single" w:sz="4" w:space="0" w:color="auto"/>
              <w:right w:val="single" w:sz="4" w:space="0" w:color="auto"/>
            </w:tcBorders>
            <w:shd w:val="clear" w:color="auto" w:fill="BDD7EE"/>
            <w:vAlign w:val="center"/>
            <w:hideMark/>
          </w:tcPr>
          <w:p w14:paraId="533E0C5B" w14:textId="77777777" w:rsidR="00E51A4F" w:rsidRPr="009F5E22" w:rsidRDefault="00E51A4F">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 xml:space="preserve">Indicative timeline for completion </w:t>
            </w:r>
          </w:p>
        </w:tc>
        <w:tc>
          <w:tcPr>
            <w:tcW w:w="298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6CDA79" w14:textId="77777777" w:rsidR="00E51A4F" w:rsidRPr="009F5E22" w:rsidRDefault="00E51A4F">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Description of each milestone and target</w:t>
            </w:r>
          </w:p>
        </w:tc>
      </w:tr>
      <w:tr w:rsidR="00E51A4F" w:rsidRPr="009F5E22" w14:paraId="64F8A298" w14:textId="77777777" w:rsidTr="00840998">
        <w:trPr>
          <w:trHeight w:val="502"/>
          <w:tblHeader/>
          <w:jc w:val="center"/>
        </w:trPr>
        <w:tc>
          <w:tcPr>
            <w:tcW w:w="795" w:type="dxa"/>
            <w:vMerge/>
            <w:tcBorders>
              <w:top w:val="single" w:sz="4" w:space="0" w:color="auto"/>
              <w:left w:val="single" w:sz="4" w:space="0" w:color="auto"/>
              <w:bottom w:val="single" w:sz="4" w:space="0" w:color="auto"/>
              <w:right w:val="single" w:sz="4" w:space="0" w:color="auto"/>
            </w:tcBorders>
            <w:hideMark/>
          </w:tcPr>
          <w:p w14:paraId="62CD5729" w14:textId="77777777" w:rsidR="00E51A4F" w:rsidRPr="009F5E22" w:rsidRDefault="00E51A4F">
            <w:pPr>
              <w:spacing w:after="0" w:line="240" w:lineRule="auto"/>
              <w:jc w:val="center"/>
              <w:rPr>
                <w:rFonts w:ascii="Times New Roman" w:eastAsia="Times New Roman" w:hAnsi="Times New Roman" w:cs="Times New Roman"/>
                <w:b/>
                <w:noProof/>
                <w:sz w:val="20"/>
                <w:szCs w:val="20"/>
                <w:lang w:val="en-GB" w:eastAsia="en-GB"/>
              </w:rPr>
            </w:pPr>
          </w:p>
        </w:tc>
        <w:tc>
          <w:tcPr>
            <w:tcW w:w="1569" w:type="dxa"/>
            <w:vMerge/>
            <w:tcBorders>
              <w:top w:val="single" w:sz="4" w:space="0" w:color="auto"/>
              <w:left w:val="single" w:sz="4" w:space="0" w:color="auto"/>
              <w:bottom w:val="single" w:sz="4" w:space="0" w:color="auto"/>
              <w:right w:val="single" w:sz="4" w:space="0" w:color="auto"/>
            </w:tcBorders>
            <w:hideMark/>
          </w:tcPr>
          <w:p w14:paraId="7A95BC59" w14:textId="77777777" w:rsidR="00E51A4F" w:rsidRPr="009F5E22" w:rsidRDefault="00E51A4F">
            <w:pPr>
              <w:spacing w:after="0" w:line="240" w:lineRule="auto"/>
              <w:rPr>
                <w:rFonts w:ascii="Times New Roman" w:eastAsia="Times New Roman" w:hAnsi="Times New Roman" w:cs="Times New Roman"/>
                <w:b/>
                <w:noProof/>
                <w:sz w:val="20"/>
                <w:szCs w:val="20"/>
                <w:lang w:val="en-GB" w:eastAsia="en-GB"/>
              </w:rPr>
            </w:pPr>
          </w:p>
        </w:tc>
        <w:tc>
          <w:tcPr>
            <w:tcW w:w="1316" w:type="dxa"/>
            <w:vMerge/>
            <w:tcBorders>
              <w:top w:val="single" w:sz="4" w:space="0" w:color="auto"/>
              <w:left w:val="single" w:sz="4" w:space="0" w:color="auto"/>
              <w:bottom w:val="single" w:sz="4" w:space="0" w:color="auto"/>
              <w:right w:val="single" w:sz="4" w:space="0" w:color="auto"/>
            </w:tcBorders>
            <w:hideMark/>
          </w:tcPr>
          <w:p w14:paraId="5D67A2AF" w14:textId="77777777" w:rsidR="00E51A4F" w:rsidRPr="009F5E22" w:rsidRDefault="00E51A4F">
            <w:pPr>
              <w:spacing w:after="0" w:line="240" w:lineRule="auto"/>
              <w:jc w:val="center"/>
              <w:rPr>
                <w:rFonts w:ascii="Times New Roman" w:eastAsia="Times New Roman" w:hAnsi="Times New Roman" w:cs="Times New Roman"/>
                <w:b/>
                <w:noProof/>
                <w:sz w:val="20"/>
                <w:szCs w:val="20"/>
                <w:lang w:val="en-GB" w:eastAsia="en-GB"/>
              </w:rPr>
            </w:pPr>
          </w:p>
        </w:tc>
        <w:tc>
          <w:tcPr>
            <w:tcW w:w="1440" w:type="dxa"/>
            <w:vMerge/>
            <w:tcBorders>
              <w:top w:val="single" w:sz="4" w:space="0" w:color="auto"/>
              <w:left w:val="single" w:sz="4" w:space="0" w:color="auto"/>
              <w:bottom w:val="single" w:sz="4" w:space="0" w:color="auto"/>
              <w:right w:val="single" w:sz="4" w:space="0" w:color="auto"/>
            </w:tcBorders>
            <w:hideMark/>
          </w:tcPr>
          <w:p w14:paraId="6BD8F341" w14:textId="77777777" w:rsidR="00E51A4F" w:rsidRPr="009F5E22" w:rsidRDefault="00E51A4F">
            <w:pPr>
              <w:spacing w:after="0" w:line="240" w:lineRule="auto"/>
              <w:rPr>
                <w:rFonts w:ascii="Times New Roman" w:eastAsia="Times New Roman" w:hAnsi="Times New Roman" w:cs="Times New Roman"/>
                <w:b/>
                <w:noProof/>
                <w:sz w:val="20"/>
                <w:szCs w:val="20"/>
                <w:lang w:val="en-GB" w:eastAsia="en-GB"/>
              </w:rPr>
            </w:pPr>
          </w:p>
        </w:tc>
        <w:tc>
          <w:tcPr>
            <w:tcW w:w="1538" w:type="dxa"/>
            <w:vMerge/>
            <w:tcBorders>
              <w:top w:val="single" w:sz="4" w:space="0" w:color="auto"/>
              <w:left w:val="single" w:sz="4" w:space="0" w:color="auto"/>
              <w:bottom w:val="single" w:sz="4" w:space="0" w:color="auto"/>
              <w:right w:val="single" w:sz="4" w:space="0" w:color="auto"/>
            </w:tcBorders>
            <w:hideMark/>
          </w:tcPr>
          <w:p w14:paraId="7CF90317" w14:textId="77777777" w:rsidR="00E51A4F" w:rsidRPr="009F5E22" w:rsidRDefault="00E51A4F">
            <w:pPr>
              <w:spacing w:after="0" w:line="240" w:lineRule="auto"/>
              <w:rPr>
                <w:rFonts w:ascii="Times New Roman" w:eastAsia="Times New Roman" w:hAnsi="Times New Roman" w:cs="Times New Roman"/>
                <w:b/>
                <w:noProof/>
                <w:sz w:val="20"/>
                <w:szCs w:val="20"/>
                <w:lang w:val="en-GB" w:eastAsia="en-GB"/>
              </w:rPr>
            </w:pPr>
          </w:p>
        </w:tc>
        <w:tc>
          <w:tcPr>
            <w:tcW w:w="127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7F87A92" w14:textId="77777777" w:rsidR="00E51A4F" w:rsidRPr="009F5E22" w:rsidRDefault="00E51A4F">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Unit of measure</w:t>
            </w:r>
          </w:p>
        </w:tc>
        <w:tc>
          <w:tcPr>
            <w:tcW w:w="12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831E90" w14:textId="77777777" w:rsidR="00E51A4F" w:rsidRPr="009F5E22" w:rsidRDefault="00E51A4F">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 xml:space="preserve">Baseline </w:t>
            </w:r>
          </w:p>
        </w:tc>
        <w:tc>
          <w:tcPr>
            <w:tcW w:w="12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B3846F7" w14:textId="77777777" w:rsidR="00E51A4F" w:rsidRPr="009F5E22" w:rsidRDefault="00E51A4F">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 xml:space="preserve">Goal </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907449A" w14:textId="77777777" w:rsidR="00E51A4F" w:rsidRPr="009F5E22" w:rsidRDefault="00E51A4F">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Quarter</w:t>
            </w:r>
          </w:p>
        </w:tc>
        <w:tc>
          <w:tcPr>
            <w:tcW w:w="84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6DF9DBD" w14:textId="77777777" w:rsidR="00E51A4F" w:rsidRPr="009F5E22" w:rsidRDefault="00E51A4F">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Year</w:t>
            </w:r>
          </w:p>
        </w:tc>
        <w:tc>
          <w:tcPr>
            <w:tcW w:w="2987" w:type="dxa"/>
            <w:vMerge/>
            <w:tcBorders>
              <w:top w:val="single" w:sz="4" w:space="0" w:color="auto"/>
              <w:bottom w:val="single" w:sz="4" w:space="0" w:color="auto"/>
              <w:right w:val="single" w:sz="4" w:space="0" w:color="auto"/>
            </w:tcBorders>
            <w:hideMark/>
          </w:tcPr>
          <w:p w14:paraId="3BB334AD" w14:textId="77777777" w:rsidR="00E51A4F" w:rsidRPr="009F5E22" w:rsidRDefault="00E51A4F">
            <w:pPr>
              <w:spacing w:after="0" w:line="240" w:lineRule="auto"/>
              <w:rPr>
                <w:rFonts w:ascii="Times New Roman" w:eastAsia="Times New Roman" w:hAnsi="Times New Roman" w:cs="Times New Roman"/>
                <w:b/>
                <w:noProof/>
                <w:sz w:val="20"/>
                <w:szCs w:val="20"/>
                <w:lang w:val="en-GB" w:eastAsia="en-GB"/>
              </w:rPr>
            </w:pPr>
          </w:p>
        </w:tc>
      </w:tr>
      <w:tr w:rsidR="00E51A4F" w:rsidRPr="009F5E22" w14:paraId="3F826511" w14:textId="77777777">
        <w:trPr>
          <w:trHeight w:val="309"/>
          <w:jc w:val="center"/>
        </w:trPr>
        <w:tc>
          <w:tcPr>
            <w:tcW w:w="795" w:type="dxa"/>
            <w:tcBorders>
              <w:top w:val="single" w:sz="4" w:space="0" w:color="auto"/>
              <w:left w:val="single" w:sz="4" w:space="0" w:color="auto"/>
              <w:bottom w:val="single" w:sz="4" w:space="0" w:color="auto"/>
              <w:right w:val="single" w:sz="4" w:space="0" w:color="auto"/>
            </w:tcBorders>
            <w:shd w:val="clear" w:color="auto" w:fill="C6EFCE"/>
            <w:noWrap/>
          </w:tcPr>
          <w:p w14:paraId="31828194"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288</w:t>
            </w:r>
          </w:p>
        </w:tc>
        <w:tc>
          <w:tcPr>
            <w:tcW w:w="1569" w:type="dxa"/>
            <w:tcBorders>
              <w:top w:val="single" w:sz="4" w:space="0" w:color="auto"/>
              <w:left w:val="nil"/>
              <w:bottom w:val="single" w:sz="4" w:space="0" w:color="auto"/>
              <w:right w:val="single" w:sz="4" w:space="0" w:color="auto"/>
            </w:tcBorders>
            <w:shd w:val="clear" w:color="auto" w:fill="C6EFCE"/>
            <w:noWrap/>
          </w:tcPr>
          <w:p w14:paraId="76B1D4DE"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Reform 1. Creating the framework for sustainable urban mobility </w:t>
            </w:r>
          </w:p>
        </w:tc>
        <w:tc>
          <w:tcPr>
            <w:tcW w:w="1316" w:type="dxa"/>
            <w:tcBorders>
              <w:top w:val="single" w:sz="4" w:space="0" w:color="auto"/>
              <w:left w:val="nil"/>
              <w:bottom w:val="single" w:sz="4" w:space="0" w:color="auto"/>
              <w:right w:val="single" w:sz="4" w:space="0" w:color="auto"/>
            </w:tcBorders>
            <w:shd w:val="clear" w:color="auto" w:fill="C6EFCE"/>
            <w:noWrap/>
          </w:tcPr>
          <w:p w14:paraId="1F403B24"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40" w:type="dxa"/>
            <w:tcBorders>
              <w:top w:val="single" w:sz="4" w:space="0" w:color="auto"/>
              <w:left w:val="nil"/>
              <w:bottom w:val="single" w:sz="4" w:space="0" w:color="auto"/>
              <w:right w:val="single" w:sz="4" w:space="0" w:color="auto"/>
            </w:tcBorders>
            <w:shd w:val="clear" w:color="auto" w:fill="C6EFCE"/>
            <w:noWrap/>
          </w:tcPr>
          <w:p w14:paraId="7E299C88"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Entry into force of legislation in the field of sustainable urban mobility </w:t>
            </w:r>
          </w:p>
        </w:tc>
        <w:tc>
          <w:tcPr>
            <w:tcW w:w="1538" w:type="dxa"/>
            <w:tcBorders>
              <w:top w:val="single" w:sz="4" w:space="0" w:color="auto"/>
              <w:left w:val="nil"/>
              <w:bottom w:val="single" w:sz="4" w:space="0" w:color="auto"/>
              <w:right w:val="single" w:sz="4" w:space="0" w:color="auto"/>
            </w:tcBorders>
            <w:shd w:val="clear" w:color="auto" w:fill="C6EFCE"/>
            <w:noWrap/>
          </w:tcPr>
          <w:p w14:paraId="1D67000D"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Provision in the law indicating the entry into force of the sustainable urban mobility legislative act</w:t>
            </w:r>
          </w:p>
        </w:tc>
        <w:tc>
          <w:tcPr>
            <w:tcW w:w="1275" w:type="dxa"/>
            <w:tcBorders>
              <w:top w:val="single" w:sz="4" w:space="0" w:color="auto"/>
              <w:left w:val="nil"/>
              <w:bottom w:val="single" w:sz="4" w:space="0" w:color="auto"/>
              <w:right w:val="single" w:sz="4" w:space="0" w:color="auto"/>
            </w:tcBorders>
            <w:shd w:val="clear" w:color="auto" w:fill="C6EFCE"/>
            <w:noWrap/>
          </w:tcPr>
          <w:p w14:paraId="1379A2E8"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276" w:type="dxa"/>
            <w:tcBorders>
              <w:top w:val="single" w:sz="4" w:space="0" w:color="auto"/>
              <w:left w:val="nil"/>
              <w:bottom w:val="single" w:sz="4" w:space="0" w:color="auto"/>
              <w:right w:val="single" w:sz="4" w:space="0" w:color="auto"/>
            </w:tcBorders>
            <w:shd w:val="clear" w:color="auto" w:fill="C6EFCE"/>
            <w:noWrap/>
          </w:tcPr>
          <w:p w14:paraId="3C6B49E4"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276" w:type="dxa"/>
            <w:tcBorders>
              <w:top w:val="single" w:sz="4" w:space="0" w:color="auto"/>
              <w:left w:val="nil"/>
              <w:bottom w:val="single" w:sz="4" w:space="0" w:color="auto"/>
              <w:right w:val="single" w:sz="4" w:space="0" w:color="auto"/>
            </w:tcBorders>
            <w:shd w:val="clear" w:color="auto" w:fill="C6EFCE"/>
            <w:noWrap/>
          </w:tcPr>
          <w:p w14:paraId="7AFE7EB9"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105089AE"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845" w:type="dxa"/>
            <w:tcBorders>
              <w:top w:val="nil"/>
              <w:left w:val="nil"/>
              <w:bottom w:val="single" w:sz="4" w:space="0" w:color="auto"/>
              <w:right w:val="single" w:sz="4" w:space="0" w:color="auto"/>
            </w:tcBorders>
            <w:shd w:val="clear" w:color="auto" w:fill="C6EFCE"/>
            <w:noWrap/>
          </w:tcPr>
          <w:p w14:paraId="7CBE7F18"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tc>
        <w:tc>
          <w:tcPr>
            <w:tcW w:w="2987" w:type="dxa"/>
            <w:tcBorders>
              <w:top w:val="single" w:sz="4" w:space="0" w:color="auto"/>
              <w:left w:val="nil"/>
              <w:bottom w:val="single" w:sz="4" w:space="0" w:color="auto"/>
              <w:right w:val="single" w:sz="4" w:space="0" w:color="auto"/>
            </w:tcBorders>
            <w:shd w:val="clear" w:color="auto" w:fill="C6EFCE"/>
            <w:noWrap/>
          </w:tcPr>
          <w:p w14:paraId="331EC656"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legislation for sustainable urban mobility shall include:</w:t>
            </w:r>
          </w:p>
          <w:p w14:paraId="3EABAC95"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measures to stimulate the renewal of the public transport fleet with clean vehicles and secure minimum national quality standards and access to public transport;</w:t>
            </w:r>
          </w:p>
          <w:p w14:paraId="5B0893B7"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establishment of the Guide to develop Sustainable Urban Mobility Plans in compliance with the Sustainable and Smart Mobility Strategy C (2020) 789/2020 (Commission Communication) and the assessment and quality verification of Sustainable Urban Mobility Plans</w:t>
            </w:r>
          </w:p>
          <w:p w14:paraId="7317A72C"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provisions to oblige urban municipalities to establish low-emission zones, preferential routes (including bus lanes) for clean public transport;</w:t>
            </w:r>
          </w:p>
          <w:p w14:paraId="6D753F10"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measures to reduce road safety risk at urban level and measures that allow to limit the space for private cars and the implementation and monitoring of parking policies at local level;</w:t>
            </w:r>
          </w:p>
          <w:p w14:paraId="46014139"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measures that allow the development of infrastructure to encourage the safe and secure use of public transport, bicycles and walking;</w:t>
            </w:r>
          </w:p>
          <w:p w14:paraId="392FFDA7"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measures to allow the implementation of intermodal nodes to facilitate transport in the functional urban area/metropolitan area.</w:t>
            </w:r>
          </w:p>
          <w:p w14:paraId="0122B043"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legislation shall be developed in line with: </w:t>
            </w:r>
          </w:p>
          <w:p w14:paraId="2AD09D7C"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provisions of European Regulation No 1370/2007, the European General Safety Regulation (GSR) (2019/2144), which shall enter into force on 6 July 2022;</w:t>
            </w:r>
          </w:p>
          <w:p w14:paraId="203658CB"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Romania’s urban policy which shall include provisions on population density (ensuring the efficiency of the public transport service) and on the accessibility of the population to transport services (percentage of the population which is less than 0.5km away from a public transport line where there is a maximum frequency of 20 minutes); </w:t>
            </w:r>
          </w:p>
          <w:p w14:paraId="5FF9324F"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minimum service standards for collective public transport shall be achieved through amendments/additions to Law No 92/2007 on public passenger transport services in administrative and territorial units;</w:t>
            </w:r>
          </w:p>
          <w:p w14:paraId="760BD8A0"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reforms on road safety and regional and urban mobility established under the sustainable transport component (milestones 65-68).</w:t>
            </w:r>
          </w:p>
        </w:tc>
      </w:tr>
      <w:tr w:rsidR="00E51A4F" w:rsidRPr="009F5E22" w14:paraId="5F502707"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086C093B"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289</w:t>
            </w:r>
          </w:p>
        </w:tc>
        <w:tc>
          <w:tcPr>
            <w:tcW w:w="1569" w:type="dxa"/>
            <w:tcBorders>
              <w:top w:val="nil"/>
              <w:left w:val="nil"/>
              <w:bottom w:val="single" w:sz="4" w:space="0" w:color="auto"/>
              <w:right w:val="single" w:sz="4" w:space="0" w:color="auto"/>
            </w:tcBorders>
            <w:shd w:val="clear" w:color="auto" w:fill="C6EFCE"/>
            <w:noWrap/>
          </w:tcPr>
          <w:p w14:paraId="33AADDEC"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Reform 1. Creating the framework for sustainable urban mobility</w:t>
            </w:r>
          </w:p>
        </w:tc>
        <w:tc>
          <w:tcPr>
            <w:tcW w:w="1316" w:type="dxa"/>
            <w:tcBorders>
              <w:top w:val="nil"/>
              <w:left w:val="nil"/>
              <w:bottom w:val="single" w:sz="4" w:space="0" w:color="auto"/>
              <w:right w:val="single" w:sz="4" w:space="0" w:color="auto"/>
            </w:tcBorders>
            <w:shd w:val="clear" w:color="auto" w:fill="C6EFCE"/>
            <w:noWrap/>
          </w:tcPr>
          <w:p w14:paraId="3D107722"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40" w:type="dxa"/>
            <w:tcBorders>
              <w:top w:val="nil"/>
              <w:left w:val="nil"/>
              <w:bottom w:val="single" w:sz="4" w:space="0" w:color="auto"/>
              <w:right w:val="single" w:sz="4" w:space="0" w:color="auto"/>
            </w:tcBorders>
            <w:shd w:val="clear" w:color="auto" w:fill="C6EFCE"/>
            <w:noWrap/>
          </w:tcPr>
          <w:p w14:paraId="3BB7295F"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Entry into force of the ministerial order establishing a structure for the provision of technical assistance for the development of Sustainable Urban Mobility Plans (SUMPs) established and operational</w:t>
            </w:r>
          </w:p>
        </w:tc>
        <w:tc>
          <w:tcPr>
            <w:tcW w:w="1538" w:type="dxa"/>
            <w:tcBorders>
              <w:top w:val="single" w:sz="4" w:space="0" w:color="auto"/>
              <w:left w:val="nil"/>
              <w:bottom w:val="single" w:sz="4" w:space="0" w:color="auto"/>
              <w:right w:val="single" w:sz="4" w:space="0" w:color="auto"/>
            </w:tcBorders>
            <w:shd w:val="clear" w:color="auto" w:fill="C6EFCE"/>
            <w:noWrap/>
          </w:tcPr>
          <w:p w14:paraId="298C1CED" w14:textId="50BF54E0"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Provision in the ministerial order indicating the entry into force of</w:t>
            </w:r>
            <w:r w:rsid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 xml:space="preserve">the structure for the provision of technical assistance for the development of SUMPs </w:t>
            </w:r>
          </w:p>
          <w:p w14:paraId="7F3E6B5D" w14:textId="77777777" w:rsidR="00E51A4F" w:rsidRPr="009F5E22" w:rsidRDefault="00E51A4F">
            <w:pPr>
              <w:spacing w:after="0" w:line="240" w:lineRule="auto"/>
              <w:jc w:val="both"/>
              <w:rPr>
                <w:rFonts w:ascii="Times New Roman" w:hAnsi="Times New Roman" w:cs="Times New Roman"/>
                <w:noProof/>
                <w:sz w:val="20"/>
                <w:szCs w:val="20"/>
                <w:lang w:val="en-GB"/>
              </w:rPr>
            </w:pPr>
          </w:p>
        </w:tc>
        <w:tc>
          <w:tcPr>
            <w:tcW w:w="1275" w:type="dxa"/>
            <w:tcBorders>
              <w:top w:val="nil"/>
              <w:left w:val="nil"/>
              <w:bottom w:val="single" w:sz="4" w:space="0" w:color="auto"/>
              <w:right w:val="single" w:sz="4" w:space="0" w:color="auto"/>
            </w:tcBorders>
            <w:shd w:val="clear" w:color="auto" w:fill="C6EFCE"/>
            <w:noWrap/>
          </w:tcPr>
          <w:p w14:paraId="18A9C2A1"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276" w:type="dxa"/>
            <w:tcBorders>
              <w:top w:val="nil"/>
              <w:left w:val="nil"/>
              <w:bottom w:val="single" w:sz="4" w:space="0" w:color="auto"/>
              <w:right w:val="single" w:sz="4" w:space="0" w:color="auto"/>
            </w:tcBorders>
            <w:shd w:val="clear" w:color="auto" w:fill="C6EFCE"/>
            <w:noWrap/>
          </w:tcPr>
          <w:p w14:paraId="439C4712"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276" w:type="dxa"/>
            <w:tcBorders>
              <w:top w:val="nil"/>
              <w:left w:val="nil"/>
              <w:bottom w:val="single" w:sz="4" w:space="0" w:color="auto"/>
              <w:right w:val="single" w:sz="4" w:space="0" w:color="auto"/>
            </w:tcBorders>
            <w:shd w:val="clear" w:color="auto" w:fill="C6EFCE"/>
            <w:noWrap/>
          </w:tcPr>
          <w:p w14:paraId="5D5F5A4C"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134" w:type="dxa"/>
            <w:tcBorders>
              <w:top w:val="nil"/>
              <w:left w:val="nil"/>
              <w:bottom w:val="single" w:sz="4" w:space="0" w:color="auto"/>
              <w:right w:val="single" w:sz="4" w:space="0" w:color="auto"/>
            </w:tcBorders>
            <w:shd w:val="clear" w:color="auto" w:fill="C6EFCE"/>
            <w:noWrap/>
          </w:tcPr>
          <w:p w14:paraId="2E1810DE"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845" w:type="dxa"/>
            <w:tcBorders>
              <w:top w:val="nil"/>
              <w:left w:val="nil"/>
              <w:bottom w:val="single" w:sz="4" w:space="0" w:color="auto"/>
              <w:right w:val="single" w:sz="4" w:space="0" w:color="auto"/>
            </w:tcBorders>
            <w:shd w:val="clear" w:color="auto" w:fill="C6EFCE"/>
            <w:noWrap/>
          </w:tcPr>
          <w:p w14:paraId="6C4BE6C4"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tc>
        <w:tc>
          <w:tcPr>
            <w:tcW w:w="2987" w:type="dxa"/>
            <w:tcBorders>
              <w:top w:val="nil"/>
              <w:left w:val="nil"/>
              <w:bottom w:val="single" w:sz="4" w:space="0" w:color="auto"/>
              <w:right w:val="single" w:sz="4" w:space="0" w:color="auto"/>
            </w:tcBorders>
            <w:shd w:val="clear" w:color="auto" w:fill="C6EFCE"/>
            <w:noWrap/>
          </w:tcPr>
          <w:p w14:paraId="36E0F067"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A National Body shall be created under the supervision of the Ministry for Development, Public Works and Administration and in coordination with line ministries such as Ministry of Transport and Ministry of Environment, and shall be responsible to support cities to draw up Sustainable Urban Mobility Plans and assess and verify the quality of SUMPs. </w:t>
            </w:r>
            <w:r w:rsidRPr="009F5E22">
              <w:rPr>
                <w:rFonts w:ascii="Times New Roman" w:hAnsi="Times New Roman" w:cs="Times New Roman"/>
                <w:noProof/>
                <w:sz w:val="20"/>
                <w:szCs w:val="20"/>
                <w:lang w:val="en-GB"/>
              </w:rPr>
              <w:br/>
              <w:t>The central public administration shall support cities in developing/updating SUMPs by organising regular meetings of the National Group on the optimisation of SUMPs in Romania, organised by the Ministry of Development, Public Works and Administration which shall bring together the relevant actors (representatives of central, local public administration, academia, private environment, NGO).</w:t>
            </w:r>
          </w:p>
          <w:p w14:paraId="6E737B5A"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secretariat of the National Group shall be ensured by the Ministry of Development, Public Works and Administration. </w:t>
            </w:r>
          </w:p>
        </w:tc>
      </w:tr>
      <w:tr w:rsidR="00E51A4F" w:rsidRPr="009F5E22" w14:paraId="57418DF4"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20F610C9"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293</w:t>
            </w:r>
          </w:p>
        </w:tc>
        <w:tc>
          <w:tcPr>
            <w:tcW w:w="1569" w:type="dxa"/>
            <w:tcBorders>
              <w:top w:val="nil"/>
              <w:left w:val="nil"/>
              <w:bottom w:val="single" w:sz="4" w:space="0" w:color="auto"/>
              <w:right w:val="single" w:sz="4" w:space="0" w:color="auto"/>
            </w:tcBorders>
            <w:shd w:val="clear" w:color="auto" w:fill="C6EFCE"/>
            <w:noWrap/>
          </w:tcPr>
          <w:p w14:paraId="1AEEAF50"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Reform 1. Creating the framework for sustainable urban mobility</w:t>
            </w:r>
          </w:p>
        </w:tc>
        <w:tc>
          <w:tcPr>
            <w:tcW w:w="1316" w:type="dxa"/>
            <w:tcBorders>
              <w:top w:val="nil"/>
              <w:left w:val="nil"/>
              <w:bottom w:val="single" w:sz="4" w:space="0" w:color="auto"/>
              <w:right w:val="single" w:sz="4" w:space="0" w:color="auto"/>
            </w:tcBorders>
            <w:shd w:val="clear" w:color="auto" w:fill="C6EFCE"/>
            <w:noWrap/>
          </w:tcPr>
          <w:p w14:paraId="51C83DB1"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40" w:type="dxa"/>
            <w:tcBorders>
              <w:top w:val="nil"/>
              <w:left w:val="nil"/>
              <w:bottom w:val="single" w:sz="4" w:space="0" w:color="auto"/>
              <w:right w:val="single" w:sz="4" w:space="0" w:color="auto"/>
            </w:tcBorders>
            <w:shd w:val="clear" w:color="auto" w:fill="C6EFCE"/>
            <w:noWrap/>
          </w:tcPr>
          <w:p w14:paraId="09F3A0E5"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 increase in yearly total passenger volume using local public transport in 2025 compared to 2019</w:t>
            </w:r>
          </w:p>
        </w:tc>
        <w:tc>
          <w:tcPr>
            <w:tcW w:w="1538" w:type="dxa"/>
            <w:tcBorders>
              <w:top w:val="nil"/>
              <w:left w:val="nil"/>
              <w:bottom w:val="single" w:sz="4" w:space="0" w:color="auto"/>
              <w:right w:val="single" w:sz="4" w:space="0" w:color="auto"/>
            </w:tcBorders>
            <w:shd w:val="clear" w:color="auto" w:fill="C6EFCE"/>
            <w:noWrap/>
          </w:tcPr>
          <w:p w14:paraId="627032C0"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275" w:type="dxa"/>
            <w:tcBorders>
              <w:top w:val="nil"/>
              <w:left w:val="nil"/>
              <w:bottom w:val="single" w:sz="4" w:space="0" w:color="auto"/>
              <w:right w:val="single" w:sz="4" w:space="0" w:color="auto"/>
            </w:tcBorders>
            <w:shd w:val="clear" w:color="auto" w:fill="C6EFCE"/>
            <w:noWrap/>
          </w:tcPr>
          <w:p w14:paraId="0557ED7C"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Percentage</w:t>
            </w:r>
          </w:p>
        </w:tc>
        <w:tc>
          <w:tcPr>
            <w:tcW w:w="1276" w:type="dxa"/>
            <w:tcBorders>
              <w:top w:val="nil"/>
              <w:left w:val="nil"/>
              <w:bottom w:val="single" w:sz="4" w:space="0" w:color="auto"/>
              <w:right w:val="single" w:sz="4" w:space="0" w:color="auto"/>
            </w:tcBorders>
            <w:shd w:val="clear" w:color="auto" w:fill="C6EFCE"/>
            <w:noWrap/>
          </w:tcPr>
          <w:p w14:paraId="193E5995"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0</w:t>
            </w:r>
          </w:p>
          <w:p w14:paraId="07FF7110" w14:textId="77777777" w:rsidR="00E51A4F" w:rsidRPr="009F5E22" w:rsidRDefault="00E51A4F">
            <w:pPr>
              <w:spacing w:after="0" w:line="240" w:lineRule="auto"/>
              <w:jc w:val="both"/>
              <w:rPr>
                <w:rFonts w:ascii="Times New Roman" w:hAnsi="Times New Roman" w:cs="Times New Roman"/>
                <w:noProof/>
                <w:sz w:val="20"/>
                <w:szCs w:val="20"/>
                <w:lang w:val="en-GB"/>
              </w:rPr>
            </w:pPr>
          </w:p>
          <w:p w14:paraId="6DA134AC" w14:textId="77777777" w:rsidR="00E51A4F" w:rsidRPr="009F5E22" w:rsidRDefault="00E51A4F">
            <w:pPr>
              <w:spacing w:after="0" w:line="240" w:lineRule="auto"/>
              <w:rPr>
                <w:rFonts w:ascii="Times New Roman" w:hAnsi="Times New Roman" w:cs="Times New Roman"/>
                <w:noProof/>
                <w:sz w:val="20"/>
                <w:szCs w:val="20"/>
                <w:lang w:val="en-GB"/>
              </w:rPr>
            </w:pPr>
          </w:p>
        </w:tc>
        <w:tc>
          <w:tcPr>
            <w:tcW w:w="1276" w:type="dxa"/>
            <w:tcBorders>
              <w:top w:val="nil"/>
              <w:left w:val="nil"/>
              <w:bottom w:val="single" w:sz="4" w:space="0" w:color="auto"/>
              <w:right w:val="single" w:sz="4" w:space="0" w:color="auto"/>
            </w:tcBorders>
            <w:shd w:val="clear" w:color="auto" w:fill="C6EFCE"/>
            <w:noWrap/>
          </w:tcPr>
          <w:p w14:paraId="5C6E9DB9"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w:t>
            </w:r>
          </w:p>
        </w:tc>
        <w:tc>
          <w:tcPr>
            <w:tcW w:w="1134" w:type="dxa"/>
            <w:tcBorders>
              <w:top w:val="nil"/>
              <w:left w:val="nil"/>
              <w:bottom w:val="single" w:sz="4" w:space="0" w:color="auto"/>
              <w:right w:val="single" w:sz="4" w:space="0" w:color="auto"/>
            </w:tcBorders>
            <w:shd w:val="clear" w:color="auto" w:fill="C6EFCE"/>
            <w:noWrap/>
          </w:tcPr>
          <w:p w14:paraId="1AA5AA23"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845" w:type="dxa"/>
            <w:tcBorders>
              <w:top w:val="nil"/>
              <w:left w:val="nil"/>
              <w:bottom w:val="single" w:sz="4" w:space="0" w:color="auto"/>
              <w:right w:val="single" w:sz="4" w:space="0" w:color="auto"/>
            </w:tcBorders>
            <w:shd w:val="clear" w:color="auto" w:fill="C6EFCE"/>
            <w:noWrap/>
          </w:tcPr>
          <w:p w14:paraId="607CB1B7"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2026</w:t>
            </w:r>
          </w:p>
        </w:tc>
        <w:tc>
          <w:tcPr>
            <w:tcW w:w="2987" w:type="dxa"/>
            <w:tcBorders>
              <w:top w:val="nil"/>
              <w:left w:val="nil"/>
              <w:bottom w:val="single" w:sz="4" w:space="0" w:color="auto"/>
              <w:right w:val="single" w:sz="4" w:space="0" w:color="auto"/>
            </w:tcBorders>
            <w:shd w:val="clear" w:color="auto" w:fill="C6EFCE"/>
            <w:noWrap/>
          </w:tcPr>
          <w:p w14:paraId="2ABAB1BE" w14:textId="7EAB1F79"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target refers to the increase by 20% in the yearly total passenger volume using local public transport in 2025 compared to 2019, and shall be calculated based on the information provided by the National Institute for Statistics.</w:t>
            </w:r>
            <w:r w:rsidR="00D23D91" w:rsidRPr="009F5E22">
              <w:rPr>
                <w:rFonts w:ascii="Times New Roman" w:hAnsi="Times New Roman" w:cs="Times New Roman"/>
                <w:noProof/>
                <w:sz w:val="20"/>
                <w:szCs w:val="20"/>
                <w:lang w:val="en-GB"/>
              </w:rPr>
              <w:t xml:space="preserve"> </w:t>
            </w:r>
          </w:p>
        </w:tc>
      </w:tr>
      <w:tr w:rsidR="00E51A4F" w:rsidRPr="009F5E22" w14:paraId="357AC8CD"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08EFB1DF"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294</w:t>
            </w:r>
          </w:p>
        </w:tc>
        <w:tc>
          <w:tcPr>
            <w:tcW w:w="1569" w:type="dxa"/>
            <w:tcBorders>
              <w:top w:val="nil"/>
              <w:left w:val="nil"/>
              <w:bottom w:val="single" w:sz="4" w:space="0" w:color="auto"/>
              <w:right w:val="single" w:sz="4" w:space="0" w:color="auto"/>
            </w:tcBorders>
            <w:shd w:val="clear" w:color="auto" w:fill="C6EFCE"/>
            <w:noWrap/>
          </w:tcPr>
          <w:p w14:paraId="6E875E86"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Investment 1. Sustainable urban mobility </w:t>
            </w:r>
          </w:p>
        </w:tc>
        <w:tc>
          <w:tcPr>
            <w:tcW w:w="1316" w:type="dxa"/>
            <w:tcBorders>
              <w:top w:val="nil"/>
              <w:left w:val="nil"/>
              <w:bottom w:val="single" w:sz="4" w:space="0" w:color="auto"/>
              <w:right w:val="single" w:sz="4" w:space="0" w:color="auto"/>
            </w:tcBorders>
            <w:shd w:val="clear" w:color="auto" w:fill="C6EFCE"/>
            <w:noWrap/>
          </w:tcPr>
          <w:p w14:paraId="5A422274"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40" w:type="dxa"/>
            <w:tcBorders>
              <w:top w:val="nil"/>
              <w:left w:val="nil"/>
              <w:bottom w:val="single" w:sz="4" w:space="0" w:color="auto"/>
              <w:right w:val="single" w:sz="4" w:space="0" w:color="auto"/>
            </w:tcBorders>
            <w:shd w:val="clear" w:color="auto" w:fill="C6EFCE"/>
            <w:noWrap/>
          </w:tcPr>
          <w:p w14:paraId="3630AC02"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Signature of contracts for the renewal of public transport fleets (procurement of clean vehicles)</w:t>
            </w:r>
          </w:p>
        </w:tc>
        <w:tc>
          <w:tcPr>
            <w:tcW w:w="1538" w:type="dxa"/>
            <w:tcBorders>
              <w:top w:val="nil"/>
              <w:left w:val="nil"/>
              <w:bottom w:val="single" w:sz="4" w:space="0" w:color="auto"/>
              <w:right w:val="single" w:sz="4" w:space="0" w:color="auto"/>
            </w:tcBorders>
            <w:shd w:val="clear" w:color="auto" w:fill="C6EFCE"/>
            <w:noWrap/>
          </w:tcPr>
          <w:p w14:paraId="0443A9D6"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Signature of contracts</w:t>
            </w:r>
          </w:p>
        </w:tc>
        <w:tc>
          <w:tcPr>
            <w:tcW w:w="1275" w:type="dxa"/>
            <w:tcBorders>
              <w:top w:val="nil"/>
              <w:left w:val="nil"/>
              <w:bottom w:val="single" w:sz="4" w:space="0" w:color="auto"/>
              <w:right w:val="single" w:sz="4" w:space="0" w:color="auto"/>
            </w:tcBorders>
            <w:shd w:val="clear" w:color="auto" w:fill="C6EFCE"/>
            <w:noWrap/>
          </w:tcPr>
          <w:p w14:paraId="32D739CE"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276" w:type="dxa"/>
            <w:tcBorders>
              <w:top w:val="nil"/>
              <w:left w:val="nil"/>
              <w:bottom w:val="single" w:sz="4" w:space="0" w:color="auto"/>
              <w:right w:val="single" w:sz="4" w:space="0" w:color="auto"/>
            </w:tcBorders>
            <w:shd w:val="clear" w:color="auto" w:fill="C6EFCE"/>
            <w:noWrap/>
          </w:tcPr>
          <w:p w14:paraId="05D15D1F"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276" w:type="dxa"/>
            <w:tcBorders>
              <w:top w:val="nil"/>
              <w:left w:val="nil"/>
              <w:bottom w:val="single" w:sz="4" w:space="0" w:color="auto"/>
              <w:right w:val="single" w:sz="4" w:space="0" w:color="auto"/>
            </w:tcBorders>
            <w:shd w:val="clear" w:color="auto" w:fill="C6EFCE"/>
            <w:noWrap/>
          </w:tcPr>
          <w:p w14:paraId="4BEE141A"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134" w:type="dxa"/>
            <w:tcBorders>
              <w:top w:val="nil"/>
              <w:left w:val="nil"/>
              <w:bottom w:val="single" w:sz="4" w:space="0" w:color="auto"/>
              <w:right w:val="single" w:sz="4" w:space="0" w:color="auto"/>
            </w:tcBorders>
            <w:shd w:val="clear" w:color="auto" w:fill="C6EFCE"/>
            <w:noWrap/>
          </w:tcPr>
          <w:p w14:paraId="0785F8E0"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p w14:paraId="39A94B2B" w14:textId="77777777" w:rsidR="00E51A4F" w:rsidRPr="009F5E22" w:rsidRDefault="00E51A4F">
            <w:pPr>
              <w:spacing w:after="0" w:line="240" w:lineRule="auto"/>
              <w:jc w:val="both"/>
              <w:rPr>
                <w:rFonts w:ascii="Times New Roman" w:hAnsi="Times New Roman" w:cs="Times New Roman"/>
                <w:noProof/>
                <w:sz w:val="20"/>
                <w:szCs w:val="20"/>
                <w:lang w:val="en-GB"/>
              </w:rPr>
            </w:pPr>
          </w:p>
          <w:p w14:paraId="2EB58764" w14:textId="77777777" w:rsidR="00E51A4F" w:rsidRPr="009F5E22" w:rsidRDefault="00E51A4F">
            <w:pPr>
              <w:spacing w:after="0" w:line="240" w:lineRule="auto"/>
              <w:jc w:val="both"/>
              <w:rPr>
                <w:rFonts w:ascii="Times New Roman" w:hAnsi="Times New Roman" w:cs="Times New Roman"/>
                <w:noProof/>
                <w:sz w:val="20"/>
                <w:szCs w:val="20"/>
                <w:lang w:val="en-GB"/>
              </w:rPr>
            </w:pPr>
          </w:p>
          <w:p w14:paraId="0517C7D8" w14:textId="77777777" w:rsidR="00E51A4F" w:rsidRPr="009F5E22" w:rsidRDefault="00E51A4F">
            <w:pPr>
              <w:spacing w:after="0" w:line="240" w:lineRule="auto"/>
              <w:jc w:val="both"/>
              <w:rPr>
                <w:rFonts w:ascii="Times New Roman" w:hAnsi="Times New Roman" w:cs="Times New Roman"/>
                <w:noProof/>
                <w:sz w:val="20"/>
                <w:szCs w:val="20"/>
                <w:lang w:val="en-GB"/>
              </w:rPr>
            </w:pPr>
          </w:p>
          <w:p w14:paraId="7C5A6C00" w14:textId="77777777" w:rsidR="00E51A4F" w:rsidRPr="009F5E22" w:rsidRDefault="00E51A4F">
            <w:pPr>
              <w:spacing w:after="0" w:line="240" w:lineRule="auto"/>
              <w:jc w:val="center"/>
              <w:rPr>
                <w:rFonts w:ascii="Times New Roman" w:hAnsi="Times New Roman" w:cs="Times New Roman"/>
                <w:noProof/>
                <w:sz w:val="20"/>
                <w:szCs w:val="20"/>
                <w:lang w:val="en-GB"/>
              </w:rPr>
            </w:pPr>
          </w:p>
        </w:tc>
        <w:tc>
          <w:tcPr>
            <w:tcW w:w="845" w:type="dxa"/>
            <w:tcBorders>
              <w:top w:val="nil"/>
              <w:left w:val="nil"/>
              <w:bottom w:val="single" w:sz="4" w:space="0" w:color="auto"/>
              <w:right w:val="single" w:sz="4" w:space="0" w:color="auto"/>
            </w:tcBorders>
            <w:shd w:val="clear" w:color="auto" w:fill="C6EFCE"/>
            <w:noWrap/>
          </w:tcPr>
          <w:p w14:paraId="33EE4798"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p w14:paraId="573D54FB" w14:textId="77777777" w:rsidR="00E51A4F" w:rsidRPr="009F5E22" w:rsidRDefault="00E51A4F">
            <w:pPr>
              <w:spacing w:after="0" w:line="240" w:lineRule="auto"/>
              <w:jc w:val="both"/>
              <w:rPr>
                <w:rFonts w:ascii="Times New Roman" w:hAnsi="Times New Roman" w:cs="Times New Roman"/>
                <w:noProof/>
                <w:sz w:val="20"/>
                <w:szCs w:val="20"/>
                <w:lang w:val="en-GB"/>
              </w:rPr>
            </w:pPr>
          </w:p>
          <w:p w14:paraId="66F1F4F4" w14:textId="77777777" w:rsidR="00E51A4F" w:rsidRPr="009F5E22" w:rsidRDefault="00E51A4F">
            <w:pPr>
              <w:spacing w:after="0" w:line="240" w:lineRule="auto"/>
              <w:jc w:val="both"/>
              <w:rPr>
                <w:rFonts w:ascii="Times New Roman" w:hAnsi="Times New Roman" w:cs="Times New Roman"/>
                <w:noProof/>
                <w:sz w:val="20"/>
                <w:szCs w:val="20"/>
                <w:lang w:val="en-GB"/>
              </w:rPr>
            </w:pPr>
          </w:p>
          <w:p w14:paraId="6B4F1153" w14:textId="77777777" w:rsidR="00E51A4F" w:rsidRPr="009F5E22" w:rsidRDefault="00E51A4F">
            <w:pPr>
              <w:spacing w:after="0" w:line="240" w:lineRule="auto"/>
              <w:jc w:val="both"/>
              <w:rPr>
                <w:rFonts w:ascii="Times New Roman" w:hAnsi="Times New Roman" w:cs="Times New Roman"/>
                <w:noProof/>
                <w:sz w:val="20"/>
                <w:szCs w:val="20"/>
                <w:lang w:val="en-GB"/>
              </w:rPr>
            </w:pPr>
          </w:p>
          <w:p w14:paraId="53589171" w14:textId="77777777" w:rsidR="00E51A4F" w:rsidRPr="009F5E22" w:rsidRDefault="00E51A4F">
            <w:pPr>
              <w:spacing w:after="0" w:line="240" w:lineRule="auto"/>
              <w:jc w:val="center"/>
              <w:rPr>
                <w:rFonts w:ascii="Times New Roman" w:hAnsi="Times New Roman" w:cs="Times New Roman"/>
                <w:noProof/>
                <w:sz w:val="20"/>
                <w:szCs w:val="20"/>
                <w:lang w:val="en-GB"/>
              </w:rPr>
            </w:pPr>
          </w:p>
        </w:tc>
        <w:tc>
          <w:tcPr>
            <w:tcW w:w="2987" w:type="dxa"/>
            <w:tcBorders>
              <w:top w:val="nil"/>
              <w:left w:val="nil"/>
              <w:bottom w:val="single" w:sz="4" w:space="0" w:color="auto"/>
              <w:right w:val="single" w:sz="4" w:space="0" w:color="auto"/>
            </w:tcBorders>
            <w:shd w:val="clear" w:color="auto" w:fill="C6EFCE"/>
            <w:noWrap/>
          </w:tcPr>
          <w:p w14:paraId="07D0724C"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financing scheme shall set out the criteria and conditions to be met for funding for beneficiaries that shall be selected via open, and transparent call for proposals, which shall include inter alia the following specifications:</w:t>
            </w:r>
          </w:p>
          <w:p w14:paraId="62BD83B5"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Compulsory alignment of the investments with the Sustainable Urban Mobility Plan/Integrated Sustainable Development/General Urban Plan approved or under development; </w:t>
            </w:r>
          </w:p>
          <w:p w14:paraId="1B729624"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Ensuring coverage with mobility services in the functional and peri-urban area. Ensure prioritisation and promotion of public transport in local traffic by planning preferential routes and bus lanes on most frequented/congested arteries;</w:t>
            </w:r>
          </w:p>
          <w:p w14:paraId="15F69F53"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Having a public service contract with economic operators in accordance with the provisions of Regulation (EC) No 1370/2007; </w:t>
            </w:r>
          </w:p>
          <w:p w14:paraId="314AE821"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Mandatory classification of purchased vehicles under the provisions of the European General Safety Regulation — GSR (2019/2144), which shall enter into force on 6 July 2022.</w:t>
            </w:r>
          </w:p>
          <w:p w14:paraId="21B7FD93"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Criteria for the funding of exclusively zero-emission vehicles: buses, trolleybuses using a zero-emission engine or battery, trams, and minibuses. </w:t>
            </w:r>
          </w:p>
          <w:p w14:paraId="2A87C419"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Priority shall be given for investments implemented in functional urban or rural areas. </w:t>
            </w:r>
          </w:p>
        </w:tc>
      </w:tr>
      <w:tr w:rsidR="00E51A4F" w:rsidRPr="009F5E22" w14:paraId="4060E23D"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42763285"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296</w:t>
            </w:r>
          </w:p>
        </w:tc>
        <w:tc>
          <w:tcPr>
            <w:tcW w:w="1569" w:type="dxa"/>
            <w:tcBorders>
              <w:top w:val="nil"/>
              <w:left w:val="nil"/>
              <w:bottom w:val="single" w:sz="4" w:space="0" w:color="auto"/>
              <w:right w:val="single" w:sz="4" w:space="0" w:color="auto"/>
            </w:tcBorders>
            <w:shd w:val="clear" w:color="auto" w:fill="C6EFCE"/>
            <w:noWrap/>
          </w:tcPr>
          <w:p w14:paraId="4B7CEE2F"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Investment 1. Sustainable urban mobility</w:t>
            </w:r>
          </w:p>
        </w:tc>
        <w:tc>
          <w:tcPr>
            <w:tcW w:w="1316" w:type="dxa"/>
            <w:tcBorders>
              <w:top w:val="nil"/>
              <w:left w:val="nil"/>
              <w:bottom w:val="single" w:sz="4" w:space="0" w:color="auto"/>
              <w:right w:val="single" w:sz="4" w:space="0" w:color="auto"/>
            </w:tcBorders>
            <w:shd w:val="clear" w:color="auto" w:fill="C6EFCE"/>
            <w:noWrap/>
          </w:tcPr>
          <w:p w14:paraId="12CA610F"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40" w:type="dxa"/>
            <w:tcBorders>
              <w:top w:val="nil"/>
              <w:left w:val="nil"/>
              <w:bottom w:val="single" w:sz="4" w:space="0" w:color="auto"/>
              <w:right w:val="single" w:sz="4" w:space="0" w:color="auto"/>
            </w:tcBorders>
            <w:shd w:val="clear" w:color="auto" w:fill="C6EFCE"/>
            <w:noWrap/>
          </w:tcPr>
          <w:p w14:paraId="78FA4A12"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Additional zero-emission vehicles delivered </w:t>
            </w:r>
          </w:p>
        </w:tc>
        <w:tc>
          <w:tcPr>
            <w:tcW w:w="1538" w:type="dxa"/>
            <w:tcBorders>
              <w:top w:val="single" w:sz="4" w:space="0" w:color="auto"/>
              <w:left w:val="nil"/>
              <w:bottom w:val="single" w:sz="4" w:space="0" w:color="auto"/>
              <w:right w:val="single" w:sz="4" w:space="0" w:color="auto"/>
            </w:tcBorders>
            <w:shd w:val="clear" w:color="auto" w:fill="C6EFCE"/>
            <w:noWrap/>
          </w:tcPr>
          <w:p w14:paraId="34F89BA3"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275" w:type="dxa"/>
            <w:tcBorders>
              <w:top w:val="nil"/>
              <w:left w:val="nil"/>
              <w:bottom w:val="single" w:sz="4" w:space="0" w:color="auto"/>
              <w:right w:val="single" w:sz="4" w:space="0" w:color="auto"/>
            </w:tcBorders>
            <w:shd w:val="clear" w:color="auto" w:fill="C6EFCE"/>
            <w:noWrap/>
          </w:tcPr>
          <w:p w14:paraId="407782DF"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Number</w:t>
            </w:r>
          </w:p>
        </w:tc>
        <w:tc>
          <w:tcPr>
            <w:tcW w:w="1276" w:type="dxa"/>
            <w:tcBorders>
              <w:top w:val="nil"/>
              <w:left w:val="nil"/>
              <w:bottom w:val="single" w:sz="4" w:space="0" w:color="auto"/>
              <w:right w:val="single" w:sz="4" w:space="0" w:color="auto"/>
            </w:tcBorders>
            <w:shd w:val="clear" w:color="auto" w:fill="C6EFCE"/>
            <w:noWrap/>
          </w:tcPr>
          <w:p w14:paraId="43E489DE"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1 618</w:t>
            </w:r>
          </w:p>
          <w:p w14:paraId="3189CFDC" w14:textId="77777777" w:rsidR="00E51A4F" w:rsidRPr="009F5E22" w:rsidRDefault="00E51A4F">
            <w:pPr>
              <w:spacing w:after="0" w:line="240" w:lineRule="auto"/>
              <w:jc w:val="both"/>
              <w:rPr>
                <w:rFonts w:ascii="Times New Roman" w:hAnsi="Times New Roman" w:cs="Times New Roman"/>
                <w:noProof/>
                <w:sz w:val="20"/>
                <w:szCs w:val="20"/>
                <w:lang w:val="en-GB"/>
              </w:rPr>
            </w:pPr>
          </w:p>
        </w:tc>
        <w:tc>
          <w:tcPr>
            <w:tcW w:w="1276" w:type="dxa"/>
            <w:tcBorders>
              <w:top w:val="nil"/>
              <w:left w:val="nil"/>
              <w:bottom w:val="single" w:sz="4" w:space="0" w:color="auto"/>
              <w:right w:val="single" w:sz="4" w:space="0" w:color="auto"/>
            </w:tcBorders>
            <w:shd w:val="clear" w:color="auto" w:fill="C6EFCE"/>
            <w:noWrap/>
          </w:tcPr>
          <w:p w14:paraId="0EF7E5F8"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2 753</w:t>
            </w:r>
          </w:p>
        </w:tc>
        <w:tc>
          <w:tcPr>
            <w:tcW w:w="1134" w:type="dxa"/>
            <w:tcBorders>
              <w:top w:val="nil"/>
              <w:left w:val="nil"/>
              <w:bottom w:val="single" w:sz="4" w:space="0" w:color="auto"/>
              <w:right w:val="single" w:sz="4" w:space="0" w:color="auto"/>
            </w:tcBorders>
            <w:shd w:val="clear" w:color="auto" w:fill="C6EFCE"/>
            <w:noWrap/>
          </w:tcPr>
          <w:p w14:paraId="573E13AA"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845" w:type="dxa"/>
            <w:tcBorders>
              <w:top w:val="nil"/>
              <w:left w:val="nil"/>
              <w:bottom w:val="single" w:sz="4" w:space="0" w:color="auto"/>
              <w:right w:val="single" w:sz="4" w:space="0" w:color="auto"/>
            </w:tcBorders>
            <w:shd w:val="clear" w:color="auto" w:fill="C6EFCE"/>
            <w:noWrap/>
          </w:tcPr>
          <w:p w14:paraId="03853FEC"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2026</w:t>
            </w:r>
          </w:p>
        </w:tc>
        <w:tc>
          <w:tcPr>
            <w:tcW w:w="2987" w:type="dxa"/>
            <w:tcBorders>
              <w:top w:val="nil"/>
              <w:left w:val="nil"/>
              <w:bottom w:val="single" w:sz="4" w:space="0" w:color="auto"/>
              <w:right w:val="single" w:sz="4" w:space="0" w:color="auto"/>
            </w:tcBorders>
            <w:shd w:val="clear" w:color="auto" w:fill="C6EFCE"/>
            <w:noWrap/>
          </w:tcPr>
          <w:p w14:paraId="29F1E813" w14:textId="6FE664D3"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rPr>
              <w:t>Acceptance certificates confirming the delivery of a total of 1</w:t>
            </w:r>
            <w:r w:rsidR="00BD01A2">
              <w:rPr>
                <w:rFonts w:ascii="Times New Roman" w:hAnsi="Times New Roman" w:cs="Times New Roman"/>
                <w:noProof/>
                <w:sz w:val="20"/>
                <w:szCs w:val="20"/>
              </w:rPr>
              <w:t> </w:t>
            </w:r>
            <w:r w:rsidRPr="009F5E22">
              <w:rPr>
                <w:rFonts w:ascii="Times New Roman" w:hAnsi="Times New Roman" w:cs="Times New Roman"/>
                <w:noProof/>
                <w:sz w:val="20"/>
                <w:szCs w:val="20"/>
              </w:rPr>
              <w:t>135 zero-emission vehicles (for example, buses, trams, trolleybuses and minibuses) in urban and rural areas. In rural areas the investment is restricted to minibuses.</w:t>
            </w:r>
            <w:r w:rsidR="00D23D91" w:rsidRPr="009F5E22">
              <w:rPr>
                <w:rFonts w:ascii="Times New Roman" w:hAnsi="Times New Roman" w:cs="Times New Roman"/>
                <w:noProof/>
                <w:sz w:val="20"/>
                <w:szCs w:val="20"/>
              </w:rPr>
              <w:t xml:space="preserve"> </w:t>
            </w:r>
          </w:p>
        </w:tc>
      </w:tr>
      <w:tr w:rsidR="00E51A4F" w:rsidRPr="009F5E22" w14:paraId="08422DD2"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5FD426FC"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298</w:t>
            </w:r>
          </w:p>
        </w:tc>
        <w:tc>
          <w:tcPr>
            <w:tcW w:w="1569" w:type="dxa"/>
            <w:tcBorders>
              <w:top w:val="nil"/>
              <w:left w:val="nil"/>
              <w:bottom w:val="single" w:sz="4" w:space="0" w:color="auto"/>
              <w:right w:val="single" w:sz="4" w:space="0" w:color="auto"/>
            </w:tcBorders>
            <w:shd w:val="clear" w:color="auto" w:fill="C6EFCE"/>
            <w:noWrap/>
          </w:tcPr>
          <w:p w14:paraId="68E86FCE"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Investment 1. Sustainable urban mobility</w:t>
            </w:r>
          </w:p>
        </w:tc>
        <w:tc>
          <w:tcPr>
            <w:tcW w:w="1316" w:type="dxa"/>
            <w:tcBorders>
              <w:top w:val="nil"/>
              <w:left w:val="nil"/>
              <w:bottom w:val="single" w:sz="4" w:space="0" w:color="auto"/>
              <w:right w:val="single" w:sz="4" w:space="0" w:color="auto"/>
            </w:tcBorders>
            <w:shd w:val="clear" w:color="auto" w:fill="C6EFCE"/>
            <w:noWrap/>
          </w:tcPr>
          <w:p w14:paraId="38161F02"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40" w:type="dxa"/>
            <w:tcBorders>
              <w:top w:val="nil"/>
              <w:left w:val="nil"/>
              <w:bottom w:val="single" w:sz="4" w:space="0" w:color="auto"/>
              <w:right w:val="single" w:sz="4" w:space="0" w:color="auto"/>
            </w:tcBorders>
            <w:shd w:val="clear" w:color="auto" w:fill="C6EFCE"/>
            <w:noWrap/>
          </w:tcPr>
          <w:p w14:paraId="43B05C27"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Signature of contracts for the provision of ITS/other ICT infrastructure</w:t>
            </w:r>
          </w:p>
        </w:tc>
        <w:tc>
          <w:tcPr>
            <w:tcW w:w="1538" w:type="dxa"/>
            <w:tcBorders>
              <w:top w:val="single" w:sz="4" w:space="0" w:color="auto"/>
              <w:left w:val="nil"/>
              <w:bottom w:val="single" w:sz="4" w:space="0" w:color="auto"/>
              <w:right w:val="single" w:sz="4" w:space="0" w:color="auto"/>
            </w:tcBorders>
            <w:shd w:val="clear" w:color="auto" w:fill="C6EFCE"/>
            <w:noWrap/>
          </w:tcPr>
          <w:p w14:paraId="5FCC287F"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Signature of contracts</w:t>
            </w:r>
          </w:p>
        </w:tc>
        <w:tc>
          <w:tcPr>
            <w:tcW w:w="1275" w:type="dxa"/>
            <w:tcBorders>
              <w:top w:val="nil"/>
              <w:left w:val="nil"/>
              <w:bottom w:val="single" w:sz="4" w:space="0" w:color="auto"/>
              <w:right w:val="single" w:sz="4" w:space="0" w:color="auto"/>
            </w:tcBorders>
            <w:shd w:val="clear" w:color="auto" w:fill="C6EFCE"/>
            <w:noWrap/>
          </w:tcPr>
          <w:p w14:paraId="363A724B"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276" w:type="dxa"/>
            <w:tcBorders>
              <w:top w:val="nil"/>
              <w:left w:val="nil"/>
              <w:bottom w:val="single" w:sz="4" w:space="0" w:color="auto"/>
              <w:right w:val="single" w:sz="4" w:space="0" w:color="auto"/>
            </w:tcBorders>
            <w:shd w:val="clear" w:color="auto" w:fill="C6EFCE"/>
            <w:noWrap/>
          </w:tcPr>
          <w:p w14:paraId="7B3F7F22"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276" w:type="dxa"/>
            <w:tcBorders>
              <w:top w:val="nil"/>
              <w:left w:val="nil"/>
              <w:bottom w:val="single" w:sz="4" w:space="0" w:color="auto"/>
              <w:right w:val="single" w:sz="4" w:space="0" w:color="auto"/>
            </w:tcBorders>
            <w:shd w:val="clear" w:color="auto" w:fill="C6EFCE"/>
            <w:noWrap/>
          </w:tcPr>
          <w:p w14:paraId="4DFD3E07"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134" w:type="dxa"/>
            <w:tcBorders>
              <w:top w:val="nil"/>
              <w:left w:val="nil"/>
              <w:bottom w:val="single" w:sz="4" w:space="0" w:color="auto"/>
              <w:right w:val="single" w:sz="4" w:space="0" w:color="auto"/>
            </w:tcBorders>
            <w:shd w:val="clear" w:color="auto" w:fill="C6EFCE"/>
            <w:noWrap/>
          </w:tcPr>
          <w:p w14:paraId="074163FE"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p w14:paraId="72A5CBC1" w14:textId="77777777" w:rsidR="00E51A4F" w:rsidRPr="009F5E22" w:rsidRDefault="00E51A4F">
            <w:pPr>
              <w:spacing w:after="0" w:line="240" w:lineRule="auto"/>
              <w:jc w:val="both"/>
              <w:rPr>
                <w:rFonts w:ascii="Times New Roman" w:hAnsi="Times New Roman" w:cs="Times New Roman"/>
                <w:noProof/>
                <w:sz w:val="20"/>
                <w:szCs w:val="20"/>
                <w:lang w:val="en-GB"/>
              </w:rPr>
            </w:pPr>
          </w:p>
        </w:tc>
        <w:tc>
          <w:tcPr>
            <w:tcW w:w="845" w:type="dxa"/>
            <w:tcBorders>
              <w:top w:val="nil"/>
              <w:left w:val="nil"/>
              <w:bottom w:val="single" w:sz="4" w:space="0" w:color="auto"/>
              <w:right w:val="single" w:sz="4" w:space="0" w:color="auto"/>
            </w:tcBorders>
            <w:shd w:val="clear" w:color="auto" w:fill="C6EFCE"/>
            <w:noWrap/>
          </w:tcPr>
          <w:p w14:paraId="5D86AC10"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tc>
        <w:tc>
          <w:tcPr>
            <w:tcW w:w="2987" w:type="dxa"/>
            <w:tcBorders>
              <w:top w:val="nil"/>
              <w:left w:val="nil"/>
              <w:bottom w:val="single" w:sz="4" w:space="0" w:color="auto"/>
              <w:right w:val="single" w:sz="4" w:space="0" w:color="auto"/>
            </w:tcBorders>
            <w:shd w:val="clear" w:color="auto" w:fill="C6EFCE"/>
            <w:noWrap/>
          </w:tcPr>
          <w:p w14:paraId="1283D2E2" w14:textId="77777777" w:rsidR="00E51A4F" w:rsidRPr="009F5E22" w:rsidRDefault="00E51A4F">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The scheme shall set out the criteria and conditions to be met for funding for beneficiaries that shall be selected via open, and transparent call for proposals, which shall include inter alia the following specifications:</w:t>
            </w:r>
          </w:p>
          <w:p w14:paraId="663DDF3F"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Compulsory alignment of the investments with the Sustainable Urban Mobility Plan/Integrated Sustainable Development/General Urban Plan approved; </w:t>
            </w:r>
          </w:p>
          <w:p w14:paraId="6EAA6819"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Ensuring coverage with mobility services in the functional and peri-urban area. Ensure prioritisation and promotion of public transport in local traffic by planning preferential routes and bus lanes on most frequented/congested arteries;</w:t>
            </w:r>
          </w:p>
          <w:p w14:paraId="1A687CB9" w14:textId="77777777" w:rsidR="00E51A4F" w:rsidRPr="009F5E22" w:rsidRDefault="00E51A4F">
            <w:pPr>
              <w:spacing w:after="0"/>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The following actions shall be eligible under Intelligent Transport Systems (in line with intervention field 076 - Digitalisation of urban transport)</w:t>
            </w:r>
          </w:p>
          <w:p w14:paraId="35857F94"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Smart traffic management</w:t>
            </w:r>
          </w:p>
          <w:p w14:paraId="5D7C1759"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Charging solutions</w:t>
            </w:r>
          </w:p>
          <w:p w14:paraId="7C988F37"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Integrated smart parking solutions</w:t>
            </w:r>
          </w:p>
          <w:p w14:paraId="03BB21AD"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Traffic control centres </w:t>
            </w:r>
          </w:p>
          <w:p w14:paraId="3D07A484"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Speed adaptation warning systems</w:t>
            </w:r>
          </w:p>
          <w:p w14:paraId="693F3E68"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Safety systems for the working area</w:t>
            </w:r>
          </w:p>
          <w:p w14:paraId="3A4A0F8C"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Interconnected traffic light system</w:t>
            </w:r>
          </w:p>
          <w:p w14:paraId="464339B0"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Monitoring of travel times and speed</w:t>
            </w:r>
          </w:p>
          <w:p w14:paraId="1C08E7E3"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Weighing systems in motion</w:t>
            </w:r>
          </w:p>
          <w:p w14:paraId="1CB4A5DE"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Priority signal for the use of emergency vehicles</w:t>
            </w:r>
          </w:p>
          <w:p w14:paraId="594BE42D"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Dynamic message signs</w:t>
            </w:r>
          </w:p>
          <w:p w14:paraId="4F7D8AD5"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Travel planner for public transport.</w:t>
            </w:r>
          </w:p>
          <w:p w14:paraId="1E43EA38"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Integrated passenger information systems</w:t>
            </w:r>
          </w:p>
          <w:p w14:paraId="2E7D1BD8" w14:textId="77777777" w:rsidR="00E51A4F" w:rsidRPr="009F5E22" w:rsidRDefault="00E51A4F">
            <w:pPr>
              <w:contextualSpacing/>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Other types of ICT infrastructures (in cities and municipalities) - Smart City/Smart Village concept shall also be eligible in relation to technological developments (in line with intervention field 021ter Development of highly specialised support services and facilities for public administrations and businesses) such as:</w:t>
            </w:r>
            <w:r w:rsidRPr="009F5E22">
              <w:rPr>
                <w:rFonts w:ascii="Times New Roman" w:hAnsi="Times New Roman" w:cs="Times New Roman"/>
                <w:noProof/>
                <w:sz w:val="20"/>
                <w:szCs w:val="20"/>
                <w:lang w:val="en-GB"/>
              </w:rPr>
              <w:tab/>
            </w:r>
          </w:p>
          <w:p w14:paraId="10A1FB79"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Use of drones to inspect areas or situations of risk (mountain areas). </w:t>
            </w:r>
          </w:p>
          <w:p w14:paraId="313907CE"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Real-time Situation Monitoring Centre in the city</w:t>
            </w:r>
          </w:p>
          <w:p w14:paraId="73ED422C"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Smart management systems for green space systems. </w:t>
            </w:r>
          </w:p>
          <w:p w14:paraId="7010981A"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Extension of the WiFi system in public spaces. </w:t>
            </w:r>
          </w:p>
          <w:p w14:paraId="47A8230B"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Smart urban furniture. </w:t>
            </w:r>
          </w:p>
          <w:p w14:paraId="185531BE"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Public space monitoring and safety system. </w:t>
            </w:r>
          </w:p>
          <w:p w14:paraId="17620A36"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Valorisation of heritage objectives through digital digitisation or reconstruction </w:t>
            </w:r>
          </w:p>
          <w:p w14:paraId="272E7856"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One-stop-shop for business. </w:t>
            </w:r>
          </w:p>
          <w:p w14:paraId="3CCB2FFE"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Platform to attract investments. </w:t>
            </w:r>
          </w:p>
          <w:p w14:paraId="59FCF851"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Platform for communicating with citizens and forming community initiatives</w:t>
            </w:r>
          </w:p>
          <w:p w14:paraId="58CF1B7C"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Local community innovation hubs</w:t>
            </w:r>
          </w:p>
          <w:p w14:paraId="1C5E38A5"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Development or modernisation of vocational education and training infrastructure. </w:t>
            </w:r>
          </w:p>
          <w:p w14:paraId="65AFC830"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Digitalisation of the education system. </w:t>
            </w:r>
          </w:p>
          <w:p w14:paraId="239FC6C3"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Metropolitan GIS databases. </w:t>
            </w:r>
          </w:p>
          <w:p w14:paraId="4398DAD7"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Open data platform </w:t>
            </w:r>
          </w:p>
          <w:p w14:paraId="5A104631"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Virtual civil servant. </w:t>
            </w:r>
          </w:p>
          <w:p w14:paraId="3D61A8B5"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‘Cloud’ services </w:t>
            </w:r>
          </w:p>
          <w:p w14:paraId="6691F899"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Digital Public Service Platform. </w:t>
            </w:r>
          </w:p>
          <w:p w14:paraId="08FB056A"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Registration and document issuing systems </w:t>
            </w:r>
          </w:p>
          <w:p w14:paraId="210B6257"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Urban data centre and real-time monitoring of the state of the city. </w:t>
            </w:r>
          </w:p>
          <w:p w14:paraId="4CC86B3D"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City app (application to inform citizens and identify problems at local level). </w:t>
            </w:r>
          </w:p>
          <w:p w14:paraId="3FC6CF83"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Online payment of taxes. </w:t>
            </w:r>
          </w:p>
          <w:p w14:paraId="4913B1F3"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Online planning system — website that allows citizens to be encoded online at various APL desks. </w:t>
            </w:r>
          </w:p>
          <w:p w14:paraId="139E9D8F"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Public service information kiosks. </w:t>
            </w:r>
          </w:p>
          <w:p w14:paraId="470F281A"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Online platform and/or mobile application to map energy consumption at neighbourhood or city level. </w:t>
            </w:r>
          </w:p>
          <w:p w14:paraId="2B824D48"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Smart electricity grid that may be deployed in different areas of collective housing (Smart Grid). </w:t>
            </w:r>
          </w:p>
          <w:p w14:paraId="40DB82D8"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Automation of irrigation systems for green space</w:t>
            </w:r>
          </w:p>
          <w:p w14:paraId="40378172"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‘Smart’ sanitation infrastructure.</w:t>
            </w:r>
          </w:p>
          <w:p w14:paraId="2C6DB840" w14:textId="77777777" w:rsidR="00E51A4F" w:rsidRPr="009F5E22" w:rsidRDefault="00E51A4F" w:rsidP="00E51A4F">
            <w:pPr>
              <w:numPr>
                <w:ilvl w:val="0"/>
                <w:numId w:val="47"/>
              </w:numPr>
              <w:spacing w:after="0" w:line="240" w:lineRule="auto"/>
              <w:ind w:left="144" w:hanging="144"/>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Real-time monitoring of the state of technical and municipal infrastructure and consumption.</w:t>
            </w:r>
          </w:p>
        </w:tc>
      </w:tr>
      <w:tr w:rsidR="00E51A4F" w:rsidRPr="009F5E22" w14:paraId="654EF334"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6DE47819"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299</w:t>
            </w:r>
          </w:p>
        </w:tc>
        <w:tc>
          <w:tcPr>
            <w:tcW w:w="1569" w:type="dxa"/>
            <w:tcBorders>
              <w:top w:val="nil"/>
              <w:left w:val="nil"/>
              <w:bottom w:val="single" w:sz="4" w:space="0" w:color="auto"/>
              <w:right w:val="single" w:sz="4" w:space="0" w:color="auto"/>
            </w:tcBorders>
            <w:shd w:val="clear" w:color="auto" w:fill="C6EFCE"/>
            <w:noWrap/>
          </w:tcPr>
          <w:p w14:paraId="70E05ABA"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Investment 1. Sustainable urban mobility</w:t>
            </w:r>
          </w:p>
        </w:tc>
        <w:tc>
          <w:tcPr>
            <w:tcW w:w="1316" w:type="dxa"/>
            <w:tcBorders>
              <w:top w:val="nil"/>
              <w:left w:val="nil"/>
              <w:bottom w:val="single" w:sz="4" w:space="0" w:color="auto"/>
              <w:right w:val="single" w:sz="4" w:space="0" w:color="auto"/>
            </w:tcBorders>
            <w:shd w:val="clear" w:color="auto" w:fill="C6EFCE"/>
            <w:noWrap/>
          </w:tcPr>
          <w:p w14:paraId="6A059751"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40" w:type="dxa"/>
            <w:tcBorders>
              <w:top w:val="nil"/>
              <w:left w:val="nil"/>
              <w:bottom w:val="single" w:sz="4" w:space="0" w:color="auto"/>
              <w:right w:val="single" w:sz="4" w:space="0" w:color="auto"/>
            </w:tcBorders>
            <w:shd w:val="clear" w:color="auto" w:fill="C6EFCE"/>
            <w:noWrap/>
          </w:tcPr>
          <w:p w14:paraId="738AE11B"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Cycling lanes constructed</w:t>
            </w:r>
          </w:p>
        </w:tc>
        <w:tc>
          <w:tcPr>
            <w:tcW w:w="1538" w:type="dxa"/>
            <w:tcBorders>
              <w:top w:val="single" w:sz="4" w:space="0" w:color="auto"/>
              <w:left w:val="nil"/>
              <w:bottom w:val="single" w:sz="4" w:space="0" w:color="auto"/>
              <w:right w:val="single" w:sz="4" w:space="0" w:color="auto"/>
            </w:tcBorders>
            <w:shd w:val="clear" w:color="auto" w:fill="C6EFCE"/>
            <w:noWrap/>
          </w:tcPr>
          <w:p w14:paraId="31EAAB1E" w14:textId="77777777" w:rsidR="00E51A4F" w:rsidRPr="009F5E22" w:rsidRDefault="00E51A4F">
            <w:pPr>
              <w:spacing w:after="0" w:line="240" w:lineRule="auto"/>
              <w:jc w:val="both"/>
              <w:rPr>
                <w:rFonts w:ascii="Times New Roman" w:hAnsi="Times New Roman" w:cs="Times New Roman"/>
                <w:noProof/>
                <w:sz w:val="20"/>
                <w:szCs w:val="20"/>
                <w:lang w:val="en-GB"/>
              </w:rPr>
            </w:pPr>
          </w:p>
        </w:tc>
        <w:tc>
          <w:tcPr>
            <w:tcW w:w="1275" w:type="dxa"/>
            <w:tcBorders>
              <w:top w:val="nil"/>
              <w:left w:val="nil"/>
              <w:bottom w:val="single" w:sz="4" w:space="0" w:color="auto"/>
              <w:right w:val="single" w:sz="4" w:space="0" w:color="auto"/>
            </w:tcBorders>
            <w:shd w:val="clear" w:color="auto" w:fill="C6EFCE"/>
            <w:noWrap/>
          </w:tcPr>
          <w:p w14:paraId="12B35D5E"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Kilometres (km)</w:t>
            </w:r>
          </w:p>
        </w:tc>
        <w:tc>
          <w:tcPr>
            <w:tcW w:w="1276" w:type="dxa"/>
            <w:tcBorders>
              <w:top w:val="nil"/>
              <w:left w:val="nil"/>
              <w:bottom w:val="single" w:sz="4" w:space="0" w:color="auto"/>
              <w:right w:val="single" w:sz="4" w:space="0" w:color="auto"/>
            </w:tcBorders>
            <w:shd w:val="clear" w:color="auto" w:fill="C6EFCE"/>
            <w:noWrap/>
          </w:tcPr>
          <w:p w14:paraId="06118CDC"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0</w:t>
            </w:r>
          </w:p>
        </w:tc>
        <w:tc>
          <w:tcPr>
            <w:tcW w:w="1276" w:type="dxa"/>
            <w:tcBorders>
              <w:top w:val="nil"/>
              <w:left w:val="nil"/>
              <w:bottom w:val="single" w:sz="4" w:space="0" w:color="auto"/>
              <w:right w:val="single" w:sz="4" w:space="0" w:color="auto"/>
            </w:tcBorders>
            <w:shd w:val="clear" w:color="auto" w:fill="C6EFCE"/>
            <w:noWrap/>
          </w:tcPr>
          <w:p w14:paraId="6A557FC1"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644</w:t>
            </w:r>
          </w:p>
        </w:tc>
        <w:tc>
          <w:tcPr>
            <w:tcW w:w="1134" w:type="dxa"/>
            <w:tcBorders>
              <w:top w:val="nil"/>
              <w:left w:val="nil"/>
              <w:bottom w:val="single" w:sz="4" w:space="0" w:color="auto"/>
              <w:right w:val="single" w:sz="4" w:space="0" w:color="auto"/>
            </w:tcBorders>
            <w:shd w:val="clear" w:color="auto" w:fill="C6EFCE"/>
            <w:noWrap/>
          </w:tcPr>
          <w:p w14:paraId="6D12F2EA"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845" w:type="dxa"/>
            <w:tcBorders>
              <w:top w:val="nil"/>
              <w:left w:val="nil"/>
              <w:bottom w:val="single" w:sz="4" w:space="0" w:color="auto"/>
              <w:right w:val="single" w:sz="4" w:space="0" w:color="auto"/>
            </w:tcBorders>
            <w:shd w:val="clear" w:color="auto" w:fill="C6EFCE"/>
            <w:noWrap/>
          </w:tcPr>
          <w:p w14:paraId="0AFDF91E"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2026</w:t>
            </w:r>
          </w:p>
        </w:tc>
        <w:tc>
          <w:tcPr>
            <w:tcW w:w="2987" w:type="dxa"/>
            <w:tcBorders>
              <w:top w:val="nil"/>
              <w:left w:val="nil"/>
              <w:bottom w:val="single" w:sz="4" w:space="0" w:color="auto"/>
              <w:right w:val="single" w:sz="4" w:space="0" w:color="auto"/>
            </w:tcBorders>
            <w:shd w:val="clear" w:color="auto" w:fill="C6EFCE"/>
            <w:noWrap/>
          </w:tcPr>
          <w:p w14:paraId="4C4A9BFC"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rPr>
              <w:t>Works completion reception certificates</w:t>
            </w:r>
            <w:r w:rsidRPr="009F5E22">
              <w:rPr>
                <w:rFonts w:ascii="Times New Roman" w:hAnsi="Times New Roman" w:cs="Times New Roman"/>
                <w:noProof/>
                <w:sz w:val="20"/>
                <w:szCs w:val="20"/>
                <w:lang w:val="en-GB"/>
              </w:rPr>
              <w:t xml:space="preserve"> confirming that 644 km of cycling lanes have been constructed. </w:t>
            </w:r>
          </w:p>
        </w:tc>
      </w:tr>
      <w:tr w:rsidR="00E51A4F" w:rsidRPr="009F5E22" w14:paraId="64B8E653"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20D4F7DF"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300</w:t>
            </w:r>
          </w:p>
        </w:tc>
        <w:tc>
          <w:tcPr>
            <w:tcW w:w="1569" w:type="dxa"/>
            <w:tcBorders>
              <w:top w:val="nil"/>
              <w:left w:val="nil"/>
              <w:bottom w:val="single" w:sz="4" w:space="0" w:color="auto"/>
              <w:right w:val="single" w:sz="4" w:space="0" w:color="auto"/>
            </w:tcBorders>
            <w:shd w:val="clear" w:color="auto" w:fill="C6EFCE"/>
            <w:noWrap/>
          </w:tcPr>
          <w:p w14:paraId="2535E1A8"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Investment 1. Sustainable urban mobility</w:t>
            </w:r>
          </w:p>
        </w:tc>
        <w:tc>
          <w:tcPr>
            <w:tcW w:w="1316" w:type="dxa"/>
            <w:tcBorders>
              <w:top w:val="nil"/>
              <w:left w:val="nil"/>
              <w:bottom w:val="single" w:sz="4" w:space="0" w:color="auto"/>
              <w:right w:val="single" w:sz="4" w:space="0" w:color="auto"/>
            </w:tcBorders>
            <w:shd w:val="clear" w:color="auto" w:fill="C6EFCE"/>
            <w:noWrap/>
          </w:tcPr>
          <w:p w14:paraId="1F1EB3FD"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40" w:type="dxa"/>
            <w:tcBorders>
              <w:top w:val="nil"/>
              <w:left w:val="nil"/>
              <w:bottom w:val="single" w:sz="4" w:space="0" w:color="auto"/>
              <w:right w:val="single" w:sz="4" w:space="0" w:color="auto"/>
            </w:tcBorders>
            <w:shd w:val="clear" w:color="auto" w:fill="C6EFCE"/>
            <w:noWrap/>
          </w:tcPr>
          <w:p w14:paraId="77EBAF19" w14:textId="43217738"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Administrative Territorial Units with delivered or expanded Intelligent Transport Systems and e-ticketing or other ICT infrastructures </w:t>
            </w:r>
          </w:p>
        </w:tc>
        <w:tc>
          <w:tcPr>
            <w:tcW w:w="1538" w:type="dxa"/>
            <w:tcBorders>
              <w:top w:val="single" w:sz="4" w:space="0" w:color="auto"/>
              <w:left w:val="nil"/>
              <w:bottom w:val="single" w:sz="4" w:space="0" w:color="auto"/>
              <w:right w:val="single" w:sz="4" w:space="0" w:color="auto"/>
            </w:tcBorders>
            <w:shd w:val="clear" w:color="auto" w:fill="C6EFCE"/>
            <w:noWrap/>
          </w:tcPr>
          <w:p w14:paraId="27A94925"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275" w:type="dxa"/>
            <w:tcBorders>
              <w:top w:val="nil"/>
              <w:left w:val="nil"/>
              <w:bottom w:val="single" w:sz="4" w:space="0" w:color="auto"/>
              <w:right w:val="single" w:sz="4" w:space="0" w:color="auto"/>
            </w:tcBorders>
            <w:shd w:val="clear" w:color="auto" w:fill="C6EFCE"/>
            <w:noWrap/>
          </w:tcPr>
          <w:p w14:paraId="2467DC0C"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Number</w:t>
            </w:r>
          </w:p>
        </w:tc>
        <w:tc>
          <w:tcPr>
            <w:tcW w:w="1276" w:type="dxa"/>
            <w:tcBorders>
              <w:top w:val="nil"/>
              <w:left w:val="nil"/>
              <w:bottom w:val="single" w:sz="4" w:space="0" w:color="auto"/>
              <w:right w:val="single" w:sz="4" w:space="0" w:color="auto"/>
            </w:tcBorders>
            <w:shd w:val="clear" w:color="auto" w:fill="C6EFCE"/>
            <w:noWrap/>
          </w:tcPr>
          <w:p w14:paraId="3F717666"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0</w:t>
            </w:r>
          </w:p>
        </w:tc>
        <w:tc>
          <w:tcPr>
            <w:tcW w:w="1276" w:type="dxa"/>
            <w:tcBorders>
              <w:top w:val="nil"/>
              <w:left w:val="nil"/>
              <w:bottom w:val="single" w:sz="4" w:space="0" w:color="auto"/>
              <w:right w:val="single" w:sz="4" w:space="0" w:color="auto"/>
            </w:tcBorders>
            <w:shd w:val="clear" w:color="auto" w:fill="C6EFCE"/>
            <w:noWrap/>
          </w:tcPr>
          <w:p w14:paraId="7ED8102D"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491</w:t>
            </w:r>
          </w:p>
        </w:tc>
        <w:tc>
          <w:tcPr>
            <w:tcW w:w="1134" w:type="dxa"/>
            <w:tcBorders>
              <w:top w:val="nil"/>
              <w:left w:val="nil"/>
              <w:bottom w:val="single" w:sz="4" w:space="0" w:color="auto"/>
              <w:right w:val="single" w:sz="4" w:space="0" w:color="auto"/>
            </w:tcBorders>
            <w:shd w:val="clear" w:color="auto" w:fill="C6EFCE"/>
            <w:noWrap/>
          </w:tcPr>
          <w:p w14:paraId="41F1887B"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845" w:type="dxa"/>
            <w:tcBorders>
              <w:top w:val="nil"/>
              <w:left w:val="nil"/>
              <w:bottom w:val="single" w:sz="4" w:space="0" w:color="auto"/>
              <w:right w:val="single" w:sz="4" w:space="0" w:color="auto"/>
            </w:tcBorders>
            <w:shd w:val="clear" w:color="auto" w:fill="C6EFCE"/>
            <w:noWrap/>
          </w:tcPr>
          <w:p w14:paraId="6A0DB384"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2026</w:t>
            </w:r>
          </w:p>
        </w:tc>
        <w:tc>
          <w:tcPr>
            <w:tcW w:w="2987" w:type="dxa"/>
            <w:tcBorders>
              <w:top w:val="nil"/>
              <w:left w:val="nil"/>
              <w:bottom w:val="single" w:sz="4" w:space="0" w:color="auto"/>
              <w:right w:val="single" w:sz="4" w:space="0" w:color="auto"/>
            </w:tcBorders>
            <w:shd w:val="clear" w:color="auto" w:fill="C6EFCE"/>
            <w:noWrap/>
          </w:tcPr>
          <w:p w14:paraId="2AACD12E"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Acceptance certificates confirming that Intelligent Transport Systems and e-ticketing or other ICT infrastructures have been delivered or expanded in 491 Administrative Territorial Units.</w:t>
            </w:r>
          </w:p>
          <w:p w14:paraId="42E19FB6" w14:textId="77777777" w:rsidR="00E51A4F" w:rsidRPr="009F5E22" w:rsidRDefault="00E51A4F">
            <w:pPr>
              <w:spacing w:after="0" w:line="240" w:lineRule="auto"/>
              <w:jc w:val="both"/>
              <w:rPr>
                <w:rFonts w:ascii="Times New Roman" w:hAnsi="Times New Roman" w:cs="Times New Roman"/>
                <w:noProof/>
                <w:sz w:val="20"/>
                <w:szCs w:val="20"/>
                <w:lang w:val="en-GB"/>
              </w:rPr>
            </w:pPr>
          </w:p>
        </w:tc>
      </w:tr>
      <w:tr w:rsidR="00E51A4F" w:rsidRPr="009F5E22" w14:paraId="06B2A996"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2468FCDC"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301</w:t>
            </w:r>
          </w:p>
        </w:tc>
        <w:tc>
          <w:tcPr>
            <w:tcW w:w="1569" w:type="dxa"/>
            <w:tcBorders>
              <w:top w:val="nil"/>
              <w:left w:val="nil"/>
              <w:bottom w:val="single" w:sz="4" w:space="0" w:color="auto"/>
              <w:right w:val="single" w:sz="4" w:space="0" w:color="auto"/>
            </w:tcBorders>
            <w:shd w:val="clear" w:color="auto" w:fill="C6EFCE"/>
            <w:noWrap/>
          </w:tcPr>
          <w:p w14:paraId="6AB93D51"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Investment 1. Sustainable urban mobility</w:t>
            </w:r>
          </w:p>
        </w:tc>
        <w:tc>
          <w:tcPr>
            <w:tcW w:w="1316" w:type="dxa"/>
            <w:tcBorders>
              <w:top w:val="nil"/>
              <w:left w:val="nil"/>
              <w:bottom w:val="single" w:sz="4" w:space="0" w:color="auto"/>
              <w:right w:val="single" w:sz="4" w:space="0" w:color="auto"/>
            </w:tcBorders>
            <w:shd w:val="clear" w:color="auto" w:fill="C6EFCE"/>
            <w:noWrap/>
          </w:tcPr>
          <w:p w14:paraId="5F722B82"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40" w:type="dxa"/>
            <w:tcBorders>
              <w:top w:val="nil"/>
              <w:left w:val="nil"/>
              <w:bottom w:val="single" w:sz="4" w:space="0" w:color="auto"/>
              <w:right w:val="single" w:sz="4" w:space="0" w:color="auto"/>
            </w:tcBorders>
            <w:shd w:val="clear" w:color="auto" w:fill="C6EFCE"/>
            <w:noWrap/>
          </w:tcPr>
          <w:p w14:paraId="39FC0753"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Signature of contracts for building electric vehicle recharging points</w:t>
            </w:r>
          </w:p>
        </w:tc>
        <w:tc>
          <w:tcPr>
            <w:tcW w:w="1538" w:type="dxa"/>
            <w:tcBorders>
              <w:top w:val="single" w:sz="4" w:space="0" w:color="auto"/>
              <w:left w:val="nil"/>
              <w:bottom w:val="single" w:sz="4" w:space="0" w:color="auto"/>
              <w:right w:val="single" w:sz="4" w:space="0" w:color="auto"/>
            </w:tcBorders>
            <w:shd w:val="clear" w:color="auto" w:fill="C6EFCE"/>
            <w:noWrap/>
          </w:tcPr>
          <w:p w14:paraId="14B1C09D"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Signature of contracts</w:t>
            </w:r>
          </w:p>
        </w:tc>
        <w:tc>
          <w:tcPr>
            <w:tcW w:w="1275" w:type="dxa"/>
            <w:tcBorders>
              <w:top w:val="nil"/>
              <w:left w:val="nil"/>
              <w:bottom w:val="single" w:sz="4" w:space="0" w:color="auto"/>
              <w:right w:val="single" w:sz="4" w:space="0" w:color="auto"/>
            </w:tcBorders>
            <w:shd w:val="clear" w:color="auto" w:fill="C6EFCE"/>
            <w:noWrap/>
          </w:tcPr>
          <w:p w14:paraId="02370920"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276" w:type="dxa"/>
            <w:tcBorders>
              <w:top w:val="nil"/>
              <w:left w:val="nil"/>
              <w:bottom w:val="single" w:sz="4" w:space="0" w:color="auto"/>
              <w:right w:val="single" w:sz="4" w:space="0" w:color="auto"/>
            </w:tcBorders>
            <w:shd w:val="clear" w:color="auto" w:fill="C6EFCE"/>
            <w:noWrap/>
          </w:tcPr>
          <w:p w14:paraId="1465CC0C"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276" w:type="dxa"/>
            <w:tcBorders>
              <w:top w:val="nil"/>
              <w:left w:val="nil"/>
              <w:bottom w:val="single" w:sz="4" w:space="0" w:color="auto"/>
              <w:right w:val="single" w:sz="4" w:space="0" w:color="auto"/>
            </w:tcBorders>
            <w:shd w:val="clear" w:color="auto" w:fill="C6EFCE"/>
            <w:noWrap/>
          </w:tcPr>
          <w:p w14:paraId="20519D6A"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134" w:type="dxa"/>
            <w:tcBorders>
              <w:top w:val="nil"/>
              <w:left w:val="nil"/>
              <w:bottom w:val="single" w:sz="4" w:space="0" w:color="auto"/>
              <w:right w:val="single" w:sz="4" w:space="0" w:color="auto"/>
            </w:tcBorders>
            <w:shd w:val="clear" w:color="auto" w:fill="C6EFCE"/>
            <w:noWrap/>
          </w:tcPr>
          <w:p w14:paraId="7610A6B3"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845" w:type="dxa"/>
            <w:tcBorders>
              <w:top w:val="nil"/>
              <w:left w:val="nil"/>
              <w:bottom w:val="single" w:sz="4" w:space="0" w:color="auto"/>
              <w:right w:val="single" w:sz="4" w:space="0" w:color="auto"/>
            </w:tcBorders>
            <w:shd w:val="clear" w:color="auto" w:fill="C6EFCE"/>
            <w:noWrap/>
          </w:tcPr>
          <w:p w14:paraId="77D80DE5"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tc>
        <w:tc>
          <w:tcPr>
            <w:tcW w:w="2987" w:type="dxa"/>
            <w:tcBorders>
              <w:top w:val="nil"/>
              <w:left w:val="nil"/>
              <w:bottom w:val="single" w:sz="4" w:space="0" w:color="auto"/>
              <w:right w:val="single" w:sz="4" w:space="0" w:color="auto"/>
            </w:tcBorders>
            <w:shd w:val="clear" w:color="auto" w:fill="C6EFCE"/>
            <w:noWrap/>
          </w:tcPr>
          <w:p w14:paraId="369A078C"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scheme shall set out the criteria and conditions to be met for funding for beneficiaries that shall be selected via open and transparent call for proposals, which shall include inter alia the following specifications:</w:t>
            </w:r>
          </w:p>
          <w:p w14:paraId="4E205B5A"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Compulsory alignment of the investments with the Sustainable Urban Mobility Plan/Integrated Sustainable Development/General Urban Plan approved or under development; </w:t>
            </w:r>
          </w:p>
          <w:p w14:paraId="4A5D6F33"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Ensuring coverage with mobility services in the functional and peri-urban area. Ensure prioritisation and promotion of public transport in local traffic by planning preferential routes and bus lanes on most frequented/congested arteries;</w:t>
            </w:r>
          </w:p>
          <w:p w14:paraId="7D7FD9C1"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Having a public service contract with economic operators in accordance with the provisions of Regulation (EC) No 1370/2007. </w:t>
            </w:r>
          </w:p>
          <w:p w14:paraId="2CD1C656" w14:textId="77777777" w:rsidR="00E51A4F" w:rsidRPr="009F5E22" w:rsidRDefault="00E51A4F">
            <w:pPr>
              <w:spacing w:before="120"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Until 2026, county seat cities (including each sector in Bucharest) shall each ensure the development of a minimum of 40 recharging points for electric vehicles accessible to the public/Administrative Territorial Unit.</w:t>
            </w:r>
          </w:p>
        </w:tc>
      </w:tr>
      <w:tr w:rsidR="00E51A4F" w:rsidRPr="009F5E22" w14:paraId="3D2B498E" w14:textId="77777777">
        <w:trPr>
          <w:trHeight w:val="309"/>
          <w:jc w:val="center"/>
        </w:trPr>
        <w:tc>
          <w:tcPr>
            <w:tcW w:w="795" w:type="dxa"/>
            <w:tcBorders>
              <w:top w:val="single" w:sz="4" w:space="0" w:color="auto"/>
              <w:left w:val="single" w:sz="4" w:space="0" w:color="auto"/>
              <w:bottom w:val="single" w:sz="4" w:space="0" w:color="auto"/>
              <w:right w:val="single" w:sz="4" w:space="0" w:color="auto"/>
            </w:tcBorders>
            <w:shd w:val="clear" w:color="auto" w:fill="C6EFCE"/>
            <w:noWrap/>
          </w:tcPr>
          <w:p w14:paraId="0F2098E4"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303</w:t>
            </w:r>
          </w:p>
        </w:tc>
        <w:tc>
          <w:tcPr>
            <w:tcW w:w="1569" w:type="dxa"/>
            <w:tcBorders>
              <w:top w:val="single" w:sz="4" w:space="0" w:color="auto"/>
              <w:left w:val="nil"/>
              <w:bottom w:val="single" w:sz="4" w:space="0" w:color="auto"/>
              <w:right w:val="single" w:sz="4" w:space="0" w:color="auto"/>
            </w:tcBorders>
            <w:shd w:val="clear" w:color="auto" w:fill="C6EFCE"/>
            <w:noWrap/>
          </w:tcPr>
          <w:p w14:paraId="70961B8C"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Investment 1. Sustainable urban mobility</w:t>
            </w:r>
          </w:p>
        </w:tc>
        <w:tc>
          <w:tcPr>
            <w:tcW w:w="1316" w:type="dxa"/>
            <w:tcBorders>
              <w:top w:val="single" w:sz="4" w:space="0" w:color="auto"/>
              <w:left w:val="nil"/>
              <w:bottom w:val="single" w:sz="4" w:space="0" w:color="auto"/>
              <w:right w:val="single" w:sz="4" w:space="0" w:color="auto"/>
            </w:tcBorders>
            <w:shd w:val="clear" w:color="auto" w:fill="C6EFCE"/>
            <w:noWrap/>
          </w:tcPr>
          <w:p w14:paraId="49ABB6F4"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40" w:type="dxa"/>
            <w:tcBorders>
              <w:top w:val="single" w:sz="4" w:space="0" w:color="auto"/>
              <w:left w:val="nil"/>
              <w:bottom w:val="single" w:sz="4" w:space="0" w:color="auto"/>
              <w:right w:val="single" w:sz="4" w:space="0" w:color="auto"/>
            </w:tcBorders>
            <w:shd w:val="clear" w:color="auto" w:fill="C6EFCE"/>
            <w:noWrap/>
          </w:tcPr>
          <w:p w14:paraId="5B969A76"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Number of recharging points for electric vehicles connected to the electricity grid</w:t>
            </w:r>
          </w:p>
        </w:tc>
        <w:tc>
          <w:tcPr>
            <w:tcW w:w="1538" w:type="dxa"/>
            <w:tcBorders>
              <w:top w:val="single" w:sz="4" w:space="0" w:color="auto"/>
              <w:left w:val="nil"/>
              <w:bottom w:val="single" w:sz="4" w:space="0" w:color="auto"/>
              <w:right w:val="single" w:sz="4" w:space="0" w:color="auto"/>
            </w:tcBorders>
            <w:shd w:val="clear" w:color="auto" w:fill="C6EFCE"/>
            <w:noWrap/>
          </w:tcPr>
          <w:p w14:paraId="3BB08951" w14:textId="77777777" w:rsidR="00E51A4F" w:rsidRPr="009F5E22" w:rsidRDefault="00E51A4F">
            <w:pPr>
              <w:spacing w:after="0" w:line="240" w:lineRule="auto"/>
              <w:jc w:val="both"/>
              <w:rPr>
                <w:rFonts w:ascii="Times New Roman" w:hAnsi="Times New Roman" w:cs="Times New Roman"/>
                <w:noProof/>
                <w:sz w:val="20"/>
                <w:szCs w:val="20"/>
                <w:lang w:val="en-GB"/>
              </w:rPr>
            </w:pPr>
          </w:p>
        </w:tc>
        <w:tc>
          <w:tcPr>
            <w:tcW w:w="1275" w:type="dxa"/>
            <w:tcBorders>
              <w:top w:val="single" w:sz="4" w:space="0" w:color="auto"/>
              <w:left w:val="nil"/>
              <w:bottom w:val="single" w:sz="4" w:space="0" w:color="auto"/>
              <w:right w:val="single" w:sz="4" w:space="0" w:color="auto"/>
            </w:tcBorders>
            <w:shd w:val="clear" w:color="auto" w:fill="C6EFCE"/>
            <w:noWrap/>
          </w:tcPr>
          <w:p w14:paraId="7E90CA34"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Number</w:t>
            </w:r>
          </w:p>
        </w:tc>
        <w:tc>
          <w:tcPr>
            <w:tcW w:w="1276" w:type="dxa"/>
            <w:tcBorders>
              <w:top w:val="single" w:sz="4" w:space="0" w:color="auto"/>
              <w:left w:val="nil"/>
              <w:bottom w:val="single" w:sz="4" w:space="0" w:color="auto"/>
              <w:right w:val="single" w:sz="4" w:space="0" w:color="auto"/>
            </w:tcBorders>
            <w:shd w:val="clear" w:color="auto" w:fill="C6EFCE"/>
            <w:noWrap/>
          </w:tcPr>
          <w:p w14:paraId="13AA2EAB"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0</w:t>
            </w:r>
          </w:p>
        </w:tc>
        <w:tc>
          <w:tcPr>
            <w:tcW w:w="1276" w:type="dxa"/>
            <w:tcBorders>
              <w:top w:val="single" w:sz="4" w:space="0" w:color="auto"/>
              <w:left w:val="nil"/>
              <w:bottom w:val="single" w:sz="4" w:space="0" w:color="auto"/>
              <w:right w:val="single" w:sz="4" w:space="0" w:color="auto"/>
            </w:tcBorders>
            <w:shd w:val="clear" w:color="auto" w:fill="C6EFCE"/>
            <w:noWrap/>
          </w:tcPr>
          <w:p w14:paraId="02CD20AE" w14:textId="74B6D422"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w:t>
            </w:r>
            <w:r w:rsidR="00BD01A2">
              <w:rPr>
                <w:rFonts w:ascii="Times New Roman" w:hAnsi="Times New Roman" w:cs="Times New Roman"/>
                <w:noProof/>
                <w:sz w:val="20"/>
                <w:szCs w:val="20"/>
                <w:lang w:val="en-GB"/>
              </w:rPr>
              <w:t> </w:t>
            </w:r>
            <w:r w:rsidRPr="009F5E22">
              <w:rPr>
                <w:rFonts w:ascii="Times New Roman" w:hAnsi="Times New Roman" w:cs="Times New Roman"/>
                <w:noProof/>
                <w:sz w:val="20"/>
                <w:szCs w:val="20"/>
                <w:lang w:val="en-GB"/>
              </w:rPr>
              <w:t>000</w:t>
            </w:r>
          </w:p>
        </w:tc>
        <w:tc>
          <w:tcPr>
            <w:tcW w:w="1134" w:type="dxa"/>
            <w:tcBorders>
              <w:top w:val="single" w:sz="4" w:space="0" w:color="auto"/>
              <w:left w:val="nil"/>
              <w:bottom w:val="single" w:sz="4" w:space="0" w:color="auto"/>
              <w:right w:val="single" w:sz="4" w:space="0" w:color="auto"/>
            </w:tcBorders>
            <w:shd w:val="clear" w:color="auto" w:fill="C6EFCE"/>
            <w:noWrap/>
          </w:tcPr>
          <w:p w14:paraId="126B5C6D"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845" w:type="dxa"/>
            <w:tcBorders>
              <w:top w:val="single" w:sz="4" w:space="0" w:color="auto"/>
              <w:left w:val="nil"/>
              <w:bottom w:val="single" w:sz="4" w:space="0" w:color="auto"/>
              <w:right w:val="single" w:sz="4" w:space="0" w:color="auto"/>
            </w:tcBorders>
            <w:shd w:val="clear" w:color="auto" w:fill="C6EFCE"/>
            <w:noWrap/>
          </w:tcPr>
          <w:p w14:paraId="3BC57154"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2026</w:t>
            </w:r>
          </w:p>
        </w:tc>
        <w:tc>
          <w:tcPr>
            <w:tcW w:w="2987" w:type="dxa"/>
            <w:tcBorders>
              <w:top w:val="single" w:sz="4" w:space="0" w:color="auto"/>
              <w:left w:val="nil"/>
              <w:bottom w:val="single" w:sz="4" w:space="0" w:color="auto"/>
              <w:right w:val="single" w:sz="4" w:space="0" w:color="auto"/>
            </w:tcBorders>
            <w:shd w:val="clear" w:color="auto" w:fill="C6EFCE"/>
            <w:noWrap/>
          </w:tcPr>
          <w:p w14:paraId="2099890C" w14:textId="66673298"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Commissioning reports</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and certificates of connection to the electricity grid for 2</w:t>
            </w:r>
            <w:r w:rsidR="00BD01A2">
              <w:rPr>
                <w:rFonts w:ascii="Times New Roman" w:hAnsi="Times New Roman" w:cs="Times New Roman"/>
                <w:noProof/>
                <w:sz w:val="20"/>
                <w:szCs w:val="20"/>
                <w:lang w:val="en-GB"/>
              </w:rPr>
              <w:t> </w:t>
            </w:r>
            <w:r w:rsidRPr="009F5E22">
              <w:rPr>
                <w:rFonts w:ascii="Times New Roman" w:hAnsi="Times New Roman" w:cs="Times New Roman"/>
                <w:noProof/>
                <w:sz w:val="20"/>
                <w:szCs w:val="20"/>
                <w:lang w:val="en-GB"/>
              </w:rPr>
              <w:t>000</w:t>
            </w:r>
            <w:r w:rsidRPr="009F5E22" w:rsidDel="00575C47">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 xml:space="preserve">recharging points for electric vehicles. </w:t>
            </w:r>
          </w:p>
        </w:tc>
      </w:tr>
      <w:tr w:rsidR="00E51A4F" w:rsidRPr="009F5E22" w14:paraId="7A630956" w14:textId="77777777">
        <w:trPr>
          <w:trHeight w:val="309"/>
          <w:jc w:val="center"/>
        </w:trPr>
        <w:tc>
          <w:tcPr>
            <w:tcW w:w="795" w:type="dxa"/>
            <w:tcBorders>
              <w:top w:val="single" w:sz="4" w:space="0" w:color="auto"/>
              <w:left w:val="single" w:sz="4" w:space="0" w:color="auto"/>
              <w:bottom w:val="single" w:sz="4" w:space="0" w:color="auto"/>
              <w:right w:val="single" w:sz="4" w:space="0" w:color="auto"/>
            </w:tcBorders>
            <w:shd w:val="clear" w:color="auto" w:fill="C6EFCE"/>
            <w:noWrap/>
          </w:tcPr>
          <w:p w14:paraId="40B1AF44"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322a</w:t>
            </w:r>
          </w:p>
        </w:tc>
        <w:tc>
          <w:tcPr>
            <w:tcW w:w="1569" w:type="dxa"/>
            <w:tcBorders>
              <w:top w:val="single" w:sz="4" w:space="0" w:color="auto"/>
              <w:left w:val="nil"/>
              <w:bottom w:val="single" w:sz="4" w:space="0" w:color="auto"/>
              <w:right w:val="single" w:sz="4" w:space="0" w:color="auto"/>
            </w:tcBorders>
            <w:shd w:val="clear" w:color="auto" w:fill="C6EFCE"/>
            <w:noWrap/>
          </w:tcPr>
          <w:p w14:paraId="7B9DA601"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Investment 3.a. Renovation of public buildings to support better public service delivery by administrative territorial units </w:t>
            </w:r>
          </w:p>
        </w:tc>
        <w:tc>
          <w:tcPr>
            <w:tcW w:w="1316" w:type="dxa"/>
            <w:tcBorders>
              <w:top w:val="single" w:sz="4" w:space="0" w:color="auto"/>
              <w:left w:val="nil"/>
              <w:bottom w:val="single" w:sz="4" w:space="0" w:color="auto"/>
              <w:right w:val="single" w:sz="4" w:space="0" w:color="auto"/>
            </w:tcBorders>
            <w:shd w:val="clear" w:color="auto" w:fill="C6EFCE"/>
            <w:noWrap/>
          </w:tcPr>
          <w:p w14:paraId="69F6808D" w14:textId="77777777" w:rsidR="00E51A4F" w:rsidRPr="009F5E22" w:rsidRDefault="00E51A4F">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Target </w:t>
            </w:r>
          </w:p>
        </w:tc>
        <w:tc>
          <w:tcPr>
            <w:tcW w:w="1440" w:type="dxa"/>
            <w:tcBorders>
              <w:top w:val="single" w:sz="4" w:space="0" w:color="auto"/>
              <w:left w:val="nil"/>
              <w:bottom w:val="single" w:sz="4" w:space="0" w:color="auto"/>
              <w:right w:val="single" w:sz="4" w:space="0" w:color="auto"/>
            </w:tcBorders>
            <w:shd w:val="clear" w:color="auto" w:fill="C6EFCE"/>
            <w:noWrap/>
          </w:tcPr>
          <w:p w14:paraId="30AE9BBB"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Energy renovation of public buildings</w:t>
            </w:r>
          </w:p>
        </w:tc>
        <w:tc>
          <w:tcPr>
            <w:tcW w:w="1538" w:type="dxa"/>
            <w:tcBorders>
              <w:top w:val="single" w:sz="4" w:space="0" w:color="auto"/>
              <w:left w:val="nil"/>
              <w:bottom w:val="single" w:sz="4" w:space="0" w:color="auto"/>
              <w:right w:val="single" w:sz="4" w:space="0" w:color="auto"/>
            </w:tcBorders>
            <w:shd w:val="clear" w:color="auto" w:fill="C6EFCE"/>
            <w:noWrap/>
          </w:tcPr>
          <w:p w14:paraId="35992E19"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275" w:type="dxa"/>
            <w:tcBorders>
              <w:top w:val="single" w:sz="4" w:space="0" w:color="auto"/>
              <w:left w:val="nil"/>
              <w:bottom w:val="single" w:sz="4" w:space="0" w:color="auto"/>
              <w:right w:val="single" w:sz="4" w:space="0" w:color="auto"/>
            </w:tcBorders>
            <w:shd w:val="clear" w:color="auto" w:fill="C6EFCE"/>
            <w:noWrap/>
          </w:tcPr>
          <w:p w14:paraId="508A54C4" w14:textId="77777777" w:rsidR="00E51A4F" w:rsidRPr="009F5E22" w:rsidRDefault="00E51A4F">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Number of sqm</w:t>
            </w:r>
          </w:p>
        </w:tc>
        <w:tc>
          <w:tcPr>
            <w:tcW w:w="1276" w:type="dxa"/>
            <w:tcBorders>
              <w:top w:val="single" w:sz="4" w:space="0" w:color="auto"/>
              <w:left w:val="nil"/>
              <w:bottom w:val="single" w:sz="4" w:space="0" w:color="auto"/>
              <w:right w:val="single" w:sz="4" w:space="0" w:color="auto"/>
            </w:tcBorders>
            <w:shd w:val="clear" w:color="auto" w:fill="C6EFCE"/>
            <w:noWrap/>
          </w:tcPr>
          <w:p w14:paraId="65E2BB51"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0</w:t>
            </w:r>
          </w:p>
        </w:tc>
        <w:tc>
          <w:tcPr>
            <w:tcW w:w="1276" w:type="dxa"/>
            <w:tcBorders>
              <w:top w:val="single" w:sz="4" w:space="0" w:color="auto"/>
              <w:left w:val="nil"/>
              <w:bottom w:val="single" w:sz="4" w:space="0" w:color="auto"/>
              <w:right w:val="single" w:sz="4" w:space="0" w:color="auto"/>
            </w:tcBorders>
            <w:shd w:val="clear" w:color="auto" w:fill="C6EFCE"/>
            <w:noWrap/>
          </w:tcPr>
          <w:p w14:paraId="463903A4" w14:textId="1A971CF6" w:rsidR="00E51A4F" w:rsidRPr="009F5E22" w:rsidDel="00E66B81"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551</w:t>
            </w:r>
            <w:r w:rsidR="00BD01A2">
              <w:rPr>
                <w:rFonts w:ascii="Times New Roman" w:hAnsi="Times New Roman" w:cs="Times New Roman"/>
                <w:noProof/>
                <w:sz w:val="20"/>
                <w:szCs w:val="20"/>
                <w:lang w:val="en-GB"/>
              </w:rPr>
              <w:t> </w:t>
            </w:r>
            <w:r w:rsidRPr="009F5E22">
              <w:rPr>
                <w:rFonts w:ascii="Times New Roman" w:hAnsi="Times New Roman" w:cs="Times New Roman"/>
                <w:noProof/>
                <w:sz w:val="20"/>
                <w:szCs w:val="20"/>
                <w:lang w:val="en-GB"/>
              </w:rPr>
              <w:t>036.48</w:t>
            </w:r>
          </w:p>
        </w:tc>
        <w:tc>
          <w:tcPr>
            <w:tcW w:w="1134" w:type="dxa"/>
            <w:tcBorders>
              <w:top w:val="single" w:sz="4" w:space="0" w:color="auto"/>
              <w:left w:val="nil"/>
              <w:bottom w:val="single" w:sz="4" w:space="0" w:color="auto"/>
              <w:right w:val="single" w:sz="4" w:space="0" w:color="auto"/>
            </w:tcBorders>
            <w:shd w:val="clear" w:color="auto" w:fill="C6EFCE"/>
            <w:noWrap/>
          </w:tcPr>
          <w:p w14:paraId="144D9607"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845" w:type="dxa"/>
            <w:tcBorders>
              <w:top w:val="single" w:sz="4" w:space="0" w:color="auto"/>
              <w:left w:val="nil"/>
              <w:bottom w:val="single" w:sz="4" w:space="0" w:color="auto"/>
              <w:right w:val="single" w:sz="4" w:space="0" w:color="auto"/>
            </w:tcBorders>
            <w:shd w:val="clear" w:color="auto" w:fill="C6EFCE"/>
            <w:noWrap/>
          </w:tcPr>
          <w:p w14:paraId="7F815026"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2026</w:t>
            </w:r>
          </w:p>
        </w:tc>
        <w:tc>
          <w:tcPr>
            <w:tcW w:w="2987" w:type="dxa"/>
            <w:tcBorders>
              <w:top w:val="single" w:sz="4" w:space="0" w:color="auto"/>
              <w:left w:val="nil"/>
              <w:bottom w:val="single" w:sz="4" w:space="0" w:color="auto"/>
              <w:right w:val="single" w:sz="4" w:space="0" w:color="auto"/>
            </w:tcBorders>
            <w:shd w:val="clear" w:color="auto" w:fill="C6EFCE"/>
            <w:noWrap/>
          </w:tcPr>
          <w:p w14:paraId="1EECB832" w14:textId="77777777" w:rsidR="00E51A4F" w:rsidRPr="009F5E22" w:rsidRDefault="00E51A4F">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Works completion reception certificates that cover the total renovated area and energy performance certificates confirming a 30% reduction in primary energy demand at building level.</w:t>
            </w:r>
          </w:p>
        </w:tc>
      </w:tr>
    </w:tbl>
    <w:p w14:paraId="446A2AC4" w14:textId="77777777" w:rsidR="00E51A4F" w:rsidRPr="00291374" w:rsidRDefault="00E51A4F" w:rsidP="00E51A4F">
      <w:pPr>
        <w:spacing w:before="120" w:after="120" w:line="240" w:lineRule="auto"/>
        <w:ind w:left="709"/>
        <w:jc w:val="both"/>
        <w:rPr>
          <w:rFonts w:ascii="Times New Roman" w:hAnsi="Times New Roman" w:cs="Times New Roman"/>
          <w:noProof/>
          <w:lang w:val="en-GB"/>
        </w:rPr>
        <w:sectPr w:rsidR="00E51A4F" w:rsidRPr="00291374" w:rsidSect="00E51A4F">
          <w:headerReference w:type="even" r:id="rId240"/>
          <w:headerReference w:type="default" r:id="rId241"/>
          <w:footerReference w:type="even" r:id="rId242"/>
          <w:footerReference w:type="default" r:id="rId243"/>
          <w:headerReference w:type="first" r:id="rId244"/>
          <w:footerReference w:type="first" r:id="rId245"/>
          <w:pgSz w:w="16839" w:h="11907" w:orient="landscape"/>
          <w:pgMar w:top="1134" w:right="1134" w:bottom="1134" w:left="1134" w:header="567" w:footer="567" w:gutter="0"/>
          <w:cols w:space="720"/>
          <w:docGrid w:linePitch="360"/>
        </w:sectPr>
      </w:pPr>
    </w:p>
    <w:p w14:paraId="37F78B3A" w14:textId="77777777" w:rsidR="00E51A4F" w:rsidRPr="00291374" w:rsidRDefault="00E51A4F" w:rsidP="00E51A4F">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J.3. </w:t>
      </w:r>
      <w:r w:rsidRPr="00291374">
        <w:rPr>
          <w:rFonts w:ascii="Times New Roman" w:hAnsi="Times New Roman" w:cs="Times New Roman"/>
          <w:noProof/>
          <w:lang w:val="en-GB"/>
        </w:rPr>
        <w:tab/>
      </w:r>
      <w:r w:rsidRPr="00291374">
        <w:rPr>
          <w:rFonts w:ascii="Times New Roman" w:hAnsi="Times New Roman" w:cs="Times New Roman"/>
          <w:b/>
          <w:noProof/>
          <w:lang w:val="en-GB"/>
        </w:rPr>
        <w:t xml:space="preserve">Description of the reforms and investments for the loan </w:t>
      </w:r>
    </w:p>
    <w:p w14:paraId="2EA50ABC" w14:textId="77777777" w:rsidR="00E51A4F" w:rsidRPr="00291374" w:rsidRDefault="00E51A4F" w:rsidP="00E51A4F">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 xml:space="preserve">Reform 2. Creating the policy framework for sustainable urban transformation </w:t>
      </w:r>
    </w:p>
    <w:p w14:paraId="0C999FE6" w14:textId="77777777"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the reform is to allow people living in urban areas, including those of marginal/peripheral communities, an increased access to quality services ( for example, mobility, housing or other public services delivered at local level).</w:t>
      </w:r>
    </w:p>
    <w:p w14:paraId="7C97E69C" w14:textId="77777777"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reform consists in the entry into force of the Metropolitan Areas Act and the Romanian Urban Policy Framework. </w:t>
      </w:r>
    </w:p>
    <w:p w14:paraId="6A76E761" w14:textId="77777777" w:rsidR="00E51A4F" w:rsidRPr="00291374" w:rsidRDefault="00E51A4F" w:rsidP="00E51A4F">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 xml:space="preserve">Reform 3. Creating the policy framework for sustainable rural transformation: establishing administrative consortia in functional rural areas </w:t>
      </w:r>
    </w:p>
    <w:p w14:paraId="6E97660D" w14:textId="30791D98"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the reform is to allow people living in rural areas, including those of marginal/peripheral communities, an increased access to</w:t>
      </w:r>
      <w:r w:rsidR="00D23D91">
        <w:rPr>
          <w:rFonts w:ascii="Times New Roman" w:hAnsi="Times New Roman" w:cs="Times New Roman"/>
          <w:noProof/>
          <w:lang w:val="en-GB"/>
        </w:rPr>
        <w:t xml:space="preserve"> </w:t>
      </w:r>
      <w:r w:rsidRPr="00291374">
        <w:rPr>
          <w:rFonts w:ascii="Times New Roman" w:hAnsi="Times New Roman" w:cs="Times New Roman"/>
          <w:noProof/>
          <w:lang w:val="en-GB"/>
        </w:rPr>
        <w:t>services (for example, mobility, housing or other public services delivered at local level).</w:t>
      </w:r>
    </w:p>
    <w:p w14:paraId="4132FD8E" w14:textId="58C9E846"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reform consists in</w:t>
      </w:r>
      <w:r w:rsidR="00D23D91">
        <w:rPr>
          <w:rFonts w:ascii="Times New Roman" w:hAnsi="Times New Roman" w:cs="Times New Roman"/>
          <w:noProof/>
          <w:lang w:val="en-GB"/>
        </w:rPr>
        <w:t xml:space="preserve"> </w:t>
      </w:r>
      <w:r w:rsidRPr="00291374">
        <w:rPr>
          <w:rFonts w:ascii="Times New Roman" w:hAnsi="Times New Roman" w:cs="Times New Roman"/>
          <w:noProof/>
          <w:lang w:val="en-GB"/>
        </w:rPr>
        <w:t xml:space="preserve">the establishment of administrative consortia in functional rural areas which are neighbouring rural administrative units that are economically and socially integrated, and face similar challenges and opportunities for their development.. </w:t>
      </w:r>
    </w:p>
    <w:p w14:paraId="5C35FBBD" w14:textId="77777777" w:rsidR="00E51A4F" w:rsidRPr="00291374" w:rsidRDefault="00E51A4F" w:rsidP="00E51A4F">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Reform 4. Increasing housing quality</w:t>
      </w:r>
    </w:p>
    <w:p w14:paraId="1E07629F" w14:textId="77777777"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reform is to reduce severe housing deprivation for vulnerable categories and groups, especially for persons in marginalised communities in urban and rural areas. </w:t>
      </w:r>
    </w:p>
    <w:p w14:paraId="1C5F22E3" w14:textId="4917028E"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reform consists in</w:t>
      </w:r>
      <w:r w:rsidR="00D23D91">
        <w:rPr>
          <w:rFonts w:ascii="Times New Roman" w:hAnsi="Times New Roman" w:cs="Times New Roman"/>
          <w:noProof/>
          <w:lang w:val="en-GB"/>
        </w:rPr>
        <w:t xml:space="preserve"> </w:t>
      </w:r>
      <w:r w:rsidRPr="00291374">
        <w:rPr>
          <w:rFonts w:ascii="Times New Roman" w:hAnsi="Times New Roman" w:cs="Times New Roman"/>
          <w:noProof/>
          <w:lang w:val="en-GB"/>
        </w:rPr>
        <w:t>the entry into force of a legal act to secure the implementation of the National Housing Strategy and its Action Plan.</w:t>
      </w:r>
    </w:p>
    <w:p w14:paraId="08CA2FFE" w14:textId="75E78000" w:rsidR="00E51A4F" w:rsidRPr="00291374" w:rsidRDefault="00E51A4F" w:rsidP="00E51A4F">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 xml:space="preserve">Reform 5. Development of the planning system </w:t>
      </w:r>
      <w:r w:rsidR="00B24816">
        <w:rPr>
          <w:rFonts w:ascii="Times New Roman" w:eastAsia="NSimSun" w:hAnsi="Times New Roman" w:cs="Times New Roman"/>
          <w:noProof/>
          <w:kern w:val="3"/>
          <w:u w:val="single"/>
          <w:lang w:val="en-GB"/>
        </w:rPr>
        <w:t>-</w:t>
      </w:r>
      <w:r w:rsidRPr="00291374">
        <w:rPr>
          <w:rFonts w:ascii="Times New Roman" w:eastAsia="NSimSun" w:hAnsi="Times New Roman" w:cs="Times New Roman"/>
          <w:noProof/>
          <w:kern w:val="3"/>
          <w:u w:val="single"/>
          <w:lang w:val="en-GB"/>
        </w:rPr>
        <w:t xml:space="preserve"> Code of Spatial Planning, Urbanism and Construction </w:t>
      </w:r>
    </w:p>
    <w:p w14:paraId="4F9FC85D" w14:textId="77777777"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the reform is to support the overall territorial planning by simplified and digitalised spatial planning documents and procedures and increased access to and transparency of spatial and territorial planning documents.</w:t>
      </w:r>
    </w:p>
    <w:p w14:paraId="3FD66E41" w14:textId="77777777"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reform consists in the entry into force of the Code of Spatial Planning Urbanism and Construction and the delivery of a new digital data platform, as part of the Territorial Observatory.</w:t>
      </w:r>
    </w:p>
    <w:p w14:paraId="20507E9E" w14:textId="77777777" w:rsidR="00E51A4F" w:rsidRPr="00291374" w:rsidRDefault="00E51A4F" w:rsidP="00E51A4F">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 xml:space="preserve">Investment 2. Construction of housing for youth and for professionals in health and education </w:t>
      </w:r>
    </w:p>
    <w:p w14:paraId="4B16466B" w14:textId="77777777"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increase access to quality housing for youngsters in need and professionals in healthcare and education, providing such services in marginalised communities or to marginalised groups. </w:t>
      </w:r>
    </w:p>
    <w:p w14:paraId="30985A9A" w14:textId="67077E58"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investment consists in</w:t>
      </w:r>
      <w:r w:rsidR="00D23D91">
        <w:rPr>
          <w:rFonts w:ascii="Times New Roman" w:hAnsi="Times New Roman" w:cs="Times New Roman"/>
          <w:noProof/>
          <w:lang w:val="en-GB"/>
        </w:rPr>
        <w:t xml:space="preserve"> </w:t>
      </w:r>
      <w:r w:rsidRPr="00291374">
        <w:rPr>
          <w:rFonts w:ascii="Times New Roman" w:hAnsi="Times New Roman" w:cs="Times New Roman"/>
          <w:noProof/>
          <w:lang w:val="en-GB"/>
        </w:rPr>
        <w:t xml:space="preserve">building new housing units for young people from marginalised communities or vulnerable groups. It also consists in building houses for health and educational professionals. </w:t>
      </w:r>
    </w:p>
    <w:p w14:paraId="5FD896B7" w14:textId="77777777" w:rsidR="00E51A4F" w:rsidRPr="00291374" w:rsidRDefault="00E51A4F" w:rsidP="00E51A4F">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 xml:space="preserve">Investment 3. Renovation of public buildings to support better public service delivery by administrative territorial units </w:t>
      </w:r>
    </w:p>
    <w:p w14:paraId="131AE358" w14:textId="77777777"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support the delivery of local public services. </w:t>
      </w:r>
    </w:p>
    <w:p w14:paraId="099059EC" w14:textId="77777777"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finances renovation of public buildings. </w:t>
      </w:r>
    </w:p>
    <w:p w14:paraId="01D679FF" w14:textId="77777777" w:rsidR="00E51A4F"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complements Investment 3a. Renovation of public buildings to support better public service delivery by administrative territorial units.</w:t>
      </w:r>
    </w:p>
    <w:p w14:paraId="5DD8B360" w14:textId="77777777" w:rsidR="009F5E22" w:rsidRPr="00291374" w:rsidRDefault="009F5E22" w:rsidP="00E51A4F">
      <w:pPr>
        <w:spacing w:before="120" w:after="120" w:line="240" w:lineRule="auto"/>
        <w:jc w:val="both"/>
        <w:rPr>
          <w:rFonts w:ascii="Times New Roman" w:eastAsia="Times New Roman" w:hAnsi="Times New Roman" w:cs="Times New Roman"/>
          <w:noProof/>
          <w:lang w:val="en-GB"/>
        </w:rPr>
      </w:pPr>
    </w:p>
    <w:p w14:paraId="1C12D526" w14:textId="2D89B219" w:rsidR="00E51A4F" w:rsidRPr="00291374" w:rsidRDefault="00E51A4F" w:rsidP="00E51A4F">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Investment 4.</w:t>
      </w:r>
      <w:r w:rsidR="00015BE7">
        <w:rPr>
          <w:rFonts w:ascii="Times New Roman" w:eastAsia="NSimSun" w:hAnsi="Times New Roman" w:cs="Times New Roman"/>
          <w:noProof/>
          <w:kern w:val="3"/>
          <w:u w:val="single"/>
          <w:lang w:val="en-GB"/>
        </w:rPr>
        <w:t xml:space="preserve"> </w:t>
      </w:r>
      <w:r w:rsidRPr="00291374">
        <w:rPr>
          <w:rFonts w:ascii="Times New Roman" w:eastAsia="NSimSun" w:hAnsi="Times New Roman" w:cs="Times New Roman"/>
          <w:noProof/>
          <w:kern w:val="3"/>
          <w:u w:val="single"/>
          <w:lang w:val="en-GB"/>
        </w:rPr>
        <w:t xml:space="preserve">Producing/updating in GIS format spatial planning and urban planning documents </w:t>
      </w:r>
    </w:p>
    <w:p w14:paraId="1987DE6A" w14:textId="77777777"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this investment is to increase digital access to spatial and urban planning documents.</w:t>
      </w:r>
    </w:p>
    <w:p w14:paraId="0C6C3731" w14:textId="77777777" w:rsidR="00E51A4F" w:rsidRPr="00291374" w:rsidRDefault="00E51A4F" w:rsidP="00E51A4F">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investment finances the publication of spatial planning documents,</w:t>
      </w:r>
      <w:r w:rsidRPr="00291374" w:rsidDel="00681150">
        <w:rPr>
          <w:rFonts w:ascii="Times New Roman" w:hAnsi="Times New Roman" w:cs="Times New Roman"/>
          <w:noProof/>
          <w:lang w:val="en-GB"/>
        </w:rPr>
        <w:t xml:space="preserve"> </w:t>
      </w:r>
      <w:r w:rsidRPr="00291374">
        <w:rPr>
          <w:rFonts w:ascii="Times New Roman" w:hAnsi="Times New Roman" w:cs="Times New Roman"/>
          <w:noProof/>
          <w:lang w:val="en-GB"/>
        </w:rPr>
        <w:t>urban planning documents and</w:t>
      </w:r>
      <w:r w:rsidRPr="00291374" w:rsidDel="00681150">
        <w:rPr>
          <w:rFonts w:ascii="Times New Roman" w:hAnsi="Times New Roman" w:cs="Times New Roman"/>
          <w:noProof/>
          <w:lang w:val="en-GB"/>
        </w:rPr>
        <w:t xml:space="preserve"> </w:t>
      </w:r>
      <w:r w:rsidRPr="00291374">
        <w:rPr>
          <w:rFonts w:ascii="Times New Roman" w:hAnsi="Times New Roman" w:cs="Times New Roman"/>
          <w:noProof/>
          <w:lang w:val="en-GB"/>
        </w:rPr>
        <w:t>sustainable urban mobility plans in GIS format on the Territorial Observatory platform.</w:t>
      </w:r>
      <w:r w:rsidRPr="00291374">
        <w:rPr>
          <w:rFonts w:ascii="Times New Roman" w:hAnsi="Times New Roman" w:cs="Times New Roman"/>
          <w:b/>
          <w:noProof/>
          <w:lang w:val="en-GB"/>
        </w:rPr>
        <w:t xml:space="preserve"> </w:t>
      </w:r>
    </w:p>
    <w:p w14:paraId="2E8E0C7F" w14:textId="77777777" w:rsidR="00E51A4F" w:rsidRPr="00291374" w:rsidRDefault="00E51A4F" w:rsidP="00E51A4F">
      <w:pPr>
        <w:spacing w:before="120" w:after="120" w:line="240" w:lineRule="auto"/>
        <w:jc w:val="both"/>
        <w:rPr>
          <w:rFonts w:ascii="Times New Roman" w:hAnsi="Times New Roman" w:cs="Times New Roman"/>
          <w:noProof/>
          <w:lang w:val="en-GB"/>
        </w:rPr>
        <w:sectPr w:rsidR="00E51A4F" w:rsidRPr="00291374" w:rsidSect="00E51A4F">
          <w:headerReference w:type="even" r:id="rId246"/>
          <w:headerReference w:type="default" r:id="rId247"/>
          <w:footerReference w:type="even" r:id="rId248"/>
          <w:footerReference w:type="default" r:id="rId249"/>
          <w:headerReference w:type="first" r:id="rId250"/>
          <w:footerReference w:type="first" r:id="rId251"/>
          <w:pgSz w:w="11907" w:h="16839"/>
          <w:pgMar w:top="1134" w:right="1134" w:bottom="1134" w:left="1134" w:header="567" w:footer="567" w:gutter="0"/>
          <w:cols w:space="720"/>
          <w:docGrid w:linePitch="360"/>
        </w:sectPr>
      </w:pPr>
    </w:p>
    <w:p w14:paraId="1A8238BC" w14:textId="77777777" w:rsidR="00E51A4F" w:rsidRPr="00291374" w:rsidRDefault="00E51A4F" w:rsidP="00E51A4F">
      <w:pPr>
        <w:keepNext/>
        <w:spacing w:before="120" w:after="120" w:line="240" w:lineRule="auto"/>
        <w:ind w:firstLine="720"/>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J.4. </w:t>
      </w:r>
      <w:r w:rsidRPr="00291374">
        <w:rPr>
          <w:rFonts w:ascii="Times New Roman" w:hAnsi="Times New Roman" w:cs="Times New Roman"/>
          <w:noProof/>
          <w:lang w:val="en-GB"/>
        </w:rPr>
        <w:tab/>
      </w:r>
      <w:r w:rsidRPr="00291374">
        <w:rPr>
          <w:rFonts w:ascii="Times New Roman" w:hAnsi="Times New Roman" w:cs="Times New Roman"/>
          <w:b/>
          <w:noProof/>
          <w:lang w:val="en-GB"/>
        </w:rPr>
        <w:t xml:space="preserve">Milestones, targets, indicators, and timetable for monitoring and implementation for the loan </w:t>
      </w:r>
    </w:p>
    <w:tbl>
      <w:tblPr>
        <w:tblW w:w="15708" w:type="dxa"/>
        <w:jc w:val="center"/>
        <w:tblLayout w:type="fixed"/>
        <w:tblLook w:val="04A0" w:firstRow="1" w:lastRow="0" w:firstColumn="1" w:lastColumn="0" w:noHBand="0" w:noVBand="1"/>
      </w:tblPr>
      <w:tblGrid>
        <w:gridCol w:w="851"/>
        <w:gridCol w:w="1985"/>
        <w:gridCol w:w="1276"/>
        <w:gridCol w:w="1417"/>
        <w:gridCol w:w="1498"/>
        <w:gridCol w:w="1332"/>
        <w:gridCol w:w="989"/>
        <w:gridCol w:w="1680"/>
        <w:gridCol w:w="1080"/>
        <w:gridCol w:w="840"/>
        <w:gridCol w:w="2760"/>
      </w:tblGrid>
      <w:tr w:rsidR="00E51A4F" w:rsidRPr="009F5E22" w14:paraId="670C6A89" w14:textId="77777777" w:rsidTr="00BD01A2">
        <w:trPr>
          <w:trHeight w:val="939"/>
          <w:tblHeader/>
          <w:jc w:val="center"/>
        </w:trPr>
        <w:tc>
          <w:tcPr>
            <w:tcW w:w="8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C73A8C"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Seq. Num.</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1DD3D1"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Related Measure (Reform or Investment)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153D34B"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Milestone / Target</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7DD99F9"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Name</w:t>
            </w:r>
          </w:p>
        </w:tc>
        <w:tc>
          <w:tcPr>
            <w:tcW w:w="149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B68A200"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 xml:space="preserve">Qualitative indicators </w:t>
            </w:r>
            <w:r w:rsidRPr="009F5E22">
              <w:rPr>
                <w:rFonts w:ascii="Times New Roman" w:hAnsi="Times New Roman" w:cs="Times New Roman"/>
                <w:noProof/>
                <w:sz w:val="20"/>
                <w:szCs w:val="20"/>
                <w:lang w:val="en-GB"/>
              </w:rPr>
              <w:br/>
            </w:r>
            <w:r w:rsidRPr="009F5E22">
              <w:rPr>
                <w:rFonts w:ascii="Times New Roman" w:hAnsi="Times New Roman" w:cs="Times New Roman"/>
                <w:b/>
                <w:noProof/>
                <w:sz w:val="20"/>
                <w:szCs w:val="20"/>
                <w:lang w:val="en-GB"/>
              </w:rPr>
              <w:t>(for milestones)</w:t>
            </w:r>
          </w:p>
        </w:tc>
        <w:tc>
          <w:tcPr>
            <w:tcW w:w="400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81BB659"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 xml:space="preserve">Quantitative indicators </w:t>
            </w:r>
            <w:r w:rsidRPr="009F5E22">
              <w:rPr>
                <w:rFonts w:ascii="Times New Roman" w:hAnsi="Times New Roman" w:cs="Times New Roman"/>
                <w:noProof/>
                <w:sz w:val="20"/>
                <w:szCs w:val="20"/>
                <w:lang w:val="en-GB"/>
              </w:rPr>
              <w:br/>
            </w:r>
            <w:r w:rsidRPr="009F5E22">
              <w:rPr>
                <w:rFonts w:ascii="Times New Roman" w:hAnsi="Times New Roman" w:cs="Times New Roman"/>
                <w:b/>
                <w:noProof/>
                <w:sz w:val="20"/>
                <w:szCs w:val="20"/>
                <w:lang w:val="en-GB"/>
              </w:rPr>
              <w:t>(for targets)</w:t>
            </w:r>
          </w:p>
        </w:tc>
        <w:tc>
          <w:tcPr>
            <w:tcW w:w="1920" w:type="dxa"/>
            <w:gridSpan w:val="2"/>
            <w:tcBorders>
              <w:top w:val="single" w:sz="4" w:space="0" w:color="auto"/>
              <w:left w:val="nil"/>
              <w:bottom w:val="single" w:sz="4" w:space="0" w:color="auto"/>
              <w:right w:val="single" w:sz="4" w:space="0" w:color="auto"/>
            </w:tcBorders>
            <w:shd w:val="clear" w:color="auto" w:fill="BDD7EE"/>
            <w:vAlign w:val="center"/>
            <w:hideMark/>
          </w:tcPr>
          <w:p w14:paraId="3A2F5C7C"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 xml:space="preserve">Indicative timeline for completion </w:t>
            </w:r>
          </w:p>
        </w:tc>
        <w:tc>
          <w:tcPr>
            <w:tcW w:w="27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FBC6F4"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Description of each milestone and target</w:t>
            </w:r>
          </w:p>
        </w:tc>
      </w:tr>
      <w:tr w:rsidR="00382D78" w:rsidRPr="009F5E22" w14:paraId="3ABD0846" w14:textId="77777777" w:rsidTr="00BD01A2">
        <w:trPr>
          <w:trHeight w:val="359"/>
          <w:tblHeader/>
          <w:jc w:val="center"/>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625FF930" w14:textId="77777777" w:rsidR="00E51A4F" w:rsidRPr="009F5E22" w:rsidRDefault="00E51A4F" w:rsidP="00BD01A2">
            <w:pPr>
              <w:spacing w:after="0" w:line="240" w:lineRule="auto"/>
              <w:rPr>
                <w:rFonts w:ascii="Times New Roman" w:eastAsia="Times New Roman" w:hAnsi="Times New Roman" w:cs="Times New Roman"/>
                <w:b/>
                <w:bCs/>
                <w:noProof/>
                <w:sz w:val="20"/>
                <w:szCs w:val="20"/>
                <w:lang w:val="en-GB" w:eastAsia="en-GB"/>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6E7841A" w14:textId="77777777" w:rsidR="00E51A4F" w:rsidRPr="009F5E22" w:rsidRDefault="00E51A4F" w:rsidP="00BD01A2">
            <w:pPr>
              <w:spacing w:after="0" w:line="240" w:lineRule="auto"/>
              <w:rPr>
                <w:rFonts w:ascii="Times New Roman" w:eastAsia="Times New Roman" w:hAnsi="Times New Roman" w:cs="Times New Roman"/>
                <w:b/>
                <w:bCs/>
                <w:noProof/>
                <w:sz w:val="20"/>
                <w:szCs w:val="20"/>
                <w:lang w:val="en-GB" w:eastAsia="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AC38EDE" w14:textId="77777777" w:rsidR="00E51A4F" w:rsidRPr="009F5E22" w:rsidRDefault="00E51A4F" w:rsidP="00BD01A2">
            <w:pPr>
              <w:spacing w:after="0" w:line="240" w:lineRule="auto"/>
              <w:rPr>
                <w:rFonts w:ascii="Times New Roman" w:eastAsia="Times New Roman" w:hAnsi="Times New Roman" w:cs="Times New Roman"/>
                <w:b/>
                <w:bCs/>
                <w:noProof/>
                <w:sz w:val="20"/>
                <w:szCs w:val="20"/>
                <w:lang w:val="en-GB" w:eastAsia="en-GB"/>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B4CC80B" w14:textId="77777777" w:rsidR="00E51A4F" w:rsidRPr="009F5E22" w:rsidRDefault="00E51A4F" w:rsidP="00BD01A2">
            <w:pPr>
              <w:spacing w:after="0" w:line="240" w:lineRule="auto"/>
              <w:rPr>
                <w:rFonts w:ascii="Times New Roman" w:eastAsia="Times New Roman" w:hAnsi="Times New Roman" w:cs="Times New Roman"/>
                <w:b/>
                <w:bCs/>
                <w:noProof/>
                <w:sz w:val="20"/>
                <w:szCs w:val="20"/>
                <w:lang w:val="en-GB" w:eastAsia="en-GB"/>
              </w:rPr>
            </w:pPr>
          </w:p>
        </w:tc>
        <w:tc>
          <w:tcPr>
            <w:tcW w:w="1498" w:type="dxa"/>
            <w:vMerge/>
            <w:tcBorders>
              <w:top w:val="single" w:sz="4" w:space="0" w:color="auto"/>
              <w:left w:val="single" w:sz="4" w:space="0" w:color="auto"/>
              <w:bottom w:val="single" w:sz="4" w:space="0" w:color="auto"/>
              <w:right w:val="single" w:sz="4" w:space="0" w:color="auto"/>
            </w:tcBorders>
            <w:vAlign w:val="center"/>
            <w:hideMark/>
          </w:tcPr>
          <w:p w14:paraId="5BA32F54" w14:textId="77777777" w:rsidR="00E51A4F" w:rsidRPr="009F5E22" w:rsidRDefault="00E51A4F" w:rsidP="00BD01A2">
            <w:pPr>
              <w:spacing w:after="0" w:line="240" w:lineRule="auto"/>
              <w:rPr>
                <w:rFonts w:ascii="Times New Roman" w:eastAsia="Times New Roman" w:hAnsi="Times New Roman" w:cs="Times New Roman"/>
                <w:b/>
                <w:bCs/>
                <w:noProof/>
                <w:sz w:val="20"/>
                <w:szCs w:val="20"/>
                <w:lang w:val="en-GB" w:eastAsia="en-GB"/>
              </w:rPr>
            </w:pPr>
          </w:p>
        </w:tc>
        <w:tc>
          <w:tcPr>
            <w:tcW w:w="1332" w:type="dxa"/>
            <w:tcBorders>
              <w:top w:val="nil"/>
              <w:left w:val="single" w:sz="4" w:space="0" w:color="auto"/>
              <w:bottom w:val="single" w:sz="4" w:space="0" w:color="auto"/>
              <w:right w:val="single" w:sz="4" w:space="0" w:color="auto"/>
            </w:tcBorders>
            <w:shd w:val="clear" w:color="auto" w:fill="BDD7EE"/>
            <w:vAlign w:val="center"/>
            <w:hideMark/>
          </w:tcPr>
          <w:p w14:paraId="1E5B817C"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Unit of measure</w:t>
            </w:r>
          </w:p>
        </w:tc>
        <w:tc>
          <w:tcPr>
            <w:tcW w:w="989" w:type="dxa"/>
            <w:tcBorders>
              <w:top w:val="nil"/>
              <w:left w:val="nil"/>
              <w:bottom w:val="single" w:sz="4" w:space="0" w:color="auto"/>
              <w:right w:val="single" w:sz="4" w:space="0" w:color="auto"/>
            </w:tcBorders>
            <w:shd w:val="clear" w:color="auto" w:fill="BDD7EE"/>
            <w:vAlign w:val="center"/>
            <w:hideMark/>
          </w:tcPr>
          <w:p w14:paraId="37832EF7"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 xml:space="preserve">Baseline </w:t>
            </w:r>
          </w:p>
        </w:tc>
        <w:tc>
          <w:tcPr>
            <w:tcW w:w="1680" w:type="dxa"/>
            <w:tcBorders>
              <w:top w:val="nil"/>
              <w:left w:val="nil"/>
              <w:bottom w:val="single" w:sz="4" w:space="0" w:color="auto"/>
              <w:right w:val="single" w:sz="4" w:space="0" w:color="auto"/>
            </w:tcBorders>
            <w:shd w:val="clear" w:color="auto" w:fill="BDD7EE"/>
            <w:vAlign w:val="center"/>
            <w:hideMark/>
          </w:tcPr>
          <w:p w14:paraId="3EAD870F"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 xml:space="preserve">Goal </w:t>
            </w:r>
          </w:p>
        </w:tc>
        <w:tc>
          <w:tcPr>
            <w:tcW w:w="1080" w:type="dxa"/>
            <w:tcBorders>
              <w:top w:val="nil"/>
              <w:left w:val="nil"/>
              <w:bottom w:val="single" w:sz="4" w:space="0" w:color="auto"/>
              <w:right w:val="single" w:sz="4" w:space="0" w:color="auto"/>
            </w:tcBorders>
            <w:shd w:val="clear" w:color="auto" w:fill="BDD7EE"/>
            <w:vAlign w:val="center"/>
            <w:hideMark/>
          </w:tcPr>
          <w:p w14:paraId="22230F4F"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Quarter</w:t>
            </w:r>
          </w:p>
        </w:tc>
        <w:tc>
          <w:tcPr>
            <w:tcW w:w="840" w:type="dxa"/>
            <w:tcBorders>
              <w:top w:val="nil"/>
              <w:left w:val="nil"/>
              <w:bottom w:val="single" w:sz="4" w:space="0" w:color="auto"/>
              <w:right w:val="single" w:sz="4" w:space="0" w:color="auto"/>
            </w:tcBorders>
            <w:shd w:val="clear" w:color="auto" w:fill="BDD7EE"/>
            <w:vAlign w:val="center"/>
            <w:hideMark/>
          </w:tcPr>
          <w:p w14:paraId="360F20C4"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lang w:val="en-GB"/>
              </w:rPr>
            </w:pPr>
            <w:r w:rsidRPr="009F5E22">
              <w:rPr>
                <w:rFonts w:ascii="Times New Roman" w:hAnsi="Times New Roman" w:cs="Times New Roman"/>
                <w:b/>
                <w:noProof/>
                <w:sz w:val="20"/>
                <w:szCs w:val="20"/>
                <w:lang w:val="en-GB"/>
              </w:rPr>
              <w:t>Year</w:t>
            </w:r>
          </w:p>
        </w:tc>
        <w:tc>
          <w:tcPr>
            <w:tcW w:w="2760" w:type="dxa"/>
            <w:vMerge/>
            <w:tcBorders>
              <w:top w:val="single" w:sz="4" w:space="0" w:color="auto"/>
              <w:bottom w:val="single" w:sz="4" w:space="0" w:color="auto"/>
              <w:right w:val="single" w:sz="4" w:space="0" w:color="auto"/>
            </w:tcBorders>
            <w:vAlign w:val="center"/>
            <w:hideMark/>
          </w:tcPr>
          <w:p w14:paraId="7D68DB96" w14:textId="77777777" w:rsidR="00E51A4F" w:rsidRPr="009F5E22" w:rsidRDefault="00E51A4F" w:rsidP="00BD01A2">
            <w:pPr>
              <w:spacing w:after="0" w:line="240" w:lineRule="auto"/>
              <w:rPr>
                <w:rFonts w:ascii="Times New Roman" w:eastAsia="Times New Roman" w:hAnsi="Times New Roman" w:cs="Times New Roman"/>
                <w:b/>
                <w:bCs/>
                <w:noProof/>
                <w:sz w:val="20"/>
                <w:szCs w:val="20"/>
                <w:lang w:val="en-GB" w:eastAsia="en-GB"/>
              </w:rPr>
            </w:pPr>
          </w:p>
        </w:tc>
      </w:tr>
      <w:tr w:rsidR="00E51A4F" w:rsidRPr="009F5E22" w14:paraId="2B397151" w14:textId="77777777" w:rsidTr="00BD01A2">
        <w:trPr>
          <w:trHeight w:val="1718"/>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00F325CC" w14:textId="77777777" w:rsidR="00E51A4F" w:rsidRPr="009F5E22" w:rsidRDefault="00E51A4F" w:rsidP="00BD01A2">
            <w:pPr>
              <w:spacing w:after="0" w:line="240" w:lineRule="auto"/>
              <w:jc w:val="center"/>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307</w:t>
            </w:r>
          </w:p>
        </w:tc>
        <w:tc>
          <w:tcPr>
            <w:tcW w:w="1985" w:type="dxa"/>
            <w:tcBorders>
              <w:top w:val="single" w:sz="4" w:space="0" w:color="auto"/>
              <w:left w:val="nil"/>
              <w:bottom w:val="single" w:sz="4" w:space="0" w:color="auto"/>
              <w:right w:val="single" w:sz="4" w:space="0" w:color="auto"/>
            </w:tcBorders>
            <w:shd w:val="clear" w:color="auto" w:fill="C6EFCE"/>
            <w:noWrap/>
          </w:tcPr>
          <w:p w14:paraId="0AFDB7B6"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Reform 2. Creating the policy framework for sustainable urban transformation — Romania’s Urban Policy </w:t>
            </w:r>
          </w:p>
        </w:tc>
        <w:tc>
          <w:tcPr>
            <w:tcW w:w="1276" w:type="dxa"/>
            <w:tcBorders>
              <w:top w:val="single" w:sz="4" w:space="0" w:color="auto"/>
              <w:left w:val="nil"/>
              <w:bottom w:val="single" w:sz="4" w:space="0" w:color="auto"/>
              <w:right w:val="single" w:sz="4" w:space="0" w:color="auto"/>
            </w:tcBorders>
            <w:shd w:val="clear" w:color="auto" w:fill="C6EFCE"/>
            <w:noWrap/>
            <w:hideMark/>
          </w:tcPr>
          <w:p w14:paraId="427D883A"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17" w:type="dxa"/>
            <w:tcBorders>
              <w:top w:val="single" w:sz="4" w:space="0" w:color="auto"/>
              <w:left w:val="nil"/>
              <w:bottom w:val="single" w:sz="4" w:space="0" w:color="auto"/>
              <w:right w:val="single" w:sz="4" w:space="0" w:color="auto"/>
            </w:tcBorders>
            <w:shd w:val="clear" w:color="auto" w:fill="C6EFCE"/>
            <w:noWrap/>
          </w:tcPr>
          <w:p w14:paraId="64DFE682"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Entry into force of the Metropolitan Areas Act</w:t>
            </w:r>
          </w:p>
        </w:tc>
        <w:tc>
          <w:tcPr>
            <w:tcW w:w="1498" w:type="dxa"/>
            <w:tcBorders>
              <w:top w:val="single" w:sz="4" w:space="0" w:color="auto"/>
              <w:left w:val="nil"/>
              <w:bottom w:val="single" w:sz="4" w:space="0" w:color="auto"/>
              <w:right w:val="single" w:sz="4" w:space="0" w:color="auto"/>
            </w:tcBorders>
            <w:shd w:val="clear" w:color="auto" w:fill="C6EFCE"/>
            <w:noWrap/>
            <w:hideMark/>
          </w:tcPr>
          <w:p w14:paraId="7C9AEBAE"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Provision in the law indicating the entry into force of the Metropolitan Areas Act</w:t>
            </w:r>
          </w:p>
        </w:tc>
        <w:tc>
          <w:tcPr>
            <w:tcW w:w="1332" w:type="dxa"/>
            <w:tcBorders>
              <w:top w:val="nil"/>
              <w:left w:val="nil"/>
              <w:bottom w:val="single" w:sz="4" w:space="0" w:color="auto"/>
              <w:right w:val="single" w:sz="4" w:space="0" w:color="auto"/>
            </w:tcBorders>
            <w:shd w:val="clear" w:color="auto" w:fill="C6EFCE"/>
            <w:noWrap/>
            <w:hideMark/>
          </w:tcPr>
          <w:p w14:paraId="5E5065F9"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eastAsia="en-GB"/>
              </w:rPr>
            </w:pPr>
          </w:p>
        </w:tc>
        <w:tc>
          <w:tcPr>
            <w:tcW w:w="989" w:type="dxa"/>
            <w:tcBorders>
              <w:top w:val="nil"/>
              <w:left w:val="nil"/>
              <w:bottom w:val="single" w:sz="4" w:space="0" w:color="auto"/>
              <w:right w:val="single" w:sz="4" w:space="0" w:color="auto"/>
            </w:tcBorders>
            <w:shd w:val="clear" w:color="auto" w:fill="C6EFCE"/>
            <w:noWrap/>
          </w:tcPr>
          <w:p w14:paraId="4D64F3B9"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eastAsia="en-GB"/>
              </w:rPr>
            </w:pPr>
          </w:p>
        </w:tc>
        <w:tc>
          <w:tcPr>
            <w:tcW w:w="1680" w:type="dxa"/>
            <w:tcBorders>
              <w:top w:val="nil"/>
              <w:left w:val="nil"/>
              <w:bottom w:val="single" w:sz="4" w:space="0" w:color="auto"/>
              <w:right w:val="single" w:sz="4" w:space="0" w:color="auto"/>
            </w:tcBorders>
            <w:shd w:val="clear" w:color="auto" w:fill="C6EFCE"/>
            <w:noWrap/>
          </w:tcPr>
          <w:p w14:paraId="34E6DA1F"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eastAsia="en-GB"/>
              </w:rPr>
            </w:pPr>
          </w:p>
        </w:tc>
        <w:tc>
          <w:tcPr>
            <w:tcW w:w="1080" w:type="dxa"/>
            <w:tcBorders>
              <w:top w:val="nil"/>
              <w:left w:val="nil"/>
              <w:bottom w:val="single" w:sz="4" w:space="0" w:color="auto"/>
              <w:right w:val="single" w:sz="4" w:space="0" w:color="auto"/>
            </w:tcBorders>
            <w:shd w:val="clear" w:color="auto" w:fill="C6EFCE"/>
            <w:noWrap/>
            <w:hideMark/>
          </w:tcPr>
          <w:p w14:paraId="174AAFE8"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840" w:type="dxa"/>
            <w:tcBorders>
              <w:top w:val="nil"/>
              <w:left w:val="nil"/>
              <w:bottom w:val="single" w:sz="4" w:space="0" w:color="auto"/>
              <w:right w:val="single" w:sz="4" w:space="0" w:color="auto"/>
            </w:tcBorders>
            <w:shd w:val="clear" w:color="auto" w:fill="C6EFCE"/>
            <w:noWrap/>
            <w:hideMark/>
          </w:tcPr>
          <w:p w14:paraId="274B0630"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tc>
        <w:tc>
          <w:tcPr>
            <w:tcW w:w="2760" w:type="dxa"/>
            <w:tcBorders>
              <w:top w:val="single" w:sz="4" w:space="0" w:color="auto"/>
              <w:left w:val="nil"/>
              <w:bottom w:val="single" w:sz="4" w:space="0" w:color="auto"/>
              <w:right w:val="single" w:sz="4" w:space="0" w:color="auto"/>
            </w:tcBorders>
            <w:shd w:val="clear" w:color="auto" w:fill="C6EFCE"/>
            <w:noWrap/>
            <w:hideMark/>
          </w:tcPr>
          <w:p w14:paraId="04392E0B"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Metropolitan Areas Act shall:</w:t>
            </w:r>
          </w:p>
          <w:p w14:paraId="20A7FDDE"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define criteria to delimit metropolitan areas and its policy competencies, namely: mobility, spatial planning, urban development, housing, and other public services delivered at local level addressing among other problems of marginal/peripheral communities, including informal settlements; </w:t>
            </w:r>
          </w:p>
          <w:p w14:paraId="67C2E505"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establish a coordinating body at the level of metropolitan area to steer and supervise the implementation of policies and investments in the administrative territorial units belonging to the metropolitan area, aiming at improving connectivity, spatial planning, the development of green infrastructure and access to employment, health services and education, including for people in deprived areas/ peripheries and also to ensure increased economic opportunities for settlements in peri-urban area around urban core, </w:t>
            </w:r>
          </w:p>
          <w:p w14:paraId="3AD8D393" w14:textId="77777777" w:rsidR="00E51A4F" w:rsidRPr="009F5E22" w:rsidRDefault="00E51A4F" w:rsidP="00BD01A2">
            <w:pPr>
              <w:numPr>
                <w:ilvl w:val="0"/>
                <w:numId w:val="48"/>
              </w:numPr>
              <w:spacing w:before="120" w:line="259" w:lineRule="auto"/>
              <w:ind w:left="175" w:hanging="217"/>
              <w:contextualSpacing/>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ensure a transparent and predictable framework (including criteria, methodology) to constitute the budget of each metropolitan area, based on contributions from the administrative units composing the functional urban area and, when needed, from transfers from central government by national development programs, financed annually by the state budget, based on performance criteria linked with the policy objectives pursued at the level of each metropolitan area, allow for joint procurement for provision of goods and services at functional area level</w:t>
            </w:r>
          </w:p>
        </w:tc>
      </w:tr>
      <w:tr w:rsidR="00E51A4F" w:rsidRPr="009F5E22" w14:paraId="7FD28E2B" w14:textId="77777777" w:rsidTr="00BD01A2">
        <w:trPr>
          <w:trHeight w:val="3878"/>
          <w:jc w:val="center"/>
        </w:trPr>
        <w:tc>
          <w:tcPr>
            <w:tcW w:w="851" w:type="dxa"/>
            <w:tcBorders>
              <w:top w:val="nil"/>
              <w:left w:val="single" w:sz="4" w:space="0" w:color="auto"/>
              <w:bottom w:val="single" w:sz="4" w:space="0" w:color="auto"/>
              <w:right w:val="single" w:sz="4" w:space="0" w:color="auto"/>
            </w:tcBorders>
            <w:shd w:val="clear" w:color="auto" w:fill="C6EFCE"/>
            <w:noWrap/>
            <w:hideMark/>
          </w:tcPr>
          <w:p w14:paraId="55BCEBC5" w14:textId="77777777" w:rsidR="00E51A4F" w:rsidRPr="009F5E22" w:rsidRDefault="00E51A4F" w:rsidP="00BD01A2">
            <w:pPr>
              <w:spacing w:after="0" w:line="240" w:lineRule="auto"/>
              <w:jc w:val="center"/>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308</w:t>
            </w:r>
          </w:p>
        </w:tc>
        <w:tc>
          <w:tcPr>
            <w:tcW w:w="1985" w:type="dxa"/>
            <w:tcBorders>
              <w:top w:val="nil"/>
              <w:left w:val="nil"/>
              <w:bottom w:val="single" w:sz="4" w:space="0" w:color="auto"/>
              <w:right w:val="single" w:sz="4" w:space="0" w:color="auto"/>
            </w:tcBorders>
            <w:shd w:val="clear" w:color="auto" w:fill="C6EFCE"/>
            <w:noWrap/>
          </w:tcPr>
          <w:p w14:paraId="4BADB903"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Reform 2. Creating the policy framework for sustainable urban transformation </w:t>
            </w:r>
          </w:p>
        </w:tc>
        <w:tc>
          <w:tcPr>
            <w:tcW w:w="1276" w:type="dxa"/>
            <w:tcBorders>
              <w:top w:val="nil"/>
              <w:left w:val="nil"/>
              <w:bottom w:val="single" w:sz="4" w:space="0" w:color="auto"/>
              <w:right w:val="single" w:sz="4" w:space="0" w:color="auto"/>
            </w:tcBorders>
            <w:shd w:val="clear" w:color="auto" w:fill="C6EFCE"/>
            <w:noWrap/>
            <w:hideMark/>
          </w:tcPr>
          <w:p w14:paraId="629F76C3"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17" w:type="dxa"/>
            <w:tcBorders>
              <w:top w:val="nil"/>
              <w:left w:val="nil"/>
              <w:bottom w:val="single" w:sz="4" w:space="0" w:color="auto"/>
              <w:right w:val="single" w:sz="4" w:space="0" w:color="auto"/>
            </w:tcBorders>
            <w:shd w:val="clear" w:color="auto" w:fill="C6EFCE"/>
            <w:noWrap/>
          </w:tcPr>
          <w:p w14:paraId="1A9C0C68"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Entry into force of the Government Decision establishing the Romanian Urban Policy Framework</w:t>
            </w:r>
          </w:p>
        </w:tc>
        <w:tc>
          <w:tcPr>
            <w:tcW w:w="1498" w:type="dxa"/>
            <w:tcBorders>
              <w:top w:val="nil"/>
              <w:left w:val="nil"/>
              <w:bottom w:val="single" w:sz="4" w:space="0" w:color="auto"/>
              <w:right w:val="single" w:sz="4" w:space="0" w:color="auto"/>
            </w:tcBorders>
            <w:shd w:val="clear" w:color="auto" w:fill="C6EFCE"/>
            <w:noWrap/>
            <w:hideMark/>
          </w:tcPr>
          <w:p w14:paraId="6F94A508"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Provision in the Government Decision indicating the entry into force of the Romanian Urban Policy Framework </w:t>
            </w:r>
          </w:p>
        </w:tc>
        <w:tc>
          <w:tcPr>
            <w:tcW w:w="1332" w:type="dxa"/>
            <w:tcBorders>
              <w:top w:val="nil"/>
              <w:left w:val="nil"/>
              <w:bottom w:val="single" w:sz="4" w:space="0" w:color="auto"/>
              <w:right w:val="single" w:sz="4" w:space="0" w:color="auto"/>
            </w:tcBorders>
            <w:shd w:val="clear" w:color="auto" w:fill="C6EFCE"/>
            <w:noWrap/>
            <w:hideMark/>
          </w:tcPr>
          <w:p w14:paraId="348C070A"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989" w:type="dxa"/>
            <w:tcBorders>
              <w:top w:val="nil"/>
              <w:left w:val="nil"/>
              <w:bottom w:val="single" w:sz="4" w:space="0" w:color="auto"/>
              <w:right w:val="single" w:sz="4" w:space="0" w:color="auto"/>
            </w:tcBorders>
            <w:shd w:val="clear" w:color="auto" w:fill="C6EFCE"/>
            <w:noWrap/>
          </w:tcPr>
          <w:p w14:paraId="7AF6CA18"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680" w:type="dxa"/>
            <w:tcBorders>
              <w:top w:val="nil"/>
              <w:left w:val="nil"/>
              <w:bottom w:val="single" w:sz="4" w:space="0" w:color="auto"/>
              <w:right w:val="single" w:sz="4" w:space="0" w:color="auto"/>
            </w:tcBorders>
            <w:shd w:val="clear" w:color="auto" w:fill="C6EFCE"/>
            <w:noWrap/>
          </w:tcPr>
          <w:p w14:paraId="68B3F526"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080" w:type="dxa"/>
            <w:tcBorders>
              <w:top w:val="nil"/>
              <w:left w:val="nil"/>
              <w:bottom w:val="single" w:sz="4" w:space="0" w:color="auto"/>
              <w:right w:val="single" w:sz="4" w:space="0" w:color="auto"/>
            </w:tcBorders>
            <w:shd w:val="clear" w:color="auto" w:fill="C6EFCE"/>
            <w:noWrap/>
            <w:hideMark/>
          </w:tcPr>
          <w:p w14:paraId="5AD0AB83"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hideMark/>
          </w:tcPr>
          <w:p w14:paraId="1250B256"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tc>
        <w:tc>
          <w:tcPr>
            <w:tcW w:w="2760" w:type="dxa"/>
            <w:tcBorders>
              <w:top w:val="nil"/>
              <w:left w:val="nil"/>
              <w:bottom w:val="single" w:sz="4" w:space="0" w:color="auto"/>
              <w:right w:val="single" w:sz="4" w:space="0" w:color="auto"/>
            </w:tcBorders>
            <w:shd w:val="clear" w:color="auto" w:fill="C6EFCE"/>
            <w:noWrap/>
            <w:hideMark/>
          </w:tcPr>
          <w:p w14:paraId="3CD63661"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Government Decision shall: </w:t>
            </w:r>
          </w:p>
          <w:p w14:paraId="00F0F65E"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define the roles and responsibilities of public authorities at national and local level to implement the Romanian Urban Policy</w:t>
            </w:r>
          </w:p>
          <w:p w14:paraId="3728206F"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integrate the principles of sustainable development, including by enforcing nature-based solutions, into urban planning documents </w:t>
            </w:r>
          </w:p>
          <w:p w14:paraId="19710337"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operationalize key performance indicators derived from the priority objectives of the Romanian Urban Policy (i.e. improved mobility, improved spatial planning, improved housing conditions, local public services for marginalized/peripheral communities and access to public transport )</w:t>
            </w:r>
          </w:p>
          <w:p w14:paraId="1F951F76"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establish a stable &amp; predictable funding mechanism for the implementation of the urban policy</w:t>
            </w:r>
          </w:p>
          <w:p w14:paraId="36E4BA79"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encourage local cooperation by stimulating sustainable urban development projects proposed at functional urban area level and aligned with Sustainable Integrated Urban Development Plans.</w:t>
            </w:r>
          </w:p>
        </w:tc>
      </w:tr>
      <w:tr w:rsidR="00E51A4F" w:rsidRPr="009F5E22" w14:paraId="021A204D" w14:textId="77777777" w:rsidTr="00BD01A2">
        <w:trPr>
          <w:trHeight w:val="2678"/>
          <w:jc w:val="center"/>
        </w:trPr>
        <w:tc>
          <w:tcPr>
            <w:tcW w:w="851" w:type="dxa"/>
            <w:tcBorders>
              <w:top w:val="nil"/>
              <w:left w:val="single" w:sz="4" w:space="0" w:color="auto"/>
              <w:bottom w:val="single" w:sz="4" w:space="0" w:color="auto"/>
              <w:right w:val="single" w:sz="4" w:space="0" w:color="auto"/>
            </w:tcBorders>
            <w:shd w:val="clear" w:color="auto" w:fill="C6EFCE"/>
            <w:noWrap/>
            <w:hideMark/>
          </w:tcPr>
          <w:p w14:paraId="4BA4FC22" w14:textId="77777777" w:rsidR="00E51A4F" w:rsidRPr="009F5E22" w:rsidRDefault="00E51A4F" w:rsidP="00BD01A2">
            <w:pPr>
              <w:spacing w:after="0" w:line="240" w:lineRule="auto"/>
              <w:jc w:val="center"/>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310</w:t>
            </w:r>
          </w:p>
        </w:tc>
        <w:tc>
          <w:tcPr>
            <w:tcW w:w="1985" w:type="dxa"/>
            <w:tcBorders>
              <w:top w:val="nil"/>
              <w:left w:val="nil"/>
              <w:bottom w:val="single" w:sz="4" w:space="0" w:color="auto"/>
              <w:right w:val="single" w:sz="4" w:space="0" w:color="auto"/>
            </w:tcBorders>
            <w:shd w:val="clear" w:color="auto" w:fill="C6EFCE"/>
            <w:noWrap/>
            <w:hideMark/>
          </w:tcPr>
          <w:p w14:paraId="13698F94"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Reform 3. Creating the policy framework for sustainable rural transformation: establishing administrative consortia in functional rural areas </w:t>
            </w:r>
          </w:p>
        </w:tc>
        <w:tc>
          <w:tcPr>
            <w:tcW w:w="1276" w:type="dxa"/>
            <w:tcBorders>
              <w:top w:val="nil"/>
              <w:left w:val="nil"/>
              <w:bottom w:val="single" w:sz="4" w:space="0" w:color="auto"/>
              <w:right w:val="single" w:sz="4" w:space="0" w:color="auto"/>
            </w:tcBorders>
            <w:shd w:val="clear" w:color="auto" w:fill="C6EFCE"/>
            <w:noWrap/>
            <w:hideMark/>
          </w:tcPr>
          <w:p w14:paraId="53B5D178"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eastAsia="en-GB"/>
              </w:rPr>
            </w:pPr>
          </w:p>
        </w:tc>
        <w:tc>
          <w:tcPr>
            <w:tcW w:w="1417" w:type="dxa"/>
            <w:tcBorders>
              <w:top w:val="nil"/>
              <w:left w:val="nil"/>
              <w:bottom w:val="single" w:sz="4" w:space="0" w:color="auto"/>
              <w:right w:val="single" w:sz="4" w:space="0" w:color="auto"/>
            </w:tcBorders>
            <w:shd w:val="clear" w:color="auto" w:fill="C6EFCE"/>
            <w:noWrap/>
            <w:hideMark/>
          </w:tcPr>
          <w:p w14:paraId="0131C4FC" w14:textId="4653E27D" w:rsidR="00E51A4F" w:rsidRPr="009F5E22" w:rsidRDefault="00E51A4F" w:rsidP="00BD01A2">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Entry into force of the legislative act amending the Admini-strative Code and establishing of adminis-trative consortia in neigh-bouring rural or predomi</w:t>
            </w:r>
            <w:r w:rsidR="009F5E22">
              <w:rPr>
                <w:rFonts w:ascii="Times New Roman" w:hAnsi="Times New Roman" w:cs="Times New Roman"/>
                <w:noProof/>
                <w:sz w:val="20"/>
                <w:szCs w:val="20"/>
                <w:lang w:val="en-GB"/>
              </w:rPr>
              <w:t>n</w:t>
            </w:r>
            <w:r w:rsidRPr="009F5E22">
              <w:rPr>
                <w:rFonts w:ascii="Times New Roman" w:hAnsi="Times New Roman" w:cs="Times New Roman"/>
                <w:noProof/>
                <w:sz w:val="20"/>
                <w:szCs w:val="20"/>
                <w:lang w:val="en-GB"/>
              </w:rPr>
              <w:t>antly rural administrative territorial units, existing as functional rural areas.</w:t>
            </w:r>
          </w:p>
        </w:tc>
        <w:tc>
          <w:tcPr>
            <w:tcW w:w="1498" w:type="dxa"/>
            <w:tcBorders>
              <w:top w:val="nil"/>
              <w:left w:val="nil"/>
              <w:bottom w:val="single" w:sz="4" w:space="0" w:color="auto"/>
              <w:right w:val="single" w:sz="4" w:space="0" w:color="auto"/>
            </w:tcBorders>
            <w:shd w:val="clear" w:color="auto" w:fill="C6EFCE"/>
            <w:noWrap/>
            <w:hideMark/>
          </w:tcPr>
          <w:p w14:paraId="6D5EA999"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Provision in the law indicating the entry into force of the legislative act</w:t>
            </w:r>
          </w:p>
        </w:tc>
        <w:tc>
          <w:tcPr>
            <w:tcW w:w="1332" w:type="dxa"/>
            <w:tcBorders>
              <w:top w:val="nil"/>
              <w:left w:val="nil"/>
              <w:bottom w:val="single" w:sz="4" w:space="0" w:color="auto"/>
              <w:right w:val="single" w:sz="4" w:space="0" w:color="auto"/>
            </w:tcBorders>
            <w:shd w:val="clear" w:color="auto" w:fill="C6EFCE"/>
            <w:noWrap/>
            <w:hideMark/>
          </w:tcPr>
          <w:p w14:paraId="639D394F"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eastAsia="en-GB"/>
              </w:rPr>
            </w:pPr>
          </w:p>
        </w:tc>
        <w:tc>
          <w:tcPr>
            <w:tcW w:w="989" w:type="dxa"/>
            <w:tcBorders>
              <w:top w:val="nil"/>
              <w:left w:val="nil"/>
              <w:bottom w:val="single" w:sz="4" w:space="0" w:color="auto"/>
              <w:right w:val="single" w:sz="4" w:space="0" w:color="auto"/>
            </w:tcBorders>
            <w:shd w:val="clear" w:color="auto" w:fill="C6EFCE"/>
            <w:noWrap/>
            <w:hideMark/>
          </w:tcPr>
          <w:p w14:paraId="21AC7247"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eastAsia="en-GB"/>
              </w:rPr>
            </w:pPr>
          </w:p>
        </w:tc>
        <w:tc>
          <w:tcPr>
            <w:tcW w:w="1680" w:type="dxa"/>
            <w:tcBorders>
              <w:top w:val="nil"/>
              <w:left w:val="nil"/>
              <w:bottom w:val="single" w:sz="4" w:space="0" w:color="auto"/>
              <w:right w:val="single" w:sz="4" w:space="0" w:color="auto"/>
            </w:tcBorders>
            <w:shd w:val="clear" w:color="auto" w:fill="C6EFCE"/>
            <w:noWrap/>
            <w:hideMark/>
          </w:tcPr>
          <w:p w14:paraId="6FA8DAD1"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eastAsia="en-GB"/>
              </w:rPr>
            </w:pPr>
          </w:p>
        </w:tc>
        <w:tc>
          <w:tcPr>
            <w:tcW w:w="1080" w:type="dxa"/>
            <w:tcBorders>
              <w:top w:val="nil"/>
              <w:left w:val="nil"/>
              <w:bottom w:val="single" w:sz="4" w:space="0" w:color="auto"/>
              <w:right w:val="single" w:sz="4" w:space="0" w:color="auto"/>
            </w:tcBorders>
            <w:shd w:val="clear" w:color="auto" w:fill="C6EFCE"/>
            <w:noWrap/>
            <w:hideMark/>
          </w:tcPr>
          <w:p w14:paraId="3BDF79A4"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840" w:type="dxa"/>
            <w:tcBorders>
              <w:top w:val="nil"/>
              <w:left w:val="nil"/>
              <w:bottom w:val="single" w:sz="4" w:space="0" w:color="auto"/>
              <w:right w:val="single" w:sz="4" w:space="0" w:color="auto"/>
            </w:tcBorders>
            <w:shd w:val="clear" w:color="auto" w:fill="C6EFCE"/>
            <w:noWrap/>
            <w:hideMark/>
          </w:tcPr>
          <w:p w14:paraId="074A49D8"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tc>
        <w:tc>
          <w:tcPr>
            <w:tcW w:w="2760" w:type="dxa"/>
            <w:tcBorders>
              <w:top w:val="nil"/>
              <w:left w:val="nil"/>
              <w:bottom w:val="single" w:sz="4" w:space="0" w:color="auto"/>
              <w:right w:val="single" w:sz="4" w:space="0" w:color="auto"/>
            </w:tcBorders>
            <w:shd w:val="clear" w:color="auto" w:fill="C6EFCE"/>
            <w:noWrap/>
            <w:hideMark/>
          </w:tcPr>
          <w:p w14:paraId="47FF9EF6"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changes to the Administrative Code shall establish administrative consortia in functional rural areas (as defined according to the Degree of Urbanisation (DEGURBA) methodology) that show some degree of economic and social integration, and/or face similar challenges and opportunities for their development (e.g., proximity to common natural resources, exposure to same structural shocks).</w:t>
            </w:r>
          </w:p>
          <w:p w14:paraId="348225C0" w14:textId="77777777" w:rsidR="00E51A4F" w:rsidRPr="009F5E22" w:rsidRDefault="00E51A4F" w:rsidP="00BD01A2">
            <w:pPr>
              <w:pBdr>
                <w:top w:val="nil"/>
                <w:left w:val="nil"/>
                <w:bottom w:val="nil"/>
                <w:right w:val="nil"/>
                <w:between w:val="nil"/>
              </w:pBd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legislative changes shall:</w:t>
            </w:r>
          </w:p>
          <w:p w14:paraId="7FEEFD2E"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Define the juridical regime and responsibilities of the administrative consortia established based on a functional rural area approach, in view of improving the efficiency of public social, education and healthcare services, as well as support for self-employed in agriculture (such as access to markets and increased cooperation), and the efficacy of implementing investments, that shall lead to improving territorial cohesion, integration of rural areas and sustainable capitalization of natural and cultural heritage.</w:t>
            </w:r>
          </w:p>
          <w:p w14:paraId="0E73C407"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Set-up a body corresponding to each administrative consortia that shall perform activities specific for more local public authorities and shall contribute to implement the strategic objectives of public authorities involved. The body shall manage the following types of public services: territorial and urban planning; public procurement; investments; managing the public and private domain; financial and accounting; juridical; social assistance; agricultural registry; civil registry; cadastre.</w:t>
            </w:r>
          </w:p>
          <w:p w14:paraId="0A33ECD4"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Ensure a transparent and predictable budget, made up of contributions from the administrative units composing the administrative consortia and transfers from central government based on transparent performance criteria linked with the policy objectives at the level of functional rural area </w:t>
            </w:r>
          </w:p>
          <w:p w14:paraId="051141E8"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Make possible the full digital integration of the public services delivered by the administration units, of the consortia in view of delivering public services at a reduced time for citizens’ and entrepreneurs’, including through joint procurement for provision of goods and services, at functional rural area level.</w:t>
            </w:r>
          </w:p>
        </w:tc>
      </w:tr>
      <w:tr w:rsidR="00E51A4F" w:rsidRPr="009F5E22" w14:paraId="4EDC8F2B" w14:textId="77777777" w:rsidTr="00BD01A2">
        <w:trPr>
          <w:trHeight w:val="878"/>
          <w:jc w:val="center"/>
        </w:trPr>
        <w:tc>
          <w:tcPr>
            <w:tcW w:w="851" w:type="dxa"/>
            <w:tcBorders>
              <w:top w:val="nil"/>
              <w:left w:val="single" w:sz="4" w:space="0" w:color="auto"/>
              <w:bottom w:val="single" w:sz="4" w:space="0" w:color="auto"/>
              <w:right w:val="single" w:sz="4" w:space="0" w:color="auto"/>
            </w:tcBorders>
            <w:shd w:val="clear" w:color="auto" w:fill="C6EFCE"/>
            <w:noWrap/>
          </w:tcPr>
          <w:p w14:paraId="3F55D43C" w14:textId="77777777" w:rsidR="00E51A4F" w:rsidRPr="009F5E22" w:rsidRDefault="00E51A4F" w:rsidP="00BD01A2">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312</w:t>
            </w:r>
          </w:p>
        </w:tc>
        <w:tc>
          <w:tcPr>
            <w:tcW w:w="1985" w:type="dxa"/>
            <w:tcBorders>
              <w:top w:val="nil"/>
              <w:left w:val="nil"/>
              <w:bottom w:val="single" w:sz="4" w:space="0" w:color="auto"/>
              <w:right w:val="single" w:sz="4" w:space="0" w:color="auto"/>
            </w:tcBorders>
            <w:shd w:val="clear" w:color="auto" w:fill="C6EFCE"/>
            <w:noWrap/>
          </w:tcPr>
          <w:p w14:paraId="5ABBC65B"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Reform 4. Increasing housing quality </w:t>
            </w:r>
          </w:p>
        </w:tc>
        <w:tc>
          <w:tcPr>
            <w:tcW w:w="1276" w:type="dxa"/>
            <w:tcBorders>
              <w:top w:val="nil"/>
              <w:left w:val="nil"/>
              <w:bottom w:val="single" w:sz="4" w:space="0" w:color="auto"/>
              <w:right w:val="single" w:sz="4" w:space="0" w:color="auto"/>
            </w:tcBorders>
            <w:shd w:val="clear" w:color="auto" w:fill="C6EFCE"/>
            <w:noWrap/>
          </w:tcPr>
          <w:p w14:paraId="70B5899E"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17" w:type="dxa"/>
            <w:tcBorders>
              <w:top w:val="nil"/>
              <w:left w:val="nil"/>
              <w:bottom w:val="single" w:sz="4" w:space="0" w:color="auto"/>
              <w:right w:val="single" w:sz="4" w:space="0" w:color="auto"/>
            </w:tcBorders>
            <w:shd w:val="clear" w:color="auto" w:fill="C6EFCE"/>
            <w:noWrap/>
          </w:tcPr>
          <w:p w14:paraId="7F6D5633"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Entry into force of legislative act for the implemen-tation of the National Housing Strategy and Action Plan to decrease severe housing deprivation</w:t>
            </w:r>
          </w:p>
        </w:tc>
        <w:tc>
          <w:tcPr>
            <w:tcW w:w="1498" w:type="dxa"/>
            <w:tcBorders>
              <w:top w:val="nil"/>
              <w:left w:val="nil"/>
              <w:bottom w:val="single" w:sz="4" w:space="0" w:color="auto"/>
              <w:right w:val="single" w:sz="4" w:space="0" w:color="auto"/>
            </w:tcBorders>
            <w:shd w:val="clear" w:color="auto" w:fill="C6EFCE"/>
            <w:noWrap/>
          </w:tcPr>
          <w:p w14:paraId="2090E0A2"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rPr>
            </w:pPr>
            <w:r w:rsidRPr="009F5E22">
              <w:rPr>
                <w:rFonts w:ascii="Times New Roman" w:hAnsi="Times New Roman" w:cs="Times New Roman"/>
                <w:noProof/>
                <w:sz w:val="20"/>
                <w:szCs w:val="20"/>
                <w:lang w:val="en-GB"/>
              </w:rPr>
              <w:t>Provision in the law indicating the entry into force of the legislative act for the implemen-tation of the National Housing Strategy and Action Plan to decrease severe housing deprivation</w:t>
            </w:r>
          </w:p>
        </w:tc>
        <w:tc>
          <w:tcPr>
            <w:tcW w:w="1332" w:type="dxa"/>
            <w:tcBorders>
              <w:top w:val="nil"/>
              <w:left w:val="nil"/>
              <w:bottom w:val="single" w:sz="4" w:space="0" w:color="auto"/>
              <w:right w:val="single" w:sz="4" w:space="0" w:color="auto"/>
            </w:tcBorders>
            <w:shd w:val="clear" w:color="auto" w:fill="C6EFCE"/>
            <w:noWrap/>
          </w:tcPr>
          <w:p w14:paraId="7106754C"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989" w:type="dxa"/>
            <w:tcBorders>
              <w:top w:val="nil"/>
              <w:left w:val="nil"/>
              <w:bottom w:val="single" w:sz="4" w:space="0" w:color="auto"/>
              <w:right w:val="single" w:sz="4" w:space="0" w:color="auto"/>
            </w:tcBorders>
            <w:shd w:val="clear" w:color="auto" w:fill="C6EFCE"/>
            <w:noWrap/>
          </w:tcPr>
          <w:p w14:paraId="1FCEEBA2"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680" w:type="dxa"/>
            <w:tcBorders>
              <w:top w:val="nil"/>
              <w:left w:val="nil"/>
              <w:bottom w:val="single" w:sz="4" w:space="0" w:color="auto"/>
              <w:right w:val="single" w:sz="4" w:space="0" w:color="auto"/>
            </w:tcBorders>
            <w:shd w:val="clear" w:color="auto" w:fill="C6EFCE"/>
            <w:noWrap/>
          </w:tcPr>
          <w:p w14:paraId="6032659D"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080" w:type="dxa"/>
            <w:tcBorders>
              <w:top w:val="nil"/>
              <w:left w:val="nil"/>
              <w:bottom w:val="single" w:sz="4" w:space="0" w:color="auto"/>
              <w:right w:val="single" w:sz="4" w:space="0" w:color="auto"/>
            </w:tcBorders>
            <w:shd w:val="clear" w:color="auto" w:fill="C6EFCE"/>
            <w:noWrap/>
          </w:tcPr>
          <w:p w14:paraId="087127FB"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840" w:type="dxa"/>
            <w:tcBorders>
              <w:top w:val="nil"/>
              <w:left w:val="nil"/>
              <w:bottom w:val="single" w:sz="4" w:space="0" w:color="auto"/>
              <w:right w:val="single" w:sz="4" w:space="0" w:color="auto"/>
            </w:tcBorders>
            <w:shd w:val="clear" w:color="auto" w:fill="C6EFCE"/>
            <w:noWrap/>
          </w:tcPr>
          <w:p w14:paraId="781789E5"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tc>
        <w:tc>
          <w:tcPr>
            <w:tcW w:w="2760" w:type="dxa"/>
            <w:tcBorders>
              <w:top w:val="nil"/>
              <w:left w:val="nil"/>
              <w:bottom w:val="single" w:sz="4" w:space="0" w:color="auto"/>
              <w:right w:val="single" w:sz="4" w:space="0" w:color="auto"/>
            </w:tcBorders>
            <w:shd w:val="clear" w:color="auto" w:fill="C6EFCE"/>
            <w:noWrap/>
          </w:tcPr>
          <w:p w14:paraId="3A11FB7F"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legislative act shall secure the implementation of the National Housing Strategy and Action Plan in view of improving housing quality for vulnerable categories and groups decreasing severe housing deprivation, especially for persons in marginalised communities in urban and rural areas.</w:t>
            </w:r>
          </w:p>
          <w:p w14:paraId="5EEA00CA"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Strategy and the Action Plan shall: </w:t>
            </w:r>
          </w:p>
          <w:p w14:paraId="522D346D"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be accompanied by a mapping of housing needs especially in marginalized communities and groups, including informal settlements, in urban and rural areas (as per the updated version of the Atlas of Marginalized Communities) </w:t>
            </w:r>
          </w:p>
          <w:p w14:paraId="2B411AC8"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ensure an approach that secures complementarity/matches the existing or future Integrated Community Centres investments (i.e. delivering education, social and basic healthcare services) funded under the ESF+ and the future Cohesion Policy funds.</w:t>
            </w:r>
          </w:p>
          <w:p w14:paraId="7BAD34AF"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ensure complementary access to education and healthcare services in marginalized communities (as identified in the updated version of the Atlas of Marginalized Communities)</w:t>
            </w:r>
          </w:p>
          <w:p w14:paraId="3ECB0919"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not lead to social segregation</w:t>
            </w:r>
          </w:p>
          <w:p w14:paraId="0E28D0BD"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ensure the possibility to use metropolitan areas, administrative consortia and the intercommunity development associations for implementation of the investments.</w:t>
            </w:r>
          </w:p>
        </w:tc>
      </w:tr>
      <w:tr w:rsidR="00E51A4F" w:rsidRPr="009F5E22" w14:paraId="7966F93C" w14:textId="77777777" w:rsidTr="00BD01A2">
        <w:trPr>
          <w:trHeight w:val="313"/>
          <w:jc w:val="center"/>
        </w:trPr>
        <w:tc>
          <w:tcPr>
            <w:tcW w:w="851" w:type="dxa"/>
            <w:tcBorders>
              <w:top w:val="nil"/>
              <w:left w:val="single" w:sz="4" w:space="0" w:color="auto"/>
              <w:bottom w:val="single" w:sz="4" w:space="0" w:color="auto"/>
              <w:right w:val="single" w:sz="4" w:space="0" w:color="auto"/>
            </w:tcBorders>
            <w:shd w:val="clear" w:color="auto" w:fill="C6EFCE"/>
            <w:noWrap/>
          </w:tcPr>
          <w:p w14:paraId="7E6D3A69" w14:textId="77777777" w:rsidR="00E51A4F" w:rsidRPr="009F5E22" w:rsidRDefault="00E51A4F" w:rsidP="00BD01A2">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315</w:t>
            </w:r>
          </w:p>
        </w:tc>
        <w:tc>
          <w:tcPr>
            <w:tcW w:w="1985" w:type="dxa"/>
            <w:tcBorders>
              <w:top w:val="nil"/>
              <w:left w:val="nil"/>
              <w:bottom w:val="single" w:sz="4" w:space="0" w:color="auto"/>
              <w:right w:val="single" w:sz="4" w:space="0" w:color="auto"/>
            </w:tcBorders>
            <w:shd w:val="clear" w:color="auto" w:fill="C6EFCE"/>
            <w:noWrap/>
          </w:tcPr>
          <w:p w14:paraId="3F66CD86" w14:textId="4D2665FA"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Reform 5. Development of the planning system </w:t>
            </w:r>
            <w:r w:rsidR="00015BE7">
              <w:rPr>
                <w:rFonts w:ascii="Times New Roman" w:hAnsi="Times New Roman" w:cs="Times New Roman"/>
                <w:noProof/>
                <w:sz w:val="20"/>
                <w:szCs w:val="20"/>
                <w:lang w:val="en-GB"/>
              </w:rPr>
              <w:t>-</w:t>
            </w:r>
            <w:r w:rsidRPr="009F5E22">
              <w:rPr>
                <w:rFonts w:ascii="Times New Roman" w:hAnsi="Times New Roman" w:cs="Times New Roman"/>
                <w:noProof/>
                <w:sz w:val="20"/>
                <w:szCs w:val="20"/>
                <w:lang w:val="en-GB"/>
              </w:rPr>
              <w:t xml:space="preserve"> Code of Spatial Planning, Urbanism and Construction</w:t>
            </w:r>
          </w:p>
        </w:tc>
        <w:tc>
          <w:tcPr>
            <w:tcW w:w="1276" w:type="dxa"/>
            <w:tcBorders>
              <w:top w:val="nil"/>
              <w:left w:val="nil"/>
              <w:bottom w:val="single" w:sz="4" w:space="0" w:color="auto"/>
              <w:right w:val="single" w:sz="4" w:space="0" w:color="auto"/>
            </w:tcBorders>
            <w:shd w:val="clear" w:color="auto" w:fill="C6EFCE"/>
            <w:noWrap/>
          </w:tcPr>
          <w:p w14:paraId="65E75F6D"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17" w:type="dxa"/>
            <w:tcBorders>
              <w:top w:val="nil"/>
              <w:left w:val="nil"/>
              <w:bottom w:val="single" w:sz="4" w:space="0" w:color="auto"/>
              <w:right w:val="single" w:sz="4" w:space="0" w:color="auto"/>
            </w:tcBorders>
            <w:shd w:val="clear" w:color="auto" w:fill="C6EFCE"/>
            <w:noWrap/>
          </w:tcPr>
          <w:p w14:paraId="7844B8F4"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Publication in the Official Journal of the Code of Spatial Planning, Urban Planning and Construc-tion </w:t>
            </w:r>
          </w:p>
        </w:tc>
        <w:tc>
          <w:tcPr>
            <w:tcW w:w="1498" w:type="dxa"/>
            <w:tcBorders>
              <w:top w:val="nil"/>
              <w:left w:val="nil"/>
              <w:bottom w:val="single" w:sz="4" w:space="0" w:color="auto"/>
              <w:right w:val="single" w:sz="4" w:space="0" w:color="auto"/>
            </w:tcBorders>
            <w:shd w:val="clear" w:color="auto" w:fill="C6EFCE"/>
            <w:noWrap/>
          </w:tcPr>
          <w:p w14:paraId="7F78591B" w14:textId="4088A23E"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Publication in the Official Journal</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 xml:space="preserve">of the Code of Spatial Planning, Urban Planning and Construction </w:t>
            </w:r>
          </w:p>
        </w:tc>
        <w:tc>
          <w:tcPr>
            <w:tcW w:w="1332" w:type="dxa"/>
            <w:tcBorders>
              <w:top w:val="nil"/>
              <w:left w:val="nil"/>
              <w:bottom w:val="single" w:sz="4" w:space="0" w:color="auto"/>
              <w:right w:val="single" w:sz="4" w:space="0" w:color="auto"/>
            </w:tcBorders>
            <w:shd w:val="clear" w:color="auto" w:fill="C6EFCE"/>
            <w:noWrap/>
          </w:tcPr>
          <w:p w14:paraId="46FF5360"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989" w:type="dxa"/>
            <w:tcBorders>
              <w:top w:val="nil"/>
              <w:left w:val="nil"/>
              <w:bottom w:val="single" w:sz="4" w:space="0" w:color="auto"/>
              <w:right w:val="single" w:sz="4" w:space="0" w:color="auto"/>
            </w:tcBorders>
            <w:shd w:val="clear" w:color="auto" w:fill="C6EFCE"/>
            <w:noWrap/>
          </w:tcPr>
          <w:p w14:paraId="4C2E5960"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680" w:type="dxa"/>
            <w:tcBorders>
              <w:top w:val="nil"/>
              <w:left w:val="nil"/>
              <w:bottom w:val="single" w:sz="4" w:space="0" w:color="auto"/>
              <w:right w:val="single" w:sz="4" w:space="0" w:color="auto"/>
            </w:tcBorders>
            <w:shd w:val="clear" w:color="auto" w:fill="C6EFCE"/>
            <w:noWrap/>
          </w:tcPr>
          <w:p w14:paraId="29278700"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080" w:type="dxa"/>
            <w:tcBorders>
              <w:top w:val="nil"/>
              <w:left w:val="nil"/>
              <w:bottom w:val="single" w:sz="4" w:space="0" w:color="auto"/>
              <w:right w:val="single" w:sz="4" w:space="0" w:color="auto"/>
            </w:tcBorders>
            <w:shd w:val="clear" w:color="auto" w:fill="C6EFCE"/>
            <w:noWrap/>
          </w:tcPr>
          <w:p w14:paraId="6C72DDA5"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840" w:type="dxa"/>
            <w:tcBorders>
              <w:top w:val="nil"/>
              <w:left w:val="nil"/>
              <w:bottom w:val="single" w:sz="4" w:space="0" w:color="auto"/>
              <w:right w:val="single" w:sz="4" w:space="0" w:color="auto"/>
            </w:tcBorders>
            <w:shd w:val="clear" w:color="auto" w:fill="C6EFCE"/>
            <w:noWrap/>
          </w:tcPr>
          <w:p w14:paraId="0DADEA32"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2026</w:t>
            </w:r>
          </w:p>
        </w:tc>
        <w:tc>
          <w:tcPr>
            <w:tcW w:w="2760" w:type="dxa"/>
            <w:tcBorders>
              <w:top w:val="nil"/>
              <w:left w:val="nil"/>
              <w:bottom w:val="single" w:sz="4" w:space="0" w:color="auto"/>
              <w:right w:val="single" w:sz="4" w:space="0" w:color="auto"/>
            </w:tcBorders>
            <w:shd w:val="clear" w:color="auto" w:fill="C6EFCE"/>
            <w:noWrap/>
          </w:tcPr>
          <w:p w14:paraId="63FE3F54" w14:textId="7BA743D0"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Publication in the Official Journal of the Code of Spatial Planning, Urban Planning and Construction. The Code </w:t>
            </w:r>
            <w:r w:rsidRPr="009F5E22" w:rsidDel="00187351">
              <w:rPr>
                <w:rFonts w:ascii="Times New Roman" w:hAnsi="Times New Roman" w:cs="Times New Roman"/>
                <w:noProof/>
                <w:sz w:val="20"/>
                <w:szCs w:val="20"/>
              </w:rPr>
              <w:t xml:space="preserve">shall </w:t>
            </w:r>
            <w:r w:rsidRPr="009F5E22" w:rsidDel="001022B0">
              <w:rPr>
                <w:rFonts w:ascii="Times New Roman" w:hAnsi="Times New Roman" w:cs="Times New Roman"/>
                <w:noProof/>
                <w:sz w:val="20"/>
                <w:szCs w:val="20"/>
              </w:rPr>
              <w:t>enter into force</w:t>
            </w:r>
            <w:r w:rsidRPr="009F5E22" w:rsidDel="00187351">
              <w:rPr>
                <w:rFonts w:ascii="Times New Roman" w:hAnsi="Times New Roman" w:cs="Times New Roman"/>
                <w:noProof/>
                <w:sz w:val="20"/>
                <w:szCs w:val="20"/>
              </w:rPr>
              <w:t xml:space="preserve"> </w:t>
            </w:r>
            <w:r w:rsidRPr="009F5E22">
              <w:rPr>
                <w:rFonts w:ascii="Times New Roman" w:hAnsi="Times New Roman" w:cs="Times New Roman"/>
                <w:noProof/>
                <w:sz w:val="20"/>
                <w:szCs w:val="20"/>
              </w:rPr>
              <w:t>after a reasonable period and</w:t>
            </w:r>
            <w:r w:rsidR="00D23D91" w:rsidRPr="009F5E22">
              <w:rPr>
                <w:rFonts w:ascii="Times New Roman" w:hAnsi="Times New Roman" w:cs="Times New Roman"/>
                <w:noProof/>
                <w:sz w:val="20"/>
                <w:szCs w:val="20"/>
              </w:rPr>
              <w:t xml:space="preserve"> </w:t>
            </w:r>
            <w:r w:rsidRPr="009F5E22">
              <w:rPr>
                <w:rFonts w:ascii="Times New Roman" w:hAnsi="Times New Roman" w:cs="Times New Roman"/>
                <w:noProof/>
                <w:sz w:val="20"/>
                <w:szCs w:val="20"/>
              </w:rPr>
              <w:t>no later than 31 December 2026.</w:t>
            </w:r>
            <w:r w:rsidR="00D23D91" w:rsidRPr="009F5E22">
              <w:rPr>
                <w:rFonts w:ascii="Times New Roman" w:hAnsi="Times New Roman" w:cs="Times New Roman"/>
                <w:noProof/>
                <w:sz w:val="20"/>
                <w:szCs w:val="20"/>
              </w:rPr>
              <w:t xml:space="preserve"> </w:t>
            </w:r>
            <w:r w:rsidRPr="009F5E22">
              <w:rPr>
                <w:rFonts w:ascii="Times New Roman" w:hAnsi="Times New Roman" w:cs="Times New Roman"/>
                <w:noProof/>
                <w:sz w:val="20"/>
                <w:szCs w:val="20"/>
              </w:rPr>
              <w:t>Such entry into force shall be automatic and shall not entail any further legal implementing measures. It shall</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contain provisions on:</w:t>
            </w:r>
          </w:p>
          <w:p w14:paraId="2BD05814"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reducing the deadlines for issuing administrative acts, as well as introducing mechanisms to ensure digitalized administrative processes in construction</w:t>
            </w:r>
            <w:r w:rsidRPr="009F5E22">
              <w:rPr>
                <w:rFonts w:ascii="Times New Roman" w:hAnsi="Times New Roman" w:cs="Times New Roman"/>
                <w:noProof/>
                <w:sz w:val="20"/>
                <w:szCs w:val="20"/>
              </w:rPr>
              <w:t>;</w:t>
            </w:r>
          </w:p>
          <w:p w14:paraId="72CFB395"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the possibility to create expertise centers at the level of functional urban areas;</w:t>
            </w:r>
          </w:p>
          <w:p w14:paraId="25293D70" w14:textId="3021D4CD"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requirements for updating and transposing spatial and urban plans into the Geographic Information Systems (GIS), as well as requirements for their alignment with the following principles of the Romanian Urban Policy: promoting sustainable transport and mobility, use of nature-based solutions or green and blue infrastructure,</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 xml:space="preserve">including at the level of functional urban and rural areas; </w:t>
            </w:r>
          </w:p>
          <w:p w14:paraId="3A26B127"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the requirement for the updated urban planning documents to include provisions regarding mobility and accessibility in functional urban and rural areas. </w:t>
            </w:r>
          </w:p>
        </w:tc>
      </w:tr>
      <w:tr w:rsidR="00E51A4F" w:rsidRPr="009F5E22" w14:paraId="30B017CF" w14:textId="77777777" w:rsidTr="00BD01A2">
        <w:trPr>
          <w:trHeight w:val="31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E746B5A" w14:textId="77777777" w:rsidR="00E51A4F" w:rsidRPr="009F5E22" w:rsidRDefault="00E51A4F" w:rsidP="00BD01A2">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316</w:t>
            </w:r>
          </w:p>
        </w:tc>
        <w:tc>
          <w:tcPr>
            <w:tcW w:w="1985" w:type="dxa"/>
            <w:tcBorders>
              <w:top w:val="single" w:sz="4" w:space="0" w:color="auto"/>
              <w:left w:val="nil"/>
              <w:bottom w:val="single" w:sz="4" w:space="0" w:color="auto"/>
              <w:right w:val="single" w:sz="4" w:space="0" w:color="auto"/>
            </w:tcBorders>
            <w:shd w:val="clear" w:color="auto" w:fill="C6EFCE"/>
            <w:noWrap/>
          </w:tcPr>
          <w:p w14:paraId="534765F0" w14:textId="552309E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Reform 5. Development of the planning system </w:t>
            </w:r>
            <w:r w:rsidR="00015BE7">
              <w:rPr>
                <w:rFonts w:ascii="Times New Roman" w:hAnsi="Times New Roman" w:cs="Times New Roman"/>
                <w:noProof/>
                <w:sz w:val="20"/>
                <w:szCs w:val="20"/>
                <w:lang w:val="en-GB"/>
              </w:rPr>
              <w:t>-</w:t>
            </w:r>
            <w:r w:rsidRPr="009F5E22">
              <w:rPr>
                <w:rFonts w:ascii="Times New Roman" w:hAnsi="Times New Roman" w:cs="Times New Roman"/>
                <w:noProof/>
                <w:sz w:val="20"/>
                <w:szCs w:val="20"/>
                <w:lang w:val="en-GB"/>
              </w:rPr>
              <w:t xml:space="preserve"> Code of Spatial Planning, Urbanism and Construction</w:t>
            </w:r>
          </w:p>
        </w:tc>
        <w:tc>
          <w:tcPr>
            <w:tcW w:w="1276" w:type="dxa"/>
            <w:tcBorders>
              <w:top w:val="single" w:sz="4" w:space="0" w:color="auto"/>
              <w:left w:val="nil"/>
              <w:bottom w:val="single" w:sz="4" w:space="0" w:color="auto"/>
              <w:right w:val="single" w:sz="4" w:space="0" w:color="auto"/>
            </w:tcBorders>
            <w:shd w:val="clear" w:color="auto" w:fill="C6EFCE"/>
            <w:noWrap/>
          </w:tcPr>
          <w:p w14:paraId="751E86F8"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17" w:type="dxa"/>
            <w:tcBorders>
              <w:top w:val="single" w:sz="4" w:space="0" w:color="auto"/>
              <w:left w:val="nil"/>
              <w:bottom w:val="single" w:sz="4" w:space="0" w:color="auto"/>
              <w:right w:val="single" w:sz="4" w:space="0" w:color="auto"/>
            </w:tcBorders>
            <w:shd w:val="clear" w:color="auto" w:fill="C6EFCE"/>
            <w:noWrap/>
          </w:tcPr>
          <w:p w14:paraId="2F2CCFAE"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Digital data platform (as part of the Territorial Observa-tory) </w:t>
            </w:r>
          </w:p>
        </w:tc>
        <w:tc>
          <w:tcPr>
            <w:tcW w:w="1498" w:type="dxa"/>
            <w:tcBorders>
              <w:top w:val="single" w:sz="4" w:space="0" w:color="auto"/>
              <w:left w:val="nil"/>
              <w:bottom w:val="single" w:sz="4" w:space="0" w:color="auto"/>
              <w:right w:val="single" w:sz="4" w:space="0" w:color="auto"/>
            </w:tcBorders>
            <w:shd w:val="clear" w:color="auto" w:fill="C6EFCE"/>
            <w:noWrap/>
          </w:tcPr>
          <w:p w14:paraId="65281C27"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w:t>
            </w:r>
            <w:r w:rsidRPr="009F5E22" w:rsidDel="0037417E">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digital data platform (as part of the Territorial Observatory) is available for use</w:t>
            </w:r>
          </w:p>
        </w:tc>
        <w:tc>
          <w:tcPr>
            <w:tcW w:w="1332" w:type="dxa"/>
            <w:tcBorders>
              <w:top w:val="single" w:sz="4" w:space="0" w:color="auto"/>
              <w:left w:val="nil"/>
              <w:bottom w:val="single" w:sz="4" w:space="0" w:color="auto"/>
              <w:right w:val="single" w:sz="4" w:space="0" w:color="auto"/>
            </w:tcBorders>
            <w:shd w:val="clear" w:color="auto" w:fill="C6EFCE"/>
            <w:noWrap/>
          </w:tcPr>
          <w:p w14:paraId="4ECCEB1E"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989" w:type="dxa"/>
            <w:tcBorders>
              <w:top w:val="single" w:sz="4" w:space="0" w:color="auto"/>
              <w:left w:val="nil"/>
              <w:bottom w:val="single" w:sz="4" w:space="0" w:color="auto"/>
              <w:right w:val="single" w:sz="4" w:space="0" w:color="auto"/>
            </w:tcBorders>
            <w:shd w:val="clear" w:color="auto" w:fill="C6EFCE"/>
            <w:noWrap/>
          </w:tcPr>
          <w:p w14:paraId="2664CDC5"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680" w:type="dxa"/>
            <w:tcBorders>
              <w:top w:val="single" w:sz="4" w:space="0" w:color="auto"/>
              <w:left w:val="nil"/>
              <w:bottom w:val="single" w:sz="4" w:space="0" w:color="auto"/>
              <w:right w:val="single" w:sz="4" w:space="0" w:color="auto"/>
            </w:tcBorders>
            <w:shd w:val="clear" w:color="auto" w:fill="C6EFCE"/>
            <w:noWrap/>
          </w:tcPr>
          <w:p w14:paraId="0436B950"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080" w:type="dxa"/>
            <w:tcBorders>
              <w:top w:val="single" w:sz="4" w:space="0" w:color="auto"/>
              <w:left w:val="nil"/>
              <w:bottom w:val="single" w:sz="4" w:space="0" w:color="auto"/>
              <w:right w:val="single" w:sz="4" w:space="0" w:color="auto"/>
            </w:tcBorders>
            <w:shd w:val="clear" w:color="auto" w:fill="C6EFCE"/>
            <w:noWrap/>
          </w:tcPr>
          <w:p w14:paraId="426FF520"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840" w:type="dxa"/>
            <w:tcBorders>
              <w:top w:val="single" w:sz="4" w:space="0" w:color="auto"/>
              <w:left w:val="nil"/>
              <w:bottom w:val="single" w:sz="4" w:space="0" w:color="auto"/>
              <w:right w:val="single" w:sz="4" w:space="0" w:color="auto"/>
            </w:tcBorders>
            <w:shd w:val="clear" w:color="auto" w:fill="C6EFCE"/>
            <w:noWrap/>
          </w:tcPr>
          <w:p w14:paraId="5C1B95E7"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2026</w:t>
            </w:r>
          </w:p>
        </w:tc>
        <w:tc>
          <w:tcPr>
            <w:tcW w:w="2760" w:type="dxa"/>
            <w:tcBorders>
              <w:top w:val="single" w:sz="4" w:space="0" w:color="auto"/>
              <w:left w:val="nil"/>
              <w:bottom w:val="single" w:sz="4" w:space="0" w:color="auto"/>
              <w:right w:val="single" w:sz="4" w:space="0" w:color="auto"/>
            </w:tcBorders>
            <w:shd w:val="clear" w:color="auto" w:fill="C6EFCE"/>
            <w:noWrap/>
          </w:tcPr>
          <w:p w14:paraId="2952B17C"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A digital data plaform shall be available for use, as part of the Territorial Observatory, and allow:</w:t>
            </w:r>
          </w:p>
          <w:p w14:paraId="646FB178"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public access to spatial and territorial planning documents issued by territorial administrative units;</w:t>
            </w:r>
          </w:p>
          <w:p w14:paraId="2BF8371D"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possibility for local public authorities to issue urban planning certificates;</w:t>
            </w:r>
          </w:p>
          <w:p w14:paraId="6C672A4D"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availablility of data in an interoperable format with other public authorities’ data bases; </w:t>
            </w:r>
          </w:p>
          <w:p w14:paraId="4CCEB2D9" w14:textId="77777777" w:rsidR="00E51A4F" w:rsidRPr="009F5E22" w:rsidRDefault="00E51A4F" w:rsidP="00BD01A2">
            <w:pPr>
              <w:spacing w:after="0" w:line="240" w:lineRule="auto"/>
              <w:ind w:left="175"/>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platform shall be designed to be cloud-ready, including the technical capability to support the use of the Government Cloud.</w:t>
            </w:r>
          </w:p>
        </w:tc>
      </w:tr>
      <w:tr w:rsidR="00E51A4F" w:rsidRPr="009F5E22" w14:paraId="1A44FD25" w14:textId="77777777" w:rsidTr="00BD01A2">
        <w:trPr>
          <w:trHeight w:val="31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E8E2608" w14:textId="77777777" w:rsidR="00E51A4F" w:rsidRPr="009F5E22" w:rsidRDefault="00E51A4F" w:rsidP="00BD01A2">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317</w:t>
            </w:r>
          </w:p>
        </w:tc>
        <w:tc>
          <w:tcPr>
            <w:tcW w:w="1985" w:type="dxa"/>
            <w:tcBorders>
              <w:top w:val="single" w:sz="4" w:space="0" w:color="auto"/>
              <w:left w:val="nil"/>
              <w:bottom w:val="single" w:sz="4" w:space="0" w:color="auto"/>
              <w:right w:val="single" w:sz="4" w:space="0" w:color="auto"/>
            </w:tcBorders>
            <w:shd w:val="clear" w:color="auto" w:fill="C6EFCE"/>
            <w:noWrap/>
          </w:tcPr>
          <w:p w14:paraId="5E55E5D5" w14:textId="77777777" w:rsidR="00E51A4F" w:rsidRPr="009F5E22" w:rsidRDefault="00E51A4F" w:rsidP="00BD01A2">
            <w:pPr>
              <w:spacing w:after="0" w:line="240" w:lineRule="auto"/>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Investment 2. Construction of housing for youth and for professionals in health and education</w:t>
            </w:r>
          </w:p>
        </w:tc>
        <w:tc>
          <w:tcPr>
            <w:tcW w:w="1276" w:type="dxa"/>
            <w:tcBorders>
              <w:top w:val="single" w:sz="4" w:space="0" w:color="auto"/>
              <w:left w:val="nil"/>
              <w:bottom w:val="single" w:sz="4" w:space="0" w:color="auto"/>
              <w:right w:val="single" w:sz="4" w:space="0" w:color="auto"/>
            </w:tcBorders>
            <w:shd w:val="clear" w:color="auto" w:fill="C6EFCE"/>
            <w:noWrap/>
          </w:tcPr>
          <w:p w14:paraId="205F0FFF"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17" w:type="dxa"/>
            <w:tcBorders>
              <w:top w:val="single" w:sz="4" w:space="0" w:color="auto"/>
              <w:left w:val="nil"/>
              <w:bottom w:val="single" w:sz="4" w:space="0" w:color="auto"/>
              <w:right w:val="single" w:sz="4" w:space="0" w:color="auto"/>
            </w:tcBorders>
            <w:shd w:val="clear" w:color="auto" w:fill="C6EFCE"/>
            <w:noWrap/>
          </w:tcPr>
          <w:p w14:paraId="79F56786"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Signature of all funding contracts for building housing for young people coming from vulnerable communi-ties and groups, and for health and education professio-nals in urban or rural areas </w:t>
            </w:r>
          </w:p>
          <w:p w14:paraId="5691813B"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p>
          <w:p w14:paraId="27179086"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p>
        </w:tc>
        <w:tc>
          <w:tcPr>
            <w:tcW w:w="1498" w:type="dxa"/>
            <w:tcBorders>
              <w:top w:val="single" w:sz="4" w:space="0" w:color="auto"/>
              <w:left w:val="nil"/>
              <w:bottom w:val="single" w:sz="4" w:space="0" w:color="auto"/>
              <w:right w:val="single" w:sz="4" w:space="0" w:color="auto"/>
            </w:tcBorders>
            <w:shd w:val="clear" w:color="auto" w:fill="C6EFCE"/>
            <w:noWrap/>
          </w:tcPr>
          <w:p w14:paraId="4E102139"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Signature of contracts </w:t>
            </w:r>
          </w:p>
        </w:tc>
        <w:tc>
          <w:tcPr>
            <w:tcW w:w="1332" w:type="dxa"/>
            <w:tcBorders>
              <w:top w:val="single" w:sz="4" w:space="0" w:color="auto"/>
              <w:left w:val="nil"/>
              <w:bottom w:val="single" w:sz="4" w:space="0" w:color="auto"/>
              <w:right w:val="single" w:sz="4" w:space="0" w:color="auto"/>
            </w:tcBorders>
            <w:shd w:val="clear" w:color="auto" w:fill="C6EFCE"/>
            <w:noWrap/>
          </w:tcPr>
          <w:p w14:paraId="5BD7588E"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989" w:type="dxa"/>
            <w:tcBorders>
              <w:top w:val="single" w:sz="4" w:space="0" w:color="auto"/>
              <w:left w:val="nil"/>
              <w:bottom w:val="single" w:sz="4" w:space="0" w:color="auto"/>
              <w:right w:val="single" w:sz="4" w:space="0" w:color="auto"/>
            </w:tcBorders>
            <w:shd w:val="clear" w:color="auto" w:fill="C6EFCE"/>
            <w:noWrap/>
          </w:tcPr>
          <w:p w14:paraId="6F6D190C"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680" w:type="dxa"/>
            <w:tcBorders>
              <w:top w:val="single" w:sz="4" w:space="0" w:color="auto"/>
              <w:left w:val="nil"/>
              <w:bottom w:val="single" w:sz="4" w:space="0" w:color="auto"/>
              <w:right w:val="single" w:sz="4" w:space="0" w:color="auto"/>
            </w:tcBorders>
            <w:shd w:val="clear" w:color="auto" w:fill="C6EFCE"/>
            <w:noWrap/>
          </w:tcPr>
          <w:p w14:paraId="4766DCEA"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080" w:type="dxa"/>
            <w:tcBorders>
              <w:top w:val="single" w:sz="4" w:space="0" w:color="auto"/>
              <w:left w:val="nil"/>
              <w:bottom w:val="single" w:sz="4" w:space="0" w:color="auto"/>
              <w:right w:val="single" w:sz="4" w:space="0" w:color="auto"/>
            </w:tcBorders>
            <w:shd w:val="clear" w:color="auto" w:fill="C6EFCE"/>
            <w:noWrap/>
          </w:tcPr>
          <w:p w14:paraId="5035EB14"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tc>
        <w:tc>
          <w:tcPr>
            <w:tcW w:w="840" w:type="dxa"/>
            <w:tcBorders>
              <w:top w:val="single" w:sz="4" w:space="0" w:color="auto"/>
              <w:left w:val="nil"/>
              <w:bottom w:val="single" w:sz="4" w:space="0" w:color="auto"/>
              <w:right w:val="single" w:sz="4" w:space="0" w:color="auto"/>
            </w:tcBorders>
            <w:shd w:val="clear" w:color="auto" w:fill="C6EFCE"/>
            <w:noWrap/>
          </w:tcPr>
          <w:p w14:paraId="3F883196"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tc>
        <w:tc>
          <w:tcPr>
            <w:tcW w:w="2760" w:type="dxa"/>
            <w:tcBorders>
              <w:top w:val="single" w:sz="4" w:space="0" w:color="auto"/>
              <w:left w:val="nil"/>
              <w:bottom w:val="single" w:sz="4" w:space="0" w:color="auto"/>
              <w:right w:val="single" w:sz="4" w:space="0" w:color="auto"/>
            </w:tcBorders>
            <w:shd w:val="clear" w:color="auto" w:fill="C6EFCE"/>
            <w:noWrap/>
          </w:tcPr>
          <w:p w14:paraId="66E320BB"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grant funding scheme shall be drawn up on the basis of the provisions of the National Housing Strategy and the Action Plan, aligned with the specifications of the milestone 312.</w:t>
            </w:r>
          </w:p>
          <w:p w14:paraId="326B8C96"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funding scheme shall be open for all Administrative Territorial Units/Metropolitan areas/Administrative Consortia and comply with the following mandatory specifications:</w:t>
            </w:r>
          </w:p>
          <w:p w14:paraId="62FD2A7C" w14:textId="77777777" w:rsidR="00E51A4F" w:rsidRPr="009F5E22" w:rsidRDefault="00E51A4F" w:rsidP="00BD01A2">
            <w:pPr>
              <w:numPr>
                <w:ilvl w:val="0"/>
                <w:numId w:val="49"/>
              </w:numPr>
              <w:spacing w:before="120" w:line="259" w:lineRule="auto"/>
              <w:ind w:left="318"/>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housing for youth shall be granted to Administrative Territorial Units/ Administrative consortia/ Metropolitan Areas based on an integrated action plan to improve the living conditions of youngsters in vulnerable communities and groups and their household, including measures to foster social and economic integration of the targeted groups. The young people benefitting shall satisfy cumulatively the condition of coming from a vulnerable community/group, aged between 18 and 35 years old, with an income per family member below the average monthly wage per economy, does not own a house/has not owned a house, currently living in overcrowded/poor housing conditions. The criteria would also take into account if the young people have one or more children in care/living in their household. </w:t>
            </w:r>
          </w:p>
          <w:p w14:paraId="2553C8A4" w14:textId="77777777" w:rsidR="00E51A4F" w:rsidRPr="009F5E22" w:rsidRDefault="00E51A4F" w:rsidP="00BD01A2">
            <w:pPr>
              <w:numPr>
                <w:ilvl w:val="0"/>
                <w:numId w:val="49"/>
              </w:numPr>
              <w:spacing w:before="120" w:line="259" w:lineRule="auto"/>
              <w:ind w:left="318"/>
              <w:contextualSpacing/>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housing units for medical and education professionals shall be granted to Administrative Territorial Units/ Administrative consortia/ Metropolitan Areas based on an integrated action plan to improve medical or educational services for vulnerable communities and groups as identified by the mapping of needs especially in marginalized communities and groups. Equally, the investment shall be done in correlation with the investments in the Education, Health (e.g. Development of pre-hospital medical infrastructure aiming to increase the access to basic medical services) and to the Renovation Wave components of the national recovery and resilience plan, as well as with the Investment 3 of the current component (moderate renovation of public buildings), with the Operational Programmes (2014-2020 and 2021-2027) or other programmes.</w:t>
            </w:r>
          </w:p>
        </w:tc>
      </w:tr>
      <w:tr w:rsidR="00E51A4F" w:rsidRPr="009F5E22" w14:paraId="0006151E" w14:textId="77777777" w:rsidTr="00BD01A2">
        <w:trPr>
          <w:trHeight w:val="4478"/>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3B02571" w14:textId="77777777" w:rsidR="00E51A4F" w:rsidRPr="009F5E22" w:rsidRDefault="00E51A4F" w:rsidP="00BD01A2">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318</w:t>
            </w:r>
          </w:p>
        </w:tc>
        <w:tc>
          <w:tcPr>
            <w:tcW w:w="1985" w:type="dxa"/>
            <w:tcBorders>
              <w:top w:val="single" w:sz="4" w:space="0" w:color="auto"/>
              <w:left w:val="nil"/>
              <w:bottom w:val="single" w:sz="4" w:space="0" w:color="auto"/>
              <w:right w:val="single" w:sz="4" w:space="0" w:color="auto"/>
            </w:tcBorders>
            <w:shd w:val="clear" w:color="auto" w:fill="C6EFCE"/>
            <w:noWrap/>
          </w:tcPr>
          <w:p w14:paraId="7799584F"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Investment 2. Construction of housing for youth and for professionals in health and education</w:t>
            </w:r>
          </w:p>
        </w:tc>
        <w:tc>
          <w:tcPr>
            <w:tcW w:w="1276" w:type="dxa"/>
            <w:tcBorders>
              <w:top w:val="single" w:sz="4" w:space="0" w:color="auto"/>
              <w:left w:val="nil"/>
              <w:bottom w:val="single" w:sz="4" w:space="0" w:color="auto"/>
              <w:right w:val="single" w:sz="4" w:space="0" w:color="auto"/>
            </w:tcBorders>
            <w:shd w:val="clear" w:color="auto" w:fill="C6EFCE"/>
            <w:noWrap/>
          </w:tcPr>
          <w:p w14:paraId="50DDBCFE"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17" w:type="dxa"/>
            <w:tcBorders>
              <w:top w:val="single" w:sz="4" w:space="0" w:color="auto"/>
              <w:left w:val="nil"/>
              <w:bottom w:val="single" w:sz="4" w:space="0" w:color="auto"/>
              <w:right w:val="single" w:sz="4" w:space="0" w:color="auto"/>
            </w:tcBorders>
            <w:shd w:val="clear" w:color="auto" w:fill="C6EFCE"/>
            <w:noWrap/>
          </w:tcPr>
          <w:p w14:paraId="65A8447F" w14:textId="72E31F89"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Housing units built for young people coming from marginalised</w:t>
            </w:r>
            <w:r w:rsidR="0063510E">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communities or vulnerable</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groups and for professionals in health and education</w:t>
            </w:r>
          </w:p>
        </w:tc>
        <w:tc>
          <w:tcPr>
            <w:tcW w:w="1498" w:type="dxa"/>
            <w:tcBorders>
              <w:top w:val="single" w:sz="4" w:space="0" w:color="auto"/>
              <w:left w:val="nil"/>
              <w:bottom w:val="single" w:sz="4" w:space="0" w:color="auto"/>
              <w:right w:val="single" w:sz="4" w:space="0" w:color="auto"/>
            </w:tcBorders>
            <w:shd w:val="clear" w:color="auto" w:fill="C6EFCE"/>
            <w:noWrap/>
          </w:tcPr>
          <w:p w14:paraId="0358AF61"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7C4CDDA6"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Number</w:t>
            </w:r>
          </w:p>
        </w:tc>
        <w:tc>
          <w:tcPr>
            <w:tcW w:w="989" w:type="dxa"/>
            <w:tcBorders>
              <w:top w:val="single" w:sz="4" w:space="0" w:color="auto"/>
              <w:left w:val="nil"/>
              <w:bottom w:val="single" w:sz="4" w:space="0" w:color="auto"/>
              <w:right w:val="single" w:sz="4" w:space="0" w:color="auto"/>
            </w:tcBorders>
            <w:shd w:val="clear" w:color="auto" w:fill="C6EFCE"/>
            <w:noWrap/>
          </w:tcPr>
          <w:p w14:paraId="2BE01919"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0</w:t>
            </w:r>
          </w:p>
        </w:tc>
        <w:tc>
          <w:tcPr>
            <w:tcW w:w="1680" w:type="dxa"/>
            <w:tcBorders>
              <w:top w:val="single" w:sz="4" w:space="0" w:color="auto"/>
              <w:left w:val="nil"/>
              <w:bottom w:val="single" w:sz="4" w:space="0" w:color="auto"/>
              <w:right w:val="single" w:sz="4" w:space="0" w:color="auto"/>
            </w:tcBorders>
            <w:shd w:val="clear" w:color="auto" w:fill="C6EFCE"/>
            <w:noWrap/>
          </w:tcPr>
          <w:p w14:paraId="4F2FAE38"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885</w:t>
            </w:r>
          </w:p>
          <w:p w14:paraId="733B87E3"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p>
        </w:tc>
        <w:tc>
          <w:tcPr>
            <w:tcW w:w="1080" w:type="dxa"/>
            <w:tcBorders>
              <w:top w:val="single" w:sz="4" w:space="0" w:color="auto"/>
              <w:left w:val="nil"/>
              <w:bottom w:val="single" w:sz="4" w:space="0" w:color="auto"/>
              <w:right w:val="single" w:sz="4" w:space="0" w:color="auto"/>
            </w:tcBorders>
            <w:shd w:val="clear" w:color="auto" w:fill="C6EFCE"/>
            <w:noWrap/>
          </w:tcPr>
          <w:p w14:paraId="4DD8FEBC"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840" w:type="dxa"/>
            <w:tcBorders>
              <w:top w:val="single" w:sz="4" w:space="0" w:color="auto"/>
              <w:left w:val="nil"/>
              <w:bottom w:val="single" w:sz="4" w:space="0" w:color="auto"/>
              <w:right w:val="single" w:sz="4" w:space="0" w:color="auto"/>
            </w:tcBorders>
            <w:shd w:val="clear" w:color="auto" w:fill="C6EFCE"/>
            <w:noWrap/>
          </w:tcPr>
          <w:p w14:paraId="18B14219"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2026</w:t>
            </w:r>
          </w:p>
        </w:tc>
        <w:tc>
          <w:tcPr>
            <w:tcW w:w="2760" w:type="dxa"/>
            <w:tcBorders>
              <w:top w:val="single" w:sz="4" w:space="0" w:color="auto"/>
              <w:left w:val="nil"/>
              <w:bottom w:val="single" w:sz="4" w:space="0" w:color="auto"/>
              <w:right w:val="single" w:sz="4" w:space="0" w:color="auto"/>
            </w:tcBorders>
            <w:shd w:val="clear" w:color="auto" w:fill="C6EFCE"/>
            <w:noWrap/>
          </w:tcPr>
          <w:p w14:paraId="63417DB7" w14:textId="5D4FB3C4" w:rsidR="00E51A4F" w:rsidRPr="009F5E22" w:rsidRDefault="00E51A4F" w:rsidP="00BD01A2">
            <w:pPr>
              <w:spacing w:after="0" w:line="240" w:lineRule="auto"/>
              <w:jc w:val="both"/>
              <w:rPr>
                <w:rFonts w:ascii="Times New Roman" w:hAnsi="Times New Roman" w:cs="Times New Roman"/>
                <w:noProof/>
                <w:sz w:val="20"/>
                <w:szCs w:val="20"/>
              </w:rPr>
            </w:pPr>
            <w:r w:rsidRPr="009F5E22">
              <w:rPr>
                <w:rFonts w:ascii="Times New Roman" w:hAnsi="Times New Roman" w:cs="Times New Roman"/>
                <w:noProof/>
                <w:sz w:val="20"/>
                <w:szCs w:val="20"/>
                <w:lang w:val="en-GB"/>
              </w:rPr>
              <w:t>Number of housing units built for young people coming from marginalised communities or</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vulnerable groups and for professionals in health and education</w:t>
            </w:r>
            <w:r w:rsidR="00803FA3">
              <w:rPr>
                <w:rFonts w:ascii="Times New Roman" w:hAnsi="Times New Roman" w:cs="Times New Roman"/>
                <w:noProof/>
                <w:sz w:val="20"/>
                <w:szCs w:val="20"/>
                <w:lang w:val="en-GB"/>
              </w:rPr>
              <w:t>.</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rPr>
              <w:t>For the purposes of the fulfilment of this target, a young person shall be aged between 18 and 35 years old.</w:t>
            </w:r>
          </w:p>
          <w:p w14:paraId="6280BE01"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housing units shall comply with the objective of achieving a primary energy demand (PED) at least 20% lower than the nearly zero-energy building requirement according to national guidelines, which shall be confirmed through energy performance certificates.</w:t>
            </w:r>
          </w:p>
        </w:tc>
      </w:tr>
      <w:tr w:rsidR="00E51A4F" w:rsidRPr="009F5E22" w14:paraId="6C92D4BD" w14:textId="77777777" w:rsidTr="00BD01A2">
        <w:trPr>
          <w:trHeight w:val="31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464D0D5" w14:textId="77777777" w:rsidR="00E51A4F" w:rsidRPr="009F5E22" w:rsidRDefault="00E51A4F" w:rsidP="00BD01A2">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320</w:t>
            </w:r>
          </w:p>
        </w:tc>
        <w:tc>
          <w:tcPr>
            <w:tcW w:w="1985" w:type="dxa"/>
            <w:tcBorders>
              <w:top w:val="single" w:sz="4" w:space="0" w:color="auto"/>
              <w:left w:val="nil"/>
              <w:bottom w:val="single" w:sz="4" w:space="0" w:color="auto"/>
              <w:right w:val="single" w:sz="4" w:space="0" w:color="auto"/>
            </w:tcBorders>
            <w:shd w:val="clear" w:color="auto" w:fill="C6EFCE"/>
            <w:noWrap/>
          </w:tcPr>
          <w:p w14:paraId="2AAC1FF2"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Investment 3. Renovation of public buildings to support better public service delivery by administrative territorial units </w:t>
            </w:r>
          </w:p>
        </w:tc>
        <w:tc>
          <w:tcPr>
            <w:tcW w:w="1276" w:type="dxa"/>
            <w:tcBorders>
              <w:top w:val="single" w:sz="4" w:space="0" w:color="auto"/>
              <w:left w:val="nil"/>
              <w:bottom w:val="single" w:sz="4" w:space="0" w:color="auto"/>
              <w:right w:val="single" w:sz="4" w:space="0" w:color="auto"/>
            </w:tcBorders>
            <w:shd w:val="clear" w:color="auto" w:fill="C6EFCE"/>
            <w:noWrap/>
          </w:tcPr>
          <w:p w14:paraId="285260A0"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17" w:type="dxa"/>
            <w:tcBorders>
              <w:top w:val="single" w:sz="4" w:space="0" w:color="auto"/>
              <w:left w:val="nil"/>
              <w:bottom w:val="single" w:sz="4" w:space="0" w:color="auto"/>
              <w:right w:val="single" w:sz="4" w:space="0" w:color="auto"/>
            </w:tcBorders>
            <w:shd w:val="clear" w:color="auto" w:fill="C6EFCE"/>
            <w:noWrap/>
          </w:tcPr>
          <w:p w14:paraId="03F41023" w14:textId="7A134EFF"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Signature of contracts</w:t>
            </w:r>
            <w:r w:rsid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for the moderate renovation of public buildings</w:t>
            </w:r>
          </w:p>
        </w:tc>
        <w:tc>
          <w:tcPr>
            <w:tcW w:w="1498" w:type="dxa"/>
            <w:tcBorders>
              <w:top w:val="single" w:sz="4" w:space="0" w:color="auto"/>
              <w:left w:val="nil"/>
              <w:bottom w:val="single" w:sz="4" w:space="0" w:color="auto"/>
              <w:right w:val="single" w:sz="4" w:space="0" w:color="auto"/>
            </w:tcBorders>
            <w:shd w:val="clear" w:color="auto" w:fill="C6EFCE"/>
            <w:noWrap/>
          </w:tcPr>
          <w:p w14:paraId="451BC0B1"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Signature of contracts</w:t>
            </w:r>
          </w:p>
        </w:tc>
        <w:tc>
          <w:tcPr>
            <w:tcW w:w="1332" w:type="dxa"/>
            <w:tcBorders>
              <w:top w:val="single" w:sz="4" w:space="0" w:color="auto"/>
              <w:left w:val="nil"/>
              <w:bottom w:val="single" w:sz="4" w:space="0" w:color="auto"/>
              <w:right w:val="single" w:sz="4" w:space="0" w:color="auto"/>
            </w:tcBorders>
            <w:shd w:val="clear" w:color="auto" w:fill="C6EFCE"/>
            <w:noWrap/>
          </w:tcPr>
          <w:p w14:paraId="54BC260F"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989" w:type="dxa"/>
            <w:tcBorders>
              <w:top w:val="single" w:sz="4" w:space="0" w:color="auto"/>
              <w:left w:val="nil"/>
              <w:bottom w:val="single" w:sz="4" w:space="0" w:color="auto"/>
              <w:right w:val="single" w:sz="4" w:space="0" w:color="auto"/>
            </w:tcBorders>
            <w:shd w:val="clear" w:color="auto" w:fill="C6EFCE"/>
            <w:noWrap/>
          </w:tcPr>
          <w:p w14:paraId="510CEC88"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680" w:type="dxa"/>
            <w:tcBorders>
              <w:top w:val="single" w:sz="4" w:space="0" w:color="auto"/>
              <w:left w:val="nil"/>
              <w:bottom w:val="single" w:sz="4" w:space="0" w:color="auto"/>
              <w:right w:val="single" w:sz="4" w:space="0" w:color="auto"/>
            </w:tcBorders>
            <w:shd w:val="clear" w:color="auto" w:fill="C6EFCE"/>
            <w:noWrap/>
          </w:tcPr>
          <w:p w14:paraId="77DB0A80"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080" w:type="dxa"/>
            <w:tcBorders>
              <w:top w:val="single" w:sz="4" w:space="0" w:color="auto"/>
              <w:left w:val="nil"/>
              <w:bottom w:val="single" w:sz="4" w:space="0" w:color="auto"/>
              <w:right w:val="single" w:sz="4" w:space="0" w:color="auto"/>
            </w:tcBorders>
            <w:shd w:val="clear" w:color="auto" w:fill="C6EFCE"/>
            <w:noWrap/>
          </w:tcPr>
          <w:p w14:paraId="292EBC53"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p w14:paraId="00FB7E51"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p>
        </w:tc>
        <w:tc>
          <w:tcPr>
            <w:tcW w:w="840" w:type="dxa"/>
            <w:tcBorders>
              <w:top w:val="single" w:sz="4" w:space="0" w:color="auto"/>
              <w:left w:val="nil"/>
              <w:bottom w:val="single" w:sz="4" w:space="0" w:color="auto"/>
              <w:right w:val="single" w:sz="4" w:space="0" w:color="auto"/>
            </w:tcBorders>
            <w:shd w:val="clear" w:color="auto" w:fill="C6EFCE"/>
            <w:noWrap/>
          </w:tcPr>
          <w:p w14:paraId="4B29ABD0"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p w14:paraId="18B121DC"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p>
        </w:tc>
        <w:tc>
          <w:tcPr>
            <w:tcW w:w="2760" w:type="dxa"/>
            <w:tcBorders>
              <w:top w:val="single" w:sz="4" w:space="0" w:color="auto"/>
              <w:left w:val="nil"/>
              <w:bottom w:val="single" w:sz="4" w:space="0" w:color="auto"/>
              <w:right w:val="single" w:sz="4" w:space="0" w:color="auto"/>
            </w:tcBorders>
            <w:shd w:val="clear" w:color="auto" w:fill="C6EFCE"/>
            <w:noWrap/>
          </w:tcPr>
          <w:p w14:paraId="5E6CA4F3"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The scheme shall set out the criteria and conditions to be met for the moderate renovation of public buildings which, shall include inter alia the following conditions: </w:t>
            </w:r>
          </w:p>
          <w:p w14:paraId="0900E8AE"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Only towns and communes are eligible</w:t>
            </w:r>
          </w:p>
          <w:p w14:paraId="02EB0BFE"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Only public buildings, the purpose of which is to deliver local public services (e.g. town hall buildings, social services buildings) are eligible</w:t>
            </w:r>
          </w:p>
          <w:p w14:paraId="0E37CC45"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Moderate retrofitting projects shall lead to a 30% reduction in primary energy demand, to be demonstrated by energy performance certificates.</w:t>
            </w:r>
          </w:p>
          <w:p w14:paraId="0DA42101"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In investments for the moderate renovation of public buildings, the non-energy efficiency system costs shall not exceed 10% of the total cost.</w:t>
            </w:r>
          </w:p>
        </w:tc>
      </w:tr>
      <w:tr w:rsidR="00E51A4F" w:rsidRPr="009F5E22" w14:paraId="48E1EA6A" w14:textId="77777777" w:rsidTr="00BD01A2">
        <w:trPr>
          <w:trHeight w:val="31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57F84B66" w14:textId="77777777" w:rsidR="00E51A4F" w:rsidRPr="009F5E22" w:rsidRDefault="00E51A4F" w:rsidP="00BD01A2">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322</w:t>
            </w:r>
          </w:p>
        </w:tc>
        <w:tc>
          <w:tcPr>
            <w:tcW w:w="1985" w:type="dxa"/>
            <w:tcBorders>
              <w:top w:val="single" w:sz="4" w:space="0" w:color="auto"/>
              <w:left w:val="nil"/>
              <w:bottom w:val="single" w:sz="4" w:space="0" w:color="auto"/>
              <w:right w:val="single" w:sz="4" w:space="0" w:color="auto"/>
            </w:tcBorders>
            <w:shd w:val="clear" w:color="auto" w:fill="C6EFCE"/>
            <w:noWrap/>
          </w:tcPr>
          <w:p w14:paraId="6B7161E4"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Investment 3. Renovation of public buildings to support better public service delivery by administrative territorial units </w:t>
            </w:r>
          </w:p>
        </w:tc>
        <w:tc>
          <w:tcPr>
            <w:tcW w:w="1276" w:type="dxa"/>
            <w:tcBorders>
              <w:top w:val="single" w:sz="4" w:space="0" w:color="auto"/>
              <w:left w:val="nil"/>
              <w:bottom w:val="single" w:sz="4" w:space="0" w:color="auto"/>
              <w:right w:val="single" w:sz="4" w:space="0" w:color="auto"/>
            </w:tcBorders>
            <w:shd w:val="clear" w:color="auto" w:fill="C6EFCE"/>
            <w:noWrap/>
          </w:tcPr>
          <w:p w14:paraId="77C55FDC"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Target </w:t>
            </w:r>
          </w:p>
        </w:tc>
        <w:tc>
          <w:tcPr>
            <w:tcW w:w="1417" w:type="dxa"/>
            <w:tcBorders>
              <w:top w:val="single" w:sz="4" w:space="0" w:color="auto"/>
              <w:left w:val="nil"/>
              <w:bottom w:val="single" w:sz="4" w:space="0" w:color="auto"/>
              <w:right w:val="single" w:sz="4" w:space="0" w:color="auto"/>
            </w:tcBorders>
            <w:shd w:val="clear" w:color="auto" w:fill="C6EFCE"/>
            <w:noWrap/>
          </w:tcPr>
          <w:p w14:paraId="69FB7AD2"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Energy renovation of public buildings </w:t>
            </w:r>
          </w:p>
        </w:tc>
        <w:tc>
          <w:tcPr>
            <w:tcW w:w="1498" w:type="dxa"/>
            <w:tcBorders>
              <w:top w:val="single" w:sz="4" w:space="0" w:color="auto"/>
              <w:left w:val="nil"/>
              <w:bottom w:val="single" w:sz="4" w:space="0" w:color="auto"/>
              <w:right w:val="single" w:sz="4" w:space="0" w:color="auto"/>
            </w:tcBorders>
            <w:shd w:val="clear" w:color="auto" w:fill="C6EFCE"/>
            <w:noWrap/>
          </w:tcPr>
          <w:p w14:paraId="6FA3CCE3"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79F8114E"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Number of sqm</w:t>
            </w:r>
          </w:p>
        </w:tc>
        <w:tc>
          <w:tcPr>
            <w:tcW w:w="989" w:type="dxa"/>
            <w:tcBorders>
              <w:top w:val="single" w:sz="4" w:space="0" w:color="auto"/>
              <w:left w:val="nil"/>
              <w:bottom w:val="single" w:sz="4" w:space="0" w:color="auto"/>
              <w:right w:val="single" w:sz="4" w:space="0" w:color="auto"/>
            </w:tcBorders>
            <w:shd w:val="clear" w:color="auto" w:fill="C6EFCE"/>
            <w:noWrap/>
          </w:tcPr>
          <w:p w14:paraId="3CBCCC75"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0</w:t>
            </w:r>
          </w:p>
        </w:tc>
        <w:tc>
          <w:tcPr>
            <w:tcW w:w="1680" w:type="dxa"/>
            <w:tcBorders>
              <w:top w:val="single" w:sz="4" w:space="0" w:color="auto"/>
              <w:left w:val="nil"/>
              <w:bottom w:val="single" w:sz="4" w:space="0" w:color="auto"/>
              <w:right w:val="single" w:sz="4" w:space="0" w:color="auto"/>
            </w:tcBorders>
            <w:shd w:val="clear" w:color="auto" w:fill="C6EFCE"/>
            <w:noWrap/>
          </w:tcPr>
          <w:p w14:paraId="31FC665E" w14:textId="2FB390D4"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516</w:t>
            </w:r>
            <w:r w:rsidR="007E3CE5" w:rsidRPr="009F5E22">
              <w:rPr>
                <w:rFonts w:ascii="Times New Roman" w:hAnsi="Times New Roman" w:cs="Times New Roman"/>
                <w:noProof/>
                <w:sz w:val="20"/>
                <w:szCs w:val="20"/>
                <w:lang w:val="en-GB"/>
              </w:rPr>
              <w:t> </w:t>
            </w:r>
            <w:r w:rsidRPr="009F5E22">
              <w:rPr>
                <w:rFonts w:ascii="Times New Roman" w:hAnsi="Times New Roman" w:cs="Times New Roman"/>
                <w:noProof/>
                <w:sz w:val="20"/>
                <w:szCs w:val="20"/>
                <w:lang w:val="en-GB"/>
              </w:rPr>
              <w:t>072.18</w:t>
            </w:r>
          </w:p>
          <w:p w14:paraId="3AEFF107"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p>
        </w:tc>
        <w:tc>
          <w:tcPr>
            <w:tcW w:w="1080" w:type="dxa"/>
            <w:tcBorders>
              <w:top w:val="single" w:sz="4" w:space="0" w:color="auto"/>
              <w:left w:val="nil"/>
              <w:bottom w:val="single" w:sz="4" w:space="0" w:color="auto"/>
              <w:right w:val="single" w:sz="4" w:space="0" w:color="auto"/>
            </w:tcBorders>
            <w:shd w:val="clear" w:color="auto" w:fill="C6EFCE"/>
            <w:noWrap/>
          </w:tcPr>
          <w:p w14:paraId="21FE5AF5"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840" w:type="dxa"/>
            <w:tcBorders>
              <w:top w:val="single" w:sz="4" w:space="0" w:color="auto"/>
              <w:left w:val="nil"/>
              <w:bottom w:val="single" w:sz="4" w:space="0" w:color="auto"/>
              <w:right w:val="single" w:sz="4" w:space="0" w:color="auto"/>
            </w:tcBorders>
            <w:shd w:val="clear" w:color="auto" w:fill="C6EFCE"/>
            <w:noWrap/>
          </w:tcPr>
          <w:p w14:paraId="35F4326F"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2026</w:t>
            </w:r>
          </w:p>
        </w:tc>
        <w:tc>
          <w:tcPr>
            <w:tcW w:w="2760" w:type="dxa"/>
            <w:tcBorders>
              <w:top w:val="single" w:sz="4" w:space="0" w:color="auto"/>
              <w:left w:val="nil"/>
              <w:bottom w:val="single" w:sz="4" w:space="0" w:color="auto"/>
              <w:right w:val="single" w:sz="4" w:space="0" w:color="auto"/>
            </w:tcBorders>
            <w:shd w:val="clear" w:color="auto" w:fill="C6EFCE"/>
            <w:noWrap/>
          </w:tcPr>
          <w:p w14:paraId="743FA676" w14:textId="0B8B429E"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Energy performance certificates confirming</w:t>
            </w:r>
            <w:r w:rsidRPr="009F5E22" w:rsidDel="0037589C">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a 30% reduction in primary energy demand at building level for a total renovated area of 516</w:t>
            </w:r>
            <w:r w:rsidR="007E3CE5" w:rsidRPr="009F5E22">
              <w:rPr>
                <w:rFonts w:ascii="Times New Roman" w:hAnsi="Times New Roman" w:cs="Times New Roman"/>
                <w:noProof/>
                <w:sz w:val="20"/>
                <w:szCs w:val="20"/>
                <w:lang w:val="en-GB"/>
              </w:rPr>
              <w:t> </w:t>
            </w:r>
            <w:r w:rsidRPr="009F5E22">
              <w:rPr>
                <w:rFonts w:ascii="Times New Roman" w:hAnsi="Times New Roman" w:cs="Times New Roman"/>
                <w:noProof/>
                <w:sz w:val="20"/>
                <w:szCs w:val="20"/>
                <w:lang w:val="en-GB"/>
              </w:rPr>
              <w:t>072.18 m</w:t>
            </w:r>
            <w:r w:rsidRPr="009F5E22">
              <w:rPr>
                <w:rFonts w:ascii="Times New Roman" w:hAnsi="Times New Roman" w:cs="Times New Roman"/>
                <w:noProof/>
                <w:sz w:val="20"/>
                <w:szCs w:val="20"/>
                <w:vertAlign w:val="superscript"/>
                <w:lang w:val="en-GB"/>
              </w:rPr>
              <w:t>2</w:t>
            </w:r>
            <w:r w:rsidRPr="009F5E22">
              <w:rPr>
                <w:rFonts w:ascii="Times New Roman" w:hAnsi="Times New Roman" w:cs="Times New Roman"/>
                <w:noProof/>
                <w:sz w:val="20"/>
                <w:szCs w:val="20"/>
                <w:lang w:val="en-GB"/>
              </w:rPr>
              <w:t>.</w:t>
            </w:r>
          </w:p>
        </w:tc>
      </w:tr>
      <w:tr w:rsidR="00E51A4F" w:rsidRPr="009F5E22" w14:paraId="27AF0CC6" w14:textId="77777777" w:rsidTr="00BD01A2">
        <w:trPr>
          <w:trHeight w:val="31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DEAAD91" w14:textId="77777777" w:rsidR="00E51A4F" w:rsidRPr="009F5E22" w:rsidRDefault="00E51A4F" w:rsidP="00BD01A2">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323</w:t>
            </w:r>
          </w:p>
        </w:tc>
        <w:tc>
          <w:tcPr>
            <w:tcW w:w="1985" w:type="dxa"/>
            <w:tcBorders>
              <w:top w:val="single" w:sz="4" w:space="0" w:color="auto"/>
              <w:left w:val="nil"/>
              <w:bottom w:val="single" w:sz="4" w:space="0" w:color="auto"/>
              <w:right w:val="single" w:sz="4" w:space="0" w:color="auto"/>
            </w:tcBorders>
            <w:shd w:val="clear" w:color="auto" w:fill="C6EFCE"/>
            <w:noWrap/>
          </w:tcPr>
          <w:p w14:paraId="4F114AF9"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Investment 4. Development/updating in GIS format of spatial planning and urban planning documents </w:t>
            </w:r>
          </w:p>
        </w:tc>
        <w:tc>
          <w:tcPr>
            <w:tcW w:w="1276" w:type="dxa"/>
            <w:tcBorders>
              <w:top w:val="single" w:sz="4" w:space="0" w:color="auto"/>
              <w:left w:val="nil"/>
              <w:bottom w:val="single" w:sz="4" w:space="0" w:color="auto"/>
              <w:right w:val="single" w:sz="4" w:space="0" w:color="auto"/>
            </w:tcBorders>
            <w:shd w:val="clear" w:color="auto" w:fill="C6EFCE"/>
            <w:noWrap/>
          </w:tcPr>
          <w:p w14:paraId="65760E3E"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Milestone</w:t>
            </w:r>
          </w:p>
        </w:tc>
        <w:tc>
          <w:tcPr>
            <w:tcW w:w="1417" w:type="dxa"/>
            <w:tcBorders>
              <w:top w:val="single" w:sz="4" w:space="0" w:color="auto"/>
              <w:left w:val="nil"/>
              <w:bottom w:val="single" w:sz="4" w:space="0" w:color="auto"/>
              <w:right w:val="single" w:sz="4" w:space="0" w:color="auto"/>
            </w:tcBorders>
            <w:shd w:val="clear" w:color="auto" w:fill="C6EFCE"/>
            <w:noWrap/>
          </w:tcPr>
          <w:p w14:paraId="7D0D4DEA"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Signature of contracts for the develop-ment/ updating of spatial planning, urban planning and sustainable urban mobility plans documen-tation.</w:t>
            </w:r>
          </w:p>
        </w:tc>
        <w:tc>
          <w:tcPr>
            <w:tcW w:w="1498" w:type="dxa"/>
            <w:tcBorders>
              <w:top w:val="single" w:sz="4" w:space="0" w:color="auto"/>
              <w:left w:val="nil"/>
              <w:bottom w:val="single" w:sz="4" w:space="0" w:color="auto"/>
              <w:right w:val="single" w:sz="4" w:space="0" w:color="auto"/>
            </w:tcBorders>
            <w:shd w:val="clear" w:color="auto" w:fill="C6EFCE"/>
            <w:noWrap/>
          </w:tcPr>
          <w:p w14:paraId="027311B5"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Signature of contracts</w:t>
            </w:r>
          </w:p>
        </w:tc>
        <w:tc>
          <w:tcPr>
            <w:tcW w:w="1332" w:type="dxa"/>
            <w:tcBorders>
              <w:top w:val="single" w:sz="4" w:space="0" w:color="auto"/>
              <w:left w:val="nil"/>
              <w:bottom w:val="single" w:sz="4" w:space="0" w:color="auto"/>
              <w:right w:val="single" w:sz="4" w:space="0" w:color="auto"/>
            </w:tcBorders>
            <w:shd w:val="clear" w:color="auto" w:fill="C6EFCE"/>
            <w:noWrap/>
          </w:tcPr>
          <w:p w14:paraId="137AFE6F"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989" w:type="dxa"/>
            <w:tcBorders>
              <w:top w:val="single" w:sz="4" w:space="0" w:color="auto"/>
              <w:left w:val="nil"/>
              <w:bottom w:val="single" w:sz="4" w:space="0" w:color="auto"/>
              <w:right w:val="single" w:sz="4" w:space="0" w:color="auto"/>
            </w:tcBorders>
            <w:shd w:val="clear" w:color="auto" w:fill="C6EFCE"/>
            <w:noWrap/>
          </w:tcPr>
          <w:p w14:paraId="707FAC35"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680" w:type="dxa"/>
            <w:tcBorders>
              <w:top w:val="single" w:sz="4" w:space="0" w:color="auto"/>
              <w:left w:val="nil"/>
              <w:bottom w:val="single" w:sz="4" w:space="0" w:color="auto"/>
              <w:right w:val="single" w:sz="4" w:space="0" w:color="auto"/>
            </w:tcBorders>
            <w:shd w:val="clear" w:color="auto" w:fill="C6EFCE"/>
            <w:noWrap/>
          </w:tcPr>
          <w:p w14:paraId="6CFE73D3"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080" w:type="dxa"/>
            <w:tcBorders>
              <w:top w:val="single" w:sz="4" w:space="0" w:color="auto"/>
              <w:left w:val="nil"/>
              <w:bottom w:val="single" w:sz="4" w:space="0" w:color="auto"/>
              <w:right w:val="single" w:sz="4" w:space="0" w:color="auto"/>
            </w:tcBorders>
            <w:shd w:val="clear" w:color="auto" w:fill="C6EFCE"/>
            <w:noWrap/>
          </w:tcPr>
          <w:p w14:paraId="78AE482E"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Q4</w:t>
            </w:r>
          </w:p>
          <w:p w14:paraId="51140785"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p>
        </w:tc>
        <w:tc>
          <w:tcPr>
            <w:tcW w:w="840" w:type="dxa"/>
            <w:tcBorders>
              <w:top w:val="single" w:sz="4" w:space="0" w:color="auto"/>
              <w:left w:val="nil"/>
              <w:bottom w:val="single" w:sz="4" w:space="0" w:color="auto"/>
              <w:right w:val="single" w:sz="4" w:space="0" w:color="auto"/>
            </w:tcBorders>
            <w:shd w:val="clear" w:color="auto" w:fill="C6EFCE"/>
            <w:noWrap/>
          </w:tcPr>
          <w:p w14:paraId="08714812"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2022</w:t>
            </w:r>
          </w:p>
          <w:p w14:paraId="7CE68A57"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p>
        </w:tc>
        <w:tc>
          <w:tcPr>
            <w:tcW w:w="2760" w:type="dxa"/>
            <w:tcBorders>
              <w:top w:val="single" w:sz="4" w:space="0" w:color="auto"/>
              <w:left w:val="nil"/>
              <w:bottom w:val="single" w:sz="4" w:space="0" w:color="auto"/>
              <w:right w:val="single" w:sz="4" w:space="0" w:color="auto"/>
            </w:tcBorders>
            <w:shd w:val="clear" w:color="auto" w:fill="C6EFCE"/>
            <w:noWrap/>
          </w:tcPr>
          <w:p w14:paraId="33562777"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scheme shall set out the criteria and conditions to be met for funding for the development/updating of spatial planning, urban planning and sustainable urban mobility plans.</w:t>
            </w:r>
          </w:p>
          <w:p w14:paraId="0B34BD73"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p>
          <w:p w14:paraId="0154A79E"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The drafting/updating of documentation shall be developed in digital format in accordance with the provisions of milestone 288 and milestone 315. The SUMP shall be endorsed by the National Group on the optimisation of SUMP established in accordance with the provisions set in milestone 289 and the spatial and urban planning documentation shall be uploaded to the Territorial Observatory. Integration with the digital platform outlined in Milestone 316 shall be ensured.</w:t>
            </w:r>
          </w:p>
        </w:tc>
      </w:tr>
      <w:tr w:rsidR="00E51A4F" w:rsidRPr="009F5E22" w14:paraId="414EC5D7" w14:textId="77777777" w:rsidTr="00BD01A2">
        <w:trPr>
          <w:trHeight w:val="31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189E080" w14:textId="77777777" w:rsidR="00E51A4F" w:rsidRPr="009F5E22" w:rsidRDefault="00E51A4F" w:rsidP="00BD01A2">
            <w:pPr>
              <w:spacing w:after="0" w:line="240" w:lineRule="auto"/>
              <w:jc w:val="center"/>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325</w:t>
            </w:r>
          </w:p>
        </w:tc>
        <w:tc>
          <w:tcPr>
            <w:tcW w:w="1985" w:type="dxa"/>
            <w:tcBorders>
              <w:top w:val="single" w:sz="4" w:space="0" w:color="auto"/>
              <w:left w:val="nil"/>
              <w:bottom w:val="single" w:sz="4" w:space="0" w:color="auto"/>
              <w:right w:val="single" w:sz="4" w:space="0" w:color="auto"/>
            </w:tcBorders>
            <w:shd w:val="clear" w:color="auto" w:fill="C6EFCE"/>
            <w:noWrap/>
          </w:tcPr>
          <w:p w14:paraId="217641F1"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Investment 4. Producing/ updating in GIS format spatial planning and urban planning documents </w:t>
            </w:r>
          </w:p>
        </w:tc>
        <w:tc>
          <w:tcPr>
            <w:tcW w:w="1276" w:type="dxa"/>
            <w:tcBorders>
              <w:top w:val="single" w:sz="4" w:space="0" w:color="auto"/>
              <w:left w:val="nil"/>
              <w:bottom w:val="single" w:sz="4" w:space="0" w:color="auto"/>
              <w:right w:val="single" w:sz="4" w:space="0" w:color="auto"/>
            </w:tcBorders>
            <w:shd w:val="clear" w:color="auto" w:fill="C6EFCE"/>
            <w:noWrap/>
          </w:tcPr>
          <w:p w14:paraId="50CC758F"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Target</w:t>
            </w:r>
          </w:p>
        </w:tc>
        <w:tc>
          <w:tcPr>
            <w:tcW w:w="1417" w:type="dxa"/>
            <w:tcBorders>
              <w:top w:val="single" w:sz="4" w:space="0" w:color="auto"/>
              <w:left w:val="nil"/>
              <w:bottom w:val="single" w:sz="4" w:space="0" w:color="auto"/>
              <w:right w:val="single" w:sz="4" w:space="0" w:color="auto"/>
            </w:tcBorders>
            <w:shd w:val="clear" w:color="auto" w:fill="C6EFCE"/>
            <w:noWrap/>
          </w:tcPr>
          <w:p w14:paraId="4EC6C2B8" w14:textId="7D621293"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Spatial planning documents, urban planning documents and sustainable urban mobility plans</w:t>
            </w:r>
            <w:r w:rsidR="00D23D91" w:rsidRPr="009F5E22">
              <w:rPr>
                <w:rFonts w:ascii="Times New Roman" w:hAnsi="Times New Roman" w:cs="Times New Roman"/>
                <w:noProof/>
                <w:sz w:val="20"/>
                <w:szCs w:val="20"/>
                <w:lang w:val="en-GB"/>
              </w:rPr>
              <w:t xml:space="preserve"> </w:t>
            </w:r>
            <w:r w:rsidRPr="009F5E22">
              <w:rPr>
                <w:rFonts w:ascii="Times New Roman" w:hAnsi="Times New Roman" w:cs="Times New Roman"/>
                <w:noProof/>
                <w:sz w:val="20"/>
                <w:szCs w:val="20"/>
                <w:lang w:val="en-GB"/>
              </w:rPr>
              <w:t>published on the Territorial Observatory platform</w:t>
            </w:r>
          </w:p>
        </w:tc>
        <w:tc>
          <w:tcPr>
            <w:tcW w:w="1498" w:type="dxa"/>
            <w:tcBorders>
              <w:top w:val="single" w:sz="4" w:space="0" w:color="auto"/>
              <w:left w:val="nil"/>
              <w:bottom w:val="single" w:sz="4" w:space="0" w:color="auto"/>
              <w:right w:val="single" w:sz="4" w:space="0" w:color="auto"/>
            </w:tcBorders>
            <w:shd w:val="clear" w:color="auto" w:fill="C6EFCE"/>
            <w:noWrap/>
          </w:tcPr>
          <w:p w14:paraId="3A28E988"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4E93D455"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Number</w:t>
            </w:r>
          </w:p>
        </w:tc>
        <w:tc>
          <w:tcPr>
            <w:tcW w:w="989" w:type="dxa"/>
            <w:tcBorders>
              <w:top w:val="single" w:sz="4" w:space="0" w:color="auto"/>
              <w:left w:val="nil"/>
              <w:bottom w:val="single" w:sz="4" w:space="0" w:color="auto"/>
              <w:right w:val="single" w:sz="4" w:space="0" w:color="auto"/>
            </w:tcBorders>
            <w:shd w:val="clear" w:color="auto" w:fill="C6EFCE"/>
            <w:noWrap/>
          </w:tcPr>
          <w:p w14:paraId="18459720"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0</w:t>
            </w:r>
          </w:p>
        </w:tc>
        <w:tc>
          <w:tcPr>
            <w:tcW w:w="1680" w:type="dxa"/>
            <w:tcBorders>
              <w:top w:val="single" w:sz="4" w:space="0" w:color="auto"/>
              <w:left w:val="nil"/>
              <w:bottom w:val="single" w:sz="4" w:space="0" w:color="auto"/>
              <w:right w:val="single" w:sz="4" w:space="0" w:color="auto"/>
            </w:tcBorders>
            <w:shd w:val="clear" w:color="auto" w:fill="C6EFCE"/>
            <w:noWrap/>
          </w:tcPr>
          <w:p w14:paraId="40C35CB9"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100</w:t>
            </w:r>
          </w:p>
        </w:tc>
        <w:tc>
          <w:tcPr>
            <w:tcW w:w="1080" w:type="dxa"/>
            <w:tcBorders>
              <w:top w:val="single" w:sz="4" w:space="0" w:color="auto"/>
              <w:left w:val="nil"/>
              <w:bottom w:val="single" w:sz="4" w:space="0" w:color="auto"/>
              <w:right w:val="single" w:sz="4" w:space="0" w:color="auto"/>
            </w:tcBorders>
            <w:shd w:val="clear" w:color="auto" w:fill="C6EFCE"/>
            <w:noWrap/>
          </w:tcPr>
          <w:p w14:paraId="21C90498"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Q2</w:t>
            </w:r>
          </w:p>
        </w:tc>
        <w:tc>
          <w:tcPr>
            <w:tcW w:w="840" w:type="dxa"/>
            <w:tcBorders>
              <w:top w:val="single" w:sz="4" w:space="0" w:color="auto"/>
              <w:left w:val="nil"/>
              <w:bottom w:val="single" w:sz="4" w:space="0" w:color="auto"/>
              <w:right w:val="single" w:sz="4" w:space="0" w:color="auto"/>
            </w:tcBorders>
            <w:shd w:val="clear" w:color="auto" w:fill="C6EFCE"/>
            <w:noWrap/>
          </w:tcPr>
          <w:p w14:paraId="37C1F776"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2026</w:t>
            </w:r>
          </w:p>
        </w:tc>
        <w:tc>
          <w:tcPr>
            <w:tcW w:w="2760" w:type="dxa"/>
            <w:tcBorders>
              <w:top w:val="single" w:sz="4" w:space="0" w:color="auto"/>
              <w:left w:val="nil"/>
              <w:bottom w:val="single" w:sz="4" w:space="0" w:color="auto"/>
              <w:right w:val="single" w:sz="4" w:space="0" w:color="auto"/>
            </w:tcBorders>
            <w:shd w:val="clear" w:color="auto" w:fill="C6EFCE"/>
            <w:noWrap/>
          </w:tcPr>
          <w:p w14:paraId="273F4535"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r w:rsidRPr="009F5E22">
              <w:rPr>
                <w:rFonts w:ascii="Times New Roman" w:hAnsi="Times New Roman" w:cs="Times New Roman"/>
                <w:noProof/>
                <w:sz w:val="20"/>
                <w:szCs w:val="20"/>
                <w:lang w:val="en-GB"/>
              </w:rPr>
              <w:t xml:space="preserve">At least 100 spatial planning documents, urban planning documents and urban mobility plans shall be published on the Territorial Observatory platform. </w:t>
            </w:r>
          </w:p>
        </w:tc>
      </w:tr>
    </w:tbl>
    <w:p w14:paraId="06089CCE" w14:textId="77777777" w:rsidR="00E51A4F" w:rsidRPr="00291374" w:rsidRDefault="00E51A4F" w:rsidP="00E51A4F">
      <w:pPr>
        <w:spacing w:before="120" w:after="120" w:line="240" w:lineRule="auto"/>
        <w:jc w:val="both"/>
        <w:rPr>
          <w:rFonts w:ascii="Times New Roman" w:hAnsi="Times New Roman" w:cs="Times New Roman"/>
          <w:noProof/>
          <w:lang w:val="en-GB"/>
        </w:rPr>
        <w:sectPr w:rsidR="00E51A4F" w:rsidRPr="00291374" w:rsidSect="00E51A4F">
          <w:headerReference w:type="even" r:id="rId252"/>
          <w:headerReference w:type="default" r:id="rId253"/>
          <w:footerReference w:type="even" r:id="rId254"/>
          <w:footerReference w:type="default" r:id="rId255"/>
          <w:headerReference w:type="first" r:id="rId256"/>
          <w:footerReference w:type="first" r:id="rId257"/>
          <w:pgSz w:w="16839" w:h="11907" w:orient="landscape"/>
          <w:pgMar w:top="1134" w:right="1134" w:bottom="1134" w:left="1134" w:header="567" w:footer="567" w:gutter="0"/>
          <w:cols w:space="720"/>
          <w:docGrid w:linePitch="360"/>
        </w:sectPr>
      </w:pPr>
    </w:p>
    <w:p w14:paraId="3F4545A6" w14:textId="77777777" w:rsidR="001460A9" w:rsidRPr="00291374" w:rsidRDefault="001460A9" w:rsidP="001460A9">
      <w:pPr>
        <w:keepNext/>
        <w:numPr>
          <w:ilvl w:val="0"/>
          <w:numId w:val="50"/>
        </w:numPr>
        <w:tabs>
          <w:tab w:val="left" w:pos="850"/>
        </w:tabs>
        <w:spacing w:before="360" w:after="120" w:line="240" w:lineRule="auto"/>
        <w:jc w:val="both"/>
        <w:outlineLvl w:val="0"/>
        <w:rPr>
          <w:rFonts w:ascii="Times New Roman" w:eastAsia="Times New Roman" w:hAnsi="Times New Roman" w:cs="Times New Roman"/>
          <w:b/>
          <w:bCs/>
          <w:smallCaps/>
          <w:noProof/>
          <w:lang w:val="en-GB"/>
        </w:rPr>
      </w:pPr>
      <w:r w:rsidRPr="00291374">
        <w:rPr>
          <w:rFonts w:ascii="Times New Roman" w:eastAsia="Times New Roman" w:hAnsi="Times New Roman" w:cs="Times New Roman"/>
          <w:b/>
          <w:bCs/>
          <w:smallCaps/>
          <w:noProof/>
          <w:lang w:val="en-GB"/>
        </w:rPr>
        <w:t>COMPONENT 11: Tourism and Culture</w:t>
      </w:r>
    </w:p>
    <w:p w14:paraId="5F8DC992" w14:textId="77777777" w:rsidR="001460A9" w:rsidRPr="00291374" w:rsidRDefault="001460A9" w:rsidP="001460A9">
      <w:pPr>
        <w:spacing w:before="120" w:after="120"/>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objective of the Tourism and Culture component is to increase social, economic and territorial cohesion and to create new jobs especially in rural areas, namely:</w:t>
      </w:r>
    </w:p>
    <w:p w14:paraId="5D7ABED4" w14:textId="77777777" w:rsidR="001460A9" w:rsidRPr="00291374" w:rsidRDefault="001460A9" w:rsidP="001460A9">
      <w:pPr>
        <w:numPr>
          <w:ilvl w:val="0"/>
          <w:numId w:val="51"/>
        </w:numPr>
        <w:spacing w:before="120" w:after="120" w:line="240" w:lineRule="auto"/>
        <w:ind w:left="360"/>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promoting sustainable socio-economic transformation in rural and disadvantaged areas by developing a network of Regional Destination Management Organisations and supporting local tourism investments;</w:t>
      </w:r>
    </w:p>
    <w:p w14:paraId="48F7AE38" w14:textId="77777777" w:rsidR="001460A9" w:rsidRPr="00291374" w:rsidRDefault="001460A9" w:rsidP="001460A9">
      <w:pPr>
        <w:numPr>
          <w:ilvl w:val="0"/>
          <w:numId w:val="51"/>
        </w:numPr>
        <w:spacing w:before="120" w:after="120" w:line="240" w:lineRule="auto"/>
        <w:ind w:left="360"/>
        <w:jc w:val="both"/>
        <w:rPr>
          <w:rFonts w:ascii="Times New Roman" w:eastAsia="Times New Roman" w:hAnsi="Times New Roman" w:cs="Times New Roman"/>
          <w:noProof/>
          <w:lang w:val="en-GB"/>
        </w:rPr>
      </w:pPr>
      <w:bookmarkStart w:id="22" w:name="_Hlk210228390"/>
      <w:r w:rsidRPr="00291374">
        <w:rPr>
          <w:rFonts w:ascii="Times New Roman" w:eastAsia="Times New Roman" w:hAnsi="Times New Roman" w:cs="Times New Roman"/>
          <w:noProof/>
          <w:lang w:val="en-GB"/>
        </w:rPr>
        <w:t xml:space="preserve">supporting sustainable mobility by creating a national Velo network including Eurovelocycling routes; and </w:t>
      </w:r>
    </w:p>
    <w:bookmarkEnd w:id="22"/>
    <w:p w14:paraId="60E38710" w14:textId="77777777" w:rsidR="001460A9" w:rsidRPr="00291374" w:rsidRDefault="001460A9" w:rsidP="001460A9">
      <w:pPr>
        <w:numPr>
          <w:ilvl w:val="0"/>
          <w:numId w:val="51"/>
        </w:numPr>
        <w:spacing w:before="120" w:after="120" w:line="240" w:lineRule="auto"/>
        <w:ind w:left="360"/>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reducing the gap in access to culture between rural and large urban areas.</w:t>
      </w:r>
    </w:p>
    <w:p w14:paraId="13C16029" w14:textId="77777777" w:rsidR="001460A9" w:rsidRPr="00291374" w:rsidRDefault="001460A9" w:rsidP="001460A9">
      <w:pPr>
        <w:spacing w:before="120" w:after="120"/>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reforms and investments shall contribute to addressing the country-specific recommendations conveyed to Romania in 2019 and 2020, on the need to “focus investment on the green and digital transition, in particular on sustainable transport, digital service infrastructure” (country-specific recommendation 3, 2020) while “taking into account regional disparities” (country-specific recommendation 4, 2019).</w:t>
      </w:r>
    </w:p>
    <w:p w14:paraId="7C92B538" w14:textId="77777777" w:rsidR="001460A9" w:rsidRPr="00291374" w:rsidRDefault="001460A9" w:rsidP="001460A9">
      <w:pPr>
        <w:spacing w:before="120" w:after="120"/>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233F2B9E" w14:textId="77777777" w:rsidR="001460A9" w:rsidRPr="00291374" w:rsidRDefault="001460A9" w:rsidP="001460A9">
      <w:pPr>
        <w:spacing w:before="120" w:after="120"/>
        <w:jc w:val="both"/>
        <w:rPr>
          <w:rFonts w:ascii="Times New Roman" w:eastAsia="Times New Roman" w:hAnsi="Times New Roman" w:cs="Times New Roman"/>
          <w:noProof/>
          <w:lang w:val="en-GB"/>
        </w:rPr>
      </w:pPr>
    </w:p>
    <w:p w14:paraId="4979130E" w14:textId="77777777" w:rsidR="001460A9" w:rsidRPr="00291374" w:rsidRDefault="001460A9" w:rsidP="001460A9">
      <w:pPr>
        <w:keepNext/>
        <w:spacing w:before="120" w:after="120" w:line="240" w:lineRule="auto"/>
        <w:jc w:val="both"/>
        <w:outlineLvl w:val="1"/>
        <w:rPr>
          <w:rFonts w:ascii="Times New Roman" w:eastAsia="Times New Roman" w:hAnsi="Times New Roman" w:cs="Times New Roman"/>
          <w:b/>
          <w:bCs/>
          <w:noProof/>
          <w:lang w:val="en-GB"/>
        </w:rPr>
      </w:pPr>
      <w:r w:rsidRPr="00291374">
        <w:rPr>
          <w:rFonts w:ascii="Times New Roman" w:eastAsia="Times New Roman" w:hAnsi="Times New Roman" w:cs="Times New Roman"/>
          <w:b/>
          <w:bCs/>
          <w:noProof/>
          <w:lang w:val="en-GB"/>
        </w:rPr>
        <w:t xml:space="preserve">K.1. </w:t>
      </w:r>
      <w:r w:rsidRPr="00291374">
        <w:rPr>
          <w:rFonts w:ascii="Times New Roman" w:hAnsi="Times New Roman" w:cs="Times New Roman"/>
          <w:noProof/>
        </w:rPr>
        <w:tab/>
      </w:r>
      <w:r w:rsidRPr="00291374">
        <w:rPr>
          <w:rFonts w:ascii="Times New Roman" w:eastAsia="Times New Roman" w:hAnsi="Times New Roman" w:cs="Times New Roman"/>
          <w:b/>
          <w:bCs/>
          <w:noProof/>
          <w:lang w:val="en-GB"/>
        </w:rPr>
        <w:t>Description of the reforms and investments for non-repayable financial support</w:t>
      </w:r>
    </w:p>
    <w:p w14:paraId="44DCE4F0" w14:textId="77777777" w:rsidR="001460A9" w:rsidRPr="00291374" w:rsidRDefault="001460A9" w:rsidP="001460A9">
      <w:pPr>
        <w:suppressAutoHyphens/>
        <w:autoSpaceDN w:val="0"/>
        <w:spacing w:before="240" w:after="0" w:line="240" w:lineRule="auto"/>
        <w:jc w:val="both"/>
        <w:textAlignment w:val="baseline"/>
        <w:rPr>
          <w:rFonts w:ascii="Times New Roman" w:eastAsia="Times New Roman" w:hAnsi="Times New Roman" w:cs="Times New Roman"/>
          <w:noProof/>
          <w:kern w:val="3"/>
          <w:u w:val="single"/>
          <w:lang w:val="en-GB"/>
        </w:rPr>
      </w:pPr>
      <w:r w:rsidRPr="00291374">
        <w:rPr>
          <w:rFonts w:ascii="Times New Roman" w:eastAsia="Times New Roman" w:hAnsi="Times New Roman" w:cs="Times New Roman"/>
          <w:noProof/>
          <w:kern w:val="3"/>
          <w:u w:val="single"/>
          <w:lang w:val="en-GB"/>
        </w:rPr>
        <w:t>Reform 3.a. Reforming the funding system for the cultural sector</w:t>
      </w:r>
    </w:p>
    <w:p w14:paraId="6947B7C2" w14:textId="7185153A"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objective of this reform</w:t>
      </w:r>
      <w:r w:rsidR="00D23D91">
        <w:rPr>
          <w:rFonts w:ascii="Times New Roman" w:eastAsia="Times New Roman" w:hAnsi="Times New Roman" w:cs="Times New Roman"/>
          <w:noProof/>
          <w:lang w:val="en-GB"/>
        </w:rPr>
        <w:t xml:space="preserve"> </w:t>
      </w:r>
      <w:r w:rsidRPr="00291374">
        <w:rPr>
          <w:rFonts w:ascii="Times New Roman" w:eastAsia="Times New Roman" w:hAnsi="Times New Roman" w:cs="Times New Roman"/>
          <w:noProof/>
          <w:lang w:val="en-GB"/>
        </w:rPr>
        <w:t>is to establish the legal and administrative framework for cultural workers</w:t>
      </w:r>
    </w:p>
    <w:p w14:paraId="7F616EE1"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This measures consists in the adoption of legal acts on the funding system for cultural projects and the support to workers in cultural sectors.</w:t>
      </w:r>
    </w:p>
    <w:p w14:paraId="57E7B309"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This measure complements sub-reform Reform 3.: Reforming the funding system for the cultural sector.</w:t>
      </w:r>
    </w:p>
    <w:p w14:paraId="6ECC3F80" w14:textId="77777777" w:rsidR="001460A9" w:rsidRPr="00291374" w:rsidRDefault="001460A9" w:rsidP="001460A9">
      <w:pPr>
        <w:suppressAutoHyphens/>
        <w:autoSpaceDN w:val="0"/>
        <w:spacing w:before="240" w:after="0" w:line="240" w:lineRule="auto"/>
        <w:jc w:val="both"/>
        <w:textAlignment w:val="baseline"/>
        <w:rPr>
          <w:rFonts w:ascii="Times New Roman" w:eastAsia="Times New Roman" w:hAnsi="Times New Roman" w:cs="Times New Roman"/>
          <w:noProof/>
          <w:kern w:val="3"/>
          <w:u w:val="single"/>
          <w:lang w:val="en-GB"/>
        </w:rPr>
      </w:pPr>
      <w:r w:rsidRPr="00291374">
        <w:rPr>
          <w:rFonts w:ascii="Times New Roman" w:eastAsia="Times New Roman" w:hAnsi="Times New Roman" w:cs="Times New Roman"/>
          <w:noProof/>
          <w:kern w:val="3"/>
          <w:u w:val="single"/>
          <w:lang w:val="en-GB"/>
        </w:rPr>
        <w:t>Investment 5. Increasing access to culture in culturally deprived areas</w:t>
      </w:r>
    </w:p>
    <w:p w14:paraId="2CAD0C89" w14:textId="368241A9"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objective of this investment is to increase access to culture in culturally disadvantaged</w:t>
      </w:r>
      <w:r w:rsidR="00D23D91">
        <w:rPr>
          <w:rFonts w:ascii="Times New Roman" w:eastAsia="Times New Roman" w:hAnsi="Times New Roman" w:cs="Times New Roman"/>
          <w:noProof/>
          <w:lang w:val="en-GB"/>
        </w:rPr>
        <w:t xml:space="preserve"> </w:t>
      </w:r>
      <w:r w:rsidRPr="00291374">
        <w:rPr>
          <w:rFonts w:ascii="Times New Roman" w:eastAsia="Times New Roman" w:hAnsi="Times New Roman" w:cs="Times New Roman"/>
          <w:noProof/>
          <w:lang w:val="en-GB"/>
        </w:rPr>
        <w:t>localities.</w:t>
      </w:r>
    </w:p>
    <w:p w14:paraId="05C6A124"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This measure consists in a pilot funding programme with local authorities to support cultural programmes and a pilot programme financing cultural education projects for public educational establishments in rural areas and small towns.</w:t>
      </w:r>
    </w:p>
    <w:p w14:paraId="30208C7D" w14:textId="77777777" w:rsidR="001460A9" w:rsidRPr="00291374" w:rsidRDefault="001460A9" w:rsidP="001460A9">
      <w:pPr>
        <w:suppressAutoHyphens/>
        <w:autoSpaceDN w:val="0"/>
        <w:spacing w:before="240" w:after="0" w:line="240" w:lineRule="auto"/>
        <w:jc w:val="both"/>
        <w:textAlignment w:val="baseline"/>
        <w:rPr>
          <w:rFonts w:ascii="Times New Roman" w:eastAsia="Times New Roman" w:hAnsi="Times New Roman" w:cs="Times New Roman"/>
          <w:noProof/>
          <w:kern w:val="3"/>
          <w:u w:val="single"/>
          <w:lang w:val="en-GB"/>
        </w:rPr>
      </w:pPr>
      <w:r w:rsidRPr="00291374">
        <w:rPr>
          <w:rFonts w:ascii="Times New Roman" w:eastAsia="Times New Roman" w:hAnsi="Times New Roman" w:cs="Times New Roman"/>
          <w:noProof/>
          <w:kern w:val="3"/>
          <w:u w:val="single"/>
          <w:lang w:val="en-GB"/>
        </w:rPr>
        <w:t>Investment 6. Establishment of digital system for cultural funding processes</w:t>
      </w:r>
    </w:p>
    <w:p w14:paraId="6BBA69E7"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objective of this investment is to develop a digital system for the award of public funding in cultural sectors.</w:t>
      </w:r>
    </w:p>
    <w:p w14:paraId="697DC298" w14:textId="14729E3F" w:rsidR="001460A9"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This measure consists in</w:t>
      </w:r>
      <w:r w:rsidR="00D23D91">
        <w:rPr>
          <w:rFonts w:ascii="Times New Roman" w:eastAsia="Times New Roman" w:hAnsi="Times New Roman" w:cs="Times New Roman"/>
          <w:noProof/>
          <w:lang w:val="en-GB"/>
        </w:rPr>
        <w:t xml:space="preserve"> </w:t>
      </w:r>
      <w:r w:rsidRPr="00291374">
        <w:rPr>
          <w:rFonts w:ascii="Times New Roman" w:eastAsia="Times New Roman" w:hAnsi="Times New Roman" w:cs="Times New Roman"/>
          <w:noProof/>
          <w:lang w:val="en-GB"/>
        </w:rPr>
        <w:t xml:space="preserve">roll out of a digital system to facilitate access to funding for national cultural operators. </w:t>
      </w:r>
    </w:p>
    <w:p w14:paraId="5A991192" w14:textId="77777777" w:rsidR="00C92F3A" w:rsidRDefault="00C92F3A" w:rsidP="001460A9">
      <w:pPr>
        <w:spacing w:before="120" w:after="120" w:line="240" w:lineRule="auto"/>
        <w:jc w:val="both"/>
        <w:rPr>
          <w:rFonts w:ascii="Times New Roman" w:eastAsia="Times New Roman" w:hAnsi="Times New Roman" w:cs="Times New Roman"/>
          <w:noProof/>
          <w:lang w:val="en-GB"/>
        </w:rPr>
      </w:pPr>
    </w:p>
    <w:p w14:paraId="758481F8" w14:textId="77777777" w:rsidR="00C92F3A" w:rsidRDefault="00C92F3A" w:rsidP="001460A9">
      <w:pPr>
        <w:spacing w:before="120" w:after="120" w:line="240" w:lineRule="auto"/>
        <w:jc w:val="both"/>
        <w:rPr>
          <w:rFonts w:ascii="Times New Roman" w:eastAsia="Times New Roman" w:hAnsi="Times New Roman" w:cs="Times New Roman"/>
          <w:noProof/>
          <w:lang w:val="en-GB"/>
        </w:rPr>
      </w:pPr>
    </w:p>
    <w:p w14:paraId="465DBA26" w14:textId="77777777" w:rsidR="00C92F3A" w:rsidRPr="00291374" w:rsidRDefault="00C92F3A" w:rsidP="001460A9">
      <w:pPr>
        <w:spacing w:before="120" w:after="120" w:line="240" w:lineRule="auto"/>
        <w:jc w:val="both"/>
        <w:rPr>
          <w:rFonts w:ascii="Times New Roman" w:eastAsia="Times New Roman" w:hAnsi="Times New Roman" w:cs="Times New Roman"/>
          <w:noProof/>
          <w:lang w:val="en-GB"/>
        </w:rPr>
      </w:pPr>
    </w:p>
    <w:p w14:paraId="189F2ED7" w14:textId="77777777" w:rsidR="001460A9" w:rsidRPr="00291374" w:rsidRDefault="001460A9" w:rsidP="001460A9">
      <w:pPr>
        <w:suppressAutoHyphens/>
        <w:autoSpaceDN w:val="0"/>
        <w:spacing w:before="240" w:after="0" w:line="240" w:lineRule="auto"/>
        <w:jc w:val="both"/>
        <w:textAlignment w:val="baseline"/>
        <w:rPr>
          <w:rFonts w:ascii="Times New Roman" w:eastAsia="Times New Roman" w:hAnsi="Times New Roman" w:cs="Times New Roman"/>
          <w:noProof/>
          <w:kern w:val="3"/>
          <w:u w:val="single"/>
          <w:lang w:val="en-GB"/>
        </w:rPr>
      </w:pPr>
      <w:r w:rsidRPr="00291374">
        <w:rPr>
          <w:rFonts w:ascii="Times New Roman" w:eastAsia="Times New Roman" w:hAnsi="Times New Roman" w:cs="Times New Roman"/>
          <w:noProof/>
          <w:kern w:val="3"/>
          <w:u w:val="single"/>
          <w:lang w:val="en-GB"/>
        </w:rPr>
        <w:t xml:space="preserve">Investment 7. Accelerating the digitalisation of film production and distribution </w:t>
      </w:r>
    </w:p>
    <w:p w14:paraId="2DD4BDFB"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 xml:space="preserve">The objective of this investment is to increase the capacity of micro, small and medium-sized enterprises in film production and accelerate the digital transition of film producers and distributors in Romania. </w:t>
      </w:r>
    </w:p>
    <w:p w14:paraId="558911C9"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This measure consists in financing film and media producers for acquiring digital skills in production and distribution.</w:t>
      </w:r>
    </w:p>
    <w:p w14:paraId="067C306D" w14:textId="77777777" w:rsidR="001460A9" w:rsidRPr="00291374" w:rsidRDefault="001460A9" w:rsidP="001460A9">
      <w:pPr>
        <w:rPr>
          <w:rFonts w:ascii="Times New Roman" w:hAnsi="Times New Roman" w:cs="Times New Roman"/>
          <w:noProof/>
          <w:lang w:val="en-GB"/>
        </w:rPr>
      </w:pPr>
    </w:p>
    <w:p w14:paraId="655A885B" w14:textId="77777777" w:rsidR="001460A9" w:rsidRPr="00291374" w:rsidRDefault="001460A9" w:rsidP="001460A9">
      <w:pPr>
        <w:rPr>
          <w:rFonts w:ascii="Times New Roman" w:hAnsi="Times New Roman" w:cs="Times New Roman"/>
          <w:noProof/>
          <w:lang w:val="en-GB"/>
        </w:rPr>
        <w:sectPr w:rsidR="001460A9" w:rsidRPr="00291374" w:rsidSect="001460A9">
          <w:headerReference w:type="even" r:id="rId258"/>
          <w:headerReference w:type="default" r:id="rId259"/>
          <w:footerReference w:type="even" r:id="rId260"/>
          <w:footerReference w:type="default" r:id="rId261"/>
          <w:headerReference w:type="first" r:id="rId262"/>
          <w:footerReference w:type="first" r:id="rId263"/>
          <w:pgSz w:w="11907" w:h="16839"/>
          <w:pgMar w:top="1134" w:right="1134" w:bottom="1134" w:left="1134" w:header="567" w:footer="567" w:gutter="0"/>
          <w:cols w:space="720"/>
          <w:docGrid w:linePitch="360"/>
        </w:sectPr>
      </w:pPr>
    </w:p>
    <w:p w14:paraId="5D2E0531" w14:textId="77777777" w:rsidR="001460A9" w:rsidRPr="00291374" w:rsidRDefault="001460A9" w:rsidP="001460A9">
      <w:pPr>
        <w:keepNext/>
        <w:spacing w:before="120" w:after="120" w:line="240" w:lineRule="auto"/>
        <w:ind w:firstLine="720"/>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K.2. </w:t>
      </w:r>
      <w:r w:rsidRPr="00291374">
        <w:rPr>
          <w:rFonts w:ascii="Times New Roman" w:hAnsi="Times New Roman" w:cs="Times New Roman"/>
          <w:noProof/>
          <w:lang w:val="en-GB"/>
        </w:rPr>
        <w:tab/>
      </w:r>
      <w:r w:rsidRPr="00291374">
        <w:rPr>
          <w:rFonts w:ascii="Times New Roman" w:hAnsi="Times New Roman" w:cs="Times New Roman"/>
          <w:b/>
          <w:noProof/>
          <w:lang w:val="en-GB"/>
        </w:rPr>
        <w:t>Milestones, targets, indicators, and timetable for monitoring and implementation for non-repayable financial support</w:t>
      </w:r>
    </w:p>
    <w:tbl>
      <w:tblPr>
        <w:tblW w:w="15881" w:type="dxa"/>
        <w:jc w:val="center"/>
        <w:tblLayout w:type="fixed"/>
        <w:tblLook w:val="04A0" w:firstRow="1" w:lastRow="0" w:firstColumn="1" w:lastColumn="0" w:noHBand="0" w:noVBand="1"/>
      </w:tblPr>
      <w:tblGrid>
        <w:gridCol w:w="865"/>
        <w:gridCol w:w="1586"/>
        <w:gridCol w:w="1302"/>
        <w:gridCol w:w="1518"/>
        <w:gridCol w:w="1658"/>
        <w:gridCol w:w="1298"/>
        <w:gridCol w:w="1157"/>
        <w:gridCol w:w="867"/>
        <w:gridCol w:w="1122"/>
        <w:gridCol w:w="874"/>
        <w:gridCol w:w="3634"/>
      </w:tblGrid>
      <w:tr w:rsidR="001460A9" w:rsidRPr="00C92F3A" w14:paraId="7968D7DF" w14:textId="77777777">
        <w:trPr>
          <w:trHeight w:val="632"/>
          <w:tblHeader/>
          <w:jc w:val="center"/>
        </w:trPr>
        <w:tc>
          <w:tcPr>
            <w:tcW w:w="86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8A057D"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Seq. Num.</w:t>
            </w:r>
          </w:p>
        </w:tc>
        <w:tc>
          <w:tcPr>
            <w:tcW w:w="158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F015A56"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Related Measure (Reform or Investment)</w:t>
            </w:r>
          </w:p>
        </w:tc>
        <w:tc>
          <w:tcPr>
            <w:tcW w:w="13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1F36B7D"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Milestone / Target</w:t>
            </w:r>
          </w:p>
        </w:tc>
        <w:tc>
          <w:tcPr>
            <w:tcW w:w="15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6F5081"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Name</w:t>
            </w:r>
          </w:p>
        </w:tc>
        <w:tc>
          <w:tcPr>
            <w:tcW w:w="165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3706A9D"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 xml:space="preserve">Qualitative indicators </w:t>
            </w:r>
            <w:r w:rsidRPr="00C92F3A">
              <w:rPr>
                <w:rFonts w:ascii="Times New Roman" w:hAnsi="Times New Roman" w:cs="Times New Roman"/>
                <w:noProof/>
                <w:sz w:val="20"/>
                <w:szCs w:val="20"/>
                <w:lang w:val="en-GB"/>
              </w:rPr>
              <w:br/>
            </w:r>
            <w:r w:rsidRPr="00C92F3A">
              <w:rPr>
                <w:rFonts w:ascii="Times New Roman" w:hAnsi="Times New Roman" w:cs="Times New Roman"/>
                <w:b/>
                <w:noProof/>
                <w:sz w:val="20"/>
                <w:szCs w:val="20"/>
                <w:lang w:val="en-GB"/>
              </w:rPr>
              <w:t>(for milestones)</w:t>
            </w:r>
          </w:p>
        </w:tc>
        <w:tc>
          <w:tcPr>
            <w:tcW w:w="332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AB6DC47"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 xml:space="preserve">Quantitative indicators </w:t>
            </w:r>
            <w:r w:rsidRPr="00C92F3A">
              <w:rPr>
                <w:rFonts w:ascii="Times New Roman" w:hAnsi="Times New Roman" w:cs="Times New Roman"/>
                <w:noProof/>
                <w:sz w:val="20"/>
                <w:szCs w:val="20"/>
                <w:lang w:val="en-GB"/>
              </w:rPr>
              <w:br/>
            </w:r>
            <w:r w:rsidRPr="00C92F3A">
              <w:rPr>
                <w:rFonts w:ascii="Times New Roman" w:hAnsi="Times New Roman" w:cs="Times New Roman"/>
                <w:b/>
                <w:noProof/>
                <w:sz w:val="20"/>
                <w:szCs w:val="20"/>
                <w:lang w:val="en-GB"/>
              </w:rPr>
              <w:t>(for targets)</w:t>
            </w:r>
          </w:p>
        </w:tc>
        <w:tc>
          <w:tcPr>
            <w:tcW w:w="1996" w:type="dxa"/>
            <w:gridSpan w:val="2"/>
            <w:tcBorders>
              <w:top w:val="single" w:sz="4" w:space="0" w:color="auto"/>
              <w:left w:val="nil"/>
              <w:bottom w:val="single" w:sz="4" w:space="0" w:color="auto"/>
              <w:right w:val="single" w:sz="4" w:space="0" w:color="auto"/>
            </w:tcBorders>
            <w:shd w:val="clear" w:color="auto" w:fill="BDD7EE"/>
            <w:vAlign w:val="center"/>
            <w:hideMark/>
          </w:tcPr>
          <w:p w14:paraId="542D886D"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 xml:space="preserve">Indicative timeline for completion </w:t>
            </w:r>
          </w:p>
        </w:tc>
        <w:tc>
          <w:tcPr>
            <w:tcW w:w="36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D7A885"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Description of each milestone and target</w:t>
            </w:r>
          </w:p>
        </w:tc>
      </w:tr>
      <w:tr w:rsidR="00382D78" w:rsidRPr="00C92F3A" w14:paraId="6660B1AE" w14:textId="77777777" w:rsidTr="00840998">
        <w:trPr>
          <w:trHeight w:val="56"/>
          <w:tblHeader/>
          <w:jc w:val="center"/>
        </w:trPr>
        <w:tc>
          <w:tcPr>
            <w:tcW w:w="865" w:type="dxa"/>
            <w:vMerge/>
            <w:tcBorders>
              <w:top w:val="single" w:sz="4" w:space="0" w:color="auto"/>
              <w:left w:val="single" w:sz="4" w:space="0" w:color="auto"/>
              <w:bottom w:val="single" w:sz="4" w:space="0" w:color="auto"/>
              <w:right w:val="single" w:sz="4" w:space="0" w:color="auto"/>
            </w:tcBorders>
            <w:hideMark/>
          </w:tcPr>
          <w:p w14:paraId="462E7308" w14:textId="77777777" w:rsidR="001460A9" w:rsidRPr="00C92F3A" w:rsidRDefault="001460A9">
            <w:pPr>
              <w:spacing w:after="0" w:line="240" w:lineRule="auto"/>
              <w:jc w:val="center"/>
              <w:rPr>
                <w:rFonts w:ascii="Times New Roman" w:eastAsia="Times New Roman" w:hAnsi="Times New Roman" w:cs="Times New Roman"/>
                <w:b/>
                <w:bCs/>
                <w:noProof/>
                <w:sz w:val="20"/>
                <w:szCs w:val="20"/>
                <w:lang w:val="en-GB" w:eastAsia="en-GB"/>
              </w:rPr>
            </w:pPr>
          </w:p>
        </w:tc>
        <w:tc>
          <w:tcPr>
            <w:tcW w:w="1586" w:type="dxa"/>
            <w:vMerge/>
            <w:tcBorders>
              <w:top w:val="single" w:sz="4" w:space="0" w:color="auto"/>
              <w:left w:val="single" w:sz="4" w:space="0" w:color="auto"/>
              <w:bottom w:val="single" w:sz="4" w:space="0" w:color="auto"/>
              <w:right w:val="single" w:sz="4" w:space="0" w:color="auto"/>
            </w:tcBorders>
            <w:hideMark/>
          </w:tcPr>
          <w:p w14:paraId="7EFFDED5" w14:textId="77777777" w:rsidR="001460A9" w:rsidRPr="00C92F3A" w:rsidRDefault="001460A9">
            <w:pPr>
              <w:spacing w:after="0" w:line="240" w:lineRule="auto"/>
              <w:jc w:val="both"/>
              <w:rPr>
                <w:rFonts w:ascii="Times New Roman" w:eastAsia="Times New Roman" w:hAnsi="Times New Roman" w:cs="Times New Roman"/>
                <w:b/>
                <w:bCs/>
                <w:noProof/>
                <w:sz w:val="20"/>
                <w:szCs w:val="20"/>
                <w:lang w:val="en-GB" w:eastAsia="en-GB"/>
              </w:rPr>
            </w:pPr>
          </w:p>
        </w:tc>
        <w:tc>
          <w:tcPr>
            <w:tcW w:w="1302" w:type="dxa"/>
            <w:vMerge/>
            <w:tcBorders>
              <w:top w:val="single" w:sz="4" w:space="0" w:color="auto"/>
              <w:left w:val="single" w:sz="4" w:space="0" w:color="auto"/>
              <w:bottom w:val="single" w:sz="4" w:space="0" w:color="auto"/>
              <w:right w:val="single" w:sz="4" w:space="0" w:color="auto"/>
            </w:tcBorders>
            <w:hideMark/>
          </w:tcPr>
          <w:p w14:paraId="391484EB" w14:textId="77777777" w:rsidR="001460A9" w:rsidRPr="00C92F3A" w:rsidRDefault="001460A9">
            <w:pPr>
              <w:spacing w:after="0" w:line="240" w:lineRule="auto"/>
              <w:jc w:val="center"/>
              <w:rPr>
                <w:rFonts w:ascii="Times New Roman" w:eastAsia="Times New Roman" w:hAnsi="Times New Roman" w:cs="Times New Roman"/>
                <w:b/>
                <w:bCs/>
                <w:noProof/>
                <w:sz w:val="20"/>
                <w:szCs w:val="20"/>
                <w:lang w:val="en-GB" w:eastAsia="en-GB"/>
              </w:rPr>
            </w:pPr>
          </w:p>
        </w:tc>
        <w:tc>
          <w:tcPr>
            <w:tcW w:w="1518" w:type="dxa"/>
            <w:vMerge/>
            <w:tcBorders>
              <w:top w:val="single" w:sz="4" w:space="0" w:color="auto"/>
              <w:left w:val="single" w:sz="4" w:space="0" w:color="auto"/>
              <w:bottom w:val="single" w:sz="4" w:space="0" w:color="auto"/>
              <w:right w:val="single" w:sz="4" w:space="0" w:color="auto"/>
            </w:tcBorders>
            <w:hideMark/>
          </w:tcPr>
          <w:p w14:paraId="633C08CE" w14:textId="77777777" w:rsidR="001460A9" w:rsidRPr="00C92F3A" w:rsidRDefault="001460A9">
            <w:pPr>
              <w:spacing w:after="0" w:line="240" w:lineRule="auto"/>
              <w:jc w:val="both"/>
              <w:rPr>
                <w:rFonts w:ascii="Times New Roman" w:eastAsia="Times New Roman" w:hAnsi="Times New Roman" w:cs="Times New Roman"/>
                <w:b/>
                <w:bCs/>
                <w:noProof/>
                <w:sz w:val="20"/>
                <w:szCs w:val="20"/>
                <w:lang w:val="en-GB" w:eastAsia="en-GB"/>
              </w:rPr>
            </w:pPr>
          </w:p>
        </w:tc>
        <w:tc>
          <w:tcPr>
            <w:tcW w:w="1658" w:type="dxa"/>
            <w:vMerge/>
            <w:tcBorders>
              <w:top w:val="single" w:sz="4" w:space="0" w:color="auto"/>
              <w:left w:val="single" w:sz="4" w:space="0" w:color="auto"/>
              <w:bottom w:val="single" w:sz="4" w:space="0" w:color="auto"/>
              <w:right w:val="single" w:sz="4" w:space="0" w:color="auto"/>
            </w:tcBorders>
            <w:hideMark/>
          </w:tcPr>
          <w:p w14:paraId="112AB416" w14:textId="77777777" w:rsidR="001460A9" w:rsidRPr="00C92F3A" w:rsidRDefault="001460A9">
            <w:pPr>
              <w:spacing w:after="0" w:line="240" w:lineRule="auto"/>
              <w:jc w:val="both"/>
              <w:rPr>
                <w:rFonts w:ascii="Times New Roman" w:eastAsia="Times New Roman" w:hAnsi="Times New Roman" w:cs="Times New Roman"/>
                <w:b/>
                <w:bCs/>
                <w:noProof/>
                <w:sz w:val="20"/>
                <w:szCs w:val="20"/>
                <w:lang w:val="en-GB" w:eastAsia="en-GB"/>
              </w:rPr>
            </w:pPr>
          </w:p>
        </w:tc>
        <w:tc>
          <w:tcPr>
            <w:tcW w:w="1298" w:type="dxa"/>
            <w:tcBorders>
              <w:top w:val="nil"/>
              <w:left w:val="single" w:sz="4" w:space="0" w:color="auto"/>
              <w:bottom w:val="single" w:sz="4" w:space="0" w:color="auto"/>
              <w:right w:val="single" w:sz="4" w:space="0" w:color="auto"/>
            </w:tcBorders>
            <w:shd w:val="clear" w:color="auto" w:fill="BDD7EE"/>
            <w:vAlign w:val="center"/>
            <w:hideMark/>
          </w:tcPr>
          <w:p w14:paraId="2E4B5D07"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Unit of measure</w:t>
            </w:r>
          </w:p>
        </w:tc>
        <w:tc>
          <w:tcPr>
            <w:tcW w:w="1157" w:type="dxa"/>
            <w:tcBorders>
              <w:top w:val="nil"/>
              <w:left w:val="nil"/>
              <w:bottom w:val="single" w:sz="4" w:space="0" w:color="auto"/>
              <w:right w:val="single" w:sz="4" w:space="0" w:color="auto"/>
            </w:tcBorders>
            <w:shd w:val="clear" w:color="auto" w:fill="BDD7EE"/>
            <w:vAlign w:val="center"/>
            <w:hideMark/>
          </w:tcPr>
          <w:p w14:paraId="1C3C8F64"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 xml:space="preserve">Baseline </w:t>
            </w:r>
          </w:p>
        </w:tc>
        <w:tc>
          <w:tcPr>
            <w:tcW w:w="867" w:type="dxa"/>
            <w:tcBorders>
              <w:top w:val="nil"/>
              <w:left w:val="nil"/>
              <w:bottom w:val="single" w:sz="4" w:space="0" w:color="auto"/>
              <w:right w:val="single" w:sz="4" w:space="0" w:color="auto"/>
            </w:tcBorders>
            <w:shd w:val="clear" w:color="auto" w:fill="BDD7EE"/>
            <w:vAlign w:val="center"/>
            <w:hideMark/>
          </w:tcPr>
          <w:p w14:paraId="5A55AB7F"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 xml:space="preserve">Goal </w:t>
            </w:r>
          </w:p>
        </w:tc>
        <w:tc>
          <w:tcPr>
            <w:tcW w:w="1122" w:type="dxa"/>
            <w:tcBorders>
              <w:top w:val="nil"/>
              <w:left w:val="nil"/>
              <w:bottom w:val="single" w:sz="4" w:space="0" w:color="auto"/>
              <w:right w:val="single" w:sz="4" w:space="0" w:color="auto"/>
            </w:tcBorders>
            <w:shd w:val="clear" w:color="auto" w:fill="BDD7EE"/>
            <w:vAlign w:val="center"/>
            <w:hideMark/>
          </w:tcPr>
          <w:p w14:paraId="23A0FB82"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Quarter</w:t>
            </w:r>
          </w:p>
        </w:tc>
        <w:tc>
          <w:tcPr>
            <w:tcW w:w="874" w:type="dxa"/>
            <w:tcBorders>
              <w:top w:val="nil"/>
              <w:left w:val="nil"/>
              <w:bottom w:val="single" w:sz="4" w:space="0" w:color="auto"/>
              <w:right w:val="single" w:sz="4" w:space="0" w:color="auto"/>
            </w:tcBorders>
            <w:shd w:val="clear" w:color="auto" w:fill="BDD7EE"/>
            <w:vAlign w:val="center"/>
            <w:hideMark/>
          </w:tcPr>
          <w:p w14:paraId="71DD71EE"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Year</w:t>
            </w:r>
          </w:p>
        </w:tc>
        <w:tc>
          <w:tcPr>
            <w:tcW w:w="3634" w:type="dxa"/>
            <w:vMerge/>
            <w:tcBorders>
              <w:top w:val="single" w:sz="4" w:space="0" w:color="auto"/>
              <w:left w:val="single" w:sz="4" w:space="0" w:color="auto"/>
              <w:bottom w:val="single" w:sz="4" w:space="0" w:color="auto"/>
              <w:right w:val="single" w:sz="4" w:space="0" w:color="auto"/>
            </w:tcBorders>
            <w:hideMark/>
          </w:tcPr>
          <w:p w14:paraId="5768B125" w14:textId="77777777" w:rsidR="001460A9" w:rsidRPr="00C92F3A" w:rsidRDefault="001460A9">
            <w:pPr>
              <w:spacing w:after="0" w:line="240" w:lineRule="auto"/>
              <w:jc w:val="both"/>
              <w:rPr>
                <w:rFonts w:ascii="Times New Roman" w:eastAsia="Times New Roman" w:hAnsi="Times New Roman" w:cs="Times New Roman"/>
                <w:b/>
                <w:bCs/>
                <w:noProof/>
                <w:sz w:val="20"/>
                <w:szCs w:val="20"/>
                <w:lang w:val="en-GB" w:eastAsia="en-GB"/>
              </w:rPr>
            </w:pPr>
          </w:p>
        </w:tc>
      </w:tr>
      <w:tr w:rsidR="001460A9" w:rsidRPr="00C92F3A" w14:paraId="1CAA5A8C" w14:textId="77777777">
        <w:trPr>
          <w:trHeight w:val="300"/>
          <w:jc w:val="center"/>
        </w:trPr>
        <w:tc>
          <w:tcPr>
            <w:tcW w:w="865" w:type="dxa"/>
            <w:tcBorders>
              <w:top w:val="single" w:sz="4" w:space="0" w:color="auto"/>
              <w:left w:val="single" w:sz="4" w:space="0" w:color="auto"/>
              <w:bottom w:val="single" w:sz="4" w:space="0" w:color="auto"/>
              <w:right w:val="single" w:sz="4" w:space="0" w:color="auto"/>
            </w:tcBorders>
            <w:shd w:val="clear" w:color="auto" w:fill="C6EFCE"/>
            <w:noWrap/>
          </w:tcPr>
          <w:p w14:paraId="268D46DD"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345</w:t>
            </w:r>
          </w:p>
        </w:tc>
        <w:tc>
          <w:tcPr>
            <w:tcW w:w="1586" w:type="dxa"/>
            <w:tcBorders>
              <w:top w:val="single" w:sz="4" w:space="0" w:color="auto"/>
              <w:left w:val="nil"/>
              <w:bottom w:val="single" w:sz="4" w:space="0" w:color="auto"/>
              <w:right w:val="single" w:sz="4" w:space="0" w:color="auto"/>
            </w:tcBorders>
            <w:shd w:val="clear" w:color="auto" w:fill="C6EFCE"/>
            <w:noWrap/>
          </w:tcPr>
          <w:p w14:paraId="14E46048"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Reform 3.a. Reforming the funding system for the cultural sector</w:t>
            </w:r>
          </w:p>
          <w:p w14:paraId="184E7563"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eastAsia="en-GB"/>
              </w:rPr>
            </w:pPr>
          </w:p>
        </w:tc>
        <w:tc>
          <w:tcPr>
            <w:tcW w:w="1302" w:type="dxa"/>
            <w:tcBorders>
              <w:top w:val="single" w:sz="4" w:space="0" w:color="auto"/>
              <w:left w:val="nil"/>
              <w:bottom w:val="single" w:sz="4" w:space="0" w:color="auto"/>
              <w:right w:val="single" w:sz="4" w:space="0" w:color="auto"/>
            </w:tcBorders>
            <w:shd w:val="clear" w:color="auto" w:fill="C6EFCE"/>
            <w:noWrap/>
          </w:tcPr>
          <w:p w14:paraId="14FA1888"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518" w:type="dxa"/>
            <w:tcBorders>
              <w:top w:val="single" w:sz="4" w:space="0" w:color="auto"/>
              <w:left w:val="nil"/>
              <w:bottom w:val="single" w:sz="4" w:space="0" w:color="auto"/>
              <w:right w:val="single" w:sz="4" w:space="0" w:color="auto"/>
            </w:tcBorders>
            <w:shd w:val="clear" w:color="auto" w:fill="C6EFCE"/>
            <w:noWrap/>
          </w:tcPr>
          <w:p w14:paraId="598BCA68" w14:textId="6D8E39A0"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Entry into force of the legal acts on the legal framework applicable to</w:t>
            </w:r>
            <w:r w:rsidR="00D23D91" w:rsidRPr="00C92F3A">
              <w:rPr>
                <w:rFonts w:ascii="Times New Roman" w:hAnsi="Times New Roman" w:cs="Times New Roman"/>
                <w:noProof/>
                <w:sz w:val="20"/>
                <w:szCs w:val="20"/>
                <w:lang w:val="en-GB"/>
              </w:rPr>
              <w:t xml:space="preserve"> </w:t>
            </w:r>
            <w:r w:rsidRPr="00C92F3A">
              <w:rPr>
                <w:rFonts w:ascii="Times New Roman" w:hAnsi="Times New Roman" w:cs="Times New Roman"/>
                <w:noProof/>
                <w:sz w:val="20"/>
                <w:szCs w:val="20"/>
                <w:lang w:val="en-GB"/>
              </w:rPr>
              <w:t>cultural workers</w:t>
            </w:r>
          </w:p>
        </w:tc>
        <w:tc>
          <w:tcPr>
            <w:tcW w:w="1658" w:type="dxa"/>
            <w:tcBorders>
              <w:top w:val="single" w:sz="4" w:space="0" w:color="auto"/>
              <w:left w:val="nil"/>
              <w:bottom w:val="single" w:sz="4" w:space="0" w:color="auto"/>
              <w:right w:val="single" w:sz="4" w:space="0" w:color="auto"/>
            </w:tcBorders>
            <w:shd w:val="clear" w:color="auto" w:fill="C6EFCE"/>
            <w:noWrap/>
          </w:tcPr>
          <w:p w14:paraId="62E0F00A"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Provision in the legal acts indicating the entry into force of the legal framework for the statute of the cultural workers</w:t>
            </w:r>
          </w:p>
        </w:tc>
        <w:tc>
          <w:tcPr>
            <w:tcW w:w="1298" w:type="dxa"/>
            <w:tcBorders>
              <w:top w:val="nil"/>
              <w:left w:val="nil"/>
              <w:bottom w:val="single" w:sz="4" w:space="0" w:color="auto"/>
              <w:right w:val="single" w:sz="4" w:space="0" w:color="auto"/>
            </w:tcBorders>
            <w:shd w:val="clear" w:color="auto" w:fill="C6EFCE"/>
            <w:noWrap/>
          </w:tcPr>
          <w:p w14:paraId="6A659DED"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57" w:type="dxa"/>
            <w:tcBorders>
              <w:top w:val="nil"/>
              <w:left w:val="nil"/>
              <w:bottom w:val="single" w:sz="4" w:space="0" w:color="auto"/>
              <w:right w:val="single" w:sz="4" w:space="0" w:color="auto"/>
            </w:tcBorders>
            <w:shd w:val="clear" w:color="auto" w:fill="C6EFCE"/>
            <w:noWrap/>
          </w:tcPr>
          <w:p w14:paraId="57687552"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867" w:type="dxa"/>
            <w:tcBorders>
              <w:top w:val="nil"/>
              <w:left w:val="nil"/>
              <w:bottom w:val="single" w:sz="4" w:space="0" w:color="auto"/>
              <w:right w:val="single" w:sz="4" w:space="0" w:color="auto"/>
            </w:tcBorders>
            <w:shd w:val="clear" w:color="auto" w:fill="C6EFCE"/>
            <w:noWrap/>
          </w:tcPr>
          <w:p w14:paraId="5D69BE07"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22" w:type="dxa"/>
            <w:tcBorders>
              <w:top w:val="nil"/>
              <w:left w:val="nil"/>
              <w:bottom w:val="single" w:sz="4" w:space="0" w:color="auto"/>
              <w:right w:val="single" w:sz="4" w:space="0" w:color="auto"/>
            </w:tcBorders>
            <w:shd w:val="clear" w:color="auto" w:fill="C6EFCE"/>
            <w:noWrap/>
          </w:tcPr>
          <w:p w14:paraId="3CABFA52"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Q1</w:t>
            </w:r>
          </w:p>
        </w:tc>
        <w:tc>
          <w:tcPr>
            <w:tcW w:w="874" w:type="dxa"/>
            <w:tcBorders>
              <w:top w:val="nil"/>
              <w:left w:val="nil"/>
              <w:bottom w:val="single" w:sz="4" w:space="0" w:color="auto"/>
              <w:right w:val="single" w:sz="4" w:space="0" w:color="auto"/>
            </w:tcBorders>
            <w:shd w:val="clear" w:color="auto" w:fill="C6EFCE"/>
            <w:noWrap/>
          </w:tcPr>
          <w:p w14:paraId="2CAEE538" w14:textId="77777777" w:rsidR="001460A9" w:rsidRPr="00C92F3A" w:rsidRDefault="001460A9">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2025</w:t>
            </w:r>
          </w:p>
        </w:tc>
        <w:tc>
          <w:tcPr>
            <w:tcW w:w="3634" w:type="dxa"/>
            <w:tcBorders>
              <w:top w:val="single" w:sz="4" w:space="0" w:color="auto"/>
              <w:left w:val="nil"/>
              <w:bottom w:val="single" w:sz="4" w:space="0" w:color="auto"/>
              <w:right w:val="single" w:sz="4" w:space="0" w:color="auto"/>
            </w:tcBorders>
            <w:shd w:val="clear" w:color="auto" w:fill="C6EFCE"/>
            <w:noWrap/>
          </w:tcPr>
          <w:p w14:paraId="4C9C6F7B" w14:textId="3E75C555"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Legal acts</w:t>
            </w:r>
            <w:r w:rsidR="00D23D91" w:rsidRPr="00C92F3A">
              <w:rPr>
                <w:rFonts w:ascii="Times New Roman" w:hAnsi="Times New Roman" w:cs="Times New Roman"/>
                <w:noProof/>
                <w:sz w:val="20"/>
                <w:szCs w:val="20"/>
                <w:lang w:val="en-GB"/>
              </w:rPr>
              <w:t xml:space="preserve"> </w:t>
            </w:r>
            <w:r w:rsidRPr="00C92F3A">
              <w:rPr>
                <w:rFonts w:ascii="Times New Roman" w:hAnsi="Times New Roman" w:cs="Times New Roman"/>
                <w:noProof/>
                <w:sz w:val="20"/>
                <w:szCs w:val="20"/>
                <w:lang w:val="en-GB"/>
              </w:rPr>
              <w:t>shall enter into force</w:t>
            </w:r>
            <w:r w:rsidR="00D23D91" w:rsidRPr="00C92F3A">
              <w:rPr>
                <w:rFonts w:ascii="Times New Roman" w:hAnsi="Times New Roman" w:cs="Times New Roman"/>
                <w:noProof/>
                <w:sz w:val="20"/>
                <w:szCs w:val="20"/>
                <w:lang w:val="en-GB"/>
              </w:rPr>
              <w:t xml:space="preserve"> </w:t>
            </w:r>
            <w:r w:rsidRPr="00C92F3A">
              <w:rPr>
                <w:rFonts w:ascii="Times New Roman" w:hAnsi="Times New Roman" w:cs="Times New Roman"/>
                <w:noProof/>
                <w:sz w:val="20"/>
                <w:szCs w:val="20"/>
                <w:lang w:val="en-GB"/>
              </w:rPr>
              <w:t>on the legal framework applicable to cultural workers, which shall:</w:t>
            </w:r>
          </w:p>
          <w:p w14:paraId="286DAF3B" w14:textId="37DFCCAC" w:rsidR="001460A9" w:rsidRPr="00C92F3A" w:rsidRDefault="001460A9" w:rsidP="001460A9">
            <w:pPr>
              <w:numPr>
                <w:ilvl w:val="0"/>
                <w:numId w:val="52"/>
              </w:numPr>
              <w:spacing w:before="120" w:after="0" w:line="240" w:lineRule="auto"/>
              <w:ind w:left="202" w:hanging="219"/>
              <w:contextualSpacing/>
              <w:jc w:val="both"/>
              <w:rPr>
                <w:rFonts w:ascii="Times New Roman" w:eastAsia="Times New Roman" w:hAnsi="Times New Roman" w:cs="Times New Roman"/>
                <w:noProof/>
                <w:sz w:val="20"/>
                <w:szCs w:val="20"/>
                <w:lang w:val="en-GB"/>
              </w:rPr>
            </w:pPr>
            <w:r w:rsidRPr="00C92F3A">
              <w:rPr>
                <w:rFonts w:ascii="Times New Roman" w:eastAsia="Times New Roman" w:hAnsi="Times New Roman" w:cs="Times New Roman"/>
                <w:noProof/>
                <w:sz w:val="20"/>
                <w:szCs w:val="20"/>
                <w:lang w:val="en-GB"/>
              </w:rPr>
              <w:t>define employment in</w:t>
            </w:r>
            <w:r w:rsidR="00D23D91" w:rsidRPr="00C92F3A">
              <w:rPr>
                <w:rFonts w:ascii="Times New Roman" w:eastAsia="Times New Roman" w:hAnsi="Times New Roman" w:cs="Times New Roman"/>
                <w:noProof/>
                <w:sz w:val="20"/>
                <w:szCs w:val="20"/>
                <w:lang w:val="en-GB"/>
              </w:rPr>
              <w:t xml:space="preserve"> </w:t>
            </w:r>
            <w:r w:rsidRPr="00C92F3A">
              <w:rPr>
                <w:rFonts w:ascii="Times New Roman" w:eastAsia="Times New Roman" w:hAnsi="Times New Roman" w:cs="Times New Roman"/>
                <w:noProof/>
                <w:sz w:val="20"/>
                <w:szCs w:val="20"/>
                <w:lang w:val="en-GB"/>
              </w:rPr>
              <w:t>'artistic work' and 'cultural work';</w:t>
            </w:r>
          </w:p>
          <w:p w14:paraId="12E83358" w14:textId="7E0CA6A7" w:rsidR="001460A9" w:rsidRPr="00C92F3A" w:rsidRDefault="001460A9" w:rsidP="001460A9">
            <w:pPr>
              <w:numPr>
                <w:ilvl w:val="0"/>
                <w:numId w:val="52"/>
              </w:numPr>
              <w:spacing w:before="120" w:after="0" w:line="240" w:lineRule="auto"/>
              <w:ind w:left="202" w:hanging="219"/>
              <w:contextualSpacing/>
              <w:jc w:val="both"/>
              <w:rPr>
                <w:rFonts w:ascii="Times New Roman" w:eastAsia="Times New Roman" w:hAnsi="Times New Roman" w:cs="Times New Roman"/>
                <w:noProof/>
                <w:sz w:val="20"/>
                <w:szCs w:val="20"/>
                <w:lang w:val="en-GB"/>
              </w:rPr>
            </w:pPr>
            <w:r w:rsidRPr="00C92F3A">
              <w:rPr>
                <w:rFonts w:ascii="Times New Roman" w:eastAsia="Times New Roman" w:hAnsi="Times New Roman" w:cs="Times New Roman"/>
                <w:noProof/>
                <w:sz w:val="20"/>
                <w:szCs w:val="20"/>
                <w:lang w:val="en-GB"/>
              </w:rPr>
              <w:t>set out standards for employment, taxation, and social security, ensuring commensurate remuneration and access to benefits (for example,</w:t>
            </w:r>
            <w:r w:rsidR="00D23D91" w:rsidRPr="00C92F3A">
              <w:rPr>
                <w:rFonts w:ascii="Times New Roman" w:eastAsia="Times New Roman" w:hAnsi="Times New Roman" w:cs="Times New Roman"/>
                <w:noProof/>
                <w:sz w:val="20"/>
                <w:szCs w:val="20"/>
                <w:lang w:val="en-GB"/>
              </w:rPr>
              <w:t xml:space="preserve"> </w:t>
            </w:r>
            <w:r w:rsidRPr="00C92F3A">
              <w:rPr>
                <w:rFonts w:ascii="Times New Roman" w:eastAsia="Times New Roman" w:hAnsi="Times New Roman" w:cs="Times New Roman"/>
                <w:noProof/>
                <w:sz w:val="20"/>
                <w:szCs w:val="20"/>
                <w:lang w:val="en-GB"/>
              </w:rPr>
              <w:t>unemployment and health protection);</w:t>
            </w:r>
          </w:p>
          <w:p w14:paraId="71066054" w14:textId="77777777" w:rsidR="001460A9" w:rsidRPr="00C92F3A" w:rsidRDefault="001460A9" w:rsidP="001460A9">
            <w:pPr>
              <w:numPr>
                <w:ilvl w:val="0"/>
                <w:numId w:val="52"/>
              </w:numPr>
              <w:spacing w:before="120" w:after="0" w:line="240" w:lineRule="auto"/>
              <w:ind w:left="202" w:hanging="219"/>
              <w:contextualSpacing/>
              <w:jc w:val="both"/>
              <w:rPr>
                <w:rFonts w:ascii="Times New Roman" w:eastAsia="Times New Roman" w:hAnsi="Times New Roman" w:cs="Times New Roman"/>
                <w:noProof/>
                <w:sz w:val="20"/>
                <w:szCs w:val="20"/>
                <w:lang w:val="en-GB"/>
              </w:rPr>
            </w:pPr>
            <w:r w:rsidRPr="00C92F3A">
              <w:rPr>
                <w:rFonts w:ascii="Times New Roman" w:eastAsia="Times New Roman" w:hAnsi="Times New Roman" w:cs="Times New Roman"/>
                <w:noProof/>
                <w:sz w:val="20"/>
                <w:szCs w:val="20"/>
                <w:lang w:val="en-GB"/>
              </w:rPr>
              <w:t xml:space="preserve"> set out provisions for identifying freelancer cultural artists and their access to social protection systems. </w:t>
            </w:r>
          </w:p>
        </w:tc>
      </w:tr>
      <w:tr w:rsidR="001460A9" w:rsidRPr="00C92F3A" w14:paraId="1E768D7A"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4E607337"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347</w:t>
            </w:r>
          </w:p>
        </w:tc>
        <w:tc>
          <w:tcPr>
            <w:tcW w:w="1586" w:type="dxa"/>
            <w:tcBorders>
              <w:top w:val="nil"/>
              <w:left w:val="nil"/>
              <w:bottom w:val="single" w:sz="4" w:space="0" w:color="auto"/>
              <w:right w:val="single" w:sz="4" w:space="0" w:color="auto"/>
            </w:tcBorders>
            <w:shd w:val="clear" w:color="auto" w:fill="C6EFCE"/>
            <w:noWrap/>
          </w:tcPr>
          <w:p w14:paraId="6530F452"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Investment 5. Increasing access to culture in culturally deprived areas</w:t>
            </w:r>
          </w:p>
        </w:tc>
        <w:tc>
          <w:tcPr>
            <w:tcW w:w="1302" w:type="dxa"/>
            <w:tcBorders>
              <w:top w:val="nil"/>
              <w:left w:val="nil"/>
              <w:bottom w:val="single" w:sz="4" w:space="0" w:color="auto"/>
              <w:right w:val="single" w:sz="4" w:space="0" w:color="auto"/>
            </w:tcBorders>
            <w:shd w:val="clear" w:color="auto" w:fill="C6EFCE"/>
            <w:noWrap/>
          </w:tcPr>
          <w:p w14:paraId="2219EAD9"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518" w:type="dxa"/>
            <w:tcBorders>
              <w:top w:val="nil"/>
              <w:left w:val="nil"/>
              <w:bottom w:val="single" w:sz="4" w:space="0" w:color="auto"/>
              <w:right w:val="single" w:sz="4" w:space="0" w:color="auto"/>
            </w:tcBorders>
            <w:shd w:val="clear" w:color="auto" w:fill="C6EFCE"/>
            <w:noWrap/>
          </w:tcPr>
          <w:p w14:paraId="57534060"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Small localities with access to culture</w:t>
            </w:r>
          </w:p>
        </w:tc>
        <w:tc>
          <w:tcPr>
            <w:tcW w:w="1658" w:type="dxa"/>
            <w:tcBorders>
              <w:top w:val="nil"/>
              <w:left w:val="nil"/>
              <w:bottom w:val="single" w:sz="4" w:space="0" w:color="auto"/>
              <w:right w:val="single" w:sz="4" w:space="0" w:color="auto"/>
            </w:tcBorders>
            <w:shd w:val="clear" w:color="auto" w:fill="C6EFCE"/>
            <w:noWrap/>
          </w:tcPr>
          <w:p w14:paraId="2FD98FE6" w14:textId="43259A5D" w:rsidR="001460A9" w:rsidRPr="00C92F3A" w:rsidRDefault="001460A9">
            <w:pPr>
              <w:spacing w:after="0" w:line="240" w:lineRule="auto"/>
              <w:jc w:val="both"/>
              <w:rPr>
                <w:rFonts w:ascii="Times New Roman" w:eastAsia="Times New Roman" w:hAnsi="Times New Roman" w:cs="Times New Roman"/>
                <w:noProof/>
                <w:sz w:val="20"/>
                <w:szCs w:val="20"/>
                <w:lang w:val="en-GB" w:eastAsia="en-GB"/>
              </w:rPr>
            </w:pPr>
            <w:r w:rsidRPr="00C92F3A">
              <w:rPr>
                <w:rFonts w:ascii="Times New Roman" w:eastAsia="Times New Roman" w:hAnsi="Times New Roman" w:cs="Times New Roman"/>
                <w:noProof/>
                <w:sz w:val="20"/>
                <w:szCs w:val="20"/>
                <w:lang w:val="en-GB" w:eastAsia="en-GB"/>
              </w:rPr>
              <w:t>Payment of financing for cultural projects</w:t>
            </w:r>
            <w:r w:rsidR="00D23D91" w:rsidRPr="00C92F3A">
              <w:rPr>
                <w:rFonts w:ascii="Times New Roman" w:eastAsia="Times New Roman" w:hAnsi="Times New Roman" w:cs="Times New Roman"/>
                <w:noProof/>
                <w:sz w:val="20"/>
                <w:szCs w:val="20"/>
                <w:lang w:val="en-GB" w:eastAsia="en-GB"/>
              </w:rPr>
              <w:t xml:space="preserve"> </w:t>
            </w:r>
            <w:r w:rsidRPr="00C92F3A">
              <w:rPr>
                <w:rFonts w:ascii="Times New Roman" w:eastAsia="Times New Roman" w:hAnsi="Times New Roman" w:cs="Times New Roman"/>
                <w:noProof/>
                <w:sz w:val="20"/>
                <w:szCs w:val="20"/>
                <w:lang w:val="en-GB" w:eastAsia="en-GB"/>
              </w:rPr>
              <w:t>implemented in small localities</w:t>
            </w:r>
          </w:p>
        </w:tc>
        <w:tc>
          <w:tcPr>
            <w:tcW w:w="1298" w:type="dxa"/>
            <w:tcBorders>
              <w:top w:val="nil"/>
              <w:left w:val="nil"/>
              <w:bottom w:val="single" w:sz="4" w:space="0" w:color="auto"/>
              <w:right w:val="single" w:sz="4" w:space="0" w:color="auto"/>
            </w:tcBorders>
            <w:shd w:val="clear" w:color="auto" w:fill="C6EFCE"/>
            <w:noWrap/>
          </w:tcPr>
          <w:p w14:paraId="4872290B" w14:textId="77777777" w:rsidR="001460A9" w:rsidRPr="00C92F3A" w:rsidRDefault="001460A9">
            <w:pPr>
              <w:spacing w:after="0" w:line="240" w:lineRule="auto"/>
              <w:rPr>
                <w:rFonts w:ascii="Times New Roman" w:eastAsia="Times New Roman" w:hAnsi="Times New Roman" w:cs="Times New Roman"/>
                <w:noProof/>
                <w:sz w:val="20"/>
                <w:szCs w:val="20"/>
                <w:lang w:val="en-GB"/>
              </w:rPr>
            </w:pPr>
          </w:p>
        </w:tc>
        <w:tc>
          <w:tcPr>
            <w:tcW w:w="1157" w:type="dxa"/>
            <w:tcBorders>
              <w:top w:val="nil"/>
              <w:left w:val="nil"/>
              <w:bottom w:val="single" w:sz="4" w:space="0" w:color="auto"/>
              <w:right w:val="single" w:sz="4" w:space="0" w:color="auto"/>
            </w:tcBorders>
            <w:shd w:val="clear" w:color="auto" w:fill="C6EFCE"/>
            <w:noWrap/>
          </w:tcPr>
          <w:p w14:paraId="5E9D7791" w14:textId="77777777" w:rsidR="001460A9" w:rsidRPr="00C92F3A" w:rsidRDefault="001460A9">
            <w:pPr>
              <w:spacing w:after="0" w:line="240" w:lineRule="auto"/>
              <w:rPr>
                <w:rFonts w:ascii="Times New Roman" w:eastAsia="Times New Roman" w:hAnsi="Times New Roman" w:cs="Times New Roman"/>
                <w:noProof/>
                <w:sz w:val="20"/>
                <w:szCs w:val="20"/>
                <w:lang w:val="en-GB"/>
              </w:rPr>
            </w:pPr>
          </w:p>
        </w:tc>
        <w:tc>
          <w:tcPr>
            <w:tcW w:w="867" w:type="dxa"/>
            <w:tcBorders>
              <w:top w:val="nil"/>
              <w:left w:val="nil"/>
              <w:bottom w:val="single" w:sz="4" w:space="0" w:color="auto"/>
              <w:right w:val="single" w:sz="4" w:space="0" w:color="auto"/>
            </w:tcBorders>
            <w:shd w:val="clear" w:color="auto" w:fill="C6EFCE"/>
            <w:noWrap/>
          </w:tcPr>
          <w:p w14:paraId="5A00D715" w14:textId="77777777" w:rsidR="001460A9" w:rsidRPr="00C92F3A" w:rsidRDefault="001460A9">
            <w:pPr>
              <w:spacing w:after="0" w:line="240" w:lineRule="auto"/>
              <w:rPr>
                <w:rFonts w:ascii="Times New Roman" w:eastAsia="Times New Roman" w:hAnsi="Times New Roman" w:cs="Times New Roman"/>
                <w:noProof/>
                <w:sz w:val="20"/>
                <w:szCs w:val="20"/>
                <w:lang w:val="en-GB"/>
              </w:rPr>
            </w:pPr>
          </w:p>
        </w:tc>
        <w:tc>
          <w:tcPr>
            <w:tcW w:w="1122" w:type="dxa"/>
            <w:tcBorders>
              <w:top w:val="nil"/>
              <w:left w:val="nil"/>
              <w:bottom w:val="single" w:sz="4" w:space="0" w:color="auto"/>
              <w:right w:val="single" w:sz="4" w:space="0" w:color="auto"/>
            </w:tcBorders>
            <w:shd w:val="clear" w:color="auto" w:fill="C6EFCE"/>
            <w:noWrap/>
          </w:tcPr>
          <w:p w14:paraId="6D481F90"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Q2</w:t>
            </w:r>
          </w:p>
        </w:tc>
        <w:tc>
          <w:tcPr>
            <w:tcW w:w="874" w:type="dxa"/>
            <w:tcBorders>
              <w:top w:val="nil"/>
              <w:left w:val="nil"/>
              <w:bottom w:val="single" w:sz="4" w:space="0" w:color="auto"/>
              <w:right w:val="single" w:sz="4" w:space="0" w:color="auto"/>
            </w:tcBorders>
            <w:shd w:val="clear" w:color="auto" w:fill="C6EFCE"/>
            <w:noWrap/>
          </w:tcPr>
          <w:p w14:paraId="02EFB67A"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2026</w:t>
            </w:r>
          </w:p>
        </w:tc>
        <w:tc>
          <w:tcPr>
            <w:tcW w:w="3634" w:type="dxa"/>
            <w:tcBorders>
              <w:top w:val="nil"/>
              <w:left w:val="nil"/>
              <w:bottom w:val="single" w:sz="4" w:space="0" w:color="auto"/>
              <w:right w:val="single" w:sz="4" w:space="0" w:color="auto"/>
            </w:tcBorders>
            <w:shd w:val="clear" w:color="auto" w:fill="C6EFCE"/>
            <w:noWrap/>
          </w:tcPr>
          <w:p w14:paraId="41380DCF" w14:textId="2B136553"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eastAsia="Times New Roman" w:hAnsi="Times New Roman" w:cs="Times New Roman"/>
                <w:noProof/>
                <w:sz w:val="20"/>
                <w:szCs w:val="20"/>
                <w:lang w:val="en-GB"/>
              </w:rPr>
              <w:t>Payments of financing by the National Cultural Fund Administration for projects implemented in 50 localities with population under 50</w:t>
            </w:r>
            <w:r w:rsidR="00BD01A2">
              <w:rPr>
                <w:rFonts w:ascii="Times New Roman" w:eastAsia="Times New Roman" w:hAnsi="Times New Roman" w:cs="Times New Roman"/>
                <w:noProof/>
                <w:sz w:val="20"/>
                <w:szCs w:val="20"/>
                <w:lang w:val="en-GB"/>
              </w:rPr>
              <w:t> </w:t>
            </w:r>
            <w:r w:rsidRPr="00C92F3A">
              <w:rPr>
                <w:rFonts w:ascii="Times New Roman" w:eastAsia="Times New Roman" w:hAnsi="Times New Roman" w:cs="Times New Roman"/>
                <w:noProof/>
                <w:sz w:val="20"/>
                <w:szCs w:val="20"/>
                <w:lang w:val="en-GB"/>
              </w:rPr>
              <w:t>000.</w:t>
            </w:r>
          </w:p>
        </w:tc>
      </w:tr>
      <w:tr w:rsidR="001460A9" w:rsidRPr="00C92F3A" w14:paraId="5F84F0B1"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hideMark/>
          </w:tcPr>
          <w:p w14:paraId="451E528B"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348</w:t>
            </w:r>
          </w:p>
        </w:tc>
        <w:tc>
          <w:tcPr>
            <w:tcW w:w="1586" w:type="dxa"/>
            <w:tcBorders>
              <w:top w:val="nil"/>
              <w:left w:val="nil"/>
              <w:bottom w:val="single" w:sz="4" w:space="0" w:color="auto"/>
              <w:right w:val="single" w:sz="4" w:space="0" w:color="auto"/>
            </w:tcBorders>
            <w:shd w:val="clear" w:color="auto" w:fill="C6EFCE"/>
            <w:noWrap/>
            <w:hideMark/>
          </w:tcPr>
          <w:p w14:paraId="37517471"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Investment 6. Establish-mentof digital system for cultural funding processes</w:t>
            </w:r>
          </w:p>
        </w:tc>
        <w:tc>
          <w:tcPr>
            <w:tcW w:w="1302" w:type="dxa"/>
            <w:tcBorders>
              <w:top w:val="nil"/>
              <w:left w:val="nil"/>
              <w:bottom w:val="single" w:sz="4" w:space="0" w:color="auto"/>
              <w:right w:val="single" w:sz="4" w:space="0" w:color="auto"/>
            </w:tcBorders>
            <w:shd w:val="clear" w:color="auto" w:fill="C6EFCE"/>
            <w:noWrap/>
            <w:hideMark/>
          </w:tcPr>
          <w:p w14:paraId="4AECD3A3"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518" w:type="dxa"/>
            <w:tcBorders>
              <w:top w:val="nil"/>
              <w:left w:val="nil"/>
              <w:bottom w:val="single" w:sz="4" w:space="0" w:color="auto"/>
              <w:right w:val="single" w:sz="4" w:space="0" w:color="auto"/>
            </w:tcBorders>
            <w:shd w:val="clear" w:color="auto" w:fill="C6EFCE"/>
            <w:noWrap/>
            <w:hideMark/>
          </w:tcPr>
          <w:p w14:paraId="7A800414"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Digital system for </w:t>
            </w:r>
            <w:r w:rsidRPr="00C92F3A">
              <w:rPr>
                <w:rFonts w:ascii="Times New Roman" w:eastAsia="Times New Roman" w:hAnsi="Times New Roman" w:cs="Times New Roman"/>
                <w:noProof/>
                <w:sz w:val="20"/>
                <w:szCs w:val="20"/>
                <w:lang w:val="en-GB"/>
              </w:rPr>
              <w:t>cultural funding processes</w:t>
            </w:r>
            <w:r w:rsidRPr="00C92F3A">
              <w:rPr>
                <w:rFonts w:ascii="Times New Roman" w:hAnsi="Times New Roman" w:cs="Times New Roman"/>
                <w:noProof/>
                <w:sz w:val="20"/>
                <w:szCs w:val="20"/>
                <w:lang w:val="en-GB"/>
              </w:rPr>
              <w:t xml:space="preserve"> </w:t>
            </w:r>
          </w:p>
          <w:p w14:paraId="1C297ABD"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eastAsia="en-GB"/>
              </w:rPr>
            </w:pPr>
          </w:p>
        </w:tc>
        <w:tc>
          <w:tcPr>
            <w:tcW w:w="1658" w:type="dxa"/>
            <w:tcBorders>
              <w:top w:val="nil"/>
              <w:left w:val="nil"/>
              <w:bottom w:val="single" w:sz="4" w:space="0" w:color="auto"/>
              <w:right w:val="single" w:sz="4" w:space="0" w:color="auto"/>
            </w:tcBorders>
            <w:shd w:val="clear" w:color="auto" w:fill="C6EFCE"/>
            <w:noWrap/>
            <w:hideMark/>
          </w:tcPr>
          <w:p w14:paraId="7E5667B8" w14:textId="51747DB3"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Digital system for </w:t>
            </w:r>
            <w:r w:rsidRPr="00C92F3A">
              <w:rPr>
                <w:rFonts w:ascii="Times New Roman" w:eastAsia="Times New Roman" w:hAnsi="Times New Roman" w:cs="Times New Roman"/>
                <w:noProof/>
                <w:sz w:val="20"/>
                <w:szCs w:val="20"/>
                <w:lang w:val="en-GB"/>
              </w:rPr>
              <w:t>cultural funding processes</w:t>
            </w:r>
            <w:r w:rsidRPr="00C92F3A">
              <w:rPr>
                <w:rFonts w:ascii="Times New Roman" w:hAnsi="Times New Roman" w:cs="Times New Roman"/>
                <w:noProof/>
                <w:sz w:val="20"/>
                <w:szCs w:val="20"/>
                <w:lang w:val="en-GB"/>
              </w:rPr>
              <w:t xml:space="preserve"> accessible online</w:t>
            </w:r>
            <w:r w:rsidR="00D23D91" w:rsidRPr="00C92F3A">
              <w:rPr>
                <w:rFonts w:ascii="Times New Roman" w:hAnsi="Times New Roman" w:cs="Times New Roman"/>
                <w:noProof/>
                <w:sz w:val="20"/>
                <w:szCs w:val="20"/>
                <w:lang w:val="en-GB"/>
              </w:rPr>
              <w:t xml:space="preserve"> </w:t>
            </w:r>
          </w:p>
          <w:p w14:paraId="53D5ED7C"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eastAsia="en-GB"/>
              </w:rPr>
            </w:pPr>
          </w:p>
        </w:tc>
        <w:tc>
          <w:tcPr>
            <w:tcW w:w="1298" w:type="dxa"/>
            <w:tcBorders>
              <w:top w:val="nil"/>
              <w:left w:val="nil"/>
              <w:bottom w:val="single" w:sz="4" w:space="0" w:color="auto"/>
              <w:right w:val="single" w:sz="4" w:space="0" w:color="auto"/>
            </w:tcBorders>
            <w:shd w:val="clear" w:color="auto" w:fill="C6EFCE"/>
            <w:noWrap/>
            <w:hideMark/>
          </w:tcPr>
          <w:p w14:paraId="5104A0C3"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57" w:type="dxa"/>
            <w:tcBorders>
              <w:top w:val="nil"/>
              <w:left w:val="nil"/>
              <w:bottom w:val="single" w:sz="4" w:space="0" w:color="auto"/>
              <w:right w:val="single" w:sz="4" w:space="0" w:color="auto"/>
            </w:tcBorders>
            <w:shd w:val="clear" w:color="auto" w:fill="C6EFCE"/>
            <w:noWrap/>
            <w:hideMark/>
          </w:tcPr>
          <w:p w14:paraId="39983634"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867" w:type="dxa"/>
            <w:tcBorders>
              <w:top w:val="nil"/>
              <w:left w:val="nil"/>
              <w:bottom w:val="single" w:sz="4" w:space="0" w:color="auto"/>
              <w:right w:val="single" w:sz="4" w:space="0" w:color="auto"/>
            </w:tcBorders>
            <w:shd w:val="clear" w:color="auto" w:fill="C6EFCE"/>
            <w:noWrap/>
            <w:hideMark/>
          </w:tcPr>
          <w:p w14:paraId="1F6428CF"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22" w:type="dxa"/>
            <w:tcBorders>
              <w:top w:val="nil"/>
              <w:left w:val="nil"/>
              <w:bottom w:val="single" w:sz="4" w:space="0" w:color="auto"/>
              <w:right w:val="single" w:sz="4" w:space="0" w:color="auto"/>
            </w:tcBorders>
            <w:shd w:val="clear" w:color="auto" w:fill="C6EFCE"/>
            <w:noWrap/>
            <w:hideMark/>
          </w:tcPr>
          <w:p w14:paraId="607E3E5A"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Q3</w:t>
            </w:r>
          </w:p>
        </w:tc>
        <w:tc>
          <w:tcPr>
            <w:tcW w:w="874" w:type="dxa"/>
            <w:tcBorders>
              <w:top w:val="nil"/>
              <w:left w:val="nil"/>
              <w:bottom w:val="single" w:sz="4" w:space="0" w:color="auto"/>
              <w:right w:val="single" w:sz="4" w:space="0" w:color="auto"/>
            </w:tcBorders>
            <w:shd w:val="clear" w:color="auto" w:fill="C6EFCE"/>
            <w:noWrap/>
            <w:hideMark/>
          </w:tcPr>
          <w:p w14:paraId="662AE287"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2025</w:t>
            </w:r>
          </w:p>
        </w:tc>
        <w:tc>
          <w:tcPr>
            <w:tcW w:w="3634" w:type="dxa"/>
            <w:tcBorders>
              <w:top w:val="nil"/>
              <w:left w:val="nil"/>
              <w:bottom w:val="single" w:sz="4" w:space="0" w:color="auto"/>
              <w:right w:val="single" w:sz="4" w:space="0" w:color="auto"/>
            </w:tcBorders>
            <w:shd w:val="clear" w:color="auto" w:fill="C6EFCE"/>
            <w:noWrap/>
            <w:hideMark/>
          </w:tcPr>
          <w:p w14:paraId="16413B19" w14:textId="0BA9D5F4"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eastAsia="Times New Roman" w:hAnsi="Times New Roman" w:cs="Times New Roman"/>
                <w:noProof/>
                <w:sz w:val="20"/>
                <w:szCs w:val="20"/>
                <w:lang w:val="en-GB"/>
              </w:rPr>
              <w:t>The digital system for cultural funding processes is accessible online. It shall streamline application and project assessment and allow the</w:t>
            </w:r>
            <w:r w:rsidR="00D23D91" w:rsidRPr="00C92F3A">
              <w:rPr>
                <w:rFonts w:ascii="Times New Roman" w:eastAsia="Times New Roman" w:hAnsi="Times New Roman" w:cs="Times New Roman"/>
                <w:noProof/>
                <w:sz w:val="20"/>
                <w:szCs w:val="20"/>
                <w:lang w:val="en-GB"/>
              </w:rPr>
              <w:t xml:space="preserve"> </w:t>
            </w:r>
            <w:r w:rsidRPr="00C92F3A">
              <w:rPr>
                <w:rFonts w:ascii="Times New Roman" w:eastAsia="Times New Roman" w:hAnsi="Times New Roman" w:cs="Times New Roman"/>
                <w:noProof/>
                <w:sz w:val="20"/>
                <w:szCs w:val="20"/>
                <w:lang w:val="en-GB"/>
              </w:rPr>
              <w:t>registration of public cultural grants to prevent double funding. It shall allow</w:t>
            </w:r>
            <w:r w:rsidR="00D23D91" w:rsidRPr="00C92F3A">
              <w:rPr>
                <w:rFonts w:ascii="Times New Roman" w:eastAsia="Times New Roman" w:hAnsi="Times New Roman" w:cs="Times New Roman"/>
                <w:noProof/>
                <w:sz w:val="20"/>
                <w:szCs w:val="20"/>
                <w:lang w:val="en-GB"/>
              </w:rPr>
              <w:t xml:space="preserve"> </w:t>
            </w:r>
            <w:r w:rsidRPr="00C92F3A">
              <w:rPr>
                <w:rFonts w:ascii="Times New Roman" w:eastAsia="Times New Roman" w:hAnsi="Times New Roman" w:cs="Times New Roman"/>
                <w:noProof/>
                <w:sz w:val="20"/>
                <w:szCs w:val="20"/>
                <w:lang w:val="en-GB"/>
              </w:rPr>
              <w:t>data collection for cultural spending analysis and provide public access to non-confidential project information.</w:t>
            </w:r>
          </w:p>
        </w:tc>
      </w:tr>
      <w:tr w:rsidR="001460A9" w:rsidRPr="00C92F3A" w14:paraId="1CEE2749"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0A12A280"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350</w:t>
            </w:r>
          </w:p>
        </w:tc>
        <w:tc>
          <w:tcPr>
            <w:tcW w:w="1586" w:type="dxa"/>
            <w:tcBorders>
              <w:top w:val="nil"/>
              <w:left w:val="nil"/>
              <w:bottom w:val="single" w:sz="4" w:space="0" w:color="auto"/>
              <w:right w:val="single" w:sz="4" w:space="0" w:color="auto"/>
            </w:tcBorders>
            <w:shd w:val="clear" w:color="auto" w:fill="C6EFCE"/>
            <w:noWrap/>
          </w:tcPr>
          <w:p w14:paraId="07F0C712"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Investment 7. Accelerating the digitisation of film production and distribution</w:t>
            </w:r>
          </w:p>
        </w:tc>
        <w:tc>
          <w:tcPr>
            <w:tcW w:w="1302" w:type="dxa"/>
            <w:tcBorders>
              <w:top w:val="nil"/>
              <w:left w:val="nil"/>
              <w:bottom w:val="single" w:sz="4" w:space="0" w:color="auto"/>
              <w:right w:val="single" w:sz="4" w:space="0" w:color="auto"/>
            </w:tcBorders>
            <w:shd w:val="clear" w:color="auto" w:fill="C6EFCE"/>
            <w:noWrap/>
          </w:tcPr>
          <w:p w14:paraId="3B11A45A" w14:textId="77777777" w:rsidR="001460A9" w:rsidRPr="00C92F3A" w:rsidRDefault="001460A9">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Target</w:t>
            </w:r>
          </w:p>
        </w:tc>
        <w:tc>
          <w:tcPr>
            <w:tcW w:w="1518" w:type="dxa"/>
            <w:tcBorders>
              <w:top w:val="nil"/>
              <w:left w:val="nil"/>
              <w:bottom w:val="single" w:sz="4" w:space="0" w:color="auto"/>
              <w:right w:val="single" w:sz="4" w:space="0" w:color="auto"/>
            </w:tcBorders>
            <w:shd w:val="clear" w:color="auto" w:fill="C6EFCE"/>
            <w:noWrap/>
          </w:tcPr>
          <w:p w14:paraId="2EDAEDFB"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Film producers and distributors participating in trainings for digital skills capacity</w:t>
            </w:r>
          </w:p>
        </w:tc>
        <w:tc>
          <w:tcPr>
            <w:tcW w:w="1658" w:type="dxa"/>
            <w:tcBorders>
              <w:top w:val="nil"/>
              <w:left w:val="nil"/>
              <w:bottom w:val="single" w:sz="4" w:space="0" w:color="auto"/>
              <w:right w:val="single" w:sz="4" w:space="0" w:color="auto"/>
            </w:tcBorders>
            <w:shd w:val="clear" w:color="auto" w:fill="C6EFCE"/>
            <w:noWrap/>
          </w:tcPr>
          <w:p w14:paraId="1FE8957F"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1298" w:type="dxa"/>
            <w:tcBorders>
              <w:top w:val="nil"/>
              <w:left w:val="nil"/>
              <w:bottom w:val="single" w:sz="4" w:space="0" w:color="auto"/>
              <w:right w:val="single" w:sz="4" w:space="0" w:color="auto"/>
            </w:tcBorders>
            <w:shd w:val="clear" w:color="auto" w:fill="C6EFCE"/>
            <w:noWrap/>
          </w:tcPr>
          <w:p w14:paraId="38BBDE69" w14:textId="77777777" w:rsidR="001460A9" w:rsidRPr="00C92F3A" w:rsidRDefault="001460A9">
            <w:pPr>
              <w:spacing w:after="0" w:line="240" w:lineRule="auto"/>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Number</w:t>
            </w:r>
          </w:p>
        </w:tc>
        <w:tc>
          <w:tcPr>
            <w:tcW w:w="1157" w:type="dxa"/>
            <w:tcBorders>
              <w:top w:val="nil"/>
              <w:left w:val="nil"/>
              <w:bottom w:val="single" w:sz="4" w:space="0" w:color="auto"/>
              <w:right w:val="single" w:sz="4" w:space="0" w:color="auto"/>
            </w:tcBorders>
            <w:shd w:val="clear" w:color="auto" w:fill="C6EFCE"/>
            <w:noWrap/>
          </w:tcPr>
          <w:p w14:paraId="1A50419B" w14:textId="77777777" w:rsidR="001460A9" w:rsidRPr="00C92F3A" w:rsidRDefault="001460A9">
            <w:pPr>
              <w:spacing w:after="0" w:line="240" w:lineRule="auto"/>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0</w:t>
            </w:r>
          </w:p>
        </w:tc>
        <w:tc>
          <w:tcPr>
            <w:tcW w:w="867" w:type="dxa"/>
            <w:tcBorders>
              <w:top w:val="nil"/>
              <w:left w:val="nil"/>
              <w:bottom w:val="single" w:sz="4" w:space="0" w:color="auto"/>
              <w:right w:val="single" w:sz="4" w:space="0" w:color="auto"/>
            </w:tcBorders>
            <w:shd w:val="clear" w:color="auto" w:fill="C6EFCE"/>
            <w:noWrap/>
          </w:tcPr>
          <w:p w14:paraId="13F19A86" w14:textId="77777777" w:rsidR="001460A9" w:rsidRPr="00C92F3A" w:rsidRDefault="001460A9">
            <w:pPr>
              <w:spacing w:after="0" w:line="240" w:lineRule="auto"/>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40</w:t>
            </w:r>
          </w:p>
        </w:tc>
        <w:tc>
          <w:tcPr>
            <w:tcW w:w="1122" w:type="dxa"/>
            <w:tcBorders>
              <w:top w:val="nil"/>
              <w:left w:val="nil"/>
              <w:bottom w:val="single" w:sz="4" w:space="0" w:color="auto"/>
              <w:right w:val="single" w:sz="4" w:space="0" w:color="auto"/>
            </w:tcBorders>
            <w:shd w:val="clear" w:color="auto" w:fill="C6EFCE"/>
            <w:noWrap/>
          </w:tcPr>
          <w:p w14:paraId="36C1B789"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Q3</w:t>
            </w:r>
          </w:p>
        </w:tc>
        <w:tc>
          <w:tcPr>
            <w:tcW w:w="874" w:type="dxa"/>
            <w:tcBorders>
              <w:top w:val="nil"/>
              <w:left w:val="nil"/>
              <w:bottom w:val="single" w:sz="4" w:space="0" w:color="auto"/>
              <w:right w:val="single" w:sz="4" w:space="0" w:color="auto"/>
            </w:tcBorders>
            <w:shd w:val="clear" w:color="auto" w:fill="C6EFCE"/>
            <w:noWrap/>
          </w:tcPr>
          <w:p w14:paraId="40AAC6BB"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2025</w:t>
            </w:r>
          </w:p>
        </w:tc>
        <w:tc>
          <w:tcPr>
            <w:tcW w:w="3634" w:type="dxa"/>
            <w:tcBorders>
              <w:top w:val="nil"/>
              <w:left w:val="nil"/>
              <w:bottom w:val="single" w:sz="4" w:space="0" w:color="auto"/>
              <w:right w:val="single" w:sz="4" w:space="0" w:color="auto"/>
            </w:tcBorders>
            <w:shd w:val="clear" w:color="auto" w:fill="C6EFCE"/>
            <w:noWrap/>
          </w:tcPr>
          <w:p w14:paraId="7296C41B"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eastAsia="Times New Roman" w:hAnsi="Times New Roman" w:cs="Times New Roman"/>
                <w:noProof/>
                <w:sz w:val="20"/>
                <w:szCs w:val="20"/>
                <w:lang w:val="en-GB"/>
              </w:rPr>
              <w:t>Certificates for trainings in digital skills capacity of film producers and distributors from 40 undertakings active in the film and media sector.</w:t>
            </w:r>
          </w:p>
        </w:tc>
      </w:tr>
    </w:tbl>
    <w:p w14:paraId="7765EF83" w14:textId="77777777" w:rsidR="001460A9" w:rsidRPr="00291374" w:rsidRDefault="001460A9" w:rsidP="001460A9">
      <w:pPr>
        <w:rPr>
          <w:rFonts w:ascii="Times New Roman" w:hAnsi="Times New Roman" w:cs="Times New Roman"/>
          <w:noProof/>
          <w:lang w:val="en-GB"/>
        </w:rPr>
      </w:pPr>
    </w:p>
    <w:p w14:paraId="1CA2662F" w14:textId="77777777" w:rsidR="001460A9" w:rsidRPr="00291374" w:rsidRDefault="001460A9" w:rsidP="001460A9">
      <w:pPr>
        <w:rPr>
          <w:rFonts w:ascii="Times New Roman" w:hAnsi="Times New Roman" w:cs="Times New Roman"/>
          <w:noProof/>
          <w:lang w:val="en-GB"/>
        </w:rPr>
        <w:sectPr w:rsidR="001460A9" w:rsidRPr="00291374" w:rsidSect="001460A9">
          <w:headerReference w:type="even" r:id="rId264"/>
          <w:headerReference w:type="default" r:id="rId265"/>
          <w:footerReference w:type="even" r:id="rId266"/>
          <w:footerReference w:type="default" r:id="rId267"/>
          <w:headerReference w:type="first" r:id="rId268"/>
          <w:footerReference w:type="first" r:id="rId269"/>
          <w:pgSz w:w="16839" w:h="11907" w:orient="landscape"/>
          <w:pgMar w:top="1134" w:right="1134" w:bottom="1134" w:left="1134" w:header="567" w:footer="567" w:gutter="0"/>
          <w:cols w:space="720"/>
          <w:docGrid w:linePitch="360"/>
        </w:sectPr>
      </w:pPr>
    </w:p>
    <w:p w14:paraId="1D36DAA4" w14:textId="77777777" w:rsidR="001460A9" w:rsidRPr="00291374" w:rsidRDefault="001460A9" w:rsidP="001460A9">
      <w:pPr>
        <w:keepNext/>
        <w:spacing w:before="120" w:after="120" w:line="240" w:lineRule="auto"/>
        <w:jc w:val="both"/>
        <w:outlineLvl w:val="1"/>
        <w:rPr>
          <w:rFonts w:ascii="Times New Roman" w:eastAsia="Times New Roman" w:hAnsi="Times New Roman" w:cs="Times New Roman"/>
          <w:b/>
          <w:bCs/>
          <w:noProof/>
          <w:lang w:val="en-GB"/>
        </w:rPr>
      </w:pPr>
      <w:r w:rsidRPr="00291374">
        <w:rPr>
          <w:rFonts w:ascii="Times New Roman" w:eastAsia="Times New Roman" w:hAnsi="Times New Roman" w:cs="Times New Roman"/>
          <w:b/>
          <w:bCs/>
          <w:noProof/>
          <w:lang w:val="en-GB"/>
        </w:rPr>
        <w:t xml:space="preserve">K.3. </w:t>
      </w:r>
      <w:r w:rsidRPr="00291374">
        <w:rPr>
          <w:rFonts w:ascii="Times New Roman" w:hAnsi="Times New Roman" w:cs="Times New Roman"/>
          <w:noProof/>
        </w:rPr>
        <w:tab/>
      </w:r>
      <w:r w:rsidRPr="00291374">
        <w:rPr>
          <w:rFonts w:ascii="Times New Roman" w:eastAsia="Times New Roman" w:hAnsi="Times New Roman" w:cs="Times New Roman"/>
          <w:b/>
          <w:bCs/>
          <w:noProof/>
          <w:lang w:val="en-GB"/>
        </w:rPr>
        <w:t xml:space="preserve">Description of the reforms and investments for the loan </w:t>
      </w:r>
    </w:p>
    <w:p w14:paraId="5C6E7694" w14:textId="77777777" w:rsidR="001460A9" w:rsidRPr="00291374" w:rsidRDefault="001460A9" w:rsidP="001460A9">
      <w:pPr>
        <w:suppressAutoHyphens/>
        <w:autoSpaceDN w:val="0"/>
        <w:spacing w:before="240" w:after="0" w:line="240" w:lineRule="auto"/>
        <w:jc w:val="both"/>
        <w:textAlignment w:val="baseline"/>
        <w:rPr>
          <w:rFonts w:ascii="Times New Roman" w:eastAsia="Times New Roman" w:hAnsi="Times New Roman" w:cs="Times New Roman"/>
          <w:noProof/>
          <w:kern w:val="3"/>
          <w:u w:val="single"/>
          <w:lang w:val="en-GB"/>
        </w:rPr>
      </w:pPr>
      <w:r w:rsidRPr="00291374">
        <w:rPr>
          <w:rFonts w:ascii="Times New Roman" w:eastAsia="Times New Roman" w:hAnsi="Times New Roman" w:cs="Times New Roman"/>
          <w:noProof/>
          <w:kern w:val="3"/>
          <w:u w:val="single"/>
          <w:lang w:val="en-GB"/>
        </w:rPr>
        <w:t xml:space="preserve">Reform 1. Operationalisation of Destination Management Organisations (DMOs) </w:t>
      </w:r>
    </w:p>
    <w:p w14:paraId="14C80407"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objective of this reform is to increase the competitiveness of the Romanian tourism sector and promote sustainable socio-economic transformation in rural and disadvantaged areas by adopting the necessary framework for the operationalisation of Destination Management Organisations.</w:t>
      </w:r>
    </w:p>
    <w:p w14:paraId="584F4879"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 xml:space="preserve">The implementation of this reform shall consist in adopting a legislative framework necessary for the functioning of the Destination Management Organisations and the development of an Action Plan dedicated to the valorisation of cultural heritage in order to increase the competitiveness of the Romanian tourism sector. </w:t>
      </w:r>
    </w:p>
    <w:p w14:paraId="749C322E"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establishment and operationalisation of Destination Management Organisations shall be based on the recommendations of the Organisation for Economic Co-operation and Development (OECD) included in the “Operationalisation of Destination Management Organisations” study.</w:t>
      </w:r>
    </w:p>
    <w:p w14:paraId="273E01F4"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legislative framework necessary for the operation of the Destination Management Organisations shall also include a detailed description of the financing mechanism and a clear governance model. The action plan shall be carried out in line with the set of measures proposed in the Destination Management Organisation Development Strategy and shall be in line with the results of the mapping activity.</w:t>
      </w:r>
    </w:p>
    <w:p w14:paraId="10DDAF35"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Destination Management Organisation shall be a legal entity carrying out the tourist development policy of each specific destination, including the destination marketing policy, in accordance with the legal provisions in force, bringing together a number of other organisations, such as: business operators, public sector institutions, professional and employers’ associations and regulatory bodies. Regional Destination Management Organisations shall be designed to form an effective network focusing on local competitive advantages and shall work in partnership with the national tourist authority.</w:t>
      </w:r>
    </w:p>
    <w:p w14:paraId="23973542"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implementation of the reform shall be completed by 31 December 2023.</w:t>
      </w:r>
    </w:p>
    <w:p w14:paraId="7AE2F6DF" w14:textId="42043D6F" w:rsidR="001460A9" w:rsidRPr="00291374" w:rsidRDefault="001460A9" w:rsidP="001460A9">
      <w:pPr>
        <w:suppressAutoHyphens/>
        <w:autoSpaceDN w:val="0"/>
        <w:spacing w:before="240" w:after="0" w:line="240" w:lineRule="auto"/>
        <w:jc w:val="both"/>
        <w:textAlignment w:val="baseline"/>
        <w:rPr>
          <w:rFonts w:ascii="Times New Roman" w:eastAsia="Times New Roman" w:hAnsi="Times New Roman" w:cs="Times New Roman"/>
          <w:noProof/>
          <w:kern w:val="3"/>
          <w:u w:val="single"/>
          <w:lang w:val="en-GB"/>
        </w:rPr>
      </w:pPr>
      <w:bookmarkStart w:id="23" w:name="_Hlk210227868"/>
      <w:r w:rsidRPr="00291374">
        <w:rPr>
          <w:rFonts w:ascii="Times New Roman" w:eastAsia="Times New Roman" w:hAnsi="Times New Roman" w:cs="Times New Roman"/>
          <w:noProof/>
          <w:kern w:val="3"/>
          <w:u w:val="single"/>
          <w:lang w:val="en-GB"/>
        </w:rPr>
        <w:t>Investment 1. Promotion of the 12 touristic/ cultural routes</w:t>
      </w:r>
      <w:r w:rsidR="00D23D91">
        <w:rPr>
          <w:rFonts w:ascii="Times New Roman" w:eastAsia="Times New Roman" w:hAnsi="Times New Roman" w:cs="Times New Roman"/>
          <w:noProof/>
          <w:kern w:val="3"/>
          <w:u w:val="single"/>
          <w:lang w:val="en-GB"/>
        </w:rPr>
        <w:t xml:space="preserve"> </w:t>
      </w:r>
    </w:p>
    <w:p w14:paraId="7025B74E"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 xml:space="preserve">The objective of this investment is to roll out 12 thematic tourist routes. </w:t>
      </w:r>
    </w:p>
    <w:p w14:paraId="71F6138F"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This measure consists in the promotion of touristic routes and in carrying out works of restoration, consolidation, rehabilitation or conservation on touristic sites.</w:t>
      </w:r>
    </w:p>
    <w:p w14:paraId="08594845" w14:textId="77777777" w:rsidR="001460A9" w:rsidRPr="00291374" w:rsidRDefault="001460A9" w:rsidP="001460A9">
      <w:pPr>
        <w:suppressAutoHyphens/>
        <w:autoSpaceDN w:val="0"/>
        <w:spacing w:before="240" w:after="0" w:line="240" w:lineRule="auto"/>
        <w:jc w:val="both"/>
        <w:textAlignment w:val="baseline"/>
        <w:rPr>
          <w:rFonts w:ascii="Times New Roman" w:eastAsia="Times New Roman" w:hAnsi="Times New Roman" w:cs="Times New Roman"/>
          <w:noProof/>
          <w:kern w:val="3"/>
          <w:u w:val="single"/>
          <w:lang w:val="en-GB"/>
        </w:rPr>
      </w:pPr>
      <w:r w:rsidRPr="00291374">
        <w:rPr>
          <w:rFonts w:ascii="Times New Roman" w:eastAsia="Times New Roman" w:hAnsi="Times New Roman" w:cs="Times New Roman"/>
          <w:noProof/>
          <w:kern w:val="3"/>
          <w:u w:val="single"/>
          <w:lang w:val="en-GB"/>
        </w:rPr>
        <w:t>Investment 2. Modernisation/creation of museums and memorials</w:t>
      </w:r>
    </w:p>
    <w:p w14:paraId="64362128" w14:textId="4BF8EBAD"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objective of this investment is to increase cultural tourism through creating or modernising</w:t>
      </w:r>
      <w:r w:rsidR="00D23D91">
        <w:rPr>
          <w:rFonts w:ascii="Times New Roman" w:eastAsia="Times New Roman" w:hAnsi="Times New Roman" w:cs="Times New Roman"/>
          <w:noProof/>
          <w:lang w:val="en-GB"/>
        </w:rPr>
        <w:t xml:space="preserve"> </w:t>
      </w:r>
      <w:r w:rsidRPr="00291374">
        <w:rPr>
          <w:rFonts w:ascii="Times New Roman" w:eastAsia="Times New Roman" w:hAnsi="Times New Roman" w:cs="Times New Roman"/>
          <w:noProof/>
          <w:lang w:val="en-GB"/>
        </w:rPr>
        <w:t>museums and memorials dedicated to oppression and conflict.</w:t>
      </w:r>
    </w:p>
    <w:p w14:paraId="0BA2EE2D"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This measure consists in the modernisation or building of museums or memorial sites.</w:t>
      </w:r>
      <w:bookmarkEnd w:id="23"/>
    </w:p>
    <w:p w14:paraId="0497E461" w14:textId="7A1FE51D" w:rsidR="001460A9" w:rsidRPr="00291374" w:rsidRDefault="001460A9" w:rsidP="001460A9">
      <w:pPr>
        <w:suppressAutoHyphens/>
        <w:autoSpaceDN w:val="0"/>
        <w:spacing w:before="240" w:after="0" w:line="240" w:lineRule="auto"/>
        <w:jc w:val="both"/>
        <w:textAlignment w:val="baseline"/>
        <w:rPr>
          <w:rFonts w:ascii="Times New Roman" w:eastAsia="Times New Roman" w:hAnsi="Times New Roman" w:cs="Times New Roman"/>
          <w:noProof/>
          <w:kern w:val="3"/>
          <w:u w:val="single"/>
          <w:lang w:val="en-GB"/>
        </w:rPr>
      </w:pPr>
      <w:r w:rsidRPr="00291374">
        <w:rPr>
          <w:rFonts w:ascii="Times New Roman" w:eastAsia="Times New Roman" w:hAnsi="Times New Roman" w:cs="Times New Roman"/>
          <w:noProof/>
          <w:kern w:val="3"/>
          <w:u w:val="single"/>
          <w:lang w:val="en-GB"/>
        </w:rPr>
        <w:t>Reform 2. Framework for the operationalisation of cycling routes at national level</w:t>
      </w:r>
      <w:r w:rsidR="00D23D91">
        <w:rPr>
          <w:rFonts w:ascii="Times New Roman" w:eastAsia="Times New Roman" w:hAnsi="Times New Roman" w:cs="Times New Roman"/>
          <w:noProof/>
          <w:kern w:val="3"/>
          <w:u w:val="single"/>
          <w:lang w:val="en-GB"/>
        </w:rPr>
        <w:t xml:space="preserve"> </w:t>
      </w:r>
    </w:p>
    <w:p w14:paraId="52212146"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objective of this reform is to contribute to economic development of small towns and rural areas by adopting a legislative, institutional and investment framework for cycling routes and sustainable forms of tourism.</w:t>
      </w:r>
    </w:p>
    <w:p w14:paraId="5C065192"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implementation of this reform shall consist of a regulatory reform to establish the relevant entities, the criteria for cycling routes and the incentives to promote cycling tourism.</w:t>
      </w:r>
    </w:p>
    <w:p w14:paraId="79743164" w14:textId="77777777" w:rsidR="001460A9" w:rsidRDefault="001460A9" w:rsidP="001460A9">
      <w:pPr>
        <w:spacing w:before="120" w:after="120" w:line="240" w:lineRule="auto"/>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implementation of the reform shall be completed by 31 March 2022.</w:t>
      </w:r>
    </w:p>
    <w:p w14:paraId="05B9A677" w14:textId="77777777" w:rsidR="00C92F3A" w:rsidRDefault="00C92F3A" w:rsidP="001460A9">
      <w:pPr>
        <w:spacing w:before="120" w:after="120" w:line="240" w:lineRule="auto"/>
        <w:rPr>
          <w:rFonts w:ascii="Times New Roman" w:eastAsia="Times New Roman" w:hAnsi="Times New Roman" w:cs="Times New Roman"/>
          <w:noProof/>
          <w:lang w:val="en-GB"/>
        </w:rPr>
      </w:pPr>
    </w:p>
    <w:p w14:paraId="6398C841" w14:textId="77777777" w:rsidR="00C92F3A" w:rsidRPr="00291374" w:rsidRDefault="00C92F3A" w:rsidP="001460A9">
      <w:pPr>
        <w:spacing w:before="120" w:after="120" w:line="240" w:lineRule="auto"/>
        <w:rPr>
          <w:rFonts w:ascii="Times New Roman" w:eastAsia="Times New Roman" w:hAnsi="Times New Roman" w:cs="Times New Roman"/>
          <w:noProof/>
          <w:lang w:val="en-GB"/>
        </w:rPr>
      </w:pPr>
    </w:p>
    <w:p w14:paraId="7997C3FC" w14:textId="77777777" w:rsidR="001460A9" w:rsidRPr="00291374" w:rsidRDefault="001460A9" w:rsidP="001460A9">
      <w:pPr>
        <w:suppressAutoHyphens/>
        <w:autoSpaceDN w:val="0"/>
        <w:spacing w:before="240" w:after="0" w:line="240" w:lineRule="auto"/>
        <w:jc w:val="both"/>
        <w:textAlignment w:val="baseline"/>
        <w:rPr>
          <w:rFonts w:ascii="Times New Roman" w:eastAsia="Times New Roman" w:hAnsi="Times New Roman" w:cs="Times New Roman"/>
          <w:noProof/>
          <w:kern w:val="3"/>
          <w:u w:val="single"/>
          <w:lang w:val="en-GB"/>
        </w:rPr>
      </w:pPr>
      <w:r w:rsidRPr="00291374">
        <w:rPr>
          <w:rFonts w:ascii="Times New Roman" w:eastAsia="Times New Roman" w:hAnsi="Times New Roman" w:cs="Times New Roman"/>
          <w:noProof/>
          <w:kern w:val="3"/>
          <w:u w:val="single"/>
          <w:lang w:val="en-GB"/>
        </w:rPr>
        <w:t xml:space="preserve">Investment 3. Establishment and operationalisation of the Velo National Coordination Centre </w:t>
      </w:r>
    </w:p>
    <w:p w14:paraId="4E4681B9"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objective of this investment is to contribute to sustainable mobility by promoting cycling via a new Velo National Coordination Centre.</w:t>
      </w:r>
    </w:p>
    <w:p w14:paraId="01EB74B2"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implementation of this investment shall include a study on cycle tourism routes at national level that shall form the basis for the digitalisation of Velo runways and routes and the development of a National eVelo Platform with an integrated digital application for all cycle tourism routes and a dedicated website.</w:t>
      </w:r>
    </w:p>
    <w:p w14:paraId="40E88603"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implementation of the investment shall be completed by 30 September 2022.</w:t>
      </w:r>
    </w:p>
    <w:p w14:paraId="336A0785" w14:textId="01E577CF" w:rsidR="001460A9" w:rsidRPr="00291374" w:rsidRDefault="001460A9" w:rsidP="001460A9">
      <w:pPr>
        <w:spacing w:before="120" w:after="120" w:line="240" w:lineRule="auto"/>
        <w:jc w:val="both"/>
        <w:rPr>
          <w:rFonts w:ascii="Times New Roman" w:eastAsia="Times New Roman" w:hAnsi="Times New Roman" w:cs="Times New Roman"/>
          <w:noProof/>
          <w:u w:val="single"/>
          <w:lang w:val="en-GB"/>
        </w:rPr>
      </w:pPr>
      <w:r w:rsidRPr="00291374">
        <w:rPr>
          <w:rFonts w:ascii="Times New Roman" w:eastAsia="Times New Roman" w:hAnsi="Times New Roman" w:cs="Times New Roman"/>
          <w:noProof/>
          <w:u w:val="single"/>
          <w:lang w:val="en-GB"/>
        </w:rPr>
        <w:t xml:space="preserve">Investment 4. Construction of </w:t>
      </w:r>
      <w:r w:rsidR="00573883">
        <w:rPr>
          <w:rFonts w:ascii="Times New Roman" w:eastAsia="Times New Roman" w:hAnsi="Times New Roman" w:cs="Times New Roman"/>
          <w:noProof/>
          <w:u w:val="single"/>
          <w:lang w:val="en-GB"/>
        </w:rPr>
        <w:t xml:space="preserve">at least </w:t>
      </w:r>
      <w:r w:rsidRPr="00291374">
        <w:rPr>
          <w:rFonts w:ascii="Times New Roman" w:eastAsia="Times New Roman" w:hAnsi="Times New Roman" w:cs="Times New Roman"/>
          <w:noProof/>
          <w:u w:val="single"/>
          <w:lang w:val="en-GB"/>
        </w:rPr>
        <w:t>236 km of cycling routes</w:t>
      </w:r>
    </w:p>
    <w:p w14:paraId="05AF4F6A"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 xml:space="preserve">The objective of this investment is to increase sustainable transport through the construction of cycling routes infrastructure. </w:t>
      </w:r>
    </w:p>
    <w:p w14:paraId="31863DAC"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 xml:space="preserve">This measure consists in the construction of cycling routes across Romania. </w:t>
      </w:r>
    </w:p>
    <w:p w14:paraId="05F8B0C0" w14:textId="77777777" w:rsidR="001460A9" w:rsidRPr="00291374" w:rsidRDefault="001460A9" w:rsidP="001460A9">
      <w:pPr>
        <w:suppressAutoHyphens/>
        <w:autoSpaceDN w:val="0"/>
        <w:spacing w:before="240" w:after="0" w:line="240" w:lineRule="auto"/>
        <w:jc w:val="both"/>
        <w:textAlignment w:val="baseline"/>
        <w:rPr>
          <w:rFonts w:ascii="Times New Roman" w:eastAsia="Times New Roman" w:hAnsi="Times New Roman" w:cs="Times New Roman"/>
          <w:noProof/>
          <w:kern w:val="3"/>
          <w:u w:val="single"/>
          <w:lang w:val="en-GB"/>
        </w:rPr>
      </w:pPr>
      <w:r w:rsidRPr="00291374">
        <w:rPr>
          <w:rFonts w:ascii="Times New Roman" w:eastAsia="Times New Roman" w:hAnsi="Times New Roman" w:cs="Times New Roman"/>
          <w:noProof/>
          <w:kern w:val="3"/>
          <w:u w:val="single"/>
          <w:lang w:val="en-GB"/>
        </w:rPr>
        <w:t>Reform 3. Reforming the funding system for the cultural sector</w:t>
      </w:r>
    </w:p>
    <w:p w14:paraId="30A1713F" w14:textId="4AB68B08"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objective of this reform</w:t>
      </w:r>
      <w:r w:rsidR="00D23D91">
        <w:rPr>
          <w:rFonts w:ascii="Times New Roman" w:eastAsia="Times New Roman" w:hAnsi="Times New Roman" w:cs="Times New Roman"/>
          <w:noProof/>
          <w:lang w:val="en-GB"/>
        </w:rPr>
        <w:t xml:space="preserve"> </w:t>
      </w:r>
      <w:r w:rsidRPr="00291374">
        <w:rPr>
          <w:rFonts w:ascii="Times New Roman" w:eastAsia="Times New Roman" w:hAnsi="Times New Roman" w:cs="Times New Roman"/>
          <w:noProof/>
          <w:lang w:val="en-GB"/>
        </w:rPr>
        <w:t>is to establish the legal and administrative framework for cultural workers</w:t>
      </w:r>
    </w:p>
    <w:p w14:paraId="3C8239E8"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This measures consists in the adoption of legal acts on the funding system for cultural projects and the support to workers in cultural sectors.</w:t>
      </w:r>
    </w:p>
    <w:p w14:paraId="6AF43FB6" w14:textId="77777777" w:rsidR="001460A9" w:rsidRPr="00291374" w:rsidRDefault="001460A9" w:rsidP="001460A9">
      <w:pPr>
        <w:spacing w:before="120" w:after="120" w:line="240" w:lineRule="auto"/>
        <w:jc w:val="both"/>
        <w:rPr>
          <w:rFonts w:ascii="Times New Roman" w:eastAsia="Times New Roman" w:hAnsi="Times New Roman" w:cs="Times New Roman"/>
          <w:noProof/>
          <w:lang w:val="en-GB"/>
        </w:rPr>
        <w:sectPr w:rsidR="001460A9" w:rsidRPr="00291374" w:rsidSect="001460A9">
          <w:headerReference w:type="even" r:id="rId270"/>
          <w:headerReference w:type="default" r:id="rId271"/>
          <w:footerReference w:type="even" r:id="rId272"/>
          <w:footerReference w:type="default" r:id="rId273"/>
          <w:headerReference w:type="first" r:id="rId274"/>
          <w:footerReference w:type="first" r:id="rId275"/>
          <w:pgSz w:w="11907" w:h="16839"/>
          <w:pgMar w:top="1134" w:right="1134" w:bottom="1134" w:left="1134" w:header="567" w:footer="567" w:gutter="0"/>
          <w:cols w:space="720"/>
          <w:docGrid w:linePitch="360"/>
        </w:sectPr>
      </w:pPr>
      <w:r w:rsidRPr="00291374">
        <w:rPr>
          <w:rFonts w:ascii="Times New Roman" w:eastAsia="Times New Roman" w:hAnsi="Times New Roman" w:cs="Times New Roman"/>
          <w:noProof/>
          <w:lang w:val="en-GB"/>
        </w:rPr>
        <w:t>This measure complements sub-reform Reform 3.a.: Reforming the funding system for the cultural sector.</w:t>
      </w:r>
      <w:r w:rsidRPr="00291374">
        <w:rPr>
          <w:rFonts w:ascii="Times New Roman" w:eastAsia="Times New Roman" w:hAnsi="Times New Roman" w:cs="Times New Roman"/>
          <w:noProof/>
          <w:lang w:val="en-GB"/>
        </w:rPr>
        <w:tab/>
      </w:r>
    </w:p>
    <w:p w14:paraId="373D1F6E" w14:textId="77777777" w:rsidR="001460A9" w:rsidRPr="00291374" w:rsidRDefault="001460A9" w:rsidP="001460A9">
      <w:pPr>
        <w:keepNext/>
        <w:spacing w:before="120" w:after="120" w:line="240" w:lineRule="auto"/>
        <w:ind w:firstLine="720"/>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K.4. </w:t>
      </w:r>
      <w:r w:rsidRPr="00291374">
        <w:rPr>
          <w:rFonts w:ascii="Times New Roman" w:hAnsi="Times New Roman" w:cs="Times New Roman"/>
          <w:noProof/>
          <w:lang w:val="en-GB"/>
        </w:rPr>
        <w:tab/>
      </w:r>
      <w:r w:rsidRPr="00291374">
        <w:rPr>
          <w:rFonts w:ascii="Times New Roman" w:hAnsi="Times New Roman" w:cs="Times New Roman"/>
          <w:b/>
          <w:noProof/>
          <w:lang w:val="en-GB"/>
        </w:rPr>
        <w:t xml:space="preserve">Milestones, targets, indicators, and timetable for monitoring and implementation for the loan </w:t>
      </w:r>
    </w:p>
    <w:tbl>
      <w:tblPr>
        <w:tblW w:w="15881" w:type="dxa"/>
        <w:jc w:val="center"/>
        <w:tblLayout w:type="fixed"/>
        <w:tblLook w:val="04A0" w:firstRow="1" w:lastRow="0" w:firstColumn="1" w:lastColumn="0" w:noHBand="0" w:noVBand="1"/>
      </w:tblPr>
      <w:tblGrid>
        <w:gridCol w:w="865"/>
        <w:gridCol w:w="1586"/>
        <w:gridCol w:w="1302"/>
        <w:gridCol w:w="1518"/>
        <w:gridCol w:w="1658"/>
        <w:gridCol w:w="1298"/>
        <w:gridCol w:w="1157"/>
        <w:gridCol w:w="867"/>
        <w:gridCol w:w="1122"/>
        <w:gridCol w:w="874"/>
        <w:gridCol w:w="3634"/>
      </w:tblGrid>
      <w:tr w:rsidR="001460A9" w:rsidRPr="00C92F3A" w14:paraId="60F7EBAA" w14:textId="77777777">
        <w:trPr>
          <w:trHeight w:val="632"/>
          <w:tblHeader/>
          <w:jc w:val="center"/>
        </w:trPr>
        <w:tc>
          <w:tcPr>
            <w:tcW w:w="86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EB919B"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Seq. Num.</w:t>
            </w:r>
          </w:p>
        </w:tc>
        <w:tc>
          <w:tcPr>
            <w:tcW w:w="158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E3DCE8F"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Related Measure (Reform or Investment)</w:t>
            </w:r>
          </w:p>
        </w:tc>
        <w:tc>
          <w:tcPr>
            <w:tcW w:w="13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42A2954"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Milestone / Target</w:t>
            </w:r>
          </w:p>
        </w:tc>
        <w:tc>
          <w:tcPr>
            <w:tcW w:w="15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804C36"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Name</w:t>
            </w:r>
          </w:p>
        </w:tc>
        <w:tc>
          <w:tcPr>
            <w:tcW w:w="165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4F8A583"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 xml:space="preserve">Qualitative indicators </w:t>
            </w:r>
            <w:r w:rsidRPr="00C92F3A">
              <w:rPr>
                <w:rFonts w:ascii="Times New Roman" w:hAnsi="Times New Roman" w:cs="Times New Roman"/>
                <w:noProof/>
                <w:sz w:val="20"/>
                <w:szCs w:val="20"/>
                <w:lang w:val="en-GB"/>
              </w:rPr>
              <w:br/>
            </w:r>
            <w:r w:rsidRPr="00C92F3A">
              <w:rPr>
                <w:rFonts w:ascii="Times New Roman" w:hAnsi="Times New Roman" w:cs="Times New Roman"/>
                <w:b/>
                <w:noProof/>
                <w:sz w:val="20"/>
                <w:szCs w:val="20"/>
                <w:lang w:val="en-GB"/>
              </w:rPr>
              <w:t>(for milestones)</w:t>
            </w:r>
          </w:p>
        </w:tc>
        <w:tc>
          <w:tcPr>
            <w:tcW w:w="332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1F249A9"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 xml:space="preserve">Quantitative indicators </w:t>
            </w:r>
            <w:r w:rsidRPr="00C92F3A">
              <w:rPr>
                <w:rFonts w:ascii="Times New Roman" w:hAnsi="Times New Roman" w:cs="Times New Roman"/>
                <w:noProof/>
                <w:sz w:val="20"/>
                <w:szCs w:val="20"/>
                <w:lang w:val="en-GB"/>
              </w:rPr>
              <w:br/>
            </w:r>
            <w:r w:rsidRPr="00C92F3A">
              <w:rPr>
                <w:rFonts w:ascii="Times New Roman" w:hAnsi="Times New Roman" w:cs="Times New Roman"/>
                <w:b/>
                <w:noProof/>
                <w:sz w:val="20"/>
                <w:szCs w:val="20"/>
                <w:lang w:val="en-GB"/>
              </w:rPr>
              <w:t>(for targets)</w:t>
            </w:r>
          </w:p>
        </w:tc>
        <w:tc>
          <w:tcPr>
            <w:tcW w:w="1996" w:type="dxa"/>
            <w:gridSpan w:val="2"/>
            <w:tcBorders>
              <w:top w:val="single" w:sz="4" w:space="0" w:color="auto"/>
              <w:left w:val="nil"/>
              <w:bottom w:val="single" w:sz="4" w:space="0" w:color="auto"/>
              <w:right w:val="single" w:sz="4" w:space="0" w:color="auto"/>
            </w:tcBorders>
            <w:shd w:val="clear" w:color="auto" w:fill="BDD7EE"/>
            <w:vAlign w:val="center"/>
            <w:hideMark/>
          </w:tcPr>
          <w:p w14:paraId="5700C5A4"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 xml:space="preserve">Indicative timeline for completion </w:t>
            </w:r>
          </w:p>
        </w:tc>
        <w:tc>
          <w:tcPr>
            <w:tcW w:w="36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AAF7F9"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Description of each milestone and target</w:t>
            </w:r>
          </w:p>
        </w:tc>
      </w:tr>
      <w:tr w:rsidR="00382D78" w:rsidRPr="00C92F3A" w14:paraId="6FEC4757" w14:textId="77777777" w:rsidTr="00840998">
        <w:trPr>
          <w:trHeight w:val="56"/>
          <w:tblHeader/>
          <w:jc w:val="center"/>
        </w:trPr>
        <w:tc>
          <w:tcPr>
            <w:tcW w:w="865" w:type="dxa"/>
            <w:vMerge/>
            <w:tcBorders>
              <w:top w:val="single" w:sz="4" w:space="0" w:color="auto"/>
              <w:left w:val="single" w:sz="4" w:space="0" w:color="auto"/>
              <w:bottom w:val="single" w:sz="4" w:space="0" w:color="auto"/>
              <w:right w:val="single" w:sz="4" w:space="0" w:color="auto"/>
            </w:tcBorders>
            <w:hideMark/>
          </w:tcPr>
          <w:p w14:paraId="2218BB4A" w14:textId="77777777" w:rsidR="001460A9" w:rsidRPr="00C92F3A" w:rsidRDefault="001460A9">
            <w:pPr>
              <w:spacing w:after="0" w:line="240" w:lineRule="auto"/>
              <w:jc w:val="center"/>
              <w:rPr>
                <w:rFonts w:ascii="Times New Roman" w:eastAsia="Times New Roman" w:hAnsi="Times New Roman" w:cs="Times New Roman"/>
                <w:b/>
                <w:bCs/>
                <w:noProof/>
                <w:sz w:val="20"/>
                <w:szCs w:val="20"/>
                <w:lang w:val="en-GB" w:eastAsia="en-GB"/>
              </w:rPr>
            </w:pPr>
          </w:p>
        </w:tc>
        <w:tc>
          <w:tcPr>
            <w:tcW w:w="1586" w:type="dxa"/>
            <w:vMerge/>
            <w:tcBorders>
              <w:top w:val="single" w:sz="4" w:space="0" w:color="auto"/>
              <w:left w:val="single" w:sz="4" w:space="0" w:color="auto"/>
              <w:bottom w:val="single" w:sz="4" w:space="0" w:color="auto"/>
              <w:right w:val="single" w:sz="4" w:space="0" w:color="auto"/>
            </w:tcBorders>
            <w:hideMark/>
          </w:tcPr>
          <w:p w14:paraId="29D5DA41" w14:textId="77777777" w:rsidR="001460A9" w:rsidRPr="00C92F3A" w:rsidRDefault="001460A9">
            <w:pPr>
              <w:spacing w:after="0" w:line="240" w:lineRule="auto"/>
              <w:jc w:val="both"/>
              <w:rPr>
                <w:rFonts w:ascii="Times New Roman" w:eastAsia="Times New Roman" w:hAnsi="Times New Roman" w:cs="Times New Roman"/>
                <w:b/>
                <w:bCs/>
                <w:noProof/>
                <w:sz w:val="20"/>
                <w:szCs w:val="20"/>
                <w:lang w:val="en-GB" w:eastAsia="en-GB"/>
              </w:rPr>
            </w:pPr>
          </w:p>
        </w:tc>
        <w:tc>
          <w:tcPr>
            <w:tcW w:w="1302" w:type="dxa"/>
            <w:vMerge/>
            <w:tcBorders>
              <w:top w:val="single" w:sz="4" w:space="0" w:color="auto"/>
              <w:left w:val="single" w:sz="4" w:space="0" w:color="auto"/>
              <w:bottom w:val="single" w:sz="4" w:space="0" w:color="auto"/>
              <w:right w:val="single" w:sz="4" w:space="0" w:color="auto"/>
            </w:tcBorders>
            <w:hideMark/>
          </w:tcPr>
          <w:p w14:paraId="0C22B753" w14:textId="77777777" w:rsidR="001460A9" w:rsidRPr="00C92F3A" w:rsidRDefault="001460A9">
            <w:pPr>
              <w:spacing w:after="0" w:line="240" w:lineRule="auto"/>
              <w:jc w:val="center"/>
              <w:rPr>
                <w:rFonts w:ascii="Times New Roman" w:eastAsia="Times New Roman" w:hAnsi="Times New Roman" w:cs="Times New Roman"/>
                <w:b/>
                <w:bCs/>
                <w:noProof/>
                <w:sz w:val="20"/>
                <w:szCs w:val="20"/>
                <w:lang w:val="en-GB" w:eastAsia="en-GB"/>
              </w:rPr>
            </w:pPr>
          </w:p>
        </w:tc>
        <w:tc>
          <w:tcPr>
            <w:tcW w:w="1518" w:type="dxa"/>
            <w:vMerge/>
            <w:tcBorders>
              <w:top w:val="single" w:sz="4" w:space="0" w:color="auto"/>
              <w:left w:val="single" w:sz="4" w:space="0" w:color="auto"/>
              <w:bottom w:val="single" w:sz="4" w:space="0" w:color="auto"/>
              <w:right w:val="single" w:sz="4" w:space="0" w:color="auto"/>
            </w:tcBorders>
            <w:hideMark/>
          </w:tcPr>
          <w:p w14:paraId="2ADF981C" w14:textId="77777777" w:rsidR="001460A9" w:rsidRPr="00C92F3A" w:rsidRDefault="001460A9">
            <w:pPr>
              <w:spacing w:after="0" w:line="240" w:lineRule="auto"/>
              <w:jc w:val="both"/>
              <w:rPr>
                <w:rFonts w:ascii="Times New Roman" w:eastAsia="Times New Roman" w:hAnsi="Times New Roman" w:cs="Times New Roman"/>
                <w:b/>
                <w:bCs/>
                <w:noProof/>
                <w:sz w:val="20"/>
                <w:szCs w:val="20"/>
                <w:lang w:val="en-GB" w:eastAsia="en-GB"/>
              </w:rPr>
            </w:pPr>
          </w:p>
        </w:tc>
        <w:tc>
          <w:tcPr>
            <w:tcW w:w="1658" w:type="dxa"/>
            <w:vMerge/>
            <w:tcBorders>
              <w:top w:val="single" w:sz="4" w:space="0" w:color="auto"/>
              <w:left w:val="single" w:sz="4" w:space="0" w:color="auto"/>
              <w:bottom w:val="single" w:sz="4" w:space="0" w:color="auto"/>
              <w:right w:val="single" w:sz="4" w:space="0" w:color="auto"/>
            </w:tcBorders>
            <w:hideMark/>
          </w:tcPr>
          <w:p w14:paraId="5EDB4369" w14:textId="77777777" w:rsidR="001460A9" w:rsidRPr="00C92F3A" w:rsidRDefault="001460A9">
            <w:pPr>
              <w:spacing w:after="0" w:line="240" w:lineRule="auto"/>
              <w:jc w:val="both"/>
              <w:rPr>
                <w:rFonts w:ascii="Times New Roman" w:eastAsia="Times New Roman" w:hAnsi="Times New Roman" w:cs="Times New Roman"/>
                <w:b/>
                <w:bCs/>
                <w:noProof/>
                <w:sz w:val="20"/>
                <w:szCs w:val="20"/>
                <w:lang w:val="en-GB" w:eastAsia="en-GB"/>
              </w:rPr>
            </w:pPr>
          </w:p>
        </w:tc>
        <w:tc>
          <w:tcPr>
            <w:tcW w:w="1298" w:type="dxa"/>
            <w:tcBorders>
              <w:top w:val="nil"/>
              <w:left w:val="single" w:sz="4" w:space="0" w:color="auto"/>
              <w:bottom w:val="single" w:sz="4" w:space="0" w:color="auto"/>
              <w:right w:val="single" w:sz="4" w:space="0" w:color="auto"/>
            </w:tcBorders>
            <w:shd w:val="clear" w:color="auto" w:fill="BDD7EE"/>
            <w:vAlign w:val="center"/>
            <w:hideMark/>
          </w:tcPr>
          <w:p w14:paraId="1CB5F9CC"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Unit of measure</w:t>
            </w:r>
          </w:p>
        </w:tc>
        <w:tc>
          <w:tcPr>
            <w:tcW w:w="1157" w:type="dxa"/>
            <w:tcBorders>
              <w:top w:val="nil"/>
              <w:left w:val="nil"/>
              <w:bottom w:val="single" w:sz="4" w:space="0" w:color="auto"/>
              <w:right w:val="single" w:sz="4" w:space="0" w:color="auto"/>
            </w:tcBorders>
            <w:shd w:val="clear" w:color="auto" w:fill="BDD7EE"/>
            <w:vAlign w:val="center"/>
            <w:hideMark/>
          </w:tcPr>
          <w:p w14:paraId="0C3CDB1C"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 xml:space="preserve">Baseline </w:t>
            </w:r>
          </w:p>
        </w:tc>
        <w:tc>
          <w:tcPr>
            <w:tcW w:w="867" w:type="dxa"/>
            <w:tcBorders>
              <w:top w:val="nil"/>
              <w:left w:val="nil"/>
              <w:bottom w:val="single" w:sz="4" w:space="0" w:color="auto"/>
              <w:right w:val="single" w:sz="4" w:space="0" w:color="auto"/>
            </w:tcBorders>
            <w:shd w:val="clear" w:color="auto" w:fill="BDD7EE"/>
            <w:vAlign w:val="center"/>
            <w:hideMark/>
          </w:tcPr>
          <w:p w14:paraId="15AE660A"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 xml:space="preserve">Goal </w:t>
            </w:r>
          </w:p>
        </w:tc>
        <w:tc>
          <w:tcPr>
            <w:tcW w:w="1122" w:type="dxa"/>
            <w:tcBorders>
              <w:top w:val="nil"/>
              <w:left w:val="nil"/>
              <w:bottom w:val="single" w:sz="4" w:space="0" w:color="auto"/>
              <w:right w:val="single" w:sz="4" w:space="0" w:color="auto"/>
            </w:tcBorders>
            <w:shd w:val="clear" w:color="auto" w:fill="BDD7EE"/>
            <w:vAlign w:val="center"/>
            <w:hideMark/>
          </w:tcPr>
          <w:p w14:paraId="5E8D4F32"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Quarter</w:t>
            </w:r>
          </w:p>
        </w:tc>
        <w:tc>
          <w:tcPr>
            <w:tcW w:w="874" w:type="dxa"/>
            <w:tcBorders>
              <w:top w:val="nil"/>
              <w:left w:val="nil"/>
              <w:bottom w:val="single" w:sz="4" w:space="0" w:color="auto"/>
              <w:right w:val="single" w:sz="4" w:space="0" w:color="auto"/>
            </w:tcBorders>
            <w:shd w:val="clear" w:color="auto" w:fill="BDD7EE"/>
            <w:vAlign w:val="center"/>
            <w:hideMark/>
          </w:tcPr>
          <w:p w14:paraId="6E240887" w14:textId="77777777" w:rsidR="001460A9" w:rsidRPr="00C92F3A" w:rsidRDefault="001460A9">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Year</w:t>
            </w:r>
          </w:p>
        </w:tc>
        <w:tc>
          <w:tcPr>
            <w:tcW w:w="3634" w:type="dxa"/>
            <w:vMerge/>
            <w:tcBorders>
              <w:top w:val="single" w:sz="4" w:space="0" w:color="auto"/>
              <w:bottom w:val="single" w:sz="4" w:space="0" w:color="auto"/>
              <w:right w:val="single" w:sz="4" w:space="0" w:color="auto"/>
            </w:tcBorders>
            <w:hideMark/>
          </w:tcPr>
          <w:p w14:paraId="77681B4D" w14:textId="77777777" w:rsidR="001460A9" w:rsidRPr="00C92F3A" w:rsidRDefault="001460A9">
            <w:pPr>
              <w:spacing w:after="0" w:line="240" w:lineRule="auto"/>
              <w:jc w:val="both"/>
              <w:rPr>
                <w:rFonts w:ascii="Times New Roman" w:eastAsia="Times New Roman" w:hAnsi="Times New Roman" w:cs="Times New Roman"/>
                <w:b/>
                <w:bCs/>
                <w:noProof/>
                <w:sz w:val="20"/>
                <w:szCs w:val="20"/>
                <w:lang w:val="en-GB" w:eastAsia="en-GB"/>
              </w:rPr>
            </w:pPr>
          </w:p>
        </w:tc>
      </w:tr>
      <w:tr w:rsidR="001460A9" w:rsidRPr="00C92F3A" w14:paraId="1BB3AE71" w14:textId="77777777">
        <w:trPr>
          <w:trHeight w:val="300"/>
          <w:jc w:val="center"/>
        </w:trPr>
        <w:tc>
          <w:tcPr>
            <w:tcW w:w="865" w:type="dxa"/>
            <w:tcBorders>
              <w:top w:val="single" w:sz="4" w:space="0" w:color="auto"/>
              <w:left w:val="single" w:sz="4" w:space="0" w:color="auto"/>
              <w:bottom w:val="single" w:sz="4" w:space="0" w:color="auto"/>
              <w:right w:val="single" w:sz="4" w:space="0" w:color="auto"/>
            </w:tcBorders>
            <w:shd w:val="clear" w:color="auto" w:fill="C6EFCE"/>
            <w:noWrap/>
            <w:hideMark/>
          </w:tcPr>
          <w:p w14:paraId="5679C3DF"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326</w:t>
            </w:r>
          </w:p>
        </w:tc>
        <w:tc>
          <w:tcPr>
            <w:tcW w:w="1586" w:type="dxa"/>
            <w:tcBorders>
              <w:top w:val="single" w:sz="4" w:space="0" w:color="auto"/>
              <w:left w:val="nil"/>
              <w:bottom w:val="single" w:sz="4" w:space="0" w:color="auto"/>
              <w:right w:val="single" w:sz="4" w:space="0" w:color="auto"/>
            </w:tcBorders>
            <w:shd w:val="clear" w:color="auto" w:fill="C6EFCE"/>
            <w:noWrap/>
            <w:hideMark/>
          </w:tcPr>
          <w:p w14:paraId="185C382D"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Reform 1. Operationali-sation of Destination Management Organisations (DMOs)</w:t>
            </w:r>
          </w:p>
        </w:tc>
        <w:tc>
          <w:tcPr>
            <w:tcW w:w="1302" w:type="dxa"/>
            <w:tcBorders>
              <w:top w:val="single" w:sz="4" w:space="0" w:color="auto"/>
              <w:left w:val="nil"/>
              <w:bottom w:val="single" w:sz="4" w:space="0" w:color="auto"/>
              <w:right w:val="single" w:sz="4" w:space="0" w:color="auto"/>
            </w:tcBorders>
            <w:shd w:val="clear" w:color="auto" w:fill="C6EFCE"/>
            <w:noWrap/>
            <w:hideMark/>
          </w:tcPr>
          <w:p w14:paraId="24E3DAFC"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518" w:type="dxa"/>
            <w:tcBorders>
              <w:top w:val="single" w:sz="4" w:space="0" w:color="auto"/>
              <w:left w:val="nil"/>
              <w:bottom w:val="single" w:sz="4" w:space="0" w:color="auto"/>
              <w:right w:val="single" w:sz="4" w:space="0" w:color="auto"/>
            </w:tcBorders>
            <w:shd w:val="clear" w:color="auto" w:fill="C6EFCE"/>
            <w:noWrap/>
            <w:hideMark/>
          </w:tcPr>
          <w:p w14:paraId="5454B7B5"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All the optimum destination areas for regional Destination Management Organisa-tions (DMOs) in Romania mapped</w:t>
            </w:r>
          </w:p>
        </w:tc>
        <w:tc>
          <w:tcPr>
            <w:tcW w:w="1658" w:type="dxa"/>
            <w:tcBorders>
              <w:top w:val="single" w:sz="4" w:space="0" w:color="auto"/>
              <w:left w:val="nil"/>
              <w:bottom w:val="single" w:sz="4" w:space="0" w:color="auto"/>
              <w:right w:val="single" w:sz="4" w:space="0" w:color="auto"/>
            </w:tcBorders>
            <w:shd w:val="clear" w:color="auto" w:fill="C6EFCE"/>
            <w:noWrap/>
            <w:hideMark/>
          </w:tcPr>
          <w:p w14:paraId="51188381"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All the optimum destination areas for regional DMOs in Romania published</w:t>
            </w:r>
          </w:p>
          <w:p w14:paraId="3479C328"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eastAsia="en-GB"/>
              </w:rPr>
            </w:pPr>
          </w:p>
        </w:tc>
        <w:tc>
          <w:tcPr>
            <w:tcW w:w="1298" w:type="dxa"/>
            <w:tcBorders>
              <w:top w:val="nil"/>
              <w:left w:val="nil"/>
              <w:bottom w:val="single" w:sz="4" w:space="0" w:color="auto"/>
              <w:right w:val="single" w:sz="4" w:space="0" w:color="auto"/>
            </w:tcBorders>
            <w:shd w:val="clear" w:color="auto" w:fill="C6EFCE"/>
            <w:noWrap/>
            <w:hideMark/>
          </w:tcPr>
          <w:p w14:paraId="3E40A076"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57" w:type="dxa"/>
            <w:tcBorders>
              <w:top w:val="nil"/>
              <w:left w:val="nil"/>
              <w:bottom w:val="single" w:sz="4" w:space="0" w:color="auto"/>
              <w:right w:val="single" w:sz="4" w:space="0" w:color="auto"/>
            </w:tcBorders>
            <w:shd w:val="clear" w:color="auto" w:fill="C6EFCE"/>
            <w:noWrap/>
            <w:hideMark/>
          </w:tcPr>
          <w:p w14:paraId="50589AEB" w14:textId="77777777" w:rsidR="001460A9" w:rsidRPr="00C92F3A" w:rsidRDefault="001460A9">
            <w:pPr>
              <w:spacing w:after="0" w:line="240" w:lineRule="auto"/>
              <w:jc w:val="right"/>
              <w:rPr>
                <w:rFonts w:ascii="Times New Roman" w:eastAsia="Times New Roman" w:hAnsi="Times New Roman" w:cs="Times New Roman"/>
                <w:noProof/>
                <w:sz w:val="20"/>
                <w:szCs w:val="20"/>
                <w:lang w:val="en-GB" w:eastAsia="en-GB"/>
              </w:rPr>
            </w:pPr>
          </w:p>
        </w:tc>
        <w:tc>
          <w:tcPr>
            <w:tcW w:w="867" w:type="dxa"/>
            <w:tcBorders>
              <w:top w:val="nil"/>
              <w:left w:val="nil"/>
              <w:bottom w:val="single" w:sz="4" w:space="0" w:color="auto"/>
              <w:right w:val="single" w:sz="4" w:space="0" w:color="auto"/>
            </w:tcBorders>
            <w:shd w:val="clear" w:color="auto" w:fill="C6EFCE"/>
            <w:noWrap/>
            <w:hideMark/>
          </w:tcPr>
          <w:p w14:paraId="723C1138" w14:textId="77777777" w:rsidR="001460A9" w:rsidRPr="00C92F3A" w:rsidRDefault="001460A9">
            <w:pPr>
              <w:spacing w:after="0" w:line="240" w:lineRule="auto"/>
              <w:jc w:val="right"/>
              <w:rPr>
                <w:rFonts w:ascii="Times New Roman" w:eastAsia="Times New Roman" w:hAnsi="Times New Roman" w:cs="Times New Roman"/>
                <w:noProof/>
                <w:sz w:val="20"/>
                <w:szCs w:val="20"/>
                <w:lang w:val="en-GB" w:eastAsia="en-GB"/>
              </w:rPr>
            </w:pPr>
          </w:p>
        </w:tc>
        <w:tc>
          <w:tcPr>
            <w:tcW w:w="1122" w:type="dxa"/>
            <w:tcBorders>
              <w:top w:val="nil"/>
              <w:left w:val="nil"/>
              <w:bottom w:val="single" w:sz="4" w:space="0" w:color="auto"/>
              <w:right w:val="single" w:sz="4" w:space="0" w:color="auto"/>
            </w:tcBorders>
            <w:shd w:val="clear" w:color="auto" w:fill="C6EFCE"/>
            <w:noWrap/>
            <w:hideMark/>
          </w:tcPr>
          <w:p w14:paraId="056D881C"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Q1</w:t>
            </w:r>
          </w:p>
        </w:tc>
        <w:tc>
          <w:tcPr>
            <w:tcW w:w="874" w:type="dxa"/>
            <w:tcBorders>
              <w:top w:val="nil"/>
              <w:left w:val="nil"/>
              <w:bottom w:val="single" w:sz="4" w:space="0" w:color="auto"/>
              <w:right w:val="single" w:sz="4" w:space="0" w:color="auto"/>
            </w:tcBorders>
            <w:shd w:val="clear" w:color="auto" w:fill="C6EFCE"/>
            <w:noWrap/>
            <w:hideMark/>
          </w:tcPr>
          <w:p w14:paraId="560B49E6"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2022</w:t>
            </w:r>
          </w:p>
        </w:tc>
        <w:tc>
          <w:tcPr>
            <w:tcW w:w="3634" w:type="dxa"/>
            <w:tcBorders>
              <w:top w:val="single" w:sz="4" w:space="0" w:color="auto"/>
              <w:left w:val="nil"/>
              <w:bottom w:val="single" w:sz="4" w:space="0" w:color="auto"/>
              <w:right w:val="single" w:sz="4" w:space="0" w:color="auto"/>
            </w:tcBorders>
            <w:shd w:val="clear" w:color="auto" w:fill="C6EFCE"/>
            <w:noWrap/>
            <w:hideMark/>
          </w:tcPr>
          <w:p w14:paraId="0A1EF172"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The optimum destination areas shall be identified by the Destination Management Organisations based on the following criteria:</w:t>
            </w:r>
          </w:p>
          <w:p w14:paraId="602163AD"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their capacity to attract international tourists</w:t>
            </w:r>
          </w:p>
          <w:p w14:paraId="7BF9C5B3"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promotion of socio-economic sustainable/ environmentally friendly transformation in rural and disadvantaged areas, in complementarity with the Local Fund component (e.g. regarding the functional rural areas);</w:t>
            </w:r>
          </w:p>
          <w:p w14:paraId="38226CC6"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potential for creation of new jobs.</w:t>
            </w:r>
          </w:p>
        </w:tc>
      </w:tr>
      <w:tr w:rsidR="001460A9" w:rsidRPr="00C92F3A" w14:paraId="5CA77E57"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5737D59A"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327</w:t>
            </w:r>
          </w:p>
        </w:tc>
        <w:tc>
          <w:tcPr>
            <w:tcW w:w="1586" w:type="dxa"/>
            <w:tcBorders>
              <w:top w:val="nil"/>
              <w:left w:val="nil"/>
              <w:bottom w:val="single" w:sz="4" w:space="0" w:color="auto"/>
              <w:right w:val="single" w:sz="4" w:space="0" w:color="auto"/>
            </w:tcBorders>
            <w:shd w:val="clear" w:color="auto" w:fill="C6EFCE"/>
            <w:noWrap/>
          </w:tcPr>
          <w:p w14:paraId="140A69C3"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Reform 1.</w:t>
            </w:r>
          </w:p>
          <w:p w14:paraId="6E881822"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Operationali-sation of Destination Management Organisations (DMOs)</w:t>
            </w:r>
          </w:p>
        </w:tc>
        <w:tc>
          <w:tcPr>
            <w:tcW w:w="1302" w:type="dxa"/>
            <w:tcBorders>
              <w:top w:val="nil"/>
              <w:left w:val="nil"/>
              <w:bottom w:val="single" w:sz="4" w:space="0" w:color="auto"/>
              <w:right w:val="single" w:sz="4" w:space="0" w:color="auto"/>
            </w:tcBorders>
            <w:shd w:val="clear" w:color="auto" w:fill="C6EFCE"/>
            <w:noWrap/>
          </w:tcPr>
          <w:p w14:paraId="7612B653"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518" w:type="dxa"/>
            <w:tcBorders>
              <w:top w:val="nil"/>
              <w:left w:val="nil"/>
              <w:bottom w:val="single" w:sz="4" w:space="0" w:color="auto"/>
              <w:right w:val="single" w:sz="4" w:space="0" w:color="auto"/>
            </w:tcBorders>
            <w:shd w:val="clear" w:color="auto" w:fill="C6EFCE"/>
            <w:noWrap/>
          </w:tcPr>
          <w:p w14:paraId="46E99699"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Action plan for the use of cultural heritage to increase the competitive-ness of the Romanian tourism sector</w:t>
            </w:r>
          </w:p>
        </w:tc>
        <w:tc>
          <w:tcPr>
            <w:tcW w:w="1658" w:type="dxa"/>
            <w:tcBorders>
              <w:top w:val="nil"/>
              <w:left w:val="nil"/>
              <w:bottom w:val="single" w:sz="4" w:space="0" w:color="auto"/>
              <w:right w:val="single" w:sz="4" w:space="0" w:color="auto"/>
            </w:tcBorders>
            <w:shd w:val="clear" w:color="auto" w:fill="C6EFCE"/>
            <w:noWrap/>
          </w:tcPr>
          <w:p w14:paraId="0A433C95"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Adoption of the Action Plan for the use of cultural heritage to increase the competitiveness of Romanian tourism sector</w:t>
            </w:r>
          </w:p>
        </w:tc>
        <w:tc>
          <w:tcPr>
            <w:tcW w:w="1298" w:type="dxa"/>
            <w:tcBorders>
              <w:top w:val="nil"/>
              <w:left w:val="nil"/>
              <w:bottom w:val="single" w:sz="4" w:space="0" w:color="auto"/>
              <w:right w:val="single" w:sz="4" w:space="0" w:color="auto"/>
            </w:tcBorders>
            <w:shd w:val="clear" w:color="auto" w:fill="C6EFCE"/>
            <w:noWrap/>
          </w:tcPr>
          <w:p w14:paraId="5077E12A"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57" w:type="dxa"/>
            <w:tcBorders>
              <w:top w:val="nil"/>
              <w:left w:val="nil"/>
              <w:bottom w:val="single" w:sz="4" w:space="0" w:color="auto"/>
              <w:right w:val="single" w:sz="4" w:space="0" w:color="auto"/>
            </w:tcBorders>
            <w:shd w:val="clear" w:color="auto" w:fill="C6EFCE"/>
            <w:noWrap/>
          </w:tcPr>
          <w:p w14:paraId="2205FB93" w14:textId="77777777" w:rsidR="001460A9" w:rsidRPr="00C92F3A" w:rsidRDefault="001460A9">
            <w:pPr>
              <w:spacing w:after="0" w:line="240" w:lineRule="auto"/>
              <w:jc w:val="right"/>
              <w:rPr>
                <w:rFonts w:ascii="Times New Roman" w:eastAsia="Times New Roman" w:hAnsi="Times New Roman" w:cs="Times New Roman"/>
                <w:noProof/>
                <w:sz w:val="20"/>
                <w:szCs w:val="20"/>
                <w:lang w:val="en-GB" w:eastAsia="en-GB"/>
              </w:rPr>
            </w:pPr>
          </w:p>
        </w:tc>
        <w:tc>
          <w:tcPr>
            <w:tcW w:w="867" w:type="dxa"/>
            <w:tcBorders>
              <w:top w:val="nil"/>
              <w:left w:val="nil"/>
              <w:bottom w:val="single" w:sz="4" w:space="0" w:color="auto"/>
              <w:right w:val="single" w:sz="4" w:space="0" w:color="auto"/>
            </w:tcBorders>
            <w:shd w:val="clear" w:color="auto" w:fill="C6EFCE"/>
            <w:noWrap/>
          </w:tcPr>
          <w:p w14:paraId="5A90FEC8" w14:textId="77777777" w:rsidR="001460A9" w:rsidRPr="00C92F3A" w:rsidRDefault="001460A9">
            <w:pPr>
              <w:spacing w:after="0" w:line="240" w:lineRule="auto"/>
              <w:jc w:val="right"/>
              <w:rPr>
                <w:rFonts w:ascii="Times New Roman" w:eastAsia="Times New Roman" w:hAnsi="Times New Roman" w:cs="Times New Roman"/>
                <w:noProof/>
                <w:sz w:val="20"/>
                <w:szCs w:val="20"/>
                <w:lang w:val="en-GB" w:eastAsia="en-GB"/>
              </w:rPr>
            </w:pPr>
          </w:p>
        </w:tc>
        <w:tc>
          <w:tcPr>
            <w:tcW w:w="1122" w:type="dxa"/>
            <w:tcBorders>
              <w:top w:val="nil"/>
              <w:left w:val="nil"/>
              <w:bottom w:val="single" w:sz="4" w:space="0" w:color="auto"/>
              <w:right w:val="single" w:sz="4" w:space="0" w:color="auto"/>
            </w:tcBorders>
            <w:shd w:val="clear" w:color="auto" w:fill="C6EFCE"/>
            <w:noWrap/>
          </w:tcPr>
          <w:p w14:paraId="078B2A55"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Q1</w:t>
            </w:r>
          </w:p>
        </w:tc>
        <w:tc>
          <w:tcPr>
            <w:tcW w:w="874" w:type="dxa"/>
            <w:tcBorders>
              <w:top w:val="nil"/>
              <w:left w:val="nil"/>
              <w:bottom w:val="single" w:sz="4" w:space="0" w:color="auto"/>
              <w:right w:val="single" w:sz="4" w:space="0" w:color="auto"/>
            </w:tcBorders>
            <w:shd w:val="clear" w:color="auto" w:fill="C6EFCE"/>
            <w:noWrap/>
          </w:tcPr>
          <w:p w14:paraId="00E3B308"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2022</w:t>
            </w:r>
          </w:p>
        </w:tc>
        <w:tc>
          <w:tcPr>
            <w:tcW w:w="3634" w:type="dxa"/>
            <w:tcBorders>
              <w:top w:val="nil"/>
              <w:left w:val="nil"/>
              <w:bottom w:val="single" w:sz="4" w:space="0" w:color="auto"/>
              <w:right w:val="single" w:sz="4" w:space="0" w:color="auto"/>
            </w:tcBorders>
            <w:shd w:val="clear" w:color="auto" w:fill="C6EFCE"/>
            <w:noWrap/>
          </w:tcPr>
          <w:p w14:paraId="3A57FD91"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The Action Plan shall be compliant with DMO multiple touristic packages. The Action Plan shall cover the period 2022-2026 and include specific annual and multiannual objectives and the following main actions: a) establishing the types of sites, with a national and international impact, that shall be used for the promotion of tourism in Romania and shall contribute to the promotion of socio-economic sustainable/ environmentally friendly transformation in rural and disadvantaged areas; and b) establishing the cultural routes that are the result of the mapping exercise. It shall also detail the main actors, their roles and responsibilities and the expected results.</w:t>
            </w:r>
          </w:p>
        </w:tc>
      </w:tr>
      <w:tr w:rsidR="001460A9" w:rsidRPr="00C92F3A" w14:paraId="7D31D2B6"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20A6ACAB"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328</w:t>
            </w:r>
          </w:p>
        </w:tc>
        <w:tc>
          <w:tcPr>
            <w:tcW w:w="1586" w:type="dxa"/>
            <w:tcBorders>
              <w:top w:val="nil"/>
              <w:left w:val="nil"/>
              <w:bottom w:val="single" w:sz="4" w:space="0" w:color="auto"/>
              <w:right w:val="single" w:sz="4" w:space="0" w:color="auto"/>
            </w:tcBorders>
            <w:shd w:val="clear" w:color="auto" w:fill="C6EFCE"/>
            <w:noWrap/>
          </w:tcPr>
          <w:p w14:paraId="353AE687"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Reform 1. Operationali-sation of Destination Management Organisations (DMOs)</w:t>
            </w:r>
          </w:p>
        </w:tc>
        <w:tc>
          <w:tcPr>
            <w:tcW w:w="1302" w:type="dxa"/>
            <w:tcBorders>
              <w:top w:val="nil"/>
              <w:left w:val="nil"/>
              <w:bottom w:val="single" w:sz="4" w:space="0" w:color="auto"/>
              <w:right w:val="single" w:sz="4" w:space="0" w:color="auto"/>
            </w:tcBorders>
            <w:shd w:val="clear" w:color="auto" w:fill="C6EFCE"/>
            <w:noWrap/>
          </w:tcPr>
          <w:p w14:paraId="2FAA8AAE"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518" w:type="dxa"/>
            <w:tcBorders>
              <w:top w:val="nil"/>
              <w:left w:val="nil"/>
              <w:bottom w:val="single" w:sz="4" w:space="0" w:color="auto"/>
              <w:right w:val="single" w:sz="4" w:space="0" w:color="auto"/>
            </w:tcBorders>
            <w:shd w:val="clear" w:color="auto" w:fill="C6EFCE"/>
            <w:noWrap/>
          </w:tcPr>
          <w:p w14:paraId="3C97138C"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Entry into force of the legislative framework through a Government Emergency Ordinance which shall include a clear description of the financing mechanism to support the development of the network of DMOs and a clear governance model</w:t>
            </w:r>
          </w:p>
        </w:tc>
        <w:tc>
          <w:tcPr>
            <w:tcW w:w="1658" w:type="dxa"/>
            <w:tcBorders>
              <w:top w:val="nil"/>
              <w:left w:val="nil"/>
              <w:bottom w:val="single" w:sz="4" w:space="0" w:color="auto"/>
              <w:right w:val="single" w:sz="4" w:space="0" w:color="auto"/>
            </w:tcBorders>
            <w:shd w:val="clear" w:color="auto" w:fill="C6EFCE"/>
            <w:noWrap/>
          </w:tcPr>
          <w:p w14:paraId="0AD5AFA3"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Provision in the law indicating the entry into force of the law for establishment of DMOs</w:t>
            </w:r>
          </w:p>
        </w:tc>
        <w:tc>
          <w:tcPr>
            <w:tcW w:w="1298" w:type="dxa"/>
            <w:tcBorders>
              <w:top w:val="nil"/>
              <w:left w:val="nil"/>
              <w:bottom w:val="single" w:sz="4" w:space="0" w:color="auto"/>
              <w:right w:val="single" w:sz="4" w:space="0" w:color="auto"/>
            </w:tcBorders>
            <w:shd w:val="clear" w:color="auto" w:fill="C6EFCE"/>
            <w:noWrap/>
          </w:tcPr>
          <w:p w14:paraId="42BFC885"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57" w:type="dxa"/>
            <w:tcBorders>
              <w:top w:val="nil"/>
              <w:left w:val="nil"/>
              <w:bottom w:val="single" w:sz="4" w:space="0" w:color="auto"/>
              <w:right w:val="single" w:sz="4" w:space="0" w:color="auto"/>
            </w:tcBorders>
            <w:shd w:val="clear" w:color="auto" w:fill="C6EFCE"/>
            <w:noWrap/>
          </w:tcPr>
          <w:p w14:paraId="527C7B05" w14:textId="77777777" w:rsidR="001460A9" w:rsidRPr="00C92F3A" w:rsidRDefault="001460A9">
            <w:pPr>
              <w:spacing w:after="0" w:line="240" w:lineRule="auto"/>
              <w:jc w:val="right"/>
              <w:rPr>
                <w:rFonts w:ascii="Times New Roman" w:eastAsia="Times New Roman" w:hAnsi="Times New Roman" w:cs="Times New Roman"/>
                <w:noProof/>
                <w:sz w:val="20"/>
                <w:szCs w:val="20"/>
                <w:lang w:val="en-GB" w:eastAsia="en-GB"/>
              </w:rPr>
            </w:pPr>
          </w:p>
        </w:tc>
        <w:tc>
          <w:tcPr>
            <w:tcW w:w="867" w:type="dxa"/>
            <w:tcBorders>
              <w:top w:val="nil"/>
              <w:left w:val="nil"/>
              <w:bottom w:val="single" w:sz="4" w:space="0" w:color="auto"/>
              <w:right w:val="single" w:sz="4" w:space="0" w:color="auto"/>
            </w:tcBorders>
            <w:shd w:val="clear" w:color="auto" w:fill="C6EFCE"/>
            <w:noWrap/>
          </w:tcPr>
          <w:p w14:paraId="0C884D74" w14:textId="77777777" w:rsidR="001460A9" w:rsidRPr="00C92F3A" w:rsidRDefault="001460A9">
            <w:pPr>
              <w:spacing w:after="0" w:line="240" w:lineRule="auto"/>
              <w:jc w:val="right"/>
              <w:rPr>
                <w:rFonts w:ascii="Times New Roman" w:eastAsia="Times New Roman" w:hAnsi="Times New Roman" w:cs="Times New Roman"/>
                <w:noProof/>
                <w:sz w:val="20"/>
                <w:szCs w:val="20"/>
                <w:lang w:val="en-GB" w:eastAsia="en-GB"/>
              </w:rPr>
            </w:pPr>
          </w:p>
        </w:tc>
        <w:tc>
          <w:tcPr>
            <w:tcW w:w="1122" w:type="dxa"/>
            <w:tcBorders>
              <w:top w:val="nil"/>
              <w:left w:val="nil"/>
              <w:bottom w:val="single" w:sz="4" w:space="0" w:color="auto"/>
              <w:right w:val="single" w:sz="4" w:space="0" w:color="auto"/>
            </w:tcBorders>
            <w:shd w:val="clear" w:color="auto" w:fill="C6EFCE"/>
            <w:noWrap/>
          </w:tcPr>
          <w:p w14:paraId="64101E6D"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Q3</w:t>
            </w:r>
          </w:p>
        </w:tc>
        <w:tc>
          <w:tcPr>
            <w:tcW w:w="874" w:type="dxa"/>
            <w:tcBorders>
              <w:top w:val="nil"/>
              <w:left w:val="nil"/>
              <w:bottom w:val="single" w:sz="4" w:space="0" w:color="auto"/>
              <w:right w:val="single" w:sz="4" w:space="0" w:color="auto"/>
            </w:tcBorders>
            <w:shd w:val="clear" w:color="auto" w:fill="C6EFCE"/>
            <w:noWrap/>
          </w:tcPr>
          <w:p w14:paraId="596C19C8"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2022</w:t>
            </w:r>
          </w:p>
        </w:tc>
        <w:tc>
          <w:tcPr>
            <w:tcW w:w="3634" w:type="dxa"/>
            <w:tcBorders>
              <w:top w:val="nil"/>
              <w:left w:val="nil"/>
              <w:bottom w:val="single" w:sz="4" w:space="0" w:color="auto"/>
              <w:right w:val="single" w:sz="4" w:space="0" w:color="auto"/>
            </w:tcBorders>
            <w:shd w:val="clear" w:color="auto" w:fill="C6EFCE"/>
            <w:noWrap/>
          </w:tcPr>
          <w:p w14:paraId="2325F3DC"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The legislation shall include a clear description of the financing mechanism to support the development of the network of regional and local DMOs (Destination Management Organisations) and a solid governance model.</w:t>
            </w:r>
          </w:p>
          <w:p w14:paraId="02090F79"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Key elements of the legal framework shall be:</w:t>
            </w:r>
          </w:p>
          <w:p w14:paraId="30A3528D" w14:textId="77777777" w:rsidR="001460A9" w:rsidRPr="00C92F3A" w:rsidRDefault="001460A9" w:rsidP="001460A9">
            <w:pPr>
              <w:numPr>
                <w:ilvl w:val="0"/>
                <w:numId w:val="53"/>
              </w:numPr>
              <w:spacing w:before="120" w:after="0" w:line="240" w:lineRule="auto"/>
              <w:ind w:left="202" w:hanging="232"/>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Aim of the legislation, definition of DMOs on different territorial levels as well as the themed DMOs;</w:t>
            </w:r>
          </w:p>
          <w:p w14:paraId="04A2AA8B" w14:textId="77777777" w:rsidR="001460A9" w:rsidRPr="00C92F3A" w:rsidRDefault="001460A9" w:rsidP="001460A9">
            <w:pPr>
              <w:numPr>
                <w:ilvl w:val="0"/>
                <w:numId w:val="53"/>
              </w:numPr>
              <w:spacing w:before="120" w:after="0" w:line="240" w:lineRule="auto"/>
              <w:ind w:left="202" w:hanging="232"/>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Identification of Members;</w:t>
            </w:r>
          </w:p>
          <w:p w14:paraId="6F754D44" w14:textId="77777777" w:rsidR="001460A9" w:rsidRPr="00C92F3A" w:rsidRDefault="001460A9" w:rsidP="001460A9">
            <w:pPr>
              <w:numPr>
                <w:ilvl w:val="0"/>
                <w:numId w:val="53"/>
              </w:numPr>
              <w:spacing w:before="120" w:after="0" w:line="240" w:lineRule="auto"/>
              <w:ind w:left="202" w:hanging="232"/>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Minimum criteria for a destination to be eligible to form a DMO to represent the destination;</w:t>
            </w:r>
          </w:p>
          <w:p w14:paraId="02222171" w14:textId="77777777" w:rsidR="001460A9" w:rsidRPr="00C92F3A" w:rsidRDefault="001460A9" w:rsidP="001460A9">
            <w:pPr>
              <w:numPr>
                <w:ilvl w:val="0"/>
                <w:numId w:val="53"/>
              </w:numPr>
              <w:spacing w:before="120" w:after="0" w:line="240" w:lineRule="auto"/>
              <w:ind w:left="202" w:hanging="232"/>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Form of organization – the DMO shall have a general assembly, a board of directors and the staff who shall represent the executive part. DMOs shall be registered with statutory provisions, to have a strategy and action plan, to have the funds to implement the strategy. In terms of members, the DMO shall be a representative body of the economic operators in the tourism field in the destination, of the tourism associations, and other relevant stakeholders and local or county level public authorities</w:t>
            </w:r>
          </w:p>
          <w:p w14:paraId="7269A9B7" w14:textId="77777777" w:rsidR="001460A9" w:rsidRPr="00C92F3A" w:rsidRDefault="001460A9" w:rsidP="001460A9">
            <w:pPr>
              <w:numPr>
                <w:ilvl w:val="0"/>
                <w:numId w:val="53"/>
              </w:numPr>
              <w:spacing w:before="120" w:after="0" w:line="240" w:lineRule="auto"/>
              <w:ind w:left="202" w:hanging="232"/>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Description of the attributions of the board of directors and general assembly;</w:t>
            </w:r>
          </w:p>
          <w:p w14:paraId="5AA0BE21" w14:textId="77777777" w:rsidR="001460A9" w:rsidRPr="00C92F3A" w:rsidRDefault="001460A9" w:rsidP="001460A9">
            <w:pPr>
              <w:numPr>
                <w:ilvl w:val="0"/>
                <w:numId w:val="53"/>
              </w:numPr>
              <w:spacing w:before="120" w:after="0" w:line="240" w:lineRule="auto"/>
              <w:ind w:left="202" w:hanging="232"/>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Voting system and decision-making process;</w:t>
            </w:r>
          </w:p>
          <w:p w14:paraId="63AAD113" w14:textId="77777777" w:rsidR="001460A9" w:rsidRPr="00C92F3A" w:rsidRDefault="001460A9" w:rsidP="001460A9">
            <w:pPr>
              <w:numPr>
                <w:ilvl w:val="0"/>
                <w:numId w:val="53"/>
              </w:numPr>
              <w:spacing w:before="120" w:after="0" w:line="240" w:lineRule="auto"/>
              <w:ind w:left="202" w:hanging="232"/>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Financing mechanism;</w:t>
            </w:r>
          </w:p>
          <w:p w14:paraId="2B23C4FB" w14:textId="77777777" w:rsidR="001460A9" w:rsidRPr="00C92F3A" w:rsidRDefault="001460A9" w:rsidP="001460A9">
            <w:pPr>
              <w:numPr>
                <w:ilvl w:val="0"/>
                <w:numId w:val="53"/>
              </w:numPr>
              <w:spacing w:before="120" w:after="0" w:line="240" w:lineRule="auto"/>
              <w:ind w:left="202" w:hanging="232"/>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Objectives of DMOs and monitoring of results with specific accountabilities.</w:t>
            </w:r>
          </w:p>
          <w:p w14:paraId="1648AD6C"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A DMO shall be established taking into consideration geographic units (counties, municipalities) with the objective of promoting local or regional tourism.</w:t>
            </w:r>
          </w:p>
        </w:tc>
      </w:tr>
      <w:tr w:rsidR="001460A9" w:rsidRPr="00C92F3A" w14:paraId="4B3AEDE7"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hideMark/>
          </w:tcPr>
          <w:p w14:paraId="7B6D7F15"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331</w:t>
            </w:r>
          </w:p>
        </w:tc>
        <w:tc>
          <w:tcPr>
            <w:tcW w:w="1586" w:type="dxa"/>
            <w:tcBorders>
              <w:top w:val="nil"/>
              <w:left w:val="nil"/>
              <w:bottom w:val="single" w:sz="4" w:space="0" w:color="auto"/>
              <w:right w:val="single" w:sz="4" w:space="0" w:color="auto"/>
            </w:tcBorders>
            <w:shd w:val="clear" w:color="auto" w:fill="C6EFCE"/>
            <w:noWrap/>
            <w:hideMark/>
          </w:tcPr>
          <w:p w14:paraId="32B14948"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Investment 1. Promotion of the 12 touristic/ cultural routes</w:t>
            </w:r>
          </w:p>
        </w:tc>
        <w:tc>
          <w:tcPr>
            <w:tcW w:w="1302" w:type="dxa"/>
            <w:tcBorders>
              <w:top w:val="nil"/>
              <w:left w:val="nil"/>
              <w:bottom w:val="single" w:sz="4" w:space="0" w:color="auto"/>
              <w:right w:val="single" w:sz="4" w:space="0" w:color="auto"/>
            </w:tcBorders>
            <w:shd w:val="clear" w:color="auto" w:fill="C6EFCE"/>
            <w:noWrap/>
            <w:hideMark/>
          </w:tcPr>
          <w:p w14:paraId="56552459"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Target</w:t>
            </w:r>
          </w:p>
        </w:tc>
        <w:tc>
          <w:tcPr>
            <w:tcW w:w="1518" w:type="dxa"/>
            <w:tcBorders>
              <w:top w:val="nil"/>
              <w:left w:val="nil"/>
              <w:bottom w:val="single" w:sz="4" w:space="0" w:color="auto"/>
              <w:right w:val="single" w:sz="4" w:space="0" w:color="auto"/>
            </w:tcBorders>
            <w:shd w:val="clear" w:color="auto" w:fill="C6EFCE"/>
            <w:noWrap/>
            <w:hideMark/>
          </w:tcPr>
          <w:p w14:paraId="1B605854"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Sites that shall be included in the cultural routes</w:t>
            </w:r>
          </w:p>
          <w:p w14:paraId="5A295ADE" w14:textId="77777777" w:rsidR="001460A9" w:rsidRPr="00C92F3A" w:rsidRDefault="001460A9">
            <w:pPr>
              <w:spacing w:after="0" w:line="240" w:lineRule="auto"/>
              <w:jc w:val="both"/>
              <w:rPr>
                <w:rFonts w:ascii="Times New Roman" w:hAnsi="Times New Roman" w:cs="Times New Roman"/>
                <w:noProof/>
                <w:sz w:val="20"/>
                <w:szCs w:val="20"/>
                <w:lang w:val="en-GB"/>
              </w:rPr>
            </w:pPr>
          </w:p>
          <w:p w14:paraId="7F8FD401" w14:textId="77777777" w:rsidR="001460A9" w:rsidRPr="00C92F3A" w:rsidRDefault="001460A9">
            <w:pPr>
              <w:spacing w:after="0" w:line="240" w:lineRule="auto"/>
              <w:jc w:val="both"/>
              <w:rPr>
                <w:rFonts w:ascii="Times New Roman" w:hAnsi="Times New Roman" w:cs="Times New Roman"/>
                <w:noProof/>
                <w:sz w:val="20"/>
                <w:szCs w:val="20"/>
                <w:lang w:val="en-GB"/>
              </w:rPr>
            </w:pPr>
          </w:p>
          <w:p w14:paraId="4BC53701"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eastAsia="en-GB"/>
              </w:rPr>
            </w:pPr>
          </w:p>
        </w:tc>
        <w:tc>
          <w:tcPr>
            <w:tcW w:w="1658" w:type="dxa"/>
            <w:tcBorders>
              <w:top w:val="nil"/>
              <w:left w:val="nil"/>
              <w:bottom w:val="single" w:sz="4" w:space="0" w:color="auto"/>
              <w:right w:val="single" w:sz="4" w:space="0" w:color="auto"/>
            </w:tcBorders>
            <w:shd w:val="clear" w:color="auto" w:fill="C6EFCE"/>
            <w:noWrap/>
            <w:hideMark/>
          </w:tcPr>
          <w:p w14:paraId="67DBF8F4"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eastAsia="en-GB"/>
              </w:rPr>
            </w:pPr>
          </w:p>
        </w:tc>
        <w:tc>
          <w:tcPr>
            <w:tcW w:w="1298" w:type="dxa"/>
            <w:tcBorders>
              <w:top w:val="nil"/>
              <w:left w:val="nil"/>
              <w:bottom w:val="single" w:sz="4" w:space="0" w:color="auto"/>
              <w:right w:val="single" w:sz="4" w:space="0" w:color="auto"/>
            </w:tcBorders>
            <w:shd w:val="clear" w:color="auto" w:fill="C6EFCE"/>
            <w:noWrap/>
            <w:hideMark/>
          </w:tcPr>
          <w:p w14:paraId="7CEA8F70" w14:textId="77777777" w:rsidR="001460A9" w:rsidRPr="00C92F3A" w:rsidRDefault="001460A9">
            <w:pPr>
              <w:spacing w:after="0" w:line="240" w:lineRule="auto"/>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Number</w:t>
            </w:r>
          </w:p>
        </w:tc>
        <w:tc>
          <w:tcPr>
            <w:tcW w:w="1157" w:type="dxa"/>
            <w:tcBorders>
              <w:top w:val="nil"/>
              <w:left w:val="nil"/>
              <w:bottom w:val="single" w:sz="4" w:space="0" w:color="auto"/>
              <w:right w:val="single" w:sz="4" w:space="0" w:color="auto"/>
            </w:tcBorders>
            <w:shd w:val="clear" w:color="auto" w:fill="C6EFCE"/>
            <w:noWrap/>
            <w:hideMark/>
          </w:tcPr>
          <w:p w14:paraId="4D8DC3FB" w14:textId="77777777" w:rsidR="001460A9" w:rsidRPr="00C92F3A" w:rsidRDefault="001460A9">
            <w:pPr>
              <w:spacing w:after="0" w:line="240" w:lineRule="auto"/>
              <w:jc w:val="right"/>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0</w:t>
            </w:r>
          </w:p>
        </w:tc>
        <w:tc>
          <w:tcPr>
            <w:tcW w:w="867" w:type="dxa"/>
            <w:tcBorders>
              <w:top w:val="nil"/>
              <w:left w:val="nil"/>
              <w:bottom w:val="single" w:sz="4" w:space="0" w:color="auto"/>
              <w:right w:val="single" w:sz="4" w:space="0" w:color="auto"/>
            </w:tcBorders>
            <w:shd w:val="clear" w:color="auto" w:fill="C6EFCE"/>
            <w:noWrap/>
            <w:hideMark/>
          </w:tcPr>
          <w:p w14:paraId="52A45D9B" w14:textId="77777777" w:rsidR="001460A9" w:rsidRPr="00C92F3A" w:rsidRDefault="001460A9">
            <w:pPr>
              <w:spacing w:after="0" w:line="240" w:lineRule="auto"/>
              <w:jc w:val="right"/>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225</w:t>
            </w:r>
          </w:p>
        </w:tc>
        <w:tc>
          <w:tcPr>
            <w:tcW w:w="1122" w:type="dxa"/>
            <w:tcBorders>
              <w:top w:val="nil"/>
              <w:left w:val="nil"/>
              <w:bottom w:val="single" w:sz="4" w:space="0" w:color="auto"/>
              <w:right w:val="single" w:sz="4" w:space="0" w:color="auto"/>
            </w:tcBorders>
            <w:shd w:val="clear" w:color="auto" w:fill="C6EFCE"/>
            <w:noWrap/>
            <w:hideMark/>
          </w:tcPr>
          <w:p w14:paraId="06A7F2F5"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Q1</w:t>
            </w:r>
          </w:p>
        </w:tc>
        <w:tc>
          <w:tcPr>
            <w:tcW w:w="874" w:type="dxa"/>
            <w:tcBorders>
              <w:top w:val="nil"/>
              <w:left w:val="nil"/>
              <w:bottom w:val="single" w:sz="4" w:space="0" w:color="auto"/>
              <w:right w:val="single" w:sz="4" w:space="0" w:color="auto"/>
            </w:tcBorders>
            <w:shd w:val="clear" w:color="auto" w:fill="C6EFCE"/>
            <w:noWrap/>
            <w:hideMark/>
          </w:tcPr>
          <w:p w14:paraId="742046D7"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2022</w:t>
            </w:r>
          </w:p>
        </w:tc>
        <w:tc>
          <w:tcPr>
            <w:tcW w:w="3634" w:type="dxa"/>
            <w:tcBorders>
              <w:top w:val="nil"/>
              <w:left w:val="nil"/>
              <w:bottom w:val="single" w:sz="4" w:space="0" w:color="auto"/>
              <w:right w:val="single" w:sz="4" w:space="0" w:color="auto"/>
            </w:tcBorders>
            <w:shd w:val="clear" w:color="auto" w:fill="C6EFCE"/>
            <w:noWrap/>
            <w:hideMark/>
          </w:tcPr>
          <w:p w14:paraId="154A9BE5"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At least 225 sites shall be included in the cultural routes and shall be chosen based on the mapping and being positioned mainly in rural and disadvantaged areas to attract tourists and create new workplaces in the tourism industry. </w:t>
            </w:r>
          </w:p>
          <w:p w14:paraId="6A4B6858"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The “sites” are the tourism attraction points (such as castles, fortifications, monasteries, traditional houses) that shall be included in the 12 cultural routes and shall be chosen by a committee and shall be based on a consultation process.</w:t>
            </w:r>
          </w:p>
          <w:p w14:paraId="69EEF519"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The minimal selection criteria are: a) territorial, economic and social criteria including growth, jobs with focused on less developed regions; b) the capacity of the project to generate an impact on the attractiveness of tourism and the increase of cultural participation, the unique character at national level, comparative and competitive advantages. c) inclusion of sites related to the theme of the routes previously funded within the </w:t>
            </w:r>
            <w:r w:rsidRPr="00C92F3A">
              <w:rPr>
                <w:rFonts w:ascii="Times New Roman" w:hAnsi="Times New Roman" w:cs="Times New Roman"/>
                <w:i/>
                <w:iCs/>
                <w:noProof/>
                <w:sz w:val="20"/>
                <w:szCs w:val="20"/>
                <w:lang w:val="en-GB"/>
              </w:rPr>
              <w:t>Regional Operational Programme and National Programme for Rural Development</w:t>
            </w:r>
            <w:r w:rsidRPr="00C92F3A">
              <w:rPr>
                <w:rFonts w:ascii="Times New Roman" w:hAnsi="Times New Roman" w:cs="Times New Roman"/>
                <w:noProof/>
                <w:sz w:val="20"/>
                <w:szCs w:val="20"/>
                <w:lang w:val="en-GB"/>
              </w:rPr>
              <w:t xml:space="preserve"> d) inclusion of sites on the UNESCO World Heritage List or on the temporary or indicative list, e) inclusion of sites in the category of historic buildings that are not considered historical monuments.</w:t>
            </w:r>
          </w:p>
          <w:p w14:paraId="0F3DA6F6"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Only those sites that currently provide access for tourists shall be included in the cultural routes. </w:t>
            </w:r>
          </w:p>
        </w:tc>
      </w:tr>
      <w:tr w:rsidR="001460A9" w:rsidRPr="00C92F3A" w14:paraId="571F16FE"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hideMark/>
          </w:tcPr>
          <w:p w14:paraId="2EC59C26"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332</w:t>
            </w:r>
          </w:p>
        </w:tc>
        <w:tc>
          <w:tcPr>
            <w:tcW w:w="1586" w:type="dxa"/>
            <w:tcBorders>
              <w:top w:val="nil"/>
              <w:left w:val="nil"/>
              <w:bottom w:val="single" w:sz="4" w:space="0" w:color="auto"/>
              <w:right w:val="single" w:sz="4" w:space="0" w:color="auto"/>
            </w:tcBorders>
            <w:shd w:val="clear" w:color="auto" w:fill="C6EFCE"/>
            <w:noWrap/>
            <w:hideMark/>
          </w:tcPr>
          <w:p w14:paraId="6E04207D"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Investment 1. Promotion of the 12 touristic/ cultural routes</w:t>
            </w:r>
          </w:p>
        </w:tc>
        <w:tc>
          <w:tcPr>
            <w:tcW w:w="1302" w:type="dxa"/>
            <w:tcBorders>
              <w:top w:val="nil"/>
              <w:left w:val="nil"/>
              <w:bottom w:val="single" w:sz="4" w:space="0" w:color="auto"/>
              <w:right w:val="single" w:sz="4" w:space="0" w:color="auto"/>
            </w:tcBorders>
            <w:shd w:val="clear" w:color="auto" w:fill="C6EFCE"/>
            <w:noWrap/>
            <w:hideMark/>
          </w:tcPr>
          <w:p w14:paraId="2F5F4E94"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518" w:type="dxa"/>
            <w:tcBorders>
              <w:top w:val="nil"/>
              <w:left w:val="nil"/>
              <w:bottom w:val="single" w:sz="4" w:space="0" w:color="auto"/>
              <w:right w:val="single" w:sz="4" w:space="0" w:color="auto"/>
            </w:tcBorders>
            <w:shd w:val="clear" w:color="auto" w:fill="C6EFCE"/>
            <w:noWrap/>
            <w:hideMark/>
          </w:tcPr>
          <w:p w14:paraId="76563E48"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Signature of the contracts for the promotion of the 12 routes </w:t>
            </w:r>
          </w:p>
        </w:tc>
        <w:tc>
          <w:tcPr>
            <w:tcW w:w="1658" w:type="dxa"/>
            <w:tcBorders>
              <w:top w:val="nil"/>
              <w:left w:val="nil"/>
              <w:bottom w:val="single" w:sz="4" w:space="0" w:color="auto"/>
              <w:right w:val="single" w:sz="4" w:space="0" w:color="auto"/>
            </w:tcBorders>
            <w:shd w:val="clear" w:color="auto" w:fill="C6EFCE"/>
            <w:noWrap/>
            <w:hideMark/>
          </w:tcPr>
          <w:p w14:paraId="65A04B09"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Signature of contracts</w:t>
            </w:r>
          </w:p>
        </w:tc>
        <w:tc>
          <w:tcPr>
            <w:tcW w:w="1298" w:type="dxa"/>
            <w:tcBorders>
              <w:top w:val="nil"/>
              <w:left w:val="nil"/>
              <w:bottom w:val="single" w:sz="4" w:space="0" w:color="auto"/>
              <w:right w:val="single" w:sz="4" w:space="0" w:color="auto"/>
            </w:tcBorders>
            <w:shd w:val="clear" w:color="auto" w:fill="C6EFCE"/>
            <w:noWrap/>
            <w:hideMark/>
          </w:tcPr>
          <w:p w14:paraId="516B9446"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57" w:type="dxa"/>
            <w:tcBorders>
              <w:top w:val="nil"/>
              <w:left w:val="nil"/>
              <w:bottom w:val="single" w:sz="4" w:space="0" w:color="auto"/>
              <w:right w:val="single" w:sz="4" w:space="0" w:color="auto"/>
            </w:tcBorders>
            <w:shd w:val="clear" w:color="auto" w:fill="C6EFCE"/>
            <w:noWrap/>
            <w:hideMark/>
          </w:tcPr>
          <w:p w14:paraId="272432DF"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867" w:type="dxa"/>
            <w:tcBorders>
              <w:top w:val="nil"/>
              <w:left w:val="nil"/>
              <w:bottom w:val="single" w:sz="4" w:space="0" w:color="auto"/>
              <w:right w:val="single" w:sz="4" w:space="0" w:color="auto"/>
            </w:tcBorders>
            <w:shd w:val="clear" w:color="auto" w:fill="C6EFCE"/>
            <w:noWrap/>
            <w:hideMark/>
          </w:tcPr>
          <w:p w14:paraId="32C06F00"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22" w:type="dxa"/>
            <w:tcBorders>
              <w:top w:val="nil"/>
              <w:left w:val="nil"/>
              <w:bottom w:val="single" w:sz="4" w:space="0" w:color="auto"/>
              <w:right w:val="single" w:sz="4" w:space="0" w:color="auto"/>
            </w:tcBorders>
            <w:shd w:val="clear" w:color="auto" w:fill="C6EFCE"/>
            <w:noWrap/>
            <w:hideMark/>
          </w:tcPr>
          <w:p w14:paraId="1B6F329C"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Q3</w:t>
            </w:r>
          </w:p>
        </w:tc>
        <w:tc>
          <w:tcPr>
            <w:tcW w:w="874" w:type="dxa"/>
            <w:tcBorders>
              <w:top w:val="nil"/>
              <w:left w:val="nil"/>
              <w:bottom w:val="single" w:sz="4" w:space="0" w:color="auto"/>
              <w:right w:val="single" w:sz="4" w:space="0" w:color="auto"/>
            </w:tcBorders>
            <w:shd w:val="clear" w:color="auto" w:fill="C6EFCE"/>
            <w:noWrap/>
            <w:hideMark/>
          </w:tcPr>
          <w:p w14:paraId="13F55BD2"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2022</w:t>
            </w:r>
          </w:p>
        </w:tc>
        <w:tc>
          <w:tcPr>
            <w:tcW w:w="3634" w:type="dxa"/>
            <w:tcBorders>
              <w:top w:val="nil"/>
              <w:left w:val="nil"/>
              <w:bottom w:val="single" w:sz="4" w:space="0" w:color="auto"/>
              <w:right w:val="single" w:sz="4" w:space="0" w:color="auto"/>
            </w:tcBorders>
            <w:shd w:val="clear" w:color="auto" w:fill="C6EFCE"/>
            <w:noWrap/>
            <w:hideMark/>
          </w:tcPr>
          <w:p w14:paraId="46D05643"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Signature of contracts for the tourism development in every cultural route. The following activities shall be included:</w:t>
            </w:r>
          </w:p>
          <w:p w14:paraId="418A336A"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Digitization of the sites included in the route</w:t>
            </w:r>
          </w:p>
          <w:p w14:paraId="6DE332A3"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Creating an app dedicated to visitors</w:t>
            </w:r>
          </w:p>
          <w:p w14:paraId="401A7BD8"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Marking and signalling the route/sites included in the route;</w:t>
            </w:r>
          </w:p>
          <w:p w14:paraId="530DE535"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Creating a joint cultural offer </w:t>
            </w:r>
          </w:p>
        </w:tc>
      </w:tr>
      <w:tr w:rsidR="001460A9" w:rsidRPr="00C92F3A" w14:paraId="2FA893E9"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5EC1E7F6"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335</w:t>
            </w:r>
          </w:p>
        </w:tc>
        <w:tc>
          <w:tcPr>
            <w:tcW w:w="1586" w:type="dxa"/>
            <w:tcBorders>
              <w:top w:val="nil"/>
              <w:left w:val="nil"/>
              <w:bottom w:val="single" w:sz="4" w:space="0" w:color="auto"/>
              <w:right w:val="single" w:sz="4" w:space="0" w:color="auto"/>
            </w:tcBorders>
            <w:shd w:val="clear" w:color="auto" w:fill="C6EFCE"/>
            <w:noWrap/>
          </w:tcPr>
          <w:p w14:paraId="4FECB277"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Investment 1. Promotion of the 12 touristic/ cultural routes</w:t>
            </w:r>
          </w:p>
        </w:tc>
        <w:tc>
          <w:tcPr>
            <w:tcW w:w="1302" w:type="dxa"/>
            <w:tcBorders>
              <w:top w:val="nil"/>
              <w:left w:val="nil"/>
              <w:bottom w:val="single" w:sz="4" w:space="0" w:color="auto"/>
              <w:right w:val="single" w:sz="4" w:space="0" w:color="auto"/>
            </w:tcBorders>
            <w:shd w:val="clear" w:color="auto" w:fill="C6EFCE"/>
            <w:noWrap/>
          </w:tcPr>
          <w:p w14:paraId="468760DD"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518" w:type="dxa"/>
            <w:tcBorders>
              <w:top w:val="nil"/>
              <w:left w:val="nil"/>
              <w:bottom w:val="single" w:sz="4" w:space="0" w:color="auto"/>
              <w:right w:val="single" w:sz="4" w:space="0" w:color="auto"/>
            </w:tcBorders>
            <w:shd w:val="clear" w:color="auto" w:fill="C6EFCE"/>
            <w:noWrap/>
          </w:tcPr>
          <w:p w14:paraId="529BCBC3"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Touristic sites open for visitors</w:t>
            </w:r>
          </w:p>
        </w:tc>
        <w:tc>
          <w:tcPr>
            <w:tcW w:w="1658" w:type="dxa"/>
            <w:tcBorders>
              <w:top w:val="nil"/>
              <w:left w:val="nil"/>
              <w:bottom w:val="single" w:sz="4" w:space="0" w:color="auto"/>
              <w:right w:val="single" w:sz="4" w:space="0" w:color="auto"/>
            </w:tcBorders>
            <w:shd w:val="clear" w:color="auto" w:fill="C6EFCE"/>
            <w:noWrap/>
          </w:tcPr>
          <w:p w14:paraId="3DE4CAA3"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eastAsia="en-GB"/>
              </w:rPr>
            </w:pPr>
            <w:r w:rsidRPr="00C92F3A">
              <w:rPr>
                <w:rFonts w:ascii="Times New Roman" w:eastAsia="Times New Roman" w:hAnsi="Times New Roman" w:cs="Times New Roman"/>
                <w:noProof/>
                <w:sz w:val="20"/>
                <w:szCs w:val="20"/>
                <w:lang w:val="en-GB" w:eastAsia="en-GB"/>
              </w:rPr>
              <w:t>Touristic sites open for visitors</w:t>
            </w:r>
          </w:p>
        </w:tc>
        <w:tc>
          <w:tcPr>
            <w:tcW w:w="1298" w:type="dxa"/>
            <w:tcBorders>
              <w:top w:val="nil"/>
              <w:left w:val="nil"/>
              <w:bottom w:val="single" w:sz="4" w:space="0" w:color="auto"/>
              <w:right w:val="single" w:sz="4" w:space="0" w:color="auto"/>
            </w:tcBorders>
            <w:shd w:val="clear" w:color="auto" w:fill="C6EFCE"/>
            <w:noWrap/>
          </w:tcPr>
          <w:p w14:paraId="0D3E9E0B" w14:textId="77777777" w:rsidR="001460A9" w:rsidRPr="00C92F3A" w:rsidRDefault="001460A9">
            <w:pPr>
              <w:spacing w:after="0" w:line="240" w:lineRule="auto"/>
              <w:rPr>
                <w:rFonts w:ascii="Times New Roman" w:eastAsia="Times New Roman" w:hAnsi="Times New Roman" w:cs="Times New Roman"/>
                <w:noProof/>
                <w:sz w:val="20"/>
                <w:szCs w:val="20"/>
                <w:lang w:val="en-GB"/>
              </w:rPr>
            </w:pPr>
          </w:p>
        </w:tc>
        <w:tc>
          <w:tcPr>
            <w:tcW w:w="1157" w:type="dxa"/>
            <w:tcBorders>
              <w:top w:val="nil"/>
              <w:left w:val="nil"/>
              <w:bottom w:val="single" w:sz="4" w:space="0" w:color="auto"/>
              <w:right w:val="single" w:sz="4" w:space="0" w:color="auto"/>
            </w:tcBorders>
            <w:shd w:val="clear" w:color="auto" w:fill="C6EFCE"/>
            <w:noWrap/>
          </w:tcPr>
          <w:p w14:paraId="3641C2C5" w14:textId="77777777" w:rsidR="001460A9" w:rsidRPr="00C92F3A" w:rsidRDefault="001460A9">
            <w:pPr>
              <w:spacing w:after="0" w:line="240" w:lineRule="auto"/>
              <w:rPr>
                <w:rFonts w:ascii="Times New Roman" w:eastAsia="Times New Roman" w:hAnsi="Times New Roman" w:cs="Times New Roman"/>
                <w:noProof/>
                <w:sz w:val="20"/>
                <w:szCs w:val="20"/>
                <w:lang w:val="en-GB"/>
              </w:rPr>
            </w:pPr>
          </w:p>
        </w:tc>
        <w:tc>
          <w:tcPr>
            <w:tcW w:w="867" w:type="dxa"/>
            <w:tcBorders>
              <w:top w:val="nil"/>
              <w:left w:val="nil"/>
              <w:bottom w:val="single" w:sz="4" w:space="0" w:color="auto"/>
              <w:right w:val="single" w:sz="4" w:space="0" w:color="auto"/>
            </w:tcBorders>
            <w:shd w:val="clear" w:color="auto" w:fill="C6EFCE"/>
            <w:noWrap/>
          </w:tcPr>
          <w:p w14:paraId="13D9D0F1" w14:textId="77777777" w:rsidR="001460A9" w:rsidRPr="00C92F3A" w:rsidRDefault="001460A9">
            <w:pPr>
              <w:spacing w:after="0" w:line="240" w:lineRule="auto"/>
              <w:jc w:val="both"/>
              <w:rPr>
                <w:rFonts w:ascii="Times New Roman" w:hAnsi="Times New Roman" w:cs="Times New Roman"/>
                <w:noProof/>
                <w:sz w:val="20"/>
                <w:szCs w:val="20"/>
                <w:lang w:val="en-GB"/>
              </w:rPr>
            </w:pPr>
          </w:p>
        </w:tc>
        <w:tc>
          <w:tcPr>
            <w:tcW w:w="1122" w:type="dxa"/>
            <w:tcBorders>
              <w:top w:val="nil"/>
              <w:left w:val="nil"/>
              <w:bottom w:val="single" w:sz="4" w:space="0" w:color="auto"/>
              <w:right w:val="single" w:sz="4" w:space="0" w:color="auto"/>
            </w:tcBorders>
            <w:shd w:val="clear" w:color="auto" w:fill="C6EFCE"/>
            <w:noWrap/>
          </w:tcPr>
          <w:p w14:paraId="26316B12"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Q2</w:t>
            </w:r>
          </w:p>
        </w:tc>
        <w:tc>
          <w:tcPr>
            <w:tcW w:w="874" w:type="dxa"/>
            <w:tcBorders>
              <w:top w:val="nil"/>
              <w:left w:val="nil"/>
              <w:bottom w:val="single" w:sz="4" w:space="0" w:color="auto"/>
              <w:right w:val="single" w:sz="4" w:space="0" w:color="auto"/>
            </w:tcBorders>
            <w:shd w:val="clear" w:color="auto" w:fill="C6EFCE"/>
            <w:noWrap/>
          </w:tcPr>
          <w:p w14:paraId="50E549E2"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2026</w:t>
            </w:r>
          </w:p>
        </w:tc>
        <w:tc>
          <w:tcPr>
            <w:tcW w:w="3634" w:type="dxa"/>
            <w:tcBorders>
              <w:top w:val="nil"/>
              <w:left w:val="nil"/>
              <w:bottom w:val="single" w:sz="4" w:space="0" w:color="auto"/>
              <w:right w:val="single" w:sz="4" w:space="0" w:color="auto"/>
            </w:tcBorders>
            <w:shd w:val="clear" w:color="auto" w:fill="C6EFCE"/>
            <w:noWrap/>
          </w:tcPr>
          <w:p w14:paraId="075053B9" w14:textId="77777777" w:rsidR="001460A9" w:rsidRPr="00C92F3A" w:rsidRDefault="001460A9">
            <w:pPr>
              <w:spacing w:after="0" w:line="240" w:lineRule="auto"/>
              <w:jc w:val="both"/>
              <w:rPr>
                <w:rFonts w:ascii="Times New Roman" w:hAnsi="Times New Roman" w:cs="Times New Roman"/>
                <w:noProof/>
                <w:sz w:val="20"/>
                <w:szCs w:val="20"/>
              </w:rPr>
            </w:pPr>
            <w:r w:rsidRPr="00C92F3A">
              <w:rPr>
                <w:rFonts w:ascii="Times New Roman" w:hAnsi="Times New Roman" w:cs="Times New Roman"/>
                <w:noProof/>
                <w:sz w:val="20"/>
                <w:szCs w:val="20"/>
              </w:rPr>
              <w:t>Works completion reception certificates for works of restoration, consolidation, rehabilitation or conservation on 201 touristic sites.</w:t>
            </w:r>
            <w:r w:rsidRPr="00C92F3A">
              <w:rPr>
                <w:rFonts w:ascii="Times New Roman" w:hAnsi="Times New Roman" w:cs="Times New Roman"/>
                <w:i/>
                <w:iCs/>
                <w:noProof/>
                <w:sz w:val="20"/>
                <w:szCs w:val="20"/>
              </w:rPr>
              <w:t xml:space="preserve"> </w:t>
            </w:r>
            <w:r w:rsidRPr="00C92F3A">
              <w:rPr>
                <w:rFonts w:ascii="Times New Roman" w:hAnsi="Times New Roman" w:cs="Times New Roman"/>
                <w:noProof/>
                <w:sz w:val="20"/>
                <w:szCs w:val="20"/>
                <w:lang w:val="en-GB"/>
              </w:rPr>
              <w:t xml:space="preserve">These sites shall be open for visitors. </w:t>
            </w:r>
          </w:p>
        </w:tc>
      </w:tr>
      <w:tr w:rsidR="001460A9" w:rsidRPr="00C92F3A" w14:paraId="72EFCCAC"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713F11DB"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337</w:t>
            </w:r>
          </w:p>
        </w:tc>
        <w:tc>
          <w:tcPr>
            <w:tcW w:w="1586" w:type="dxa"/>
            <w:tcBorders>
              <w:top w:val="nil"/>
              <w:left w:val="nil"/>
              <w:bottom w:val="single" w:sz="4" w:space="0" w:color="auto"/>
              <w:right w:val="single" w:sz="4" w:space="0" w:color="auto"/>
            </w:tcBorders>
            <w:shd w:val="clear" w:color="auto" w:fill="C6EFCE"/>
            <w:noWrap/>
          </w:tcPr>
          <w:p w14:paraId="1B9CF1F3"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Investment 2. Modernisation/ creation of museums and memorials</w:t>
            </w:r>
          </w:p>
          <w:p w14:paraId="6EFAC6A0"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eastAsia="en-GB"/>
              </w:rPr>
            </w:pPr>
          </w:p>
        </w:tc>
        <w:tc>
          <w:tcPr>
            <w:tcW w:w="1302" w:type="dxa"/>
            <w:tcBorders>
              <w:top w:val="nil"/>
              <w:left w:val="nil"/>
              <w:bottom w:val="single" w:sz="4" w:space="0" w:color="auto"/>
              <w:right w:val="single" w:sz="4" w:space="0" w:color="auto"/>
            </w:tcBorders>
            <w:shd w:val="clear" w:color="auto" w:fill="C6EFCE"/>
            <w:noWrap/>
          </w:tcPr>
          <w:p w14:paraId="25A2CFAE"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Target</w:t>
            </w:r>
          </w:p>
        </w:tc>
        <w:tc>
          <w:tcPr>
            <w:tcW w:w="1518" w:type="dxa"/>
            <w:tcBorders>
              <w:top w:val="nil"/>
              <w:left w:val="nil"/>
              <w:bottom w:val="single" w:sz="4" w:space="0" w:color="auto"/>
              <w:right w:val="single" w:sz="4" w:space="0" w:color="auto"/>
            </w:tcBorders>
            <w:shd w:val="clear" w:color="auto" w:fill="C6EFCE"/>
            <w:noWrap/>
          </w:tcPr>
          <w:p w14:paraId="7205FAE2"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Museums or memorials opened to the public</w:t>
            </w:r>
          </w:p>
        </w:tc>
        <w:tc>
          <w:tcPr>
            <w:tcW w:w="1658" w:type="dxa"/>
            <w:tcBorders>
              <w:top w:val="nil"/>
              <w:left w:val="nil"/>
              <w:bottom w:val="single" w:sz="4" w:space="0" w:color="auto"/>
              <w:right w:val="single" w:sz="4" w:space="0" w:color="auto"/>
            </w:tcBorders>
            <w:shd w:val="clear" w:color="auto" w:fill="C6EFCE"/>
            <w:noWrap/>
          </w:tcPr>
          <w:p w14:paraId="6A76A48A"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eastAsia="en-GB"/>
              </w:rPr>
            </w:pPr>
          </w:p>
        </w:tc>
        <w:tc>
          <w:tcPr>
            <w:tcW w:w="1298" w:type="dxa"/>
            <w:tcBorders>
              <w:top w:val="nil"/>
              <w:left w:val="nil"/>
              <w:bottom w:val="single" w:sz="4" w:space="0" w:color="auto"/>
              <w:right w:val="single" w:sz="4" w:space="0" w:color="auto"/>
            </w:tcBorders>
            <w:shd w:val="clear" w:color="auto" w:fill="C6EFCE"/>
            <w:noWrap/>
          </w:tcPr>
          <w:p w14:paraId="64932676" w14:textId="77777777" w:rsidR="001460A9" w:rsidRPr="00C92F3A" w:rsidRDefault="001460A9">
            <w:pPr>
              <w:spacing w:after="0" w:line="240" w:lineRule="auto"/>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Number</w:t>
            </w:r>
          </w:p>
        </w:tc>
        <w:tc>
          <w:tcPr>
            <w:tcW w:w="1157" w:type="dxa"/>
            <w:tcBorders>
              <w:top w:val="nil"/>
              <w:left w:val="nil"/>
              <w:bottom w:val="single" w:sz="4" w:space="0" w:color="auto"/>
              <w:right w:val="single" w:sz="4" w:space="0" w:color="auto"/>
            </w:tcBorders>
            <w:shd w:val="clear" w:color="auto" w:fill="C6EFCE"/>
            <w:noWrap/>
          </w:tcPr>
          <w:p w14:paraId="7C375F05" w14:textId="77777777" w:rsidR="001460A9" w:rsidRPr="00C92F3A" w:rsidRDefault="001460A9">
            <w:pPr>
              <w:spacing w:after="0" w:line="240" w:lineRule="auto"/>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0</w:t>
            </w:r>
          </w:p>
        </w:tc>
        <w:tc>
          <w:tcPr>
            <w:tcW w:w="867" w:type="dxa"/>
            <w:tcBorders>
              <w:top w:val="nil"/>
              <w:left w:val="nil"/>
              <w:bottom w:val="single" w:sz="4" w:space="0" w:color="auto"/>
              <w:right w:val="single" w:sz="4" w:space="0" w:color="auto"/>
            </w:tcBorders>
            <w:shd w:val="clear" w:color="auto" w:fill="C6EFCE"/>
            <w:noWrap/>
          </w:tcPr>
          <w:p w14:paraId="73454111"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5</w:t>
            </w:r>
          </w:p>
        </w:tc>
        <w:tc>
          <w:tcPr>
            <w:tcW w:w="1122" w:type="dxa"/>
            <w:tcBorders>
              <w:top w:val="nil"/>
              <w:left w:val="nil"/>
              <w:bottom w:val="single" w:sz="4" w:space="0" w:color="auto"/>
              <w:right w:val="single" w:sz="4" w:space="0" w:color="auto"/>
            </w:tcBorders>
            <w:shd w:val="clear" w:color="auto" w:fill="C6EFCE"/>
            <w:noWrap/>
          </w:tcPr>
          <w:p w14:paraId="42DE2BED"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Q2</w:t>
            </w:r>
          </w:p>
        </w:tc>
        <w:tc>
          <w:tcPr>
            <w:tcW w:w="874" w:type="dxa"/>
            <w:tcBorders>
              <w:top w:val="nil"/>
              <w:left w:val="nil"/>
              <w:bottom w:val="single" w:sz="4" w:space="0" w:color="auto"/>
              <w:right w:val="single" w:sz="4" w:space="0" w:color="auto"/>
            </w:tcBorders>
            <w:shd w:val="clear" w:color="auto" w:fill="C6EFCE"/>
            <w:noWrap/>
          </w:tcPr>
          <w:p w14:paraId="6047FB96"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2026</w:t>
            </w:r>
          </w:p>
        </w:tc>
        <w:tc>
          <w:tcPr>
            <w:tcW w:w="3634" w:type="dxa"/>
            <w:tcBorders>
              <w:top w:val="nil"/>
              <w:left w:val="nil"/>
              <w:bottom w:val="single" w:sz="4" w:space="0" w:color="auto"/>
              <w:right w:val="single" w:sz="4" w:space="0" w:color="auto"/>
            </w:tcBorders>
            <w:shd w:val="clear" w:color="auto" w:fill="C6EFCE"/>
            <w:noWrap/>
          </w:tcPr>
          <w:p w14:paraId="448B9730" w14:textId="45FE28AC"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Five</w:t>
            </w:r>
            <w:r w:rsidR="00D23D91" w:rsidRPr="00C92F3A">
              <w:rPr>
                <w:rFonts w:ascii="Times New Roman" w:hAnsi="Times New Roman" w:cs="Times New Roman"/>
                <w:noProof/>
                <w:sz w:val="20"/>
                <w:szCs w:val="20"/>
                <w:lang w:val="en-GB"/>
              </w:rPr>
              <w:t xml:space="preserve"> </w:t>
            </w:r>
            <w:r w:rsidRPr="00C92F3A">
              <w:rPr>
                <w:rFonts w:ascii="Times New Roman" w:hAnsi="Times New Roman" w:cs="Times New Roman"/>
                <w:noProof/>
                <w:sz w:val="20"/>
                <w:szCs w:val="20"/>
                <w:lang w:val="en-GB"/>
              </w:rPr>
              <w:t>museums or</w:t>
            </w:r>
            <w:r w:rsidR="00D23D91" w:rsidRPr="00C92F3A">
              <w:rPr>
                <w:rFonts w:ascii="Times New Roman" w:hAnsi="Times New Roman" w:cs="Times New Roman"/>
                <w:noProof/>
                <w:sz w:val="20"/>
                <w:szCs w:val="20"/>
                <w:lang w:val="en-GB"/>
              </w:rPr>
              <w:t xml:space="preserve"> </w:t>
            </w:r>
            <w:r w:rsidRPr="00C92F3A">
              <w:rPr>
                <w:rFonts w:ascii="Times New Roman" w:hAnsi="Times New Roman" w:cs="Times New Roman"/>
                <w:noProof/>
                <w:sz w:val="20"/>
                <w:szCs w:val="20"/>
                <w:lang w:val="en-GB"/>
              </w:rPr>
              <w:t>memorials opened to the public as follows:</w:t>
            </w:r>
          </w:p>
          <w:p w14:paraId="3A33E348"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The following museum and memorials shall be built: </w:t>
            </w:r>
          </w:p>
          <w:p w14:paraId="73A308A3"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-The History Gallery of Transylvania;</w:t>
            </w:r>
          </w:p>
          <w:p w14:paraId="508F39FE" w14:textId="77777777" w:rsidR="001460A9" w:rsidRPr="00C92F3A" w:rsidRDefault="001460A9">
            <w:pPr>
              <w:spacing w:before="120" w:after="0" w:line="240" w:lineRule="auto"/>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-Rapa Robilor memorial place and visitor centre;</w:t>
            </w:r>
          </w:p>
          <w:p w14:paraId="21B0AAF4" w14:textId="77777777" w:rsidR="001460A9" w:rsidRPr="00C92F3A" w:rsidRDefault="001460A9">
            <w:pPr>
              <w:spacing w:before="120" w:after="0" w:line="240" w:lineRule="auto"/>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-Memorial of Forced Displacement of people and over-industrialisation, Satu Mare.</w:t>
            </w:r>
          </w:p>
          <w:p w14:paraId="119B18C7" w14:textId="27BB0827" w:rsidR="001460A9" w:rsidRPr="00C92F3A" w:rsidRDefault="001460A9">
            <w:pPr>
              <w:spacing w:before="120" w:after="0" w:line="240" w:lineRule="auto"/>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The following</w:t>
            </w:r>
            <w:r w:rsidR="00D23D91" w:rsidRPr="00C92F3A">
              <w:rPr>
                <w:rFonts w:ascii="Times New Roman" w:hAnsi="Times New Roman" w:cs="Times New Roman"/>
                <w:noProof/>
                <w:sz w:val="20"/>
                <w:szCs w:val="20"/>
                <w:lang w:val="en-GB"/>
              </w:rPr>
              <w:t xml:space="preserve"> </w:t>
            </w:r>
            <w:r w:rsidRPr="00C92F3A">
              <w:rPr>
                <w:rFonts w:ascii="Times New Roman" w:hAnsi="Times New Roman" w:cs="Times New Roman"/>
                <w:noProof/>
                <w:sz w:val="20"/>
                <w:szCs w:val="20"/>
                <w:lang w:val="en-GB"/>
              </w:rPr>
              <w:t>museum and memorial shall be either restored, renovated, or</w:t>
            </w:r>
            <w:r w:rsidR="00D23D91" w:rsidRPr="00C92F3A">
              <w:rPr>
                <w:rFonts w:ascii="Times New Roman" w:hAnsi="Times New Roman" w:cs="Times New Roman"/>
                <w:noProof/>
                <w:sz w:val="20"/>
                <w:szCs w:val="20"/>
                <w:lang w:val="en-GB"/>
              </w:rPr>
              <w:t xml:space="preserve"> </w:t>
            </w:r>
            <w:r w:rsidRPr="00C92F3A">
              <w:rPr>
                <w:rFonts w:ascii="Times New Roman" w:hAnsi="Times New Roman" w:cs="Times New Roman"/>
                <w:noProof/>
                <w:sz w:val="20"/>
                <w:szCs w:val="20"/>
                <w:lang w:val="en-GB"/>
              </w:rPr>
              <w:t>modernised:</w:t>
            </w:r>
          </w:p>
          <w:p w14:paraId="06123E5F" w14:textId="77777777" w:rsidR="001460A9" w:rsidRPr="00C92F3A" w:rsidRDefault="001460A9" w:rsidP="001460A9">
            <w:pPr>
              <w:numPr>
                <w:ilvl w:val="0"/>
                <w:numId w:val="54"/>
              </w:numPr>
              <w:spacing w:before="120" w:after="0" w:line="240" w:lineRule="auto"/>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ro-RO"/>
              </w:rPr>
              <w:t>Memorial of the Victims, Sighet;</w:t>
            </w:r>
          </w:p>
          <w:p w14:paraId="04EF7F35" w14:textId="77777777" w:rsidR="001460A9" w:rsidRPr="00C92F3A" w:rsidRDefault="001460A9" w:rsidP="001460A9">
            <w:pPr>
              <w:numPr>
                <w:ilvl w:val="0"/>
                <w:numId w:val="54"/>
              </w:numPr>
              <w:spacing w:before="120" w:after="0" w:line="240" w:lineRule="auto"/>
              <w:contextualSpacing/>
              <w:jc w:val="both"/>
              <w:rPr>
                <w:rFonts w:ascii="Times New Roman" w:hAnsi="Times New Roman" w:cs="Times New Roman"/>
                <w:noProof/>
                <w:sz w:val="20"/>
                <w:szCs w:val="20"/>
                <w:lang w:val="ro-RO"/>
              </w:rPr>
            </w:pPr>
            <w:r w:rsidRPr="00C92F3A">
              <w:rPr>
                <w:rFonts w:ascii="Times New Roman" w:hAnsi="Times New Roman" w:cs="Times New Roman"/>
                <w:noProof/>
                <w:sz w:val="20"/>
                <w:szCs w:val="20"/>
                <w:lang w:val="ro-RO"/>
              </w:rPr>
              <w:t>Museum of Horrors of Communism, Sfântu Gheorghe.</w:t>
            </w:r>
          </w:p>
        </w:tc>
      </w:tr>
      <w:tr w:rsidR="001460A9" w:rsidRPr="00C92F3A" w14:paraId="3FE78710"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748BDA11"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338</w:t>
            </w:r>
          </w:p>
        </w:tc>
        <w:tc>
          <w:tcPr>
            <w:tcW w:w="1586" w:type="dxa"/>
            <w:tcBorders>
              <w:top w:val="nil"/>
              <w:left w:val="nil"/>
              <w:bottom w:val="single" w:sz="4" w:space="0" w:color="auto"/>
              <w:right w:val="single" w:sz="4" w:space="0" w:color="auto"/>
            </w:tcBorders>
            <w:shd w:val="clear" w:color="auto" w:fill="C6EFCE"/>
            <w:noWrap/>
          </w:tcPr>
          <w:p w14:paraId="3439BA7C"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Reform 2. Framework for the operationa-lisation of cycling routes at national level</w:t>
            </w:r>
          </w:p>
        </w:tc>
        <w:tc>
          <w:tcPr>
            <w:tcW w:w="1302" w:type="dxa"/>
            <w:tcBorders>
              <w:top w:val="nil"/>
              <w:left w:val="nil"/>
              <w:bottom w:val="single" w:sz="4" w:space="0" w:color="auto"/>
              <w:right w:val="single" w:sz="4" w:space="0" w:color="auto"/>
            </w:tcBorders>
            <w:shd w:val="clear" w:color="auto" w:fill="C6EFCE"/>
            <w:noWrap/>
          </w:tcPr>
          <w:p w14:paraId="25B3E7B6"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518" w:type="dxa"/>
            <w:tcBorders>
              <w:top w:val="nil"/>
              <w:left w:val="nil"/>
              <w:bottom w:val="single" w:sz="4" w:space="0" w:color="auto"/>
              <w:right w:val="single" w:sz="4" w:space="0" w:color="auto"/>
            </w:tcBorders>
            <w:shd w:val="clear" w:color="auto" w:fill="C6EFCE"/>
            <w:noWrap/>
          </w:tcPr>
          <w:p w14:paraId="01CD0198"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Entry into force of the regulatory framework on cycling tourism </w:t>
            </w:r>
          </w:p>
        </w:tc>
        <w:tc>
          <w:tcPr>
            <w:tcW w:w="1658" w:type="dxa"/>
            <w:tcBorders>
              <w:top w:val="nil"/>
              <w:left w:val="nil"/>
              <w:bottom w:val="single" w:sz="4" w:space="0" w:color="auto"/>
              <w:right w:val="single" w:sz="4" w:space="0" w:color="auto"/>
            </w:tcBorders>
            <w:shd w:val="clear" w:color="auto" w:fill="C6EFCE"/>
            <w:noWrap/>
          </w:tcPr>
          <w:p w14:paraId="30C2DAD8"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Provision in the law indicating the entry into force of the regulatory framework on cycling tourism</w:t>
            </w:r>
          </w:p>
        </w:tc>
        <w:tc>
          <w:tcPr>
            <w:tcW w:w="1298" w:type="dxa"/>
            <w:tcBorders>
              <w:top w:val="nil"/>
              <w:left w:val="nil"/>
              <w:bottom w:val="single" w:sz="4" w:space="0" w:color="auto"/>
              <w:right w:val="single" w:sz="4" w:space="0" w:color="auto"/>
            </w:tcBorders>
            <w:shd w:val="clear" w:color="auto" w:fill="C6EFCE"/>
            <w:noWrap/>
          </w:tcPr>
          <w:p w14:paraId="3E5253E8" w14:textId="77777777" w:rsidR="001460A9" w:rsidRPr="00C92F3A" w:rsidRDefault="001460A9">
            <w:pPr>
              <w:spacing w:after="0" w:line="240" w:lineRule="auto"/>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1157" w:type="dxa"/>
            <w:tcBorders>
              <w:top w:val="nil"/>
              <w:left w:val="nil"/>
              <w:bottom w:val="single" w:sz="4" w:space="0" w:color="auto"/>
              <w:right w:val="single" w:sz="4" w:space="0" w:color="auto"/>
            </w:tcBorders>
            <w:shd w:val="clear" w:color="auto" w:fill="C6EFCE"/>
            <w:noWrap/>
          </w:tcPr>
          <w:p w14:paraId="7769C80A" w14:textId="77777777" w:rsidR="001460A9" w:rsidRPr="00C92F3A" w:rsidRDefault="001460A9">
            <w:pPr>
              <w:spacing w:after="0" w:line="240" w:lineRule="auto"/>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867" w:type="dxa"/>
            <w:tcBorders>
              <w:top w:val="nil"/>
              <w:left w:val="nil"/>
              <w:bottom w:val="single" w:sz="4" w:space="0" w:color="auto"/>
              <w:right w:val="single" w:sz="4" w:space="0" w:color="auto"/>
            </w:tcBorders>
            <w:shd w:val="clear" w:color="auto" w:fill="C6EFCE"/>
            <w:noWrap/>
          </w:tcPr>
          <w:p w14:paraId="302C22E4" w14:textId="77777777" w:rsidR="001460A9" w:rsidRPr="00C92F3A" w:rsidRDefault="001460A9">
            <w:pPr>
              <w:spacing w:after="0" w:line="240" w:lineRule="auto"/>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1122" w:type="dxa"/>
            <w:tcBorders>
              <w:top w:val="nil"/>
              <w:left w:val="nil"/>
              <w:bottom w:val="single" w:sz="4" w:space="0" w:color="auto"/>
              <w:right w:val="single" w:sz="4" w:space="0" w:color="auto"/>
            </w:tcBorders>
            <w:shd w:val="clear" w:color="auto" w:fill="C6EFCE"/>
            <w:noWrap/>
          </w:tcPr>
          <w:p w14:paraId="28435707"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Q1</w:t>
            </w:r>
          </w:p>
        </w:tc>
        <w:tc>
          <w:tcPr>
            <w:tcW w:w="874" w:type="dxa"/>
            <w:tcBorders>
              <w:top w:val="nil"/>
              <w:left w:val="nil"/>
              <w:bottom w:val="single" w:sz="4" w:space="0" w:color="auto"/>
              <w:right w:val="single" w:sz="4" w:space="0" w:color="auto"/>
            </w:tcBorders>
            <w:shd w:val="clear" w:color="auto" w:fill="C6EFCE"/>
            <w:noWrap/>
          </w:tcPr>
          <w:p w14:paraId="3A6E64FC"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2022</w:t>
            </w:r>
          </w:p>
        </w:tc>
        <w:tc>
          <w:tcPr>
            <w:tcW w:w="3634" w:type="dxa"/>
            <w:tcBorders>
              <w:top w:val="nil"/>
              <w:left w:val="nil"/>
              <w:bottom w:val="single" w:sz="4" w:space="0" w:color="auto"/>
              <w:right w:val="single" w:sz="4" w:space="0" w:color="auto"/>
            </w:tcBorders>
            <w:shd w:val="clear" w:color="auto" w:fill="C6EFCE"/>
            <w:noWrap/>
          </w:tcPr>
          <w:p w14:paraId="3824EF4A"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The regulatory framework (Government Decisions) for the operationalisation of cycling routes shall include the following elements: </w:t>
            </w:r>
          </w:p>
          <w:p w14:paraId="7BFCB841"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establishment of the institutions responsible for the operationalisation and monitoring of cycling tourism infrastructure (including the National Coordination Centre for cycling routes)</w:t>
            </w:r>
          </w:p>
          <w:p w14:paraId="293595AB"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establishment of typologies and characteristics of cycling routes;</w:t>
            </w:r>
          </w:p>
          <w:p w14:paraId="07BB84EF"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regulatory incentives for the use of cycling tourism.</w:t>
            </w:r>
          </w:p>
        </w:tc>
      </w:tr>
      <w:tr w:rsidR="001460A9" w:rsidRPr="00C92F3A" w14:paraId="39B728DB"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30353A2B"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339</w:t>
            </w:r>
          </w:p>
        </w:tc>
        <w:tc>
          <w:tcPr>
            <w:tcW w:w="1586" w:type="dxa"/>
            <w:tcBorders>
              <w:top w:val="nil"/>
              <w:left w:val="nil"/>
              <w:bottom w:val="single" w:sz="4" w:space="0" w:color="auto"/>
              <w:right w:val="single" w:sz="4" w:space="0" w:color="auto"/>
            </w:tcBorders>
            <w:shd w:val="clear" w:color="auto" w:fill="C6EFCE"/>
            <w:noWrap/>
          </w:tcPr>
          <w:p w14:paraId="050556CC"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Reform 2. Framework for the operationali-sation of cycling routes at national level</w:t>
            </w:r>
          </w:p>
        </w:tc>
        <w:tc>
          <w:tcPr>
            <w:tcW w:w="1302" w:type="dxa"/>
            <w:tcBorders>
              <w:top w:val="nil"/>
              <w:left w:val="nil"/>
              <w:bottom w:val="single" w:sz="4" w:space="0" w:color="auto"/>
              <w:right w:val="single" w:sz="4" w:space="0" w:color="auto"/>
            </w:tcBorders>
            <w:shd w:val="clear" w:color="auto" w:fill="C6EFCE"/>
            <w:noWrap/>
          </w:tcPr>
          <w:p w14:paraId="38DF750D"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518" w:type="dxa"/>
            <w:tcBorders>
              <w:top w:val="nil"/>
              <w:left w:val="nil"/>
              <w:bottom w:val="single" w:sz="4" w:space="0" w:color="auto"/>
              <w:right w:val="single" w:sz="4" w:space="0" w:color="auto"/>
            </w:tcBorders>
            <w:shd w:val="clear" w:color="auto" w:fill="C6EFCE"/>
            <w:noWrap/>
          </w:tcPr>
          <w:p w14:paraId="6F9A3C40"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National Coordination Centre Velo Routes established and operational </w:t>
            </w:r>
          </w:p>
        </w:tc>
        <w:tc>
          <w:tcPr>
            <w:tcW w:w="1658" w:type="dxa"/>
            <w:tcBorders>
              <w:top w:val="nil"/>
              <w:left w:val="nil"/>
              <w:bottom w:val="single" w:sz="4" w:space="0" w:color="auto"/>
              <w:right w:val="single" w:sz="4" w:space="0" w:color="auto"/>
            </w:tcBorders>
            <w:shd w:val="clear" w:color="auto" w:fill="C6EFCE"/>
            <w:noWrap/>
          </w:tcPr>
          <w:p w14:paraId="0B065CDD"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Adoption of the Government decision for the establishment of the National Coordination Centre for cycling routes</w:t>
            </w:r>
          </w:p>
          <w:p w14:paraId="0E253645"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eastAsia="en-GB"/>
              </w:rPr>
            </w:pPr>
            <w:r w:rsidRPr="00C92F3A">
              <w:rPr>
                <w:rFonts w:ascii="Times New Roman" w:hAnsi="Times New Roman" w:cs="Times New Roman"/>
                <w:noProof/>
                <w:sz w:val="20"/>
                <w:szCs w:val="20"/>
                <w:lang w:val="en-GB"/>
              </w:rPr>
              <w:t xml:space="preserve"> </w:t>
            </w:r>
          </w:p>
        </w:tc>
        <w:tc>
          <w:tcPr>
            <w:tcW w:w="1298" w:type="dxa"/>
            <w:tcBorders>
              <w:top w:val="nil"/>
              <w:left w:val="nil"/>
              <w:bottom w:val="single" w:sz="4" w:space="0" w:color="auto"/>
              <w:right w:val="single" w:sz="4" w:space="0" w:color="auto"/>
            </w:tcBorders>
            <w:shd w:val="clear" w:color="auto" w:fill="C6EFCE"/>
            <w:noWrap/>
          </w:tcPr>
          <w:p w14:paraId="449FC072"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57" w:type="dxa"/>
            <w:tcBorders>
              <w:top w:val="nil"/>
              <w:left w:val="nil"/>
              <w:bottom w:val="single" w:sz="4" w:space="0" w:color="auto"/>
              <w:right w:val="single" w:sz="4" w:space="0" w:color="auto"/>
            </w:tcBorders>
            <w:shd w:val="clear" w:color="auto" w:fill="C6EFCE"/>
            <w:noWrap/>
          </w:tcPr>
          <w:p w14:paraId="3FA6A4EA"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867" w:type="dxa"/>
            <w:tcBorders>
              <w:top w:val="nil"/>
              <w:left w:val="nil"/>
              <w:bottom w:val="single" w:sz="4" w:space="0" w:color="auto"/>
              <w:right w:val="single" w:sz="4" w:space="0" w:color="auto"/>
            </w:tcBorders>
            <w:shd w:val="clear" w:color="auto" w:fill="C6EFCE"/>
            <w:noWrap/>
          </w:tcPr>
          <w:p w14:paraId="77117421"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22" w:type="dxa"/>
            <w:tcBorders>
              <w:top w:val="nil"/>
              <w:left w:val="nil"/>
              <w:bottom w:val="single" w:sz="4" w:space="0" w:color="auto"/>
              <w:right w:val="single" w:sz="4" w:space="0" w:color="auto"/>
            </w:tcBorders>
            <w:shd w:val="clear" w:color="auto" w:fill="C6EFCE"/>
            <w:noWrap/>
          </w:tcPr>
          <w:p w14:paraId="73A10EFF"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Q2</w:t>
            </w:r>
          </w:p>
        </w:tc>
        <w:tc>
          <w:tcPr>
            <w:tcW w:w="874" w:type="dxa"/>
            <w:tcBorders>
              <w:top w:val="nil"/>
              <w:left w:val="nil"/>
              <w:bottom w:val="single" w:sz="4" w:space="0" w:color="auto"/>
              <w:right w:val="single" w:sz="4" w:space="0" w:color="auto"/>
            </w:tcBorders>
            <w:shd w:val="clear" w:color="auto" w:fill="C6EFCE"/>
            <w:noWrap/>
          </w:tcPr>
          <w:p w14:paraId="04C933F7"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2022</w:t>
            </w:r>
          </w:p>
        </w:tc>
        <w:tc>
          <w:tcPr>
            <w:tcW w:w="3634" w:type="dxa"/>
            <w:tcBorders>
              <w:top w:val="nil"/>
              <w:left w:val="nil"/>
              <w:bottom w:val="single" w:sz="4" w:space="0" w:color="auto"/>
              <w:right w:val="single" w:sz="4" w:space="0" w:color="auto"/>
            </w:tcBorders>
            <w:shd w:val="clear" w:color="auto" w:fill="C6EFCE"/>
            <w:noWrap/>
          </w:tcPr>
          <w:p w14:paraId="35DB50CA"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The National Coordination Centre (NCC) for Velo Routes shall be established in the Ministry of Development, Public Works and Administration. The NCC shall become operational and shall start elaboration of the study and the eVelo application.</w:t>
            </w:r>
          </w:p>
        </w:tc>
      </w:tr>
      <w:tr w:rsidR="001460A9" w:rsidRPr="00C92F3A" w14:paraId="55B07B88"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42A71A5F"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340</w:t>
            </w:r>
          </w:p>
        </w:tc>
        <w:tc>
          <w:tcPr>
            <w:tcW w:w="1586" w:type="dxa"/>
            <w:tcBorders>
              <w:top w:val="nil"/>
              <w:left w:val="nil"/>
              <w:bottom w:val="single" w:sz="4" w:space="0" w:color="auto"/>
              <w:right w:val="single" w:sz="4" w:space="0" w:color="auto"/>
            </w:tcBorders>
            <w:shd w:val="clear" w:color="auto" w:fill="C6EFCE"/>
            <w:noWrap/>
          </w:tcPr>
          <w:p w14:paraId="1FAB8CEC"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Reform 2. Framework for the operationa-lisation of cycling routes at national level</w:t>
            </w:r>
          </w:p>
        </w:tc>
        <w:tc>
          <w:tcPr>
            <w:tcW w:w="1302" w:type="dxa"/>
            <w:tcBorders>
              <w:top w:val="nil"/>
              <w:left w:val="nil"/>
              <w:bottom w:val="single" w:sz="4" w:space="0" w:color="auto"/>
              <w:right w:val="single" w:sz="4" w:space="0" w:color="auto"/>
            </w:tcBorders>
            <w:shd w:val="clear" w:color="auto" w:fill="C6EFCE"/>
            <w:noWrap/>
          </w:tcPr>
          <w:p w14:paraId="134A0E7B" w14:textId="77777777" w:rsidR="001460A9" w:rsidRPr="00C92F3A" w:rsidRDefault="001460A9">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518" w:type="dxa"/>
            <w:tcBorders>
              <w:top w:val="nil"/>
              <w:left w:val="nil"/>
              <w:bottom w:val="single" w:sz="4" w:space="0" w:color="auto"/>
              <w:right w:val="single" w:sz="4" w:space="0" w:color="auto"/>
            </w:tcBorders>
            <w:shd w:val="clear" w:color="auto" w:fill="C6EFCE"/>
            <w:noWrap/>
          </w:tcPr>
          <w:p w14:paraId="1B1A48DF"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Comprehen-sive study on the territorial distribution of national cycling routes</w:t>
            </w:r>
          </w:p>
        </w:tc>
        <w:tc>
          <w:tcPr>
            <w:tcW w:w="1658" w:type="dxa"/>
            <w:tcBorders>
              <w:top w:val="nil"/>
              <w:left w:val="nil"/>
              <w:bottom w:val="single" w:sz="4" w:space="0" w:color="auto"/>
              <w:right w:val="single" w:sz="4" w:space="0" w:color="auto"/>
            </w:tcBorders>
            <w:shd w:val="clear" w:color="auto" w:fill="C6EFCE"/>
            <w:noWrap/>
          </w:tcPr>
          <w:p w14:paraId="5A6A51BA"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Published study</w:t>
            </w:r>
          </w:p>
        </w:tc>
        <w:tc>
          <w:tcPr>
            <w:tcW w:w="1298" w:type="dxa"/>
            <w:tcBorders>
              <w:top w:val="nil"/>
              <w:left w:val="nil"/>
              <w:bottom w:val="single" w:sz="4" w:space="0" w:color="auto"/>
              <w:right w:val="single" w:sz="4" w:space="0" w:color="auto"/>
            </w:tcBorders>
            <w:shd w:val="clear" w:color="auto" w:fill="C6EFCE"/>
            <w:noWrap/>
          </w:tcPr>
          <w:p w14:paraId="3BCE27AF"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57" w:type="dxa"/>
            <w:tcBorders>
              <w:top w:val="nil"/>
              <w:left w:val="nil"/>
              <w:bottom w:val="single" w:sz="4" w:space="0" w:color="auto"/>
              <w:right w:val="single" w:sz="4" w:space="0" w:color="auto"/>
            </w:tcBorders>
            <w:shd w:val="clear" w:color="auto" w:fill="C6EFCE"/>
            <w:noWrap/>
          </w:tcPr>
          <w:p w14:paraId="6ED5399E"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867" w:type="dxa"/>
            <w:tcBorders>
              <w:top w:val="nil"/>
              <w:left w:val="nil"/>
              <w:bottom w:val="single" w:sz="4" w:space="0" w:color="auto"/>
              <w:right w:val="single" w:sz="4" w:space="0" w:color="auto"/>
            </w:tcBorders>
            <w:shd w:val="clear" w:color="auto" w:fill="C6EFCE"/>
            <w:noWrap/>
          </w:tcPr>
          <w:p w14:paraId="05104276"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22" w:type="dxa"/>
            <w:tcBorders>
              <w:top w:val="nil"/>
              <w:left w:val="nil"/>
              <w:bottom w:val="single" w:sz="4" w:space="0" w:color="auto"/>
              <w:right w:val="single" w:sz="4" w:space="0" w:color="auto"/>
            </w:tcBorders>
            <w:shd w:val="clear" w:color="auto" w:fill="C6EFCE"/>
            <w:noWrap/>
          </w:tcPr>
          <w:p w14:paraId="5BD2573F"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Q3</w:t>
            </w:r>
          </w:p>
        </w:tc>
        <w:tc>
          <w:tcPr>
            <w:tcW w:w="874" w:type="dxa"/>
            <w:tcBorders>
              <w:top w:val="nil"/>
              <w:left w:val="nil"/>
              <w:bottom w:val="single" w:sz="4" w:space="0" w:color="auto"/>
              <w:right w:val="single" w:sz="4" w:space="0" w:color="auto"/>
            </w:tcBorders>
            <w:shd w:val="clear" w:color="auto" w:fill="C6EFCE"/>
            <w:noWrap/>
          </w:tcPr>
          <w:p w14:paraId="2F69F670"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2022</w:t>
            </w:r>
          </w:p>
        </w:tc>
        <w:tc>
          <w:tcPr>
            <w:tcW w:w="3634" w:type="dxa"/>
            <w:tcBorders>
              <w:top w:val="nil"/>
              <w:left w:val="nil"/>
              <w:bottom w:val="single" w:sz="4" w:space="0" w:color="auto"/>
              <w:right w:val="single" w:sz="4" w:space="0" w:color="auto"/>
            </w:tcBorders>
            <w:shd w:val="clear" w:color="auto" w:fill="C6EFCE"/>
            <w:noWrap/>
          </w:tcPr>
          <w:p w14:paraId="0F1FE568"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The in-depth study shall establish the territorial distribution of the cycle tourism pathways (2 404km of cycling routes) based on key criteria (e.g. reduction of congestion, promotion of eco-tourism) identify relevant actors and integrate existing initiatives to enhance the natural and cultural heritage, in accordance with the requirements under milestone 338. Based on the study results, shall be launched the procurement process for putting into place the cycling pathways.</w:t>
            </w:r>
          </w:p>
        </w:tc>
      </w:tr>
      <w:tr w:rsidR="001460A9" w:rsidRPr="00C92F3A" w14:paraId="063D73D8"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6E7FE573"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341</w:t>
            </w:r>
          </w:p>
        </w:tc>
        <w:tc>
          <w:tcPr>
            <w:tcW w:w="1586" w:type="dxa"/>
            <w:tcBorders>
              <w:top w:val="nil"/>
              <w:left w:val="nil"/>
              <w:bottom w:val="single" w:sz="4" w:space="0" w:color="auto"/>
              <w:right w:val="single" w:sz="4" w:space="0" w:color="auto"/>
            </w:tcBorders>
            <w:shd w:val="clear" w:color="auto" w:fill="C6EFCE"/>
            <w:noWrap/>
          </w:tcPr>
          <w:p w14:paraId="3B924CD6"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Investment 3. Establishment and operationa-lisation of the Velo National Coordination Centre</w:t>
            </w:r>
          </w:p>
        </w:tc>
        <w:tc>
          <w:tcPr>
            <w:tcW w:w="1302" w:type="dxa"/>
            <w:tcBorders>
              <w:top w:val="nil"/>
              <w:left w:val="nil"/>
              <w:bottom w:val="single" w:sz="4" w:space="0" w:color="auto"/>
              <w:right w:val="single" w:sz="4" w:space="0" w:color="auto"/>
            </w:tcBorders>
            <w:shd w:val="clear" w:color="auto" w:fill="C6EFCE"/>
            <w:noWrap/>
          </w:tcPr>
          <w:p w14:paraId="769A827C"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518" w:type="dxa"/>
            <w:tcBorders>
              <w:top w:val="nil"/>
              <w:left w:val="nil"/>
              <w:bottom w:val="single" w:sz="4" w:space="0" w:color="auto"/>
              <w:right w:val="single" w:sz="4" w:space="0" w:color="auto"/>
            </w:tcBorders>
            <w:shd w:val="clear" w:color="auto" w:fill="C6EFCE"/>
            <w:noWrap/>
          </w:tcPr>
          <w:p w14:paraId="208CB999"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Integrated National eVelo Platform and smartphone application</w:t>
            </w:r>
          </w:p>
        </w:tc>
        <w:tc>
          <w:tcPr>
            <w:tcW w:w="1658" w:type="dxa"/>
            <w:tcBorders>
              <w:top w:val="nil"/>
              <w:left w:val="nil"/>
              <w:bottom w:val="single" w:sz="4" w:space="0" w:color="auto"/>
              <w:right w:val="single" w:sz="4" w:space="0" w:color="auto"/>
            </w:tcBorders>
            <w:shd w:val="clear" w:color="auto" w:fill="C6EFCE"/>
            <w:noWrap/>
          </w:tcPr>
          <w:p w14:paraId="51B8E172"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Development and publication of the platform and application</w:t>
            </w:r>
          </w:p>
        </w:tc>
        <w:tc>
          <w:tcPr>
            <w:tcW w:w="1298" w:type="dxa"/>
            <w:tcBorders>
              <w:top w:val="nil"/>
              <w:left w:val="nil"/>
              <w:bottom w:val="single" w:sz="4" w:space="0" w:color="auto"/>
              <w:right w:val="single" w:sz="4" w:space="0" w:color="auto"/>
            </w:tcBorders>
            <w:shd w:val="clear" w:color="auto" w:fill="C6EFCE"/>
            <w:noWrap/>
          </w:tcPr>
          <w:p w14:paraId="3CADBB77"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57" w:type="dxa"/>
            <w:tcBorders>
              <w:top w:val="nil"/>
              <w:left w:val="nil"/>
              <w:bottom w:val="single" w:sz="4" w:space="0" w:color="auto"/>
              <w:right w:val="single" w:sz="4" w:space="0" w:color="auto"/>
            </w:tcBorders>
            <w:shd w:val="clear" w:color="auto" w:fill="C6EFCE"/>
            <w:noWrap/>
          </w:tcPr>
          <w:p w14:paraId="6FFD9108"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867" w:type="dxa"/>
            <w:tcBorders>
              <w:top w:val="nil"/>
              <w:left w:val="nil"/>
              <w:bottom w:val="single" w:sz="4" w:space="0" w:color="auto"/>
              <w:right w:val="single" w:sz="4" w:space="0" w:color="auto"/>
            </w:tcBorders>
            <w:shd w:val="clear" w:color="auto" w:fill="C6EFCE"/>
            <w:noWrap/>
          </w:tcPr>
          <w:p w14:paraId="6DB1C0B6"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22" w:type="dxa"/>
            <w:tcBorders>
              <w:top w:val="nil"/>
              <w:left w:val="nil"/>
              <w:bottom w:val="single" w:sz="4" w:space="0" w:color="auto"/>
              <w:right w:val="single" w:sz="4" w:space="0" w:color="auto"/>
            </w:tcBorders>
            <w:shd w:val="clear" w:color="auto" w:fill="C6EFCE"/>
            <w:noWrap/>
          </w:tcPr>
          <w:p w14:paraId="573AFA08"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Q3</w:t>
            </w:r>
          </w:p>
        </w:tc>
        <w:tc>
          <w:tcPr>
            <w:tcW w:w="874" w:type="dxa"/>
            <w:tcBorders>
              <w:top w:val="nil"/>
              <w:left w:val="nil"/>
              <w:bottom w:val="single" w:sz="4" w:space="0" w:color="auto"/>
              <w:right w:val="single" w:sz="4" w:space="0" w:color="auto"/>
            </w:tcBorders>
            <w:shd w:val="clear" w:color="auto" w:fill="C6EFCE"/>
            <w:noWrap/>
          </w:tcPr>
          <w:p w14:paraId="0C96DEC0"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2022</w:t>
            </w:r>
          </w:p>
        </w:tc>
        <w:tc>
          <w:tcPr>
            <w:tcW w:w="3634" w:type="dxa"/>
            <w:tcBorders>
              <w:top w:val="nil"/>
              <w:left w:val="nil"/>
              <w:bottom w:val="single" w:sz="4" w:space="0" w:color="auto"/>
              <w:right w:val="single" w:sz="4" w:space="0" w:color="auto"/>
            </w:tcBorders>
            <w:shd w:val="clear" w:color="auto" w:fill="C6EFCE"/>
            <w:noWrap/>
          </w:tcPr>
          <w:p w14:paraId="12EC1710"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Development and publication of an integrated digital application for the provision of thematic information related to cycling tourism. The integrated application includes the establishment of the eVelo National Platform (a website for the national cycling routes), and a thematic smartphone application, in accordance with the requirements under milestone 340.</w:t>
            </w:r>
          </w:p>
        </w:tc>
      </w:tr>
      <w:tr w:rsidR="001460A9" w:rsidRPr="00C92F3A" w14:paraId="2FBD9E8F"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7E91CD54"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342</w:t>
            </w:r>
          </w:p>
        </w:tc>
        <w:tc>
          <w:tcPr>
            <w:tcW w:w="1586" w:type="dxa"/>
            <w:tcBorders>
              <w:top w:val="nil"/>
              <w:left w:val="nil"/>
              <w:bottom w:val="single" w:sz="4" w:space="0" w:color="auto"/>
              <w:right w:val="single" w:sz="4" w:space="0" w:color="auto"/>
            </w:tcBorders>
            <w:shd w:val="clear" w:color="auto" w:fill="C6EFCE"/>
            <w:noWrap/>
          </w:tcPr>
          <w:p w14:paraId="3A7F01A2"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Investment 4.</w:t>
            </w:r>
          </w:p>
          <w:p w14:paraId="356E6FE8"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Construction of 236,05 km of cycling routes</w:t>
            </w:r>
          </w:p>
        </w:tc>
        <w:tc>
          <w:tcPr>
            <w:tcW w:w="1302" w:type="dxa"/>
            <w:tcBorders>
              <w:top w:val="nil"/>
              <w:left w:val="nil"/>
              <w:bottom w:val="single" w:sz="4" w:space="0" w:color="auto"/>
              <w:right w:val="single" w:sz="4" w:space="0" w:color="auto"/>
            </w:tcBorders>
            <w:shd w:val="clear" w:color="auto" w:fill="C6EFCE"/>
            <w:noWrap/>
          </w:tcPr>
          <w:p w14:paraId="68C7D8C4"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518" w:type="dxa"/>
            <w:tcBorders>
              <w:top w:val="nil"/>
              <w:left w:val="nil"/>
              <w:bottom w:val="single" w:sz="4" w:space="0" w:color="auto"/>
              <w:right w:val="single" w:sz="4" w:space="0" w:color="auto"/>
            </w:tcBorders>
            <w:shd w:val="clear" w:color="auto" w:fill="C6EFCE"/>
            <w:noWrap/>
          </w:tcPr>
          <w:p w14:paraId="55D3CDF7"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Signature of the contracts for cycling routes </w:t>
            </w:r>
          </w:p>
        </w:tc>
        <w:tc>
          <w:tcPr>
            <w:tcW w:w="1658" w:type="dxa"/>
            <w:tcBorders>
              <w:top w:val="nil"/>
              <w:left w:val="nil"/>
              <w:bottom w:val="single" w:sz="4" w:space="0" w:color="auto"/>
              <w:right w:val="single" w:sz="4" w:space="0" w:color="auto"/>
            </w:tcBorders>
            <w:shd w:val="clear" w:color="auto" w:fill="C6EFCE"/>
            <w:noWrap/>
          </w:tcPr>
          <w:p w14:paraId="399152C0"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Signature of contracts</w:t>
            </w:r>
          </w:p>
        </w:tc>
        <w:tc>
          <w:tcPr>
            <w:tcW w:w="1298" w:type="dxa"/>
            <w:tcBorders>
              <w:top w:val="nil"/>
              <w:left w:val="nil"/>
              <w:bottom w:val="single" w:sz="4" w:space="0" w:color="auto"/>
              <w:right w:val="single" w:sz="4" w:space="0" w:color="auto"/>
            </w:tcBorders>
            <w:shd w:val="clear" w:color="auto" w:fill="C6EFCE"/>
            <w:noWrap/>
          </w:tcPr>
          <w:p w14:paraId="1720574F"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57" w:type="dxa"/>
            <w:tcBorders>
              <w:top w:val="nil"/>
              <w:left w:val="nil"/>
              <w:bottom w:val="single" w:sz="4" w:space="0" w:color="auto"/>
              <w:right w:val="single" w:sz="4" w:space="0" w:color="auto"/>
            </w:tcBorders>
            <w:shd w:val="clear" w:color="auto" w:fill="C6EFCE"/>
            <w:noWrap/>
          </w:tcPr>
          <w:p w14:paraId="4EC23715"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867" w:type="dxa"/>
            <w:tcBorders>
              <w:top w:val="nil"/>
              <w:left w:val="nil"/>
              <w:bottom w:val="single" w:sz="4" w:space="0" w:color="auto"/>
              <w:right w:val="single" w:sz="4" w:space="0" w:color="auto"/>
            </w:tcBorders>
            <w:shd w:val="clear" w:color="auto" w:fill="C6EFCE"/>
            <w:noWrap/>
          </w:tcPr>
          <w:p w14:paraId="0BC8021D"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22" w:type="dxa"/>
            <w:tcBorders>
              <w:top w:val="nil"/>
              <w:left w:val="nil"/>
              <w:bottom w:val="single" w:sz="4" w:space="0" w:color="auto"/>
              <w:right w:val="single" w:sz="4" w:space="0" w:color="auto"/>
            </w:tcBorders>
            <w:shd w:val="clear" w:color="auto" w:fill="C6EFCE"/>
            <w:noWrap/>
          </w:tcPr>
          <w:p w14:paraId="1305D214"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Q4</w:t>
            </w:r>
          </w:p>
        </w:tc>
        <w:tc>
          <w:tcPr>
            <w:tcW w:w="874" w:type="dxa"/>
            <w:tcBorders>
              <w:top w:val="nil"/>
              <w:left w:val="nil"/>
              <w:bottom w:val="single" w:sz="4" w:space="0" w:color="auto"/>
              <w:right w:val="single" w:sz="4" w:space="0" w:color="auto"/>
            </w:tcBorders>
            <w:shd w:val="clear" w:color="auto" w:fill="C6EFCE"/>
            <w:noWrap/>
          </w:tcPr>
          <w:p w14:paraId="6158FDF0"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2022</w:t>
            </w:r>
          </w:p>
        </w:tc>
        <w:tc>
          <w:tcPr>
            <w:tcW w:w="3634" w:type="dxa"/>
            <w:tcBorders>
              <w:top w:val="nil"/>
              <w:left w:val="nil"/>
              <w:bottom w:val="single" w:sz="4" w:space="0" w:color="auto"/>
              <w:right w:val="single" w:sz="4" w:space="0" w:color="auto"/>
            </w:tcBorders>
            <w:shd w:val="clear" w:color="auto" w:fill="C6EFCE"/>
            <w:noWrap/>
          </w:tcPr>
          <w:p w14:paraId="2E12D4A1"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Signature of financing contracts for the construction of 236,05 km of new cycling routes, following open and competitive tender process. The tender process shall start by the publication of the financing scheme that shall establish the eligibility, criteria and the conditions for awarding the contracts. The financial scheme shall be developed by the National Coordination Centre for Velo Routes. </w:t>
            </w:r>
          </w:p>
          <w:p w14:paraId="2373E24E"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Following the completion of the tendering process, the works shall start on the 236,05 km of cycling routes.</w:t>
            </w:r>
          </w:p>
        </w:tc>
      </w:tr>
      <w:tr w:rsidR="001460A9" w:rsidRPr="00C92F3A" w14:paraId="4C812739"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18788DB9"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343</w:t>
            </w:r>
          </w:p>
        </w:tc>
        <w:tc>
          <w:tcPr>
            <w:tcW w:w="1586" w:type="dxa"/>
            <w:tcBorders>
              <w:top w:val="nil"/>
              <w:left w:val="nil"/>
              <w:bottom w:val="single" w:sz="4" w:space="0" w:color="auto"/>
              <w:right w:val="single" w:sz="4" w:space="0" w:color="auto"/>
            </w:tcBorders>
            <w:shd w:val="clear" w:color="auto" w:fill="C6EFCE"/>
            <w:noWrap/>
          </w:tcPr>
          <w:p w14:paraId="63E1A767"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Investment 4.</w:t>
            </w:r>
          </w:p>
          <w:p w14:paraId="62E01945" w14:textId="7065A364"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Construction of</w:t>
            </w:r>
            <w:r w:rsidR="00DD74CD">
              <w:rPr>
                <w:rFonts w:ascii="Times New Roman" w:hAnsi="Times New Roman" w:cs="Times New Roman"/>
                <w:noProof/>
                <w:sz w:val="20"/>
                <w:szCs w:val="20"/>
                <w:lang w:val="en-GB"/>
              </w:rPr>
              <w:t xml:space="preserve"> at least</w:t>
            </w:r>
            <w:r w:rsidRPr="00C92F3A">
              <w:rPr>
                <w:rFonts w:ascii="Times New Roman" w:hAnsi="Times New Roman" w:cs="Times New Roman"/>
                <w:noProof/>
                <w:sz w:val="20"/>
                <w:szCs w:val="20"/>
                <w:lang w:val="en-GB"/>
              </w:rPr>
              <w:t xml:space="preserve"> 236 km of cycling routes</w:t>
            </w:r>
          </w:p>
        </w:tc>
        <w:tc>
          <w:tcPr>
            <w:tcW w:w="1302" w:type="dxa"/>
            <w:tcBorders>
              <w:top w:val="nil"/>
              <w:left w:val="nil"/>
              <w:bottom w:val="single" w:sz="4" w:space="0" w:color="auto"/>
              <w:right w:val="single" w:sz="4" w:space="0" w:color="auto"/>
            </w:tcBorders>
            <w:shd w:val="clear" w:color="auto" w:fill="C6EFCE"/>
            <w:noWrap/>
          </w:tcPr>
          <w:p w14:paraId="4A3659C3"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518" w:type="dxa"/>
            <w:tcBorders>
              <w:top w:val="nil"/>
              <w:left w:val="nil"/>
              <w:bottom w:val="single" w:sz="4" w:space="0" w:color="auto"/>
              <w:right w:val="single" w:sz="4" w:space="0" w:color="auto"/>
            </w:tcBorders>
            <w:shd w:val="clear" w:color="auto" w:fill="C6EFCE"/>
            <w:noWrap/>
          </w:tcPr>
          <w:p w14:paraId="221E64AF"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Cycling routes built and accessible for cycling</w:t>
            </w:r>
          </w:p>
        </w:tc>
        <w:tc>
          <w:tcPr>
            <w:tcW w:w="1658" w:type="dxa"/>
            <w:tcBorders>
              <w:top w:val="nil"/>
              <w:left w:val="nil"/>
              <w:bottom w:val="single" w:sz="4" w:space="0" w:color="auto"/>
              <w:right w:val="single" w:sz="4" w:space="0" w:color="auto"/>
            </w:tcBorders>
            <w:shd w:val="clear" w:color="auto" w:fill="C6EFCE"/>
            <w:noWrap/>
          </w:tcPr>
          <w:p w14:paraId="0309550F" w14:textId="50435266" w:rsidR="001460A9" w:rsidRPr="00C92F3A" w:rsidRDefault="001460A9">
            <w:pPr>
              <w:spacing w:after="0" w:line="240" w:lineRule="auto"/>
              <w:jc w:val="both"/>
              <w:rPr>
                <w:rFonts w:ascii="Times New Roman" w:eastAsia="Times New Roman" w:hAnsi="Times New Roman" w:cs="Times New Roman"/>
                <w:noProof/>
                <w:sz w:val="20"/>
                <w:szCs w:val="20"/>
                <w:lang w:val="en-GB" w:eastAsia="en-GB"/>
              </w:rPr>
            </w:pPr>
            <w:r w:rsidRPr="00C92F3A">
              <w:rPr>
                <w:rFonts w:ascii="Times New Roman" w:eastAsia="Times New Roman" w:hAnsi="Times New Roman" w:cs="Times New Roman"/>
                <w:noProof/>
                <w:sz w:val="20"/>
                <w:szCs w:val="20"/>
                <w:lang w:eastAsia="en-GB"/>
              </w:rPr>
              <w:t xml:space="preserve">Cycling </w:t>
            </w:r>
            <w:r w:rsidR="00B864F5" w:rsidRPr="00C92F3A">
              <w:rPr>
                <w:rFonts w:ascii="Times New Roman" w:hAnsi="Times New Roman" w:cs="Times New Roman"/>
                <w:noProof/>
                <w:sz w:val="20"/>
                <w:szCs w:val="20"/>
                <w:lang w:val="en-GB"/>
              </w:rPr>
              <w:t>routes</w:t>
            </w:r>
            <w:r w:rsidRPr="00C92F3A">
              <w:rPr>
                <w:rFonts w:ascii="Times New Roman" w:hAnsi="Times New Roman" w:cs="Times New Roman"/>
                <w:noProof/>
                <w:sz w:val="20"/>
                <w:szCs w:val="20"/>
                <w:lang w:val="en-GB"/>
              </w:rPr>
              <w:t xml:space="preserve"> </w:t>
            </w:r>
            <w:r w:rsidRPr="00C92F3A">
              <w:rPr>
                <w:rFonts w:ascii="Times New Roman" w:eastAsia="Times New Roman" w:hAnsi="Times New Roman" w:cs="Times New Roman"/>
                <w:noProof/>
                <w:sz w:val="20"/>
                <w:szCs w:val="20"/>
                <w:lang w:eastAsia="en-GB"/>
              </w:rPr>
              <w:t>built</w:t>
            </w:r>
          </w:p>
        </w:tc>
        <w:tc>
          <w:tcPr>
            <w:tcW w:w="1298" w:type="dxa"/>
            <w:tcBorders>
              <w:top w:val="nil"/>
              <w:left w:val="nil"/>
              <w:bottom w:val="single" w:sz="4" w:space="0" w:color="auto"/>
              <w:right w:val="single" w:sz="4" w:space="0" w:color="auto"/>
            </w:tcBorders>
            <w:shd w:val="clear" w:color="auto" w:fill="C6EFCE"/>
            <w:noWrap/>
          </w:tcPr>
          <w:p w14:paraId="1810DEDE" w14:textId="77777777" w:rsidR="001460A9" w:rsidRPr="00C92F3A" w:rsidRDefault="001460A9">
            <w:pPr>
              <w:spacing w:after="0" w:line="240" w:lineRule="auto"/>
              <w:rPr>
                <w:rFonts w:ascii="Times New Roman" w:eastAsia="Times New Roman" w:hAnsi="Times New Roman" w:cs="Times New Roman"/>
                <w:noProof/>
                <w:sz w:val="20"/>
                <w:szCs w:val="20"/>
                <w:lang w:val="en-GB"/>
              </w:rPr>
            </w:pPr>
          </w:p>
        </w:tc>
        <w:tc>
          <w:tcPr>
            <w:tcW w:w="1157" w:type="dxa"/>
            <w:tcBorders>
              <w:top w:val="nil"/>
              <w:left w:val="nil"/>
              <w:bottom w:val="single" w:sz="4" w:space="0" w:color="auto"/>
              <w:right w:val="single" w:sz="4" w:space="0" w:color="auto"/>
            </w:tcBorders>
            <w:shd w:val="clear" w:color="auto" w:fill="C6EFCE"/>
            <w:noWrap/>
          </w:tcPr>
          <w:p w14:paraId="5A42A9E4" w14:textId="77777777" w:rsidR="001460A9" w:rsidRPr="00C92F3A" w:rsidRDefault="001460A9">
            <w:pPr>
              <w:spacing w:after="0" w:line="240" w:lineRule="auto"/>
              <w:rPr>
                <w:rFonts w:ascii="Times New Roman" w:eastAsia="Times New Roman" w:hAnsi="Times New Roman" w:cs="Times New Roman"/>
                <w:noProof/>
                <w:sz w:val="20"/>
                <w:szCs w:val="20"/>
                <w:lang w:val="en-GB"/>
              </w:rPr>
            </w:pPr>
          </w:p>
        </w:tc>
        <w:tc>
          <w:tcPr>
            <w:tcW w:w="867" w:type="dxa"/>
            <w:tcBorders>
              <w:top w:val="nil"/>
              <w:left w:val="nil"/>
              <w:bottom w:val="single" w:sz="4" w:space="0" w:color="auto"/>
              <w:right w:val="single" w:sz="4" w:space="0" w:color="auto"/>
            </w:tcBorders>
            <w:shd w:val="clear" w:color="auto" w:fill="C6EFCE"/>
            <w:noWrap/>
          </w:tcPr>
          <w:p w14:paraId="4A7C65FF" w14:textId="77777777" w:rsidR="001460A9" w:rsidRPr="00C92F3A" w:rsidRDefault="001460A9">
            <w:pPr>
              <w:spacing w:after="0" w:line="240" w:lineRule="auto"/>
              <w:rPr>
                <w:rFonts w:ascii="Times New Roman" w:eastAsia="Times New Roman" w:hAnsi="Times New Roman" w:cs="Times New Roman"/>
                <w:noProof/>
                <w:sz w:val="20"/>
                <w:szCs w:val="20"/>
                <w:lang w:val="en-GB"/>
              </w:rPr>
            </w:pPr>
          </w:p>
        </w:tc>
        <w:tc>
          <w:tcPr>
            <w:tcW w:w="1122" w:type="dxa"/>
            <w:tcBorders>
              <w:top w:val="nil"/>
              <w:left w:val="nil"/>
              <w:bottom w:val="single" w:sz="4" w:space="0" w:color="auto"/>
              <w:right w:val="single" w:sz="4" w:space="0" w:color="auto"/>
            </w:tcBorders>
            <w:shd w:val="clear" w:color="auto" w:fill="C6EFCE"/>
            <w:noWrap/>
          </w:tcPr>
          <w:p w14:paraId="2161BD22"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Q2</w:t>
            </w:r>
          </w:p>
        </w:tc>
        <w:tc>
          <w:tcPr>
            <w:tcW w:w="874" w:type="dxa"/>
            <w:tcBorders>
              <w:top w:val="nil"/>
              <w:left w:val="nil"/>
              <w:bottom w:val="single" w:sz="4" w:space="0" w:color="auto"/>
              <w:right w:val="single" w:sz="4" w:space="0" w:color="auto"/>
            </w:tcBorders>
            <w:shd w:val="clear" w:color="auto" w:fill="C6EFCE"/>
            <w:noWrap/>
          </w:tcPr>
          <w:p w14:paraId="3DA17E7E"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2026</w:t>
            </w:r>
          </w:p>
        </w:tc>
        <w:tc>
          <w:tcPr>
            <w:tcW w:w="3634" w:type="dxa"/>
            <w:tcBorders>
              <w:top w:val="nil"/>
              <w:left w:val="nil"/>
              <w:bottom w:val="single" w:sz="4" w:space="0" w:color="auto"/>
              <w:right w:val="single" w:sz="4" w:space="0" w:color="auto"/>
            </w:tcBorders>
            <w:shd w:val="clear" w:color="auto" w:fill="C6EFCE"/>
            <w:noWrap/>
          </w:tcPr>
          <w:p w14:paraId="777E8A00" w14:textId="23A89FFC"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Work Completion Reception Certificate</w:t>
            </w:r>
            <w:r w:rsidR="00B864F5" w:rsidRPr="00C92F3A">
              <w:rPr>
                <w:rFonts w:ascii="Times New Roman" w:hAnsi="Times New Roman" w:cs="Times New Roman"/>
                <w:noProof/>
                <w:sz w:val="20"/>
                <w:szCs w:val="20"/>
                <w:lang w:val="en-GB"/>
              </w:rPr>
              <w:t>(s)</w:t>
            </w:r>
            <w:r w:rsidRPr="00C92F3A">
              <w:rPr>
                <w:rFonts w:ascii="Times New Roman" w:hAnsi="Times New Roman" w:cs="Times New Roman"/>
                <w:noProof/>
                <w:sz w:val="20"/>
                <w:szCs w:val="20"/>
                <w:lang w:val="en-GB"/>
              </w:rPr>
              <w:t xml:space="preserve"> for a total of </w:t>
            </w:r>
            <w:r w:rsidR="00892545">
              <w:rPr>
                <w:rFonts w:ascii="Times New Roman" w:hAnsi="Times New Roman" w:cs="Times New Roman"/>
                <w:noProof/>
                <w:sz w:val="20"/>
                <w:szCs w:val="20"/>
                <w:lang w:val="en-GB"/>
              </w:rPr>
              <w:t xml:space="preserve">at least </w:t>
            </w:r>
            <w:r w:rsidRPr="00C92F3A">
              <w:rPr>
                <w:rFonts w:ascii="Times New Roman" w:hAnsi="Times New Roman" w:cs="Times New Roman"/>
                <w:noProof/>
                <w:sz w:val="20"/>
                <w:szCs w:val="20"/>
                <w:lang w:val="en-GB"/>
              </w:rPr>
              <w:t xml:space="preserve">236 km of cycling routes built. </w:t>
            </w:r>
          </w:p>
        </w:tc>
      </w:tr>
      <w:tr w:rsidR="001460A9" w:rsidRPr="00C92F3A" w14:paraId="6BF437D8"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11CA8E0D"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344</w:t>
            </w:r>
          </w:p>
        </w:tc>
        <w:tc>
          <w:tcPr>
            <w:tcW w:w="1586" w:type="dxa"/>
            <w:tcBorders>
              <w:top w:val="nil"/>
              <w:left w:val="nil"/>
              <w:bottom w:val="single" w:sz="4" w:space="0" w:color="auto"/>
              <w:right w:val="single" w:sz="4" w:space="0" w:color="auto"/>
            </w:tcBorders>
            <w:shd w:val="clear" w:color="auto" w:fill="C6EFCE"/>
            <w:noWrap/>
          </w:tcPr>
          <w:p w14:paraId="22B8421F"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Reform 3. Reforming the funding system for the cultural sector</w:t>
            </w:r>
          </w:p>
          <w:p w14:paraId="11CD57FC" w14:textId="77777777" w:rsidR="001460A9" w:rsidRPr="00C92F3A" w:rsidRDefault="001460A9">
            <w:pPr>
              <w:spacing w:after="0" w:line="240" w:lineRule="auto"/>
              <w:jc w:val="both"/>
              <w:rPr>
                <w:rFonts w:ascii="Times New Roman" w:hAnsi="Times New Roman" w:cs="Times New Roman"/>
                <w:noProof/>
                <w:sz w:val="20"/>
                <w:szCs w:val="20"/>
                <w:lang w:val="en-GB"/>
              </w:rPr>
            </w:pPr>
          </w:p>
          <w:p w14:paraId="0DB52548" w14:textId="77777777" w:rsidR="001460A9" w:rsidRPr="00C92F3A" w:rsidRDefault="001460A9">
            <w:pPr>
              <w:spacing w:after="0" w:line="240" w:lineRule="auto"/>
              <w:jc w:val="both"/>
              <w:rPr>
                <w:rFonts w:ascii="Times New Roman" w:hAnsi="Times New Roman" w:cs="Times New Roman"/>
                <w:noProof/>
                <w:sz w:val="20"/>
                <w:szCs w:val="20"/>
                <w:lang w:val="en-GB"/>
              </w:rPr>
            </w:pPr>
          </w:p>
          <w:p w14:paraId="7964009D"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eastAsia="en-GB"/>
              </w:rPr>
            </w:pPr>
          </w:p>
        </w:tc>
        <w:tc>
          <w:tcPr>
            <w:tcW w:w="1302" w:type="dxa"/>
            <w:tcBorders>
              <w:top w:val="nil"/>
              <w:left w:val="nil"/>
              <w:bottom w:val="single" w:sz="4" w:space="0" w:color="auto"/>
              <w:right w:val="single" w:sz="4" w:space="0" w:color="auto"/>
            </w:tcBorders>
            <w:shd w:val="clear" w:color="auto" w:fill="C6EFCE"/>
            <w:noWrap/>
          </w:tcPr>
          <w:p w14:paraId="0C786F7D"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518" w:type="dxa"/>
            <w:tcBorders>
              <w:top w:val="nil"/>
              <w:left w:val="nil"/>
              <w:bottom w:val="single" w:sz="4" w:space="0" w:color="auto"/>
              <w:right w:val="single" w:sz="4" w:space="0" w:color="auto"/>
            </w:tcBorders>
            <w:shd w:val="clear" w:color="auto" w:fill="C6EFCE"/>
            <w:noWrap/>
          </w:tcPr>
          <w:p w14:paraId="0359C9FB"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Entry into force of the law on the funding system for the cultural sector</w:t>
            </w:r>
          </w:p>
          <w:p w14:paraId="26A6652C" w14:textId="77777777" w:rsidR="001460A9" w:rsidRPr="00C92F3A" w:rsidRDefault="001460A9">
            <w:pPr>
              <w:spacing w:after="0" w:line="240" w:lineRule="auto"/>
              <w:jc w:val="both"/>
              <w:rPr>
                <w:rFonts w:ascii="Times New Roman" w:hAnsi="Times New Roman" w:cs="Times New Roman"/>
                <w:noProof/>
                <w:sz w:val="20"/>
                <w:szCs w:val="20"/>
                <w:lang w:val="en-GB"/>
              </w:rPr>
            </w:pPr>
          </w:p>
          <w:p w14:paraId="58840B4B" w14:textId="77777777" w:rsidR="001460A9" w:rsidRPr="00C92F3A" w:rsidRDefault="001460A9">
            <w:pPr>
              <w:spacing w:after="0" w:line="240" w:lineRule="auto"/>
              <w:jc w:val="both"/>
              <w:rPr>
                <w:rFonts w:ascii="Times New Roman" w:hAnsi="Times New Roman" w:cs="Times New Roman"/>
                <w:noProof/>
                <w:sz w:val="20"/>
                <w:szCs w:val="20"/>
                <w:lang w:val="en-GB"/>
              </w:rPr>
            </w:pPr>
          </w:p>
          <w:p w14:paraId="5CB232EE"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eastAsia="en-GB"/>
              </w:rPr>
            </w:pPr>
          </w:p>
        </w:tc>
        <w:tc>
          <w:tcPr>
            <w:tcW w:w="1658" w:type="dxa"/>
            <w:tcBorders>
              <w:top w:val="nil"/>
              <w:left w:val="nil"/>
              <w:bottom w:val="single" w:sz="4" w:space="0" w:color="auto"/>
              <w:right w:val="single" w:sz="4" w:space="0" w:color="auto"/>
            </w:tcBorders>
            <w:shd w:val="clear" w:color="auto" w:fill="C6EFCE"/>
            <w:noWrap/>
          </w:tcPr>
          <w:p w14:paraId="3B58C9E0"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Provision in the law indicating the entry into force of the legislative framework for financing the cultural sector </w:t>
            </w:r>
          </w:p>
        </w:tc>
        <w:tc>
          <w:tcPr>
            <w:tcW w:w="1298" w:type="dxa"/>
            <w:tcBorders>
              <w:top w:val="nil"/>
              <w:left w:val="nil"/>
              <w:bottom w:val="single" w:sz="4" w:space="0" w:color="auto"/>
              <w:right w:val="single" w:sz="4" w:space="0" w:color="auto"/>
            </w:tcBorders>
            <w:shd w:val="clear" w:color="auto" w:fill="C6EFCE"/>
            <w:noWrap/>
          </w:tcPr>
          <w:p w14:paraId="5845620D" w14:textId="77777777" w:rsidR="001460A9" w:rsidRPr="00C92F3A" w:rsidRDefault="001460A9">
            <w:pPr>
              <w:spacing w:after="0" w:line="240" w:lineRule="auto"/>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1157" w:type="dxa"/>
            <w:tcBorders>
              <w:top w:val="nil"/>
              <w:left w:val="nil"/>
              <w:bottom w:val="single" w:sz="4" w:space="0" w:color="auto"/>
              <w:right w:val="single" w:sz="4" w:space="0" w:color="auto"/>
            </w:tcBorders>
            <w:shd w:val="clear" w:color="auto" w:fill="C6EFCE"/>
            <w:noWrap/>
          </w:tcPr>
          <w:p w14:paraId="78CF7817" w14:textId="77777777" w:rsidR="001460A9" w:rsidRPr="00C92F3A" w:rsidRDefault="001460A9">
            <w:pPr>
              <w:spacing w:after="0" w:line="240" w:lineRule="auto"/>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867" w:type="dxa"/>
            <w:tcBorders>
              <w:top w:val="nil"/>
              <w:left w:val="nil"/>
              <w:bottom w:val="single" w:sz="4" w:space="0" w:color="auto"/>
              <w:right w:val="single" w:sz="4" w:space="0" w:color="auto"/>
            </w:tcBorders>
            <w:shd w:val="clear" w:color="auto" w:fill="C6EFCE"/>
            <w:noWrap/>
          </w:tcPr>
          <w:p w14:paraId="4A3F15B9" w14:textId="77777777" w:rsidR="001460A9" w:rsidRPr="00C92F3A" w:rsidRDefault="001460A9">
            <w:pPr>
              <w:spacing w:after="0" w:line="240" w:lineRule="auto"/>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1122" w:type="dxa"/>
            <w:tcBorders>
              <w:top w:val="nil"/>
              <w:left w:val="nil"/>
              <w:bottom w:val="single" w:sz="4" w:space="0" w:color="auto"/>
              <w:right w:val="single" w:sz="4" w:space="0" w:color="auto"/>
            </w:tcBorders>
            <w:shd w:val="clear" w:color="auto" w:fill="C6EFCE"/>
            <w:noWrap/>
          </w:tcPr>
          <w:p w14:paraId="71312E59"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Q3</w:t>
            </w:r>
          </w:p>
        </w:tc>
        <w:tc>
          <w:tcPr>
            <w:tcW w:w="874" w:type="dxa"/>
            <w:tcBorders>
              <w:top w:val="nil"/>
              <w:left w:val="nil"/>
              <w:bottom w:val="single" w:sz="4" w:space="0" w:color="auto"/>
              <w:right w:val="single" w:sz="4" w:space="0" w:color="auto"/>
            </w:tcBorders>
            <w:shd w:val="clear" w:color="auto" w:fill="C6EFCE"/>
            <w:noWrap/>
          </w:tcPr>
          <w:p w14:paraId="06CC0BDD" w14:textId="77777777" w:rsidR="001460A9" w:rsidRPr="00C92F3A" w:rsidRDefault="001460A9">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2022</w:t>
            </w:r>
          </w:p>
        </w:tc>
        <w:tc>
          <w:tcPr>
            <w:tcW w:w="3634" w:type="dxa"/>
            <w:tcBorders>
              <w:top w:val="nil"/>
              <w:left w:val="nil"/>
              <w:bottom w:val="single" w:sz="4" w:space="0" w:color="auto"/>
              <w:right w:val="single" w:sz="4" w:space="0" w:color="auto"/>
            </w:tcBorders>
            <w:shd w:val="clear" w:color="auto" w:fill="C6EFCE"/>
            <w:noWrap/>
          </w:tcPr>
          <w:p w14:paraId="5CEFD6C1"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The milestone focuses on ensuring a stable system of funding for cultural projects. </w:t>
            </w:r>
          </w:p>
          <w:p w14:paraId="780E902A"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The updated law shall set out a stable financing mechanism from the state budget for the cultural sector focusing on: reducing the gap in access to culture between the rural/small-towns areas and big urban areas, supporting cultural diversity and social inclusion and gender equality, supporting the creative industries, increasing the economic potential of the cultural sector. </w:t>
            </w:r>
          </w:p>
          <w:p w14:paraId="61BD843B"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The laws which shall be approved and enter into force are: </w:t>
            </w:r>
          </w:p>
          <w:p w14:paraId="3E86B7B5"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-The legislative framework on non-reimbursable funding in culture (Government Ordinance 51/1998);</w:t>
            </w:r>
          </w:p>
          <w:p w14:paraId="51426049"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The funding in the audio-visual field in line with Community guidelines.</w:t>
            </w:r>
          </w:p>
          <w:p w14:paraId="7A74BFEF" w14:textId="77777777" w:rsidR="001460A9" w:rsidRPr="00C92F3A" w:rsidRDefault="001460A9">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The legislative changes will be based, inter alia, on the results provided by the mapping of public and private offers of cultural services at national and local level, on identifying and providing additional predictable and transparent sources of funding, a governance mechanism with clear responsibilities assigned for the public authorities at national and local level; a funding disbursement mechanism conditional to the achievement of key performance indicators associated to the policy objectives.</w:t>
            </w:r>
          </w:p>
        </w:tc>
      </w:tr>
    </w:tbl>
    <w:p w14:paraId="130F5BC6" w14:textId="77777777" w:rsidR="001460A9" w:rsidRPr="00291374" w:rsidRDefault="001460A9" w:rsidP="001460A9">
      <w:pPr>
        <w:spacing w:before="120" w:after="120" w:line="240" w:lineRule="auto"/>
        <w:jc w:val="both"/>
        <w:rPr>
          <w:rFonts w:ascii="Times New Roman" w:hAnsi="Times New Roman" w:cs="Times New Roman"/>
          <w:noProof/>
          <w:lang w:val="en-GB"/>
        </w:rPr>
      </w:pPr>
    </w:p>
    <w:p w14:paraId="4F40699C" w14:textId="77777777" w:rsidR="001460A9" w:rsidRPr="00291374" w:rsidRDefault="001460A9" w:rsidP="001460A9">
      <w:pPr>
        <w:rPr>
          <w:rFonts w:ascii="Times New Roman" w:hAnsi="Times New Roman" w:cs="Times New Roman"/>
          <w:noProof/>
          <w:lang w:val="en-GB"/>
        </w:rPr>
        <w:sectPr w:rsidR="001460A9" w:rsidRPr="00291374" w:rsidSect="001460A9">
          <w:headerReference w:type="even" r:id="rId276"/>
          <w:headerReference w:type="default" r:id="rId277"/>
          <w:footerReference w:type="even" r:id="rId278"/>
          <w:footerReference w:type="default" r:id="rId279"/>
          <w:headerReference w:type="first" r:id="rId280"/>
          <w:footerReference w:type="first" r:id="rId281"/>
          <w:pgSz w:w="16839" w:h="11907" w:orient="landscape"/>
          <w:pgMar w:top="1134" w:right="1134" w:bottom="1134" w:left="1134" w:header="567" w:footer="567" w:gutter="0"/>
          <w:cols w:space="720"/>
          <w:docGrid w:linePitch="360"/>
        </w:sectPr>
      </w:pPr>
    </w:p>
    <w:p w14:paraId="6FAC88F2" w14:textId="77777777" w:rsidR="00823693" w:rsidRPr="00291374" w:rsidRDefault="00823693" w:rsidP="00823693">
      <w:pPr>
        <w:keepNext/>
        <w:numPr>
          <w:ilvl w:val="0"/>
          <w:numId w:val="55"/>
        </w:numPr>
        <w:tabs>
          <w:tab w:val="left" w:pos="850"/>
        </w:tabs>
        <w:spacing w:before="360" w:after="120" w:line="240" w:lineRule="auto"/>
        <w:jc w:val="both"/>
        <w:outlineLvl w:val="0"/>
        <w:rPr>
          <w:rFonts w:ascii="Times New Roman" w:hAnsi="Times New Roman" w:cs="Times New Roman"/>
          <w:b/>
          <w:bCs/>
          <w:smallCaps/>
          <w:noProof/>
          <w:lang w:val="en-GB"/>
        </w:rPr>
      </w:pPr>
      <w:r w:rsidRPr="00291374">
        <w:rPr>
          <w:rFonts w:ascii="Times New Roman" w:hAnsi="Times New Roman" w:cs="Times New Roman"/>
          <w:b/>
          <w:smallCaps/>
          <w:noProof/>
          <w:lang w:val="en-GB"/>
        </w:rPr>
        <w:t>COMPONENT 12: Healthcare</w:t>
      </w:r>
    </w:p>
    <w:p w14:paraId="490E9BB5" w14:textId="77777777" w:rsidR="00823693" w:rsidRPr="00291374" w:rsidRDefault="00823693" w:rsidP="00823693">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Healthcare component of the Recovery and Resilience Plan shall consist of three reforms and four investments addressing key challenges in the health system. The main ones are a reduction in the rate of avoidable mortality, a reduction in regional, social and rural-urban disparities in access to basic health services, an increase in access to quality health services, the improvement of hospital and prehospital infrastructure, and the optimisation of the heath care expenditures and the management of resources.</w:t>
      </w:r>
    </w:p>
    <w:p w14:paraId="507848E4" w14:textId="77777777" w:rsidR="00823693" w:rsidRPr="00291374" w:rsidRDefault="00823693" w:rsidP="00823693">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component shall contribute to addressing Romania’s country-specific recommendation on improving access to and cost-efficiency of healthcare, including through the shift to outpatient care (country-specific recommendation 3, 2019). It also addresses the recommendation on strengthening the resilience of the health system, including in the areas of health workers and medical products, and improve access to health services (country-specific recommendation 1, 2020).</w:t>
      </w:r>
    </w:p>
    <w:p w14:paraId="31914060" w14:textId="77777777" w:rsidR="00823693" w:rsidRPr="00291374" w:rsidRDefault="00823693" w:rsidP="00823693">
      <w:pPr>
        <w:spacing w:before="120" w:after="120" w:line="240" w:lineRule="auto"/>
        <w:jc w:val="both"/>
        <w:rPr>
          <w:rFonts w:ascii="Times New Roman" w:hAnsi="Times New Roman" w:cs="Times New Roman"/>
          <w:noProof/>
          <w:lang w:val="en-GB"/>
        </w:rPr>
      </w:pPr>
      <w:r w:rsidRPr="00291374" w:rsidDel="00262AB3">
        <w:rPr>
          <w:rFonts w:ascii="Times New Roman" w:hAnsi="Times New Roman" w:cs="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2C5F6BC8" w14:textId="77777777" w:rsidR="00823693" w:rsidRPr="00291374" w:rsidRDefault="00823693" w:rsidP="00823693">
      <w:pPr>
        <w:spacing w:before="120" w:after="120" w:line="240" w:lineRule="auto"/>
        <w:jc w:val="both"/>
        <w:rPr>
          <w:rFonts w:ascii="Times New Roman" w:hAnsi="Times New Roman" w:cs="Times New Roman"/>
          <w:noProof/>
          <w:lang w:val="en-GB"/>
        </w:rPr>
      </w:pPr>
    </w:p>
    <w:p w14:paraId="63B6A761" w14:textId="77777777" w:rsidR="00823693" w:rsidRPr="00291374" w:rsidRDefault="00823693" w:rsidP="00823693">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L.1. </w:t>
      </w:r>
      <w:r w:rsidRPr="00291374">
        <w:rPr>
          <w:rFonts w:ascii="Times New Roman" w:hAnsi="Times New Roman" w:cs="Times New Roman"/>
          <w:noProof/>
          <w:lang w:val="en-GB"/>
        </w:rPr>
        <w:tab/>
      </w:r>
      <w:r w:rsidRPr="00291374">
        <w:rPr>
          <w:rFonts w:ascii="Times New Roman" w:hAnsi="Times New Roman" w:cs="Times New Roman"/>
          <w:b/>
          <w:noProof/>
          <w:lang w:val="en-GB"/>
        </w:rPr>
        <w:t>Description of the reforms and investments for non-repayable financial support</w:t>
      </w:r>
    </w:p>
    <w:p w14:paraId="71401844" w14:textId="77777777" w:rsidR="00823693" w:rsidRPr="00291374" w:rsidRDefault="00823693" w:rsidP="00823693">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Reform 1. Increased capacity for the management of public health funds</w:t>
      </w:r>
    </w:p>
    <w:p w14:paraId="42EFD559" w14:textId="77777777" w:rsidR="00823693" w:rsidRPr="00291374" w:rsidRDefault="00823693" w:rsidP="00823693">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this reform is to increase the efficiency of public health spending by adopting legislative changes and by piloting a grants scheme for rewarding the most performant healthcare providers.</w:t>
      </w:r>
    </w:p>
    <w:p w14:paraId="05D89FDC" w14:textId="77777777" w:rsidR="00823693" w:rsidRPr="00291374" w:rsidRDefault="00823693" w:rsidP="00823693">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reform consists in financial mechanisms that reward the performance of healthcare providers through the “Health Service Quality Fund”, and the drafting of a new model framework contract governing the conditions for the provision of healthcare. </w:t>
      </w:r>
    </w:p>
    <w:p w14:paraId="62797D4E" w14:textId="77777777" w:rsidR="00823693" w:rsidRPr="00291374" w:rsidRDefault="00823693" w:rsidP="00823693">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Reform 2. Increased capacity to undertake investments in health infrastructure</w:t>
      </w:r>
    </w:p>
    <w:p w14:paraId="69C916FD" w14:textId="77777777" w:rsidR="00823693" w:rsidRPr="00291374" w:rsidRDefault="00823693" w:rsidP="00823693">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reform aims to increase the administrative capacity of central and local authorities to manage efficiently health infrastructure projects by setting up and rendering operational the National Agency for Development of Health Infrastructure (ANDIS), as a public institution with legal personality and subordinated to the Ministry of Health. At its full institutional capacity, ANDIS shall be able to manage major public health infrastructure projects, as well as to provide technical expertise at the request of local authorities. </w:t>
      </w:r>
    </w:p>
    <w:p w14:paraId="6283D933" w14:textId="77777777" w:rsidR="00823693" w:rsidRPr="00291374" w:rsidRDefault="00823693" w:rsidP="00823693">
      <w:pPr>
        <w:spacing w:before="120" w:after="120" w:line="240" w:lineRule="auto"/>
        <w:jc w:val="both"/>
        <w:rPr>
          <w:rFonts w:ascii="Times New Roman" w:hAnsi="Times New Roman" w:cs="Times New Roman"/>
          <w:noProof/>
          <w:lang w:val="en-GB"/>
        </w:rPr>
      </w:pPr>
      <w:r w:rsidRPr="00291374" w:rsidDel="00880BD8">
        <w:rPr>
          <w:rFonts w:ascii="Times New Roman" w:hAnsi="Times New Roman" w:cs="Times New Roman"/>
          <w:noProof/>
          <w:lang w:val="en-GB"/>
        </w:rPr>
        <w:t xml:space="preserve">The implementation of the reform shall consist of the establishment of ANDIS, its endowment with a headquarters and staff (including the appointment of a President and a Governing Board), staff training activities and consultancy and technical assistance for the projects falling under ANDIS’ portfolio. </w:t>
      </w:r>
      <w:r w:rsidRPr="00291374" w:rsidDel="00BA5425">
        <w:rPr>
          <w:rFonts w:ascii="Times New Roman" w:hAnsi="Times New Roman" w:cs="Times New Roman"/>
          <w:noProof/>
          <w:lang w:val="en-GB"/>
        </w:rPr>
        <w:t>The implementation of the reform shall be completed by 30 June 2022.</w:t>
      </w:r>
    </w:p>
    <w:p w14:paraId="77306BF1" w14:textId="77777777" w:rsidR="00823693" w:rsidRPr="00291374" w:rsidRDefault="00823693" w:rsidP="00823693">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Reform 3. Increased capacity for health management and human resources in health</w:t>
      </w:r>
    </w:p>
    <w:p w14:paraId="17A9E467" w14:textId="77777777" w:rsidR="00823693" w:rsidRPr="00291374" w:rsidRDefault="00823693" w:rsidP="00823693">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the reform is to support the development of knowledge, skills and competences of the workforce across the Romanian health system, and to prevent corruption. </w:t>
      </w:r>
    </w:p>
    <w:p w14:paraId="6BAC13F7" w14:textId="77777777" w:rsidR="00823693" w:rsidRPr="00291374" w:rsidRDefault="00823693" w:rsidP="00823693">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reform consists in legislative changes to revise the health human resources framework, the creation of a centre of excellence for health services management as well as training centres and the training of healthcare staff.</w:t>
      </w:r>
    </w:p>
    <w:p w14:paraId="4386CEAF" w14:textId="77777777" w:rsidR="00823693" w:rsidRPr="00291374" w:rsidRDefault="00823693" w:rsidP="00823693">
      <w:pPr>
        <w:keepNext/>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Investment 1. Pre-hospital medical infrastructure</w:t>
      </w:r>
    </w:p>
    <w:p w14:paraId="25B3F567" w14:textId="77777777" w:rsidR="00823693" w:rsidRPr="00291374" w:rsidRDefault="00823693" w:rsidP="00823693">
      <w:pPr>
        <w:spacing w:before="120" w:after="120" w:line="240" w:lineRule="auto"/>
        <w:jc w:val="both"/>
        <w:rPr>
          <w:rFonts w:ascii="Times New Roman" w:hAnsi="Times New Roman" w:cs="Times New Roman"/>
          <w:i/>
          <w:iCs/>
          <w:noProof/>
          <w:lang w:val="en-GB"/>
        </w:rPr>
      </w:pPr>
      <w:r w:rsidRPr="00291374">
        <w:rPr>
          <w:rFonts w:ascii="Times New Roman" w:hAnsi="Times New Roman" w:cs="Times New Roman"/>
          <w:noProof/>
          <w:lang w:val="en-GB"/>
        </w:rPr>
        <w:t xml:space="preserve">The objective of this investment is to support the accessibility to basic health care. </w:t>
      </w:r>
    </w:p>
    <w:p w14:paraId="03DA447E" w14:textId="77777777" w:rsidR="00823693" w:rsidRPr="00291374" w:rsidRDefault="00823693" w:rsidP="00823693">
      <w:pPr>
        <w:suppressAutoHyphens/>
        <w:autoSpaceDN w:val="0"/>
        <w:spacing w:before="240" w:after="0" w:line="240" w:lineRule="auto"/>
        <w:jc w:val="both"/>
        <w:textAlignment w:val="baseline"/>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investments in practices of family doctors or associations of primary care practices, outpatient care units and integrated community centres. </w:t>
      </w:r>
    </w:p>
    <w:p w14:paraId="6782419B" w14:textId="77777777" w:rsidR="00823693" w:rsidRPr="00291374" w:rsidRDefault="00823693" w:rsidP="00823693">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Investment 2. Public hospital infrastructure</w:t>
      </w:r>
    </w:p>
    <w:p w14:paraId="0B1BBB1E" w14:textId="77777777" w:rsidR="00823693" w:rsidRPr="00291374" w:rsidRDefault="00823693" w:rsidP="00823693">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construct and equip public hospitals. </w:t>
      </w:r>
    </w:p>
    <w:p w14:paraId="41E61F47" w14:textId="77777777" w:rsidR="00823693" w:rsidRPr="00291374" w:rsidRDefault="00823693" w:rsidP="00823693">
      <w:pPr>
        <w:spacing w:before="120" w:after="240" w:line="240" w:lineRule="auto"/>
        <w:jc w:val="both"/>
        <w:rPr>
          <w:rFonts w:ascii="Times New Roman" w:hAnsi="Times New Roman" w:cs="Times New Roman"/>
          <w:noProof/>
          <w:lang w:val="en-GB"/>
        </w:rPr>
      </w:pPr>
      <w:r w:rsidRPr="00291374">
        <w:rPr>
          <w:rFonts w:ascii="Times New Roman" w:hAnsi="Times New Roman" w:cs="Times New Roman"/>
          <w:noProof/>
          <w:lang w:val="en-GB"/>
        </w:rPr>
        <w:t>The investment consists in new public hospital infrastructure, medical equipment and devices, investments in intensive care facilities for new-borns, and equipment and materials to reduce the risk of nosocomial infections.</w:t>
      </w:r>
    </w:p>
    <w:p w14:paraId="344AB52B" w14:textId="77777777" w:rsidR="00823693" w:rsidRPr="00291374" w:rsidRDefault="00823693" w:rsidP="00823693">
      <w:pPr>
        <w:spacing w:before="120" w:after="120" w:line="240" w:lineRule="auto"/>
        <w:jc w:val="both"/>
        <w:rPr>
          <w:rFonts w:ascii="Times New Roman" w:hAnsi="Times New Roman" w:cs="Times New Roman"/>
          <w:noProof/>
          <w:u w:val="single"/>
          <w:lang w:val="en-GB"/>
        </w:rPr>
      </w:pPr>
      <w:r w:rsidRPr="00291374">
        <w:rPr>
          <w:rFonts w:ascii="Times New Roman" w:hAnsi="Times New Roman" w:cs="Times New Roman"/>
          <w:noProof/>
          <w:u w:val="single"/>
          <w:lang w:val="en-GB"/>
        </w:rPr>
        <w:t xml:space="preserve">Investment 4. Modernisation of emergency health care </w:t>
      </w:r>
    </w:p>
    <w:p w14:paraId="31150C50" w14:textId="77777777" w:rsidR="00823693" w:rsidRPr="00291374" w:rsidRDefault="00823693" w:rsidP="00823693">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it to renew part of the vehicle fleet for the emergency and first aid service response. </w:t>
      </w:r>
    </w:p>
    <w:p w14:paraId="0F861CCD" w14:textId="77777777" w:rsidR="00823693" w:rsidRPr="00291374" w:rsidRDefault="00823693" w:rsidP="00823693">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investment consists in the purchase of new ambulances.</w:t>
      </w:r>
    </w:p>
    <w:p w14:paraId="270B9FBE" w14:textId="77777777" w:rsidR="00823693" w:rsidRPr="00291374" w:rsidRDefault="00823693" w:rsidP="00823693">
      <w:pPr>
        <w:spacing w:before="120" w:after="120" w:line="240" w:lineRule="auto"/>
        <w:jc w:val="both"/>
        <w:rPr>
          <w:rFonts w:ascii="Times New Roman" w:hAnsi="Times New Roman" w:cs="Times New Roman"/>
          <w:noProof/>
          <w:lang w:val="en-GB"/>
        </w:rPr>
      </w:pPr>
    </w:p>
    <w:p w14:paraId="03FC0981" w14:textId="77777777" w:rsidR="00823693" w:rsidRPr="00291374" w:rsidRDefault="00823693" w:rsidP="00823693">
      <w:pPr>
        <w:spacing w:before="120" w:after="120" w:line="240" w:lineRule="auto"/>
        <w:rPr>
          <w:rFonts w:ascii="Times New Roman" w:hAnsi="Times New Roman" w:cs="Times New Roman"/>
          <w:noProof/>
          <w:lang w:val="en-GB"/>
        </w:rPr>
        <w:sectPr w:rsidR="00823693" w:rsidRPr="00291374" w:rsidSect="00823693">
          <w:headerReference w:type="even" r:id="rId282"/>
          <w:headerReference w:type="default" r:id="rId283"/>
          <w:footerReference w:type="even" r:id="rId284"/>
          <w:footerReference w:type="default" r:id="rId285"/>
          <w:headerReference w:type="first" r:id="rId286"/>
          <w:footerReference w:type="first" r:id="rId287"/>
          <w:pgSz w:w="11907" w:h="16839"/>
          <w:pgMar w:top="1134" w:right="1134" w:bottom="1134" w:left="1134" w:header="567" w:footer="567" w:gutter="0"/>
          <w:cols w:space="720"/>
          <w:docGrid w:linePitch="360"/>
        </w:sectPr>
      </w:pPr>
    </w:p>
    <w:p w14:paraId="7705464B" w14:textId="77777777" w:rsidR="00823693" w:rsidRPr="00291374" w:rsidRDefault="00823693" w:rsidP="00823693">
      <w:pPr>
        <w:keepNext/>
        <w:spacing w:before="120" w:after="120" w:line="240" w:lineRule="auto"/>
        <w:ind w:left="851"/>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L.2. </w:t>
      </w:r>
      <w:r w:rsidRPr="00291374">
        <w:rPr>
          <w:rFonts w:ascii="Times New Roman" w:hAnsi="Times New Roman" w:cs="Times New Roman"/>
          <w:noProof/>
          <w:lang w:val="en-GB"/>
        </w:rPr>
        <w:tab/>
      </w:r>
      <w:r w:rsidRPr="00291374">
        <w:rPr>
          <w:rFonts w:ascii="Times New Roman" w:hAnsi="Times New Roman" w:cs="Times New Roman"/>
          <w:b/>
          <w:noProof/>
          <w:lang w:val="en-GB"/>
        </w:rPr>
        <w:t>Milestones, targets, indicators, and timetable for monitoring and implementation for non-repayable financial support</w:t>
      </w:r>
    </w:p>
    <w:tbl>
      <w:tblPr>
        <w:tblW w:w="15876" w:type="dxa"/>
        <w:jc w:val="center"/>
        <w:tblLayout w:type="fixed"/>
        <w:tblCellMar>
          <w:left w:w="28" w:type="dxa"/>
          <w:right w:w="28" w:type="dxa"/>
        </w:tblCellMar>
        <w:tblLook w:val="04A0" w:firstRow="1" w:lastRow="0" w:firstColumn="1" w:lastColumn="0" w:noHBand="0" w:noVBand="1"/>
      </w:tblPr>
      <w:tblGrid>
        <w:gridCol w:w="729"/>
        <w:gridCol w:w="1656"/>
        <w:gridCol w:w="1123"/>
        <w:gridCol w:w="1992"/>
        <w:gridCol w:w="2104"/>
        <w:gridCol w:w="1180"/>
        <w:gridCol w:w="992"/>
        <w:gridCol w:w="797"/>
        <w:gridCol w:w="982"/>
        <w:gridCol w:w="773"/>
        <w:gridCol w:w="3548"/>
      </w:tblGrid>
      <w:tr w:rsidR="00823693" w:rsidRPr="00C92F3A" w14:paraId="17126248" w14:textId="77777777">
        <w:trPr>
          <w:trHeight w:val="927"/>
          <w:tblHeader/>
          <w:jc w:val="center"/>
        </w:trPr>
        <w:tc>
          <w:tcPr>
            <w:tcW w:w="7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066A070" w14:textId="77777777" w:rsidR="00823693" w:rsidRPr="00C92F3A" w:rsidRDefault="00823693">
            <w:pPr>
              <w:spacing w:after="0" w:line="240" w:lineRule="auto"/>
              <w:jc w:val="center"/>
              <w:rPr>
                <w:rFonts w:ascii="Times New Roman" w:hAnsi="Times New Roman" w:cs="Times New Roman"/>
                <w:b/>
                <w:bCs/>
                <w:noProof/>
                <w:sz w:val="20"/>
                <w:szCs w:val="20"/>
                <w:lang w:val="en-GB"/>
              </w:rPr>
            </w:pPr>
            <w:r w:rsidRPr="00C92F3A">
              <w:rPr>
                <w:rFonts w:ascii="Times New Roman" w:hAnsi="Times New Roman" w:cs="Times New Roman"/>
                <w:b/>
                <w:noProof/>
                <w:sz w:val="20"/>
                <w:szCs w:val="20"/>
                <w:lang w:val="en-GB"/>
              </w:rPr>
              <w:t>Seq. Num.</w:t>
            </w:r>
          </w:p>
        </w:tc>
        <w:tc>
          <w:tcPr>
            <w:tcW w:w="16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259F76" w14:textId="77777777" w:rsidR="00823693" w:rsidRPr="00C92F3A" w:rsidRDefault="00823693">
            <w:pPr>
              <w:spacing w:after="0" w:line="240" w:lineRule="auto"/>
              <w:jc w:val="center"/>
              <w:rPr>
                <w:rFonts w:ascii="Times New Roman" w:hAnsi="Times New Roman" w:cs="Times New Roman"/>
                <w:b/>
                <w:bCs/>
                <w:noProof/>
                <w:sz w:val="20"/>
                <w:szCs w:val="20"/>
                <w:lang w:val="en-GB"/>
              </w:rPr>
            </w:pPr>
            <w:r w:rsidRPr="00C92F3A">
              <w:rPr>
                <w:rFonts w:ascii="Times New Roman" w:hAnsi="Times New Roman" w:cs="Times New Roman"/>
                <w:b/>
                <w:noProof/>
                <w:sz w:val="20"/>
                <w:szCs w:val="20"/>
                <w:lang w:val="en-GB"/>
              </w:rPr>
              <w:t>Related Measure (Reform or Investment)</w:t>
            </w:r>
          </w:p>
        </w:tc>
        <w:tc>
          <w:tcPr>
            <w:tcW w:w="112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63433D" w14:textId="2FBCCE2C" w:rsidR="00823693" w:rsidRPr="00C92F3A" w:rsidRDefault="00823693">
            <w:pPr>
              <w:spacing w:after="0" w:line="240" w:lineRule="auto"/>
              <w:jc w:val="center"/>
              <w:rPr>
                <w:rFonts w:ascii="Times New Roman" w:hAnsi="Times New Roman" w:cs="Times New Roman"/>
                <w:b/>
                <w:bCs/>
                <w:noProof/>
                <w:sz w:val="20"/>
                <w:szCs w:val="20"/>
                <w:lang w:val="en-GB"/>
              </w:rPr>
            </w:pPr>
            <w:r w:rsidRPr="00C92F3A">
              <w:rPr>
                <w:rFonts w:ascii="Times New Roman" w:hAnsi="Times New Roman" w:cs="Times New Roman"/>
                <w:b/>
                <w:noProof/>
                <w:sz w:val="20"/>
                <w:szCs w:val="20"/>
                <w:lang w:val="en-GB"/>
              </w:rPr>
              <w:t>Milestone/</w:t>
            </w:r>
            <w:r w:rsidR="00C92F3A">
              <w:rPr>
                <w:rFonts w:ascii="Times New Roman" w:hAnsi="Times New Roman" w:cs="Times New Roman"/>
                <w:b/>
                <w:noProof/>
                <w:sz w:val="20"/>
                <w:szCs w:val="20"/>
                <w:lang w:val="en-GB"/>
              </w:rPr>
              <w:t xml:space="preserve"> </w:t>
            </w:r>
            <w:r w:rsidRPr="00C92F3A">
              <w:rPr>
                <w:rFonts w:ascii="Times New Roman" w:hAnsi="Times New Roman" w:cs="Times New Roman"/>
                <w:b/>
                <w:noProof/>
                <w:sz w:val="20"/>
                <w:szCs w:val="20"/>
                <w:lang w:val="en-GB"/>
              </w:rPr>
              <w:t>Target</w:t>
            </w:r>
          </w:p>
        </w:tc>
        <w:tc>
          <w:tcPr>
            <w:tcW w:w="1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D175F09" w14:textId="77777777" w:rsidR="00823693" w:rsidRPr="00C92F3A" w:rsidRDefault="00823693">
            <w:pPr>
              <w:spacing w:after="0" w:line="240" w:lineRule="auto"/>
              <w:jc w:val="center"/>
              <w:rPr>
                <w:rFonts w:ascii="Times New Roman" w:hAnsi="Times New Roman" w:cs="Times New Roman"/>
                <w:b/>
                <w:bCs/>
                <w:noProof/>
                <w:sz w:val="20"/>
                <w:szCs w:val="20"/>
                <w:lang w:val="en-GB"/>
              </w:rPr>
            </w:pPr>
            <w:r w:rsidRPr="00C92F3A">
              <w:rPr>
                <w:rFonts w:ascii="Times New Roman" w:hAnsi="Times New Roman" w:cs="Times New Roman"/>
                <w:b/>
                <w:noProof/>
                <w:sz w:val="20"/>
                <w:szCs w:val="20"/>
                <w:lang w:val="en-GB"/>
              </w:rPr>
              <w:t>Name</w:t>
            </w:r>
          </w:p>
        </w:tc>
        <w:tc>
          <w:tcPr>
            <w:tcW w:w="21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C2B738" w14:textId="75A64DD5" w:rsidR="00823693" w:rsidRPr="00C92F3A" w:rsidRDefault="00823693" w:rsidP="00C92F3A">
            <w:pPr>
              <w:spacing w:after="0" w:line="240" w:lineRule="auto"/>
              <w:jc w:val="center"/>
              <w:rPr>
                <w:rFonts w:ascii="Times New Roman" w:hAnsi="Times New Roman" w:cs="Times New Roman"/>
                <w:b/>
                <w:bCs/>
                <w:noProof/>
                <w:sz w:val="20"/>
                <w:szCs w:val="20"/>
                <w:lang w:val="en-GB"/>
              </w:rPr>
            </w:pPr>
            <w:r w:rsidRPr="00C92F3A">
              <w:rPr>
                <w:rFonts w:ascii="Times New Roman" w:hAnsi="Times New Roman" w:cs="Times New Roman"/>
                <w:b/>
                <w:noProof/>
                <w:sz w:val="20"/>
                <w:szCs w:val="20"/>
                <w:lang w:val="en-GB"/>
              </w:rPr>
              <w:t>Qualitative</w:t>
            </w:r>
            <w:r w:rsidR="00C92F3A" w:rsidRPr="00C92F3A">
              <w:rPr>
                <w:rFonts w:ascii="Times New Roman" w:hAnsi="Times New Roman" w:cs="Times New Roman"/>
                <w:b/>
                <w:noProof/>
                <w:sz w:val="20"/>
                <w:szCs w:val="20"/>
                <w:lang w:val="en-GB"/>
              </w:rPr>
              <w:t xml:space="preserve"> </w:t>
            </w:r>
            <w:r w:rsidRPr="00C92F3A">
              <w:rPr>
                <w:rFonts w:ascii="Times New Roman" w:hAnsi="Times New Roman" w:cs="Times New Roman"/>
                <w:b/>
                <w:noProof/>
                <w:sz w:val="20"/>
                <w:szCs w:val="20"/>
                <w:lang w:val="en-GB"/>
              </w:rPr>
              <w:t>indicators</w:t>
            </w:r>
            <w:r w:rsidRPr="00C92F3A">
              <w:rPr>
                <w:rFonts w:ascii="Times New Roman" w:hAnsi="Times New Roman" w:cs="Times New Roman"/>
                <w:noProof/>
                <w:sz w:val="20"/>
                <w:szCs w:val="20"/>
                <w:lang w:val="en-GB"/>
              </w:rPr>
              <w:t xml:space="preserve"> </w:t>
            </w:r>
            <w:r w:rsidRPr="00C92F3A">
              <w:rPr>
                <w:rFonts w:ascii="Times New Roman" w:hAnsi="Times New Roman" w:cs="Times New Roman"/>
                <w:noProof/>
                <w:sz w:val="20"/>
                <w:szCs w:val="20"/>
                <w:lang w:val="en-GB"/>
              </w:rPr>
              <w:br/>
            </w:r>
            <w:r w:rsidRPr="00C92F3A">
              <w:rPr>
                <w:rFonts w:ascii="Times New Roman" w:hAnsi="Times New Roman" w:cs="Times New Roman"/>
                <w:b/>
                <w:noProof/>
                <w:sz w:val="20"/>
                <w:szCs w:val="20"/>
                <w:lang w:val="en-GB"/>
              </w:rPr>
              <w:t>(for milestones)</w:t>
            </w:r>
          </w:p>
        </w:tc>
        <w:tc>
          <w:tcPr>
            <w:tcW w:w="296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BC46F25" w14:textId="4BE05C1F" w:rsidR="00823693" w:rsidRPr="00C92F3A" w:rsidRDefault="00823693" w:rsidP="00C92F3A">
            <w:pPr>
              <w:spacing w:after="0" w:line="240" w:lineRule="auto"/>
              <w:jc w:val="center"/>
              <w:rPr>
                <w:rFonts w:ascii="Times New Roman" w:hAnsi="Times New Roman" w:cs="Times New Roman"/>
                <w:b/>
                <w:bCs/>
                <w:noProof/>
                <w:sz w:val="20"/>
                <w:szCs w:val="20"/>
                <w:lang w:val="en-GB"/>
              </w:rPr>
            </w:pPr>
            <w:r w:rsidRPr="00C92F3A">
              <w:rPr>
                <w:rFonts w:ascii="Times New Roman" w:hAnsi="Times New Roman" w:cs="Times New Roman"/>
                <w:b/>
                <w:noProof/>
                <w:sz w:val="20"/>
                <w:szCs w:val="20"/>
                <w:lang w:val="en-GB"/>
              </w:rPr>
              <w:t>Quantitative</w:t>
            </w:r>
            <w:r w:rsidR="00C92F3A" w:rsidRPr="00C92F3A">
              <w:rPr>
                <w:rFonts w:ascii="Times New Roman" w:hAnsi="Times New Roman" w:cs="Times New Roman"/>
                <w:b/>
                <w:noProof/>
                <w:sz w:val="20"/>
                <w:szCs w:val="20"/>
                <w:lang w:val="en-GB"/>
              </w:rPr>
              <w:t xml:space="preserve"> </w:t>
            </w:r>
            <w:r w:rsidRPr="00C92F3A">
              <w:rPr>
                <w:rFonts w:ascii="Times New Roman" w:hAnsi="Times New Roman" w:cs="Times New Roman"/>
                <w:b/>
                <w:noProof/>
                <w:sz w:val="20"/>
                <w:szCs w:val="20"/>
                <w:lang w:val="en-GB"/>
              </w:rPr>
              <w:t xml:space="preserve">indicators </w:t>
            </w:r>
            <w:r w:rsidRPr="00C92F3A">
              <w:rPr>
                <w:rFonts w:ascii="Times New Roman" w:hAnsi="Times New Roman" w:cs="Times New Roman"/>
                <w:noProof/>
                <w:sz w:val="20"/>
                <w:szCs w:val="20"/>
                <w:lang w:val="en-GB"/>
              </w:rPr>
              <w:br/>
            </w:r>
            <w:r w:rsidRPr="00C92F3A">
              <w:rPr>
                <w:rFonts w:ascii="Times New Roman" w:hAnsi="Times New Roman" w:cs="Times New Roman"/>
                <w:b/>
                <w:noProof/>
                <w:sz w:val="20"/>
                <w:szCs w:val="20"/>
                <w:lang w:val="en-GB"/>
              </w:rPr>
              <w:t>(for targets)</w:t>
            </w:r>
          </w:p>
        </w:tc>
        <w:tc>
          <w:tcPr>
            <w:tcW w:w="1755" w:type="dxa"/>
            <w:gridSpan w:val="2"/>
            <w:tcBorders>
              <w:top w:val="single" w:sz="4" w:space="0" w:color="auto"/>
              <w:left w:val="nil"/>
              <w:bottom w:val="single" w:sz="4" w:space="0" w:color="auto"/>
              <w:right w:val="single" w:sz="4" w:space="0" w:color="auto"/>
            </w:tcBorders>
            <w:shd w:val="clear" w:color="auto" w:fill="BDD7EE"/>
            <w:vAlign w:val="center"/>
            <w:hideMark/>
          </w:tcPr>
          <w:p w14:paraId="6E06E9F1" w14:textId="66BB7AB3" w:rsidR="00823693" w:rsidRPr="00C92F3A" w:rsidRDefault="00823693" w:rsidP="00C92F3A">
            <w:pPr>
              <w:spacing w:after="0" w:line="240" w:lineRule="auto"/>
              <w:jc w:val="center"/>
              <w:rPr>
                <w:rFonts w:ascii="Times New Roman" w:hAnsi="Times New Roman" w:cs="Times New Roman"/>
                <w:b/>
                <w:bCs/>
                <w:noProof/>
                <w:sz w:val="20"/>
                <w:szCs w:val="20"/>
                <w:lang w:val="en-GB"/>
              </w:rPr>
            </w:pPr>
            <w:r w:rsidRPr="00C92F3A">
              <w:rPr>
                <w:rFonts w:ascii="Times New Roman" w:hAnsi="Times New Roman" w:cs="Times New Roman"/>
                <w:b/>
                <w:noProof/>
                <w:sz w:val="20"/>
                <w:szCs w:val="20"/>
                <w:lang w:val="en-GB"/>
              </w:rPr>
              <w:t>Indicative timeline</w:t>
            </w:r>
            <w:r w:rsidR="00C92F3A" w:rsidRPr="00C92F3A">
              <w:rPr>
                <w:rFonts w:ascii="Times New Roman" w:hAnsi="Times New Roman" w:cs="Times New Roman"/>
                <w:b/>
                <w:noProof/>
                <w:sz w:val="20"/>
                <w:szCs w:val="20"/>
                <w:lang w:val="en-GB"/>
              </w:rPr>
              <w:t xml:space="preserve"> </w:t>
            </w:r>
            <w:r w:rsidRPr="00C92F3A">
              <w:rPr>
                <w:rFonts w:ascii="Times New Roman" w:hAnsi="Times New Roman" w:cs="Times New Roman"/>
                <w:b/>
                <w:noProof/>
                <w:sz w:val="20"/>
                <w:szCs w:val="20"/>
                <w:lang w:val="en-GB"/>
              </w:rPr>
              <w:t>for completion</w:t>
            </w:r>
          </w:p>
        </w:tc>
        <w:tc>
          <w:tcPr>
            <w:tcW w:w="354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A49AA2E" w14:textId="77777777" w:rsidR="00823693" w:rsidRPr="00C92F3A" w:rsidRDefault="00823693">
            <w:pPr>
              <w:spacing w:after="0" w:line="240" w:lineRule="auto"/>
              <w:jc w:val="center"/>
              <w:rPr>
                <w:rFonts w:ascii="Times New Roman" w:hAnsi="Times New Roman" w:cs="Times New Roman"/>
                <w:b/>
                <w:bCs/>
                <w:noProof/>
                <w:sz w:val="20"/>
                <w:szCs w:val="20"/>
                <w:lang w:val="en-GB"/>
              </w:rPr>
            </w:pPr>
            <w:r w:rsidRPr="00C92F3A">
              <w:rPr>
                <w:rFonts w:ascii="Times New Roman" w:hAnsi="Times New Roman" w:cs="Times New Roman"/>
                <w:b/>
                <w:noProof/>
                <w:sz w:val="20"/>
                <w:szCs w:val="20"/>
                <w:lang w:val="en-GB"/>
              </w:rPr>
              <w:t>Description of each milestone and target</w:t>
            </w:r>
          </w:p>
        </w:tc>
      </w:tr>
      <w:tr w:rsidR="00823693" w:rsidRPr="00C92F3A" w14:paraId="76EBA2B7" w14:textId="77777777">
        <w:trPr>
          <w:trHeight w:val="624"/>
          <w:tblHeader/>
          <w:jc w:val="center"/>
        </w:trPr>
        <w:tc>
          <w:tcPr>
            <w:tcW w:w="729" w:type="dxa"/>
            <w:vMerge/>
            <w:tcBorders>
              <w:top w:val="single" w:sz="4" w:space="0" w:color="auto"/>
              <w:left w:val="single" w:sz="4" w:space="0" w:color="auto"/>
              <w:bottom w:val="single" w:sz="4" w:space="0" w:color="auto"/>
              <w:right w:val="single" w:sz="4" w:space="0" w:color="auto"/>
            </w:tcBorders>
            <w:vAlign w:val="center"/>
            <w:hideMark/>
          </w:tcPr>
          <w:p w14:paraId="37512725" w14:textId="77777777" w:rsidR="00823693" w:rsidRPr="00C92F3A" w:rsidRDefault="00823693">
            <w:pPr>
              <w:spacing w:after="0" w:line="240" w:lineRule="auto"/>
              <w:jc w:val="both"/>
              <w:rPr>
                <w:rFonts w:ascii="Times New Roman" w:hAnsi="Times New Roman" w:cs="Times New Roman"/>
                <w:b/>
                <w:noProof/>
                <w:sz w:val="20"/>
                <w:szCs w:val="20"/>
                <w:lang w:val="en-GB"/>
              </w:rPr>
            </w:pPr>
          </w:p>
        </w:tc>
        <w:tc>
          <w:tcPr>
            <w:tcW w:w="1656" w:type="dxa"/>
            <w:vMerge/>
            <w:tcBorders>
              <w:top w:val="single" w:sz="4" w:space="0" w:color="auto"/>
              <w:left w:val="single" w:sz="4" w:space="0" w:color="auto"/>
              <w:bottom w:val="single" w:sz="4" w:space="0" w:color="auto"/>
              <w:right w:val="single" w:sz="4" w:space="0" w:color="auto"/>
            </w:tcBorders>
            <w:vAlign w:val="center"/>
            <w:hideMark/>
          </w:tcPr>
          <w:p w14:paraId="3F5778C1" w14:textId="77777777" w:rsidR="00823693" w:rsidRPr="00C92F3A" w:rsidRDefault="00823693">
            <w:pPr>
              <w:spacing w:after="0" w:line="240" w:lineRule="auto"/>
              <w:jc w:val="both"/>
              <w:rPr>
                <w:rFonts w:ascii="Times New Roman" w:hAnsi="Times New Roman" w:cs="Times New Roman"/>
                <w:b/>
                <w:noProof/>
                <w:sz w:val="20"/>
                <w:szCs w:val="20"/>
                <w:lang w:val="en-GB"/>
              </w:rPr>
            </w:pPr>
          </w:p>
        </w:tc>
        <w:tc>
          <w:tcPr>
            <w:tcW w:w="1123" w:type="dxa"/>
            <w:vMerge/>
            <w:tcBorders>
              <w:top w:val="single" w:sz="4" w:space="0" w:color="auto"/>
              <w:left w:val="single" w:sz="4" w:space="0" w:color="auto"/>
              <w:bottom w:val="single" w:sz="4" w:space="0" w:color="auto"/>
              <w:right w:val="single" w:sz="4" w:space="0" w:color="auto"/>
            </w:tcBorders>
            <w:vAlign w:val="center"/>
            <w:hideMark/>
          </w:tcPr>
          <w:p w14:paraId="19C05470" w14:textId="77777777" w:rsidR="00823693" w:rsidRPr="00C92F3A" w:rsidRDefault="00823693">
            <w:pPr>
              <w:spacing w:after="0" w:line="240" w:lineRule="auto"/>
              <w:jc w:val="both"/>
              <w:rPr>
                <w:rFonts w:ascii="Times New Roman" w:hAnsi="Times New Roman" w:cs="Times New Roman"/>
                <w:b/>
                <w:noProof/>
                <w:sz w:val="20"/>
                <w:szCs w:val="20"/>
                <w:lang w:val="en-GB"/>
              </w:rPr>
            </w:pPr>
          </w:p>
        </w:tc>
        <w:tc>
          <w:tcPr>
            <w:tcW w:w="1992" w:type="dxa"/>
            <w:vMerge/>
            <w:tcBorders>
              <w:top w:val="single" w:sz="4" w:space="0" w:color="auto"/>
              <w:left w:val="single" w:sz="4" w:space="0" w:color="auto"/>
              <w:bottom w:val="single" w:sz="4" w:space="0" w:color="auto"/>
              <w:right w:val="single" w:sz="4" w:space="0" w:color="auto"/>
            </w:tcBorders>
            <w:vAlign w:val="center"/>
            <w:hideMark/>
          </w:tcPr>
          <w:p w14:paraId="02741BBE" w14:textId="77777777" w:rsidR="00823693" w:rsidRPr="00C92F3A" w:rsidRDefault="00823693">
            <w:pPr>
              <w:spacing w:after="0" w:line="240" w:lineRule="auto"/>
              <w:jc w:val="both"/>
              <w:rPr>
                <w:rFonts w:ascii="Times New Roman" w:hAnsi="Times New Roman" w:cs="Times New Roman"/>
                <w:b/>
                <w:noProof/>
                <w:sz w:val="20"/>
                <w:szCs w:val="20"/>
                <w:lang w:val="en-GB"/>
              </w:rPr>
            </w:pPr>
          </w:p>
        </w:tc>
        <w:tc>
          <w:tcPr>
            <w:tcW w:w="2104" w:type="dxa"/>
            <w:vMerge/>
            <w:tcBorders>
              <w:top w:val="single" w:sz="4" w:space="0" w:color="auto"/>
              <w:left w:val="single" w:sz="4" w:space="0" w:color="auto"/>
              <w:bottom w:val="single" w:sz="4" w:space="0" w:color="auto"/>
              <w:right w:val="single" w:sz="4" w:space="0" w:color="auto"/>
            </w:tcBorders>
            <w:vAlign w:val="center"/>
            <w:hideMark/>
          </w:tcPr>
          <w:p w14:paraId="3B58ED57" w14:textId="77777777" w:rsidR="00823693" w:rsidRPr="00C92F3A" w:rsidRDefault="00823693">
            <w:pPr>
              <w:spacing w:after="0" w:line="240" w:lineRule="auto"/>
              <w:jc w:val="both"/>
              <w:rPr>
                <w:rFonts w:ascii="Times New Roman" w:hAnsi="Times New Roman" w:cs="Times New Roman"/>
                <w:b/>
                <w:noProof/>
                <w:sz w:val="20"/>
                <w:szCs w:val="20"/>
                <w:lang w:val="en-GB"/>
              </w:rPr>
            </w:pPr>
          </w:p>
        </w:tc>
        <w:tc>
          <w:tcPr>
            <w:tcW w:w="1180" w:type="dxa"/>
            <w:tcBorders>
              <w:top w:val="nil"/>
              <w:left w:val="single" w:sz="4" w:space="0" w:color="auto"/>
              <w:bottom w:val="single" w:sz="4" w:space="0" w:color="auto"/>
              <w:right w:val="single" w:sz="4" w:space="0" w:color="auto"/>
            </w:tcBorders>
            <w:shd w:val="clear" w:color="auto" w:fill="BDD7EE"/>
            <w:vAlign w:val="center"/>
            <w:hideMark/>
          </w:tcPr>
          <w:p w14:paraId="62016713" w14:textId="2AC0D548" w:rsidR="00823693" w:rsidRPr="00C92F3A" w:rsidRDefault="00823693" w:rsidP="00C92F3A">
            <w:pPr>
              <w:spacing w:after="0" w:line="240" w:lineRule="auto"/>
              <w:jc w:val="center"/>
              <w:rPr>
                <w:rFonts w:ascii="Times New Roman" w:hAnsi="Times New Roman" w:cs="Times New Roman"/>
                <w:b/>
                <w:bCs/>
                <w:noProof/>
                <w:sz w:val="20"/>
                <w:szCs w:val="20"/>
                <w:lang w:val="en-GB"/>
              </w:rPr>
            </w:pPr>
            <w:r w:rsidRPr="00C92F3A">
              <w:rPr>
                <w:rFonts w:ascii="Times New Roman" w:hAnsi="Times New Roman" w:cs="Times New Roman"/>
                <w:b/>
                <w:noProof/>
                <w:sz w:val="20"/>
                <w:szCs w:val="20"/>
                <w:lang w:val="en-GB"/>
              </w:rPr>
              <w:t>Unit</w:t>
            </w:r>
            <w:r w:rsidR="00C92F3A" w:rsidRPr="00C92F3A">
              <w:rPr>
                <w:rFonts w:ascii="Times New Roman" w:hAnsi="Times New Roman" w:cs="Times New Roman"/>
                <w:b/>
                <w:noProof/>
                <w:sz w:val="20"/>
                <w:szCs w:val="20"/>
                <w:lang w:val="en-GB"/>
              </w:rPr>
              <w:t xml:space="preserve"> </w:t>
            </w:r>
            <w:r w:rsidRPr="00C92F3A">
              <w:rPr>
                <w:rFonts w:ascii="Times New Roman" w:hAnsi="Times New Roman" w:cs="Times New Roman"/>
                <w:b/>
                <w:noProof/>
                <w:sz w:val="20"/>
                <w:szCs w:val="20"/>
                <w:lang w:val="en-GB"/>
              </w:rPr>
              <w:t>of</w:t>
            </w:r>
            <w:r w:rsidR="00C92F3A" w:rsidRPr="00C92F3A">
              <w:rPr>
                <w:rFonts w:ascii="Times New Roman" w:hAnsi="Times New Roman" w:cs="Times New Roman"/>
                <w:b/>
                <w:noProof/>
                <w:sz w:val="20"/>
                <w:szCs w:val="20"/>
                <w:lang w:val="en-GB"/>
              </w:rPr>
              <w:t xml:space="preserve"> </w:t>
            </w:r>
            <w:r w:rsidRPr="00C92F3A">
              <w:rPr>
                <w:rFonts w:ascii="Times New Roman" w:hAnsi="Times New Roman" w:cs="Times New Roman"/>
                <w:b/>
                <w:noProof/>
                <w:sz w:val="20"/>
                <w:szCs w:val="20"/>
                <w:lang w:val="en-GB"/>
              </w:rPr>
              <w:t>measure</w:t>
            </w:r>
          </w:p>
        </w:tc>
        <w:tc>
          <w:tcPr>
            <w:tcW w:w="992" w:type="dxa"/>
            <w:tcBorders>
              <w:top w:val="nil"/>
              <w:left w:val="nil"/>
              <w:bottom w:val="single" w:sz="4" w:space="0" w:color="auto"/>
              <w:right w:val="single" w:sz="4" w:space="0" w:color="auto"/>
            </w:tcBorders>
            <w:shd w:val="clear" w:color="auto" w:fill="BDD7EE"/>
            <w:vAlign w:val="center"/>
            <w:hideMark/>
          </w:tcPr>
          <w:p w14:paraId="6ADC1DE4" w14:textId="77777777" w:rsidR="00823693" w:rsidRPr="00C92F3A" w:rsidRDefault="00823693">
            <w:pPr>
              <w:spacing w:after="0" w:line="240" w:lineRule="auto"/>
              <w:jc w:val="center"/>
              <w:rPr>
                <w:rFonts w:ascii="Times New Roman" w:hAnsi="Times New Roman" w:cs="Times New Roman"/>
                <w:b/>
                <w:bCs/>
                <w:noProof/>
                <w:sz w:val="20"/>
                <w:szCs w:val="20"/>
                <w:lang w:val="en-GB"/>
              </w:rPr>
            </w:pPr>
            <w:r w:rsidRPr="00C92F3A">
              <w:rPr>
                <w:rFonts w:ascii="Times New Roman" w:hAnsi="Times New Roman" w:cs="Times New Roman"/>
                <w:b/>
                <w:noProof/>
                <w:sz w:val="20"/>
                <w:szCs w:val="20"/>
                <w:lang w:val="en-GB"/>
              </w:rPr>
              <w:t>Baseline</w:t>
            </w:r>
          </w:p>
        </w:tc>
        <w:tc>
          <w:tcPr>
            <w:tcW w:w="797" w:type="dxa"/>
            <w:tcBorders>
              <w:top w:val="nil"/>
              <w:left w:val="nil"/>
              <w:bottom w:val="single" w:sz="4" w:space="0" w:color="auto"/>
              <w:right w:val="single" w:sz="4" w:space="0" w:color="auto"/>
            </w:tcBorders>
            <w:shd w:val="clear" w:color="auto" w:fill="BDD7EE"/>
            <w:vAlign w:val="center"/>
            <w:hideMark/>
          </w:tcPr>
          <w:p w14:paraId="19739370" w14:textId="77777777" w:rsidR="00823693" w:rsidRPr="00C92F3A" w:rsidRDefault="00823693">
            <w:pPr>
              <w:spacing w:after="0" w:line="240" w:lineRule="auto"/>
              <w:jc w:val="center"/>
              <w:rPr>
                <w:rFonts w:ascii="Times New Roman" w:hAnsi="Times New Roman" w:cs="Times New Roman"/>
                <w:b/>
                <w:bCs/>
                <w:noProof/>
                <w:sz w:val="20"/>
                <w:szCs w:val="20"/>
                <w:lang w:val="en-GB"/>
              </w:rPr>
            </w:pPr>
            <w:r w:rsidRPr="00C92F3A">
              <w:rPr>
                <w:rFonts w:ascii="Times New Roman" w:hAnsi="Times New Roman" w:cs="Times New Roman"/>
                <w:b/>
                <w:noProof/>
                <w:sz w:val="20"/>
                <w:szCs w:val="20"/>
                <w:lang w:val="en-GB"/>
              </w:rPr>
              <w:t>Goal</w:t>
            </w:r>
          </w:p>
        </w:tc>
        <w:tc>
          <w:tcPr>
            <w:tcW w:w="982" w:type="dxa"/>
            <w:tcBorders>
              <w:top w:val="single" w:sz="4" w:space="0" w:color="auto"/>
              <w:left w:val="nil"/>
              <w:bottom w:val="single" w:sz="4" w:space="0" w:color="auto"/>
              <w:right w:val="single" w:sz="4" w:space="0" w:color="auto"/>
            </w:tcBorders>
            <w:shd w:val="clear" w:color="auto" w:fill="BDD7EE"/>
            <w:vAlign w:val="center"/>
            <w:hideMark/>
          </w:tcPr>
          <w:p w14:paraId="01EC00D7" w14:textId="77777777" w:rsidR="00823693" w:rsidRPr="00C92F3A" w:rsidRDefault="00823693">
            <w:pPr>
              <w:spacing w:after="0" w:line="240" w:lineRule="auto"/>
              <w:jc w:val="center"/>
              <w:rPr>
                <w:rFonts w:ascii="Times New Roman" w:hAnsi="Times New Roman" w:cs="Times New Roman"/>
                <w:b/>
                <w:bCs/>
                <w:noProof/>
                <w:sz w:val="20"/>
                <w:szCs w:val="20"/>
                <w:lang w:val="en-GB"/>
              </w:rPr>
            </w:pPr>
            <w:r w:rsidRPr="00C92F3A">
              <w:rPr>
                <w:rFonts w:ascii="Times New Roman" w:hAnsi="Times New Roman" w:cs="Times New Roman"/>
                <w:b/>
                <w:noProof/>
                <w:sz w:val="20"/>
                <w:szCs w:val="20"/>
                <w:lang w:val="en-GB"/>
              </w:rPr>
              <w:t>Quarter</w:t>
            </w:r>
          </w:p>
        </w:tc>
        <w:tc>
          <w:tcPr>
            <w:tcW w:w="773" w:type="dxa"/>
            <w:tcBorders>
              <w:top w:val="single" w:sz="4" w:space="0" w:color="auto"/>
              <w:left w:val="nil"/>
              <w:bottom w:val="single" w:sz="4" w:space="0" w:color="auto"/>
              <w:right w:val="single" w:sz="4" w:space="0" w:color="auto"/>
            </w:tcBorders>
            <w:shd w:val="clear" w:color="auto" w:fill="BDD7EE"/>
            <w:vAlign w:val="center"/>
            <w:hideMark/>
          </w:tcPr>
          <w:p w14:paraId="55E8E0B7" w14:textId="77777777" w:rsidR="00823693" w:rsidRPr="00C92F3A" w:rsidRDefault="00823693">
            <w:pPr>
              <w:spacing w:after="0" w:line="240" w:lineRule="auto"/>
              <w:jc w:val="center"/>
              <w:rPr>
                <w:rFonts w:ascii="Times New Roman" w:hAnsi="Times New Roman" w:cs="Times New Roman"/>
                <w:b/>
                <w:bCs/>
                <w:noProof/>
                <w:sz w:val="20"/>
                <w:szCs w:val="20"/>
                <w:lang w:val="en-GB"/>
              </w:rPr>
            </w:pPr>
            <w:r w:rsidRPr="00C92F3A">
              <w:rPr>
                <w:rFonts w:ascii="Times New Roman" w:hAnsi="Times New Roman" w:cs="Times New Roman"/>
                <w:b/>
                <w:noProof/>
                <w:sz w:val="20"/>
                <w:szCs w:val="20"/>
                <w:lang w:val="en-GB"/>
              </w:rPr>
              <w:t>Year</w:t>
            </w:r>
          </w:p>
        </w:tc>
        <w:tc>
          <w:tcPr>
            <w:tcW w:w="3548" w:type="dxa"/>
            <w:vMerge/>
            <w:tcBorders>
              <w:top w:val="single" w:sz="4" w:space="0" w:color="auto"/>
              <w:left w:val="single" w:sz="4" w:space="0" w:color="auto"/>
              <w:bottom w:val="single" w:sz="4" w:space="0" w:color="auto"/>
              <w:right w:val="single" w:sz="4" w:space="0" w:color="auto"/>
            </w:tcBorders>
            <w:vAlign w:val="center"/>
            <w:hideMark/>
          </w:tcPr>
          <w:p w14:paraId="6201B78E" w14:textId="77777777" w:rsidR="00823693" w:rsidRPr="00C92F3A" w:rsidRDefault="00823693">
            <w:pPr>
              <w:spacing w:after="0" w:line="240" w:lineRule="auto"/>
              <w:jc w:val="both"/>
              <w:rPr>
                <w:rFonts w:ascii="Times New Roman" w:hAnsi="Times New Roman" w:cs="Times New Roman"/>
                <w:b/>
                <w:noProof/>
                <w:sz w:val="20"/>
                <w:szCs w:val="20"/>
                <w:lang w:val="en-GB"/>
              </w:rPr>
            </w:pPr>
          </w:p>
        </w:tc>
      </w:tr>
      <w:tr w:rsidR="00823693" w:rsidRPr="00C92F3A" w14:paraId="761BD7F3" w14:textId="77777777">
        <w:trPr>
          <w:trHeight w:val="309"/>
          <w:jc w:val="center"/>
        </w:trPr>
        <w:tc>
          <w:tcPr>
            <w:tcW w:w="729"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tcPr>
          <w:p w14:paraId="48CE4868" w14:textId="77777777" w:rsidR="00823693" w:rsidRPr="00C92F3A" w:rsidRDefault="00823693">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351</w:t>
            </w:r>
          </w:p>
        </w:tc>
        <w:tc>
          <w:tcPr>
            <w:tcW w:w="1656" w:type="dxa"/>
            <w:tcBorders>
              <w:top w:val="single" w:sz="4" w:space="0" w:color="auto"/>
              <w:left w:val="nil"/>
              <w:bottom w:val="single" w:sz="4" w:space="0" w:color="000000" w:themeColor="text1"/>
              <w:right w:val="single" w:sz="4" w:space="0" w:color="000000" w:themeColor="text1"/>
            </w:tcBorders>
            <w:shd w:val="clear" w:color="auto" w:fill="C6EFCE"/>
            <w:noWrap/>
          </w:tcPr>
          <w:p w14:paraId="2CBC966C"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Reform 1. Increased capacity for the management of public health funds </w:t>
            </w:r>
          </w:p>
        </w:tc>
        <w:tc>
          <w:tcPr>
            <w:tcW w:w="1123" w:type="dxa"/>
            <w:tcBorders>
              <w:top w:val="single" w:sz="4" w:space="0" w:color="auto"/>
              <w:left w:val="nil"/>
              <w:bottom w:val="single" w:sz="4" w:space="0" w:color="000000" w:themeColor="text1"/>
              <w:right w:val="single" w:sz="4" w:space="0" w:color="000000" w:themeColor="text1"/>
            </w:tcBorders>
            <w:shd w:val="clear" w:color="auto" w:fill="C6EFCE"/>
            <w:noWrap/>
          </w:tcPr>
          <w:p w14:paraId="59E38280"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992" w:type="dxa"/>
            <w:tcBorders>
              <w:top w:val="single" w:sz="4" w:space="0" w:color="auto"/>
              <w:left w:val="nil"/>
              <w:bottom w:val="single" w:sz="4" w:space="0" w:color="000000" w:themeColor="text1"/>
              <w:right w:val="single" w:sz="4" w:space="0" w:color="000000" w:themeColor="text1"/>
            </w:tcBorders>
            <w:shd w:val="clear" w:color="auto" w:fill="C6EFCE"/>
            <w:noWrap/>
          </w:tcPr>
          <w:p w14:paraId="08125D78"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Entry into force of the ministerial order for the performance and quality indicators to be used for the selection of the medical units benefiting from the Health Quality Fund</w:t>
            </w:r>
          </w:p>
        </w:tc>
        <w:tc>
          <w:tcPr>
            <w:tcW w:w="2104" w:type="dxa"/>
            <w:tcBorders>
              <w:top w:val="single" w:sz="4" w:space="0" w:color="auto"/>
              <w:left w:val="nil"/>
              <w:bottom w:val="single" w:sz="4" w:space="0" w:color="000000" w:themeColor="text1"/>
              <w:right w:val="single" w:sz="4" w:space="0" w:color="000000" w:themeColor="text1"/>
            </w:tcBorders>
            <w:shd w:val="clear" w:color="auto" w:fill="C6EFCE"/>
            <w:noWrap/>
          </w:tcPr>
          <w:p w14:paraId="43986676"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Provision in the ministerial order indicating the entry into force of the ministerial order adopting the set of quality of care indicators and the necessary methodology for the selection of beneficiary medical facilities</w:t>
            </w:r>
          </w:p>
        </w:tc>
        <w:tc>
          <w:tcPr>
            <w:tcW w:w="1180" w:type="dxa"/>
            <w:tcBorders>
              <w:top w:val="nil"/>
              <w:left w:val="nil"/>
              <w:bottom w:val="single" w:sz="4" w:space="0" w:color="000000" w:themeColor="text1"/>
              <w:right w:val="single" w:sz="4" w:space="0" w:color="000000" w:themeColor="text1"/>
            </w:tcBorders>
            <w:shd w:val="clear" w:color="auto" w:fill="C6EFCE"/>
            <w:noWrap/>
          </w:tcPr>
          <w:p w14:paraId="489F9A9A"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92" w:type="dxa"/>
            <w:tcBorders>
              <w:top w:val="nil"/>
              <w:left w:val="nil"/>
              <w:bottom w:val="single" w:sz="4" w:space="0" w:color="000000" w:themeColor="text1"/>
              <w:right w:val="single" w:sz="4" w:space="0" w:color="000000" w:themeColor="text1"/>
            </w:tcBorders>
            <w:shd w:val="clear" w:color="auto" w:fill="C6EFCE"/>
            <w:noWrap/>
          </w:tcPr>
          <w:p w14:paraId="2DFAE8B4"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797" w:type="dxa"/>
            <w:tcBorders>
              <w:top w:val="nil"/>
              <w:left w:val="nil"/>
              <w:bottom w:val="single" w:sz="4" w:space="0" w:color="000000" w:themeColor="text1"/>
              <w:right w:val="single" w:sz="4" w:space="0" w:color="000000" w:themeColor="text1"/>
            </w:tcBorders>
            <w:shd w:val="clear" w:color="auto" w:fill="C6EFCE"/>
            <w:noWrap/>
          </w:tcPr>
          <w:p w14:paraId="0DBE044E"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82" w:type="dxa"/>
            <w:tcBorders>
              <w:top w:val="single" w:sz="4" w:space="0" w:color="auto"/>
              <w:left w:val="nil"/>
              <w:bottom w:val="single" w:sz="4" w:space="0" w:color="000000" w:themeColor="text1"/>
              <w:right w:val="single" w:sz="4" w:space="0" w:color="000000" w:themeColor="text1"/>
            </w:tcBorders>
            <w:shd w:val="clear" w:color="auto" w:fill="C6EFCE"/>
            <w:noWrap/>
          </w:tcPr>
          <w:p w14:paraId="4DB7DFAE"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Q4</w:t>
            </w:r>
          </w:p>
        </w:tc>
        <w:tc>
          <w:tcPr>
            <w:tcW w:w="773" w:type="dxa"/>
            <w:tcBorders>
              <w:top w:val="single" w:sz="4" w:space="0" w:color="auto"/>
              <w:left w:val="nil"/>
              <w:bottom w:val="single" w:sz="4" w:space="0" w:color="000000" w:themeColor="text1"/>
              <w:right w:val="single" w:sz="4" w:space="0" w:color="000000" w:themeColor="text1"/>
            </w:tcBorders>
            <w:shd w:val="clear" w:color="auto" w:fill="C6EFCE"/>
            <w:noWrap/>
          </w:tcPr>
          <w:p w14:paraId="220CEAA8"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2022</w:t>
            </w:r>
          </w:p>
        </w:tc>
        <w:tc>
          <w:tcPr>
            <w:tcW w:w="3548" w:type="dxa"/>
            <w:tcBorders>
              <w:top w:val="single" w:sz="4" w:space="0" w:color="auto"/>
              <w:left w:val="nil"/>
              <w:bottom w:val="single" w:sz="4" w:space="0" w:color="000000" w:themeColor="text1"/>
              <w:right w:val="single" w:sz="4" w:space="0" w:color="000000" w:themeColor="text1"/>
            </w:tcBorders>
            <w:shd w:val="clear" w:color="auto" w:fill="C6EFCE"/>
            <w:noWrap/>
          </w:tcPr>
          <w:p w14:paraId="6492FDB4"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The Ministry of Health shall develop and adopt a set of process indicators, outcome indicators and patient-specific indicators to be used for the evaluation of healthcare providers as well as the methodology for performance-based selection of recipient establishments. The set of indicators shall include indicators such as: the proportion of patients with adverse events, improvement in pain scale (Visual Analogue Scale score), hospital acquired infections rate, quality information available to patients. </w:t>
            </w:r>
          </w:p>
        </w:tc>
      </w:tr>
      <w:tr w:rsidR="00823693" w:rsidRPr="00C92F3A" w14:paraId="5E684230" w14:textId="77777777">
        <w:trPr>
          <w:trHeight w:val="309"/>
          <w:jc w:val="center"/>
        </w:trPr>
        <w:tc>
          <w:tcPr>
            <w:tcW w:w="729" w:type="dxa"/>
            <w:tcBorders>
              <w:top w:val="nil"/>
              <w:left w:val="single" w:sz="4" w:space="0" w:color="000000" w:themeColor="text1"/>
              <w:bottom w:val="single" w:sz="4" w:space="0" w:color="000000" w:themeColor="text1"/>
              <w:right w:val="single" w:sz="4" w:space="0" w:color="000000" w:themeColor="text1"/>
            </w:tcBorders>
            <w:shd w:val="clear" w:color="auto" w:fill="C6EFCE"/>
            <w:noWrap/>
          </w:tcPr>
          <w:p w14:paraId="25388542" w14:textId="77777777" w:rsidR="00823693" w:rsidRPr="00C92F3A" w:rsidRDefault="00823693">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352</w:t>
            </w:r>
          </w:p>
        </w:tc>
        <w:tc>
          <w:tcPr>
            <w:tcW w:w="1656" w:type="dxa"/>
            <w:tcBorders>
              <w:top w:val="nil"/>
              <w:left w:val="nil"/>
              <w:bottom w:val="single" w:sz="4" w:space="0" w:color="000000" w:themeColor="text1"/>
              <w:right w:val="single" w:sz="4" w:space="0" w:color="000000" w:themeColor="text1"/>
            </w:tcBorders>
            <w:shd w:val="clear" w:color="auto" w:fill="C6EFCE"/>
            <w:noWrap/>
          </w:tcPr>
          <w:p w14:paraId="045CF1BF"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Reform 1. Increased capacity for management of public health funds</w:t>
            </w:r>
          </w:p>
        </w:tc>
        <w:tc>
          <w:tcPr>
            <w:tcW w:w="1123" w:type="dxa"/>
            <w:tcBorders>
              <w:top w:val="nil"/>
              <w:left w:val="nil"/>
              <w:bottom w:val="single" w:sz="4" w:space="0" w:color="000000" w:themeColor="text1"/>
              <w:right w:val="single" w:sz="4" w:space="0" w:color="000000" w:themeColor="text1"/>
            </w:tcBorders>
            <w:shd w:val="clear" w:color="auto" w:fill="C6EFCE"/>
            <w:noWrap/>
          </w:tcPr>
          <w:p w14:paraId="7CB2EBC6"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992" w:type="dxa"/>
            <w:tcBorders>
              <w:top w:val="nil"/>
              <w:left w:val="nil"/>
              <w:bottom w:val="single" w:sz="4" w:space="0" w:color="000000" w:themeColor="text1"/>
              <w:right w:val="single" w:sz="4" w:space="0" w:color="000000" w:themeColor="text1"/>
            </w:tcBorders>
            <w:shd w:val="clear" w:color="auto" w:fill="C6EFCE"/>
            <w:noWrap/>
          </w:tcPr>
          <w:p w14:paraId="770BFE64"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Entry into force of the legal act for a new model framework contract for the health insurance system </w:t>
            </w:r>
          </w:p>
        </w:tc>
        <w:tc>
          <w:tcPr>
            <w:tcW w:w="2104" w:type="dxa"/>
            <w:tcBorders>
              <w:top w:val="nil"/>
              <w:left w:val="nil"/>
              <w:bottom w:val="single" w:sz="4" w:space="0" w:color="000000" w:themeColor="text1"/>
              <w:right w:val="single" w:sz="4" w:space="0" w:color="000000" w:themeColor="text1"/>
            </w:tcBorders>
            <w:shd w:val="clear" w:color="auto" w:fill="C6EFCE"/>
            <w:noWrap/>
          </w:tcPr>
          <w:p w14:paraId="222B3F16"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Provision in the legal act indicating its entry into force </w:t>
            </w:r>
          </w:p>
        </w:tc>
        <w:tc>
          <w:tcPr>
            <w:tcW w:w="1180" w:type="dxa"/>
            <w:tcBorders>
              <w:top w:val="nil"/>
              <w:left w:val="nil"/>
              <w:bottom w:val="single" w:sz="4" w:space="0" w:color="000000" w:themeColor="text1"/>
              <w:right w:val="single" w:sz="4" w:space="0" w:color="000000" w:themeColor="text1"/>
            </w:tcBorders>
            <w:shd w:val="clear" w:color="auto" w:fill="C6EFCE"/>
            <w:noWrap/>
          </w:tcPr>
          <w:p w14:paraId="701FF319"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92" w:type="dxa"/>
            <w:tcBorders>
              <w:top w:val="nil"/>
              <w:left w:val="nil"/>
              <w:bottom w:val="single" w:sz="4" w:space="0" w:color="000000" w:themeColor="text1"/>
              <w:right w:val="single" w:sz="4" w:space="0" w:color="000000" w:themeColor="text1"/>
            </w:tcBorders>
            <w:shd w:val="clear" w:color="auto" w:fill="C6EFCE"/>
            <w:noWrap/>
          </w:tcPr>
          <w:p w14:paraId="14BE0A8F"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797" w:type="dxa"/>
            <w:tcBorders>
              <w:top w:val="nil"/>
              <w:left w:val="nil"/>
              <w:bottom w:val="single" w:sz="4" w:space="0" w:color="000000" w:themeColor="text1"/>
              <w:right w:val="single" w:sz="4" w:space="0" w:color="000000" w:themeColor="text1"/>
            </w:tcBorders>
            <w:shd w:val="clear" w:color="auto" w:fill="C6EFCE"/>
            <w:noWrap/>
          </w:tcPr>
          <w:p w14:paraId="59A7C8D2"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82" w:type="dxa"/>
            <w:tcBorders>
              <w:top w:val="nil"/>
              <w:left w:val="nil"/>
              <w:bottom w:val="single" w:sz="4" w:space="0" w:color="000000" w:themeColor="text1"/>
              <w:right w:val="single" w:sz="4" w:space="0" w:color="000000" w:themeColor="text1"/>
            </w:tcBorders>
            <w:shd w:val="clear" w:color="auto" w:fill="C6EFCE"/>
            <w:noWrap/>
          </w:tcPr>
          <w:p w14:paraId="14CFF4F6"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Q2</w:t>
            </w:r>
          </w:p>
        </w:tc>
        <w:tc>
          <w:tcPr>
            <w:tcW w:w="773" w:type="dxa"/>
            <w:tcBorders>
              <w:top w:val="nil"/>
              <w:left w:val="nil"/>
              <w:bottom w:val="single" w:sz="4" w:space="0" w:color="000000" w:themeColor="text1"/>
              <w:right w:val="single" w:sz="4" w:space="0" w:color="000000" w:themeColor="text1"/>
            </w:tcBorders>
            <w:shd w:val="clear" w:color="auto" w:fill="C6EFCE"/>
            <w:noWrap/>
          </w:tcPr>
          <w:p w14:paraId="08F53E96"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2023</w:t>
            </w:r>
          </w:p>
        </w:tc>
        <w:tc>
          <w:tcPr>
            <w:tcW w:w="3548" w:type="dxa"/>
            <w:tcBorders>
              <w:top w:val="nil"/>
              <w:left w:val="nil"/>
              <w:bottom w:val="single" w:sz="4" w:space="0" w:color="000000" w:themeColor="text1"/>
              <w:right w:val="single" w:sz="4" w:space="0" w:color="000000" w:themeColor="text1"/>
            </w:tcBorders>
            <w:shd w:val="clear" w:color="auto" w:fill="C6EFCE"/>
            <w:noWrap/>
          </w:tcPr>
          <w:p w14:paraId="436EC354"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The new model framework contract for the health insurance system shall:</w:t>
            </w:r>
          </w:p>
          <w:p w14:paraId="0B484842" w14:textId="77777777" w:rsidR="00823693" w:rsidRPr="00C92F3A" w:rsidRDefault="00823693" w:rsidP="00823693">
            <w:pPr>
              <w:numPr>
                <w:ilvl w:val="0"/>
                <w:numId w:val="56"/>
              </w:numPr>
              <w:pBdr>
                <w:top w:val="nil"/>
                <w:left w:val="nil"/>
                <w:bottom w:val="nil"/>
                <w:right w:val="nil"/>
                <w:between w:val="nil"/>
              </w:pBdr>
              <w:spacing w:after="0" w:line="240" w:lineRule="auto"/>
              <w:ind w:left="260" w:hanging="260"/>
              <w:jc w:val="both"/>
              <w:rPr>
                <w:rFonts w:ascii="Times New Roman" w:eastAsia="Calibri" w:hAnsi="Times New Roman" w:cs="Times New Roman"/>
                <w:noProof/>
                <w:sz w:val="20"/>
                <w:szCs w:val="20"/>
                <w:lang w:val="en-GB"/>
              </w:rPr>
            </w:pPr>
            <w:r w:rsidRPr="00C92F3A">
              <w:rPr>
                <w:rFonts w:ascii="Times New Roman" w:eastAsia="Calibri" w:hAnsi="Times New Roman" w:cs="Times New Roman"/>
                <w:noProof/>
                <w:sz w:val="20"/>
                <w:szCs w:val="20"/>
                <w:lang w:val="en-GB"/>
              </w:rPr>
              <w:t>Contain efficiency indicators for National Health Insurance Fund expenditure, to be reported on a regular basis;</w:t>
            </w:r>
          </w:p>
          <w:p w14:paraId="6F08BE2D" w14:textId="77777777" w:rsidR="00823693" w:rsidRPr="00C92F3A" w:rsidRDefault="00823693" w:rsidP="00823693">
            <w:pPr>
              <w:numPr>
                <w:ilvl w:val="0"/>
                <w:numId w:val="56"/>
              </w:numPr>
              <w:pBdr>
                <w:top w:val="nil"/>
                <w:left w:val="nil"/>
                <w:bottom w:val="nil"/>
                <w:right w:val="nil"/>
                <w:between w:val="nil"/>
              </w:pBdr>
              <w:spacing w:after="0" w:line="240" w:lineRule="auto"/>
              <w:ind w:left="260" w:hanging="260"/>
              <w:jc w:val="both"/>
              <w:rPr>
                <w:rFonts w:ascii="Times New Roman" w:eastAsia="Calibri" w:hAnsi="Times New Roman" w:cs="Times New Roman"/>
                <w:noProof/>
                <w:sz w:val="20"/>
                <w:szCs w:val="20"/>
                <w:lang w:val="en-GB"/>
              </w:rPr>
            </w:pPr>
            <w:r w:rsidRPr="00C92F3A">
              <w:rPr>
                <w:rFonts w:ascii="Times New Roman" w:eastAsia="Calibri" w:hAnsi="Times New Roman" w:cs="Times New Roman"/>
                <w:noProof/>
                <w:sz w:val="20"/>
                <w:szCs w:val="20"/>
                <w:lang w:val="en-GB"/>
              </w:rPr>
              <w:t>Increase the scope of outpatient services;</w:t>
            </w:r>
          </w:p>
          <w:p w14:paraId="3D74B903" w14:textId="77777777" w:rsidR="00823693" w:rsidRPr="00C92F3A" w:rsidRDefault="00823693" w:rsidP="00823693">
            <w:pPr>
              <w:numPr>
                <w:ilvl w:val="0"/>
                <w:numId w:val="56"/>
              </w:numPr>
              <w:pBdr>
                <w:top w:val="nil"/>
                <w:left w:val="nil"/>
                <w:bottom w:val="nil"/>
                <w:right w:val="nil"/>
                <w:between w:val="nil"/>
              </w:pBdr>
              <w:spacing w:after="0" w:line="240" w:lineRule="auto"/>
              <w:ind w:left="260" w:hanging="260"/>
              <w:jc w:val="both"/>
              <w:rPr>
                <w:rFonts w:ascii="Times New Roman" w:eastAsia="Calibri" w:hAnsi="Times New Roman" w:cs="Times New Roman"/>
                <w:noProof/>
                <w:sz w:val="20"/>
                <w:szCs w:val="20"/>
                <w:lang w:val="en-GB"/>
              </w:rPr>
            </w:pPr>
            <w:r w:rsidRPr="00C92F3A">
              <w:rPr>
                <w:rFonts w:ascii="Times New Roman" w:eastAsia="Calibri" w:hAnsi="Times New Roman" w:cs="Times New Roman"/>
                <w:noProof/>
                <w:sz w:val="20"/>
                <w:szCs w:val="20"/>
                <w:lang w:val="en-GB"/>
              </w:rPr>
              <w:t>Mandate preventive care protocols and early detection programs at primary care level;</w:t>
            </w:r>
          </w:p>
          <w:p w14:paraId="41EA7AE3" w14:textId="77777777" w:rsidR="00823693" w:rsidRPr="00C92F3A" w:rsidRDefault="00823693" w:rsidP="00823693">
            <w:pPr>
              <w:numPr>
                <w:ilvl w:val="0"/>
                <w:numId w:val="56"/>
              </w:numPr>
              <w:pBdr>
                <w:top w:val="nil"/>
                <w:left w:val="nil"/>
                <w:bottom w:val="nil"/>
                <w:right w:val="nil"/>
                <w:between w:val="nil"/>
              </w:pBdr>
              <w:spacing w:after="0" w:line="240" w:lineRule="auto"/>
              <w:ind w:left="260" w:hanging="260"/>
              <w:jc w:val="both"/>
              <w:rPr>
                <w:rFonts w:ascii="Times New Roman" w:eastAsia="Calibri" w:hAnsi="Times New Roman" w:cs="Times New Roman"/>
                <w:noProof/>
                <w:sz w:val="20"/>
                <w:szCs w:val="20"/>
                <w:lang w:val="en-GB"/>
              </w:rPr>
            </w:pPr>
            <w:r w:rsidRPr="00C92F3A">
              <w:rPr>
                <w:rFonts w:ascii="Times New Roman" w:eastAsia="Calibri" w:hAnsi="Times New Roman" w:cs="Times New Roman"/>
                <w:noProof/>
                <w:sz w:val="20"/>
                <w:szCs w:val="20"/>
                <w:lang w:val="en-GB"/>
              </w:rPr>
              <w:t>Enable telemedicine and remote consultation capabilities for some medical services;</w:t>
            </w:r>
          </w:p>
          <w:p w14:paraId="5B79254A" w14:textId="77777777" w:rsidR="00823693" w:rsidRPr="00C92F3A" w:rsidRDefault="00823693" w:rsidP="00823693">
            <w:pPr>
              <w:numPr>
                <w:ilvl w:val="0"/>
                <w:numId w:val="56"/>
              </w:numPr>
              <w:pBdr>
                <w:top w:val="nil"/>
                <w:left w:val="nil"/>
                <w:bottom w:val="nil"/>
                <w:right w:val="nil"/>
                <w:between w:val="nil"/>
              </w:pBdr>
              <w:spacing w:after="0" w:line="240" w:lineRule="auto"/>
              <w:ind w:left="260" w:hanging="260"/>
              <w:jc w:val="both"/>
              <w:rPr>
                <w:rFonts w:ascii="Times New Roman" w:eastAsia="Calibri" w:hAnsi="Times New Roman" w:cs="Times New Roman"/>
                <w:noProof/>
                <w:sz w:val="20"/>
                <w:szCs w:val="20"/>
                <w:lang w:val="en-GB"/>
              </w:rPr>
            </w:pPr>
            <w:r w:rsidRPr="00C92F3A">
              <w:rPr>
                <w:rFonts w:ascii="Times New Roman" w:eastAsia="Calibri" w:hAnsi="Times New Roman" w:cs="Times New Roman"/>
                <w:noProof/>
                <w:sz w:val="20"/>
                <w:szCs w:val="20"/>
                <w:lang w:val="en-GB"/>
              </w:rPr>
              <w:t>Include provisions on financial incentives and support mechanisms for healthcare providers serving underserved rural populations;</w:t>
            </w:r>
          </w:p>
          <w:p w14:paraId="51986505" w14:textId="77777777" w:rsidR="00823693" w:rsidRPr="00C92F3A" w:rsidRDefault="00823693" w:rsidP="00823693">
            <w:pPr>
              <w:numPr>
                <w:ilvl w:val="0"/>
                <w:numId w:val="56"/>
              </w:numPr>
              <w:pBdr>
                <w:top w:val="nil"/>
                <w:left w:val="nil"/>
                <w:bottom w:val="nil"/>
                <w:right w:val="nil"/>
                <w:between w:val="nil"/>
              </w:pBdr>
              <w:spacing w:after="0" w:line="240" w:lineRule="auto"/>
              <w:ind w:left="260" w:hanging="260"/>
              <w:jc w:val="both"/>
              <w:rPr>
                <w:rFonts w:ascii="Times New Roman" w:eastAsia="Calibri" w:hAnsi="Times New Roman" w:cs="Times New Roman"/>
                <w:noProof/>
                <w:sz w:val="20"/>
                <w:szCs w:val="20"/>
                <w:lang w:val="en-GB"/>
              </w:rPr>
            </w:pPr>
            <w:r w:rsidRPr="00C92F3A">
              <w:rPr>
                <w:rFonts w:ascii="Times New Roman" w:eastAsia="Calibri" w:hAnsi="Times New Roman" w:cs="Times New Roman"/>
                <w:noProof/>
                <w:sz w:val="20"/>
                <w:szCs w:val="20"/>
                <w:lang w:val="en-GB"/>
              </w:rPr>
              <w:t>Expand the defined scope of covered services across primary, specialized, and community care.</w:t>
            </w:r>
          </w:p>
        </w:tc>
      </w:tr>
      <w:tr w:rsidR="00823693" w:rsidRPr="00C92F3A" w14:paraId="6FE4DF43" w14:textId="77777777">
        <w:trPr>
          <w:trHeight w:val="309"/>
          <w:jc w:val="center"/>
        </w:trPr>
        <w:tc>
          <w:tcPr>
            <w:tcW w:w="729" w:type="dxa"/>
            <w:tcBorders>
              <w:top w:val="nil"/>
              <w:left w:val="single" w:sz="4" w:space="0" w:color="000000" w:themeColor="text1"/>
              <w:bottom w:val="single" w:sz="4" w:space="0" w:color="000000" w:themeColor="text1"/>
              <w:right w:val="single" w:sz="4" w:space="0" w:color="000000" w:themeColor="text1"/>
            </w:tcBorders>
            <w:shd w:val="clear" w:color="auto" w:fill="C6EFCE"/>
            <w:noWrap/>
          </w:tcPr>
          <w:p w14:paraId="60C00F51" w14:textId="77777777" w:rsidR="00823693" w:rsidRPr="00C92F3A" w:rsidRDefault="00823693">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355</w:t>
            </w:r>
          </w:p>
        </w:tc>
        <w:tc>
          <w:tcPr>
            <w:tcW w:w="1656" w:type="dxa"/>
            <w:tcBorders>
              <w:top w:val="nil"/>
              <w:left w:val="nil"/>
              <w:bottom w:val="single" w:sz="4" w:space="0" w:color="000000" w:themeColor="text1"/>
              <w:right w:val="single" w:sz="4" w:space="0" w:color="000000" w:themeColor="text1"/>
            </w:tcBorders>
            <w:shd w:val="clear" w:color="auto" w:fill="C6EFCE"/>
            <w:noWrap/>
          </w:tcPr>
          <w:p w14:paraId="43187523"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Reform 2. Increased capacity to undertake investments in health infrastructure </w:t>
            </w:r>
          </w:p>
        </w:tc>
        <w:tc>
          <w:tcPr>
            <w:tcW w:w="1123" w:type="dxa"/>
            <w:tcBorders>
              <w:top w:val="nil"/>
              <w:left w:val="nil"/>
              <w:bottom w:val="single" w:sz="4" w:space="0" w:color="000000" w:themeColor="text1"/>
              <w:right w:val="single" w:sz="4" w:space="0" w:color="000000" w:themeColor="text1"/>
            </w:tcBorders>
            <w:shd w:val="clear" w:color="auto" w:fill="C6EFCE"/>
            <w:noWrap/>
          </w:tcPr>
          <w:p w14:paraId="1C5289F9"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992" w:type="dxa"/>
            <w:tcBorders>
              <w:top w:val="nil"/>
              <w:left w:val="nil"/>
              <w:bottom w:val="single" w:sz="4" w:space="0" w:color="000000" w:themeColor="text1"/>
              <w:right w:val="single" w:sz="4" w:space="0" w:color="000000" w:themeColor="text1"/>
            </w:tcBorders>
            <w:shd w:val="clear" w:color="auto" w:fill="C6EFCE"/>
            <w:noWrap/>
          </w:tcPr>
          <w:p w14:paraId="2583C929"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Entry into force of the legislative framework establishing the National Agency for Infrastructure Development in Health (ANDIS) </w:t>
            </w:r>
          </w:p>
          <w:p w14:paraId="4BC8EA1C" w14:textId="77777777" w:rsidR="00823693" w:rsidRPr="00C92F3A" w:rsidRDefault="00823693">
            <w:pPr>
              <w:spacing w:after="0" w:line="240" w:lineRule="auto"/>
              <w:jc w:val="both"/>
              <w:rPr>
                <w:rFonts w:ascii="Times New Roman" w:hAnsi="Times New Roman" w:cs="Times New Roman"/>
                <w:noProof/>
                <w:sz w:val="20"/>
                <w:szCs w:val="20"/>
                <w:lang w:val="en-GB"/>
              </w:rPr>
            </w:pPr>
          </w:p>
          <w:p w14:paraId="75CA0132" w14:textId="77777777" w:rsidR="00823693" w:rsidRPr="00C92F3A" w:rsidRDefault="00823693">
            <w:pPr>
              <w:spacing w:before="120" w:after="0" w:line="240" w:lineRule="auto"/>
              <w:jc w:val="both"/>
              <w:rPr>
                <w:rFonts w:ascii="Times New Roman" w:hAnsi="Times New Roman" w:cs="Times New Roman"/>
                <w:noProof/>
                <w:sz w:val="20"/>
                <w:szCs w:val="20"/>
                <w:lang w:val="en-GB"/>
              </w:rPr>
            </w:pPr>
          </w:p>
        </w:tc>
        <w:tc>
          <w:tcPr>
            <w:tcW w:w="2104" w:type="dxa"/>
            <w:tcBorders>
              <w:top w:val="nil"/>
              <w:left w:val="nil"/>
              <w:bottom w:val="single" w:sz="4" w:space="0" w:color="000000" w:themeColor="text1"/>
              <w:right w:val="single" w:sz="4" w:space="0" w:color="000000" w:themeColor="text1"/>
            </w:tcBorders>
            <w:shd w:val="clear" w:color="auto" w:fill="C6EFCE"/>
            <w:noWrap/>
          </w:tcPr>
          <w:p w14:paraId="619CD0E0"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Entry into force of the legislative framework establishing the National Agency for Infrastructure Development in Health (ANDIS)</w:t>
            </w:r>
          </w:p>
        </w:tc>
        <w:tc>
          <w:tcPr>
            <w:tcW w:w="1180" w:type="dxa"/>
            <w:tcBorders>
              <w:top w:val="nil"/>
              <w:left w:val="nil"/>
              <w:bottom w:val="single" w:sz="4" w:space="0" w:color="000000" w:themeColor="text1"/>
              <w:right w:val="single" w:sz="4" w:space="0" w:color="000000" w:themeColor="text1"/>
            </w:tcBorders>
            <w:shd w:val="clear" w:color="auto" w:fill="C6EFCE"/>
            <w:noWrap/>
          </w:tcPr>
          <w:p w14:paraId="58060900"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92" w:type="dxa"/>
            <w:tcBorders>
              <w:top w:val="nil"/>
              <w:left w:val="nil"/>
              <w:bottom w:val="single" w:sz="4" w:space="0" w:color="000000" w:themeColor="text1"/>
              <w:right w:val="single" w:sz="4" w:space="0" w:color="000000" w:themeColor="text1"/>
            </w:tcBorders>
            <w:shd w:val="clear" w:color="auto" w:fill="C6EFCE"/>
            <w:noWrap/>
          </w:tcPr>
          <w:p w14:paraId="7A9426DA"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797" w:type="dxa"/>
            <w:tcBorders>
              <w:top w:val="nil"/>
              <w:left w:val="nil"/>
              <w:bottom w:val="single" w:sz="4" w:space="0" w:color="000000" w:themeColor="text1"/>
              <w:right w:val="single" w:sz="4" w:space="0" w:color="000000" w:themeColor="text1"/>
            </w:tcBorders>
            <w:shd w:val="clear" w:color="auto" w:fill="C6EFCE"/>
            <w:noWrap/>
          </w:tcPr>
          <w:p w14:paraId="20A381F1"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82" w:type="dxa"/>
            <w:tcBorders>
              <w:top w:val="nil"/>
              <w:left w:val="nil"/>
              <w:bottom w:val="single" w:sz="4" w:space="0" w:color="000000" w:themeColor="text1"/>
              <w:right w:val="single" w:sz="4" w:space="0" w:color="000000" w:themeColor="text1"/>
            </w:tcBorders>
            <w:shd w:val="clear" w:color="auto" w:fill="C6EFCE"/>
            <w:noWrap/>
          </w:tcPr>
          <w:p w14:paraId="3BBCC10F"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Q2</w:t>
            </w:r>
          </w:p>
        </w:tc>
        <w:tc>
          <w:tcPr>
            <w:tcW w:w="773" w:type="dxa"/>
            <w:tcBorders>
              <w:top w:val="nil"/>
              <w:left w:val="nil"/>
              <w:bottom w:val="single" w:sz="4" w:space="0" w:color="000000" w:themeColor="text1"/>
              <w:right w:val="single" w:sz="4" w:space="0" w:color="000000" w:themeColor="text1"/>
            </w:tcBorders>
            <w:shd w:val="clear" w:color="auto" w:fill="C6EFCE"/>
            <w:noWrap/>
          </w:tcPr>
          <w:p w14:paraId="5347335D"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2022</w:t>
            </w:r>
          </w:p>
        </w:tc>
        <w:tc>
          <w:tcPr>
            <w:tcW w:w="3548" w:type="dxa"/>
            <w:tcBorders>
              <w:top w:val="nil"/>
              <w:left w:val="nil"/>
              <w:bottom w:val="single" w:sz="4" w:space="0" w:color="000000" w:themeColor="text1"/>
              <w:right w:val="single" w:sz="4" w:space="0" w:color="000000" w:themeColor="text1"/>
            </w:tcBorders>
            <w:shd w:val="clear" w:color="auto" w:fill="C6EFCE"/>
            <w:noWrap/>
          </w:tcPr>
          <w:p w14:paraId="6D8A6B99"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The legislative framework shall set out the following functions for the Agency:</w:t>
            </w:r>
          </w:p>
          <w:p w14:paraId="724EAD3D"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—Preparing and implementing priority public health infrastructure investment projects in a timely manner, in accordance with the specifications and within the framework of the approved budget;</w:t>
            </w:r>
          </w:p>
          <w:p w14:paraId="4F58E349"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—Issuing instructions, recommendations and applicable methodological standards for the preparation, implementation and completion of public health infrastructure investment projects;</w:t>
            </w:r>
          </w:p>
          <w:p w14:paraId="2014578A" w14:textId="77777777" w:rsidR="00823693" w:rsidRPr="00C92F3A" w:rsidRDefault="00823693" w:rsidP="00823693">
            <w:pPr>
              <w:numPr>
                <w:ilvl w:val="0"/>
                <w:numId w:val="57"/>
              </w:numPr>
              <w:spacing w:after="0" w:line="240" w:lineRule="auto"/>
              <w:ind w:left="260" w:hanging="260"/>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Providing specialised assistance in the field of investment projects in public health infrastructure to ministries, public hospitals or to other public authorities;</w:t>
            </w:r>
          </w:p>
          <w:p w14:paraId="476F11D0" w14:textId="77777777" w:rsidR="00823693" w:rsidRPr="00C92F3A" w:rsidRDefault="00823693" w:rsidP="00823693">
            <w:pPr>
              <w:numPr>
                <w:ilvl w:val="0"/>
                <w:numId w:val="57"/>
              </w:numPr>
              <w:spacing w:after="0" w:line="240" w:lineRule="auto"/>
              <w:ind w:left="260" w:hanging="260"/>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Establishing and implementing the multiannual programme of priority investment projects in public health infrastructure;</w:t>
            </w:r>
          </w:p>
          <w:p w14:paraId="0B0B39C0" w14:textId="77777777" w:rsidR="00823693" w:rsidRPr="00C92F3A" w:rsidRDefault="00823693" w:rsidP="00823693">
            <w:pPr>
              <w:numPr>
                <w:ilvl w:val="0"/>
                <w:numId w:val="57"/>
              </w:numPr>
              <w:spacing w:after="0" w:line="240" w:lineRule="auto"/>
              <w:ind w:left="260" w:hanging="260"/>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Monitoring the implementation of public health infrastructure investment projects;</w:t>
            </w:r>
          </w:p>
          <w:p w14:paraId="48B31E6A" w14:textId="77777777" w:rsidR="00823693" w:rsidRPr="00C92F3A" w:rsidRDefault="00823693" w:rsidP="00823693">
            <w:pPr>
              <w:numPr>
                <w:ilvl w:val="0"/>
                <w:numId w:val="57"/>
              </w:numPr>
              <w:spacing w:after="0" w:line="240" w:lineRule="auto"/>
              <w:ind w:left="260" w:hanging="260"/>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Setting-up a centre of excellence in the management of public health infrastructure investment projects;</w:t>
            </w:r>
          </w:p>
          <w:p w14:paraId="1AA2B408" w14:textId="77777777" w:rsidR="00823693" w:rsidRPr="00C92F3A" w:rsidRDefault="00823693" w:rsidP="00823693">
            <w:pPr>
              <w:numPr>
                <w:ilvl w:val="0"/>
                <w:numId w:val="57"/>
              </w:numPr>
              <w:spacing w:after="0" w:line="240" w:lineRule="auto"/>
              <w:ind w:left="260" w:hanging="260"/>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Establishing partnerships and concluding financing agreements for investment projects in public health infrastructure.</w:t>
            </w:r>
          </w:p>
          <w:p w14:paraId="6EE1637B"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The president of ANDIS shall be appointed and the recruitment of staff for the 15 key roles in the finalised ANDIS organisation chart shall be completed by the time the agency becomes operational. </w:t>
            </w:r>
          </w:p>
          <w:p w14:paraId="57B257F3" w14:textId="77777777" w:rsidR="00823693" w:rsidRPr="00C92F3A" w:rsidRDefault="00823693">
            <w:pPr>
              <w:spacing w:after="0" w:line="240" w:lineRule="auto"/>
              <w:jc w:val="both"/>
              <w:rPr>
                <w:rFonts w:ascii="Times New Roman" w:hAnsi="Times New Roman" w:cs="Times New Roman"/>
                <w:noProof/>
                <w:sz w:val="20"/>
                <w:szCs w:val="20"/>
                <w:lang w:val="en-GB"/>
              </w:rPr>
            </w:pPr>
          </w:p>
        </w:tc>
      </w:tr>
      <w:tr w:rsidR="00823693" w:rsidRPr="00C92F3A" w14:paraId="4AF59EF5"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3A561350" w14:textId="77777777" w:rsidR="00823693" w:rsidRPr="00C92F3A" w:rsidRDefault="00823693">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356</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32FB537"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Reform 3. Increased capacity for health management and human resources in health </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847A798"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FF536ED"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Entry into force of the legislative framework for the increased capacity for health management and human resources in health</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D491197"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Entry into force of the legislative framework for the reform of the management of health service and of human resources</w:t>
            </w: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734B27C"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BB016B7" w14:textId="77777777" w:rsidR="00823693" w:rsidRPr="00C92F3A" w:rsidRDefault="00823693">
            <w:pPr>
              <w:spacing w:after="0" w:line="240" w:lineRule="auto"/>
              <w:ind w:left="-69" w:firstLine="69"/>
              <w:jc w:val="both"/>
              <w:rPr>
                <w:rFonts w:ascii="Times New Roman" w:hAnsi="Times New Roman" w:cs="Times New Roman"/>
                <w:noProof/>
                <w:sz w:val="20"/>
                <w:szCs w:val="20"/>
                <w:lang w:val="en-GB"/>
              </w:rPr>
            </w:pP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D6431E3"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7DAAF47"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B82FA27"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2022</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AC38F53" w14:textId="4BCAB489"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The amendments target the main law governing the health sector (Law No. 95 of 2006, as amended). Additionally, a number of Government Decisions shall enter into force in order to operationalize the changes in this law. The main provisions of the newly introduced pieces of legislation shall:</w:t>
            </w:r>
          </w:p>
          <w:p w14:paraId="2B5E1EDF"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adjust the competence criteria for enrolment in competitions for health management positions; </w:t>
            </w:r>
          </w:p>
          <w:p w14:paraId="54D321EF"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adjust the quality criteria for health service management training programmes;</w:t>
            </w:r>
          </w:p>
          <w:p w14:paraId="42C9AE42"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update the requirements for the continuous professional development of health professionals;</w:t>
            </w:r>
          </w:p>
          <w:p w14:paraId="4E2EEB0C"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develop and reinforce the body of health service management experts;</w:t>
            </w:r>
          </w:p>
          <w:p w14:paraId="78FC19BA"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develop the auditing and evaluation of health service management training programmes.</w:t>
            </w:r>
          </w:p>
          <w:p w14:paraId="7A73E3C3"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The newly adopted legislation shall help professionalise the management of health services by developing competence criteria for specialist staff. </w:t>
            </w:r>
          </w:p>
        </w:tc>
      </w:tr>
      <w:tr w:rsidR="00823693" w:rsidRPr="00C92F3A" w14:paraId="59960C00"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4BE0053B" w14:textId="77777777" w:rsidR="00823693" w:rsidRPr="00C92F3A" w:rsidRDefault="00823693">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357</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C35754F"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Reform 3. Increased capacity for health management and human resources in health</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9E23F79"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7A9F4D3"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Entry into force of legislation for the strategic framework for the development of human resources in health </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E2223C3"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Entry into force of the legislation for the strategic framework for the development of human resources in health by Government Decision</w:t>
            </w: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EC2B2E6"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E561133"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6DE9DE2"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55B9E1A"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6CD0B5C"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2022</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3399FF0"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The law shall set out a new strategic framework for the development of human resources in health, in line with the overall objectives of the health system. </w:t>
            </w:r>
          </w:p>
          <w:p w14:paraId="14B99A06"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The key elements on the strategic framework shall be:</w:t>
            </w:r>
          </w:p>
          <w:p w14:paraId="2F5697DF"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(i) human resources in health - sourcing </w:t>
            </w:r>
          </w:p>
          <w:p w14:paraId="280D08A0"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(ii) management of human resources in health, </w:t>
            </w:r>
          </w:p>
          <w:p w14:paraId="1710A7F6"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(iii) motivation management for human resources </w:t>
            </w:r>
          </w:p>
          <w:p w14:paraId="750846EE"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(iv) health workforce governance </w:t>
            </w:r>
          </w:p>
        </w:tc>
      </w:tr>
      <w:tr w:rsidR="00823693" w:rsidRPr="00C92F3A" w14:paraId="40D28156"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6C57396F" w14:textId="77777777" w:rsidR="00823693" w:rsidRPr="00C92F3A" w:rsidRDefault="00823693">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358</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9434491"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Reform 3. Increased capacity for health management and human resources in health </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4AA6895"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87B0A46"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Development of human resources in health</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345F9B9"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Adoption of the sectorial action plans for the development of human resources in health by order of the Minister of Health</w:t>
            </w: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E89DCF5"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9EEB066"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4F1E33E"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EA77F1D"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Q4</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AC46137"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2022</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AD24130"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The sectorial action plans for the development of human resources in primary and community healthcare, ambulatory and hospital care and public health shall operationalise the strategic framework to transform the level of knowledge, skills and competences of the human resource in health. </w:t>
            </w:r>
          </w:p>
          <w:p w14:paraId="7F1BAFD7"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A number of 5 individualised action plans shall be developed, and the areas covered include initial training, continuous professional development, skill mix, task sharing, task shifting.</w:t>
            </w:r>
          </w:p>
          <w:p w14:paraId="6435D067"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The action plans are expected to be in line with the performance indicators established for the management of public health funds set out in Reform 1. </w:t>
            </w:r>
          </w:p>
          <w:p w14:paraId="7F88DEA6"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The medical staff covered includes doctors, nurses, pharmacists, dentists, midwives, and community nurses, and other categories of health professionals.</w:t>
            </w:r>
          </w:p>
        </w:tc>
      </w:tr>
      <w:tr w:rsidR="00823693" w:rsidRPr="00C92F3A" w14:paraId="468A8760"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66B8A3F8" w14:textId="77777777" w:rsidR="00823693" w:rsidRPr="00C92F3A" w:rsidRDefault="00823693">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360</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477583B"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Reform 3. Increased capacity for health management and human resources in health</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180A1EF"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Target</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ED100C7"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Construction and equipment of two skill development centres for training public healthcare staff </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317998C"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B6A918F"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25F04F8"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24E9F32"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D3E19CE"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270C91B"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2026</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BDFDF69"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Two skill development centres for training public-sector staff working in healthcare shall be constructed and equipped.</w:t>
            </w:r>
          </w:p>
        </w:tc>
      </w:tr>
      <w:tr w:rsidR="00823693" w:rsidRPr="00C92F3A" w14:paraId="0C61377C"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4B784B9C" w14:textId="77777777" w:rsidR="00823693" w:rsidRPr="00C92F3A" w:rsidRDefault="00823693">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361</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0F9826D"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Reform 3. Increased capacity for health management and human resources in health</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F0D78DF"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2E2E4B8"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Training for healthcare staff</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56D3B49"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Payments made for training of healthcare staff</w:t>
            </w: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A88548E"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B20C14C"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2A4683D"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83FA7A7"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Q4</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D0F940C"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2025</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9AF7D27"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Payments made for training of 4000 healthcare staff either related to human resource management in public health institutions or related to integrity and prevention of corruption in health-related areas.</w:t>
            </w:r>
          </w:p>
        </w:tc>
      </w:tr>
      <w:tr w:rsidR="00823693" w:rsidRPr="00C92F3A" w14:paraId="430970C2"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089A3C42" w14:textId="77777777" w:rsidR="00823693" w:rsidRPr="00C92F3A" w:rsidRDefault="00823693">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365</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00669E6"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Reform 3. Increased capacity for health management and human resources in health</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1195FB1"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578D98D"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Operationalisation of the transparenta.ms.ro portal on the use of public resources</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83EBE4D"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Publication of data on transparenta.ms.ro portal regarding the use of public resources in health</w:t>
            </w: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A178623"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381B16D"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1806BBA"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6B1A332"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Q4</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7CEB345"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2024</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FC02C71"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The use of public resources shall be made more transparent through the centralized aggregation of data on the portal transparenta.ms.ro.</w:t>
            </w:r>
          </w:p>
          <w:p w14:paraId="6A75C4BD"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The data included shall cover resources used by central and local institutions, including hospitals, and list of firms having been awarded public contracts and the contracting authorities.</w:t>
            </w:r>
          </w:p>
        </w:tc>
      </w:tr>
      <w:tr w:rsidR="00823693" w:rsidRPr="00C92F3A" w14:paraId="16CD3D61"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5C37A41B" w14:textId="77777777" w:rsidR="00823693" w:rsidRPr="00C92F3A" w:rsidRDefault="00823693">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366</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D9F93A5"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Investment 1. Pre-hospital medical infrastructure</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DF01A1A"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F262646"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Adoption of criteria for prioritising investments in integrated community centres</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5970234"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Adoption of the Manual of Integrated Community Centres, including guidelines for the prioritization of investments in integrated community centres through an order of the Minister of Health.</w:t>
            </w: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D3C5643"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EC62C39"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39B3F0E"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5CEC657"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Q4</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89BD1AB"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2021</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CC773B3"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The Integrated Community Centres shall benefit from investments based on methodological priority guidelines to be developed by the Ministry of Health in consultation with representatives of the local public authorities. These priority guidelines shall be an integral part of the Manual of Integrated Community Centres.</w:t>
            </w:r>
          </w:p>
          <w:p w14:paraId="2AAE670E"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The prioritisation of administrative territorial units shall consider: </w:t>
            </w:r>
          </w:p>
          <w:p w14:paraId="7FB4536E"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the number of vulnerable people per community (minimum 500 medically, socially or economically vulnerable people)</w:t>
            </w:r>
          </w:p>
          <w:p w14:paraId="43F1B0E0"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the availability of association with other vulnerable localities</w:t>
            </w:r>
          </w:p>
          <w:p w14:paraId="2A1B5C6A"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the existence of a community nurse and a social worker/ social assistance technician</w:t>
            </w:r>
          </w:p>
          <w:p w14:paraId="76B51C95"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administrative territorial units without a family doctor or with insufficient number of family doctors relative to the population</w:t>
            </w:r>
          </w:p>
          <w:p w14:paraId="1D16644F"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the existence of a local council decision to set up the integrated community centres</w:t>
            </w:r>
          </w:p>
          <w:p w14:paraId="7F12FEFD"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the identification of the locality as a marginal rural area </w:t>
            </w:r>
          </w:p>
        </w:tc>
      </w:tr>
      <w:tr w:rsidR="00823693" w:rsidRPr="00C92F3A" w14:paraId="66F333A8"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5AB86351" w14:textId="77777777" w:rsidR="00823693" w:rsidRPr="00C92F3A" w:rsidRDefault="00823693">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367</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EC6F34A"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Investment 1. Pre-hospital medical infrastructure</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170480E"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Target </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B8929C3"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Practices of family doctors or associations of primary care practices equipped or renovated, prioritising practices located in marginalised regions and municipalities</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813EE2A"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FA4904F"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Number</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740F261"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19F3840" w14:textId="30CD6D6C"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w:t>
            </w:r>
            <w:r w:rsidR="00BD01A2">
              <w:rPr>
                <w:rFonts w:ascii="Times New Roman" w:hAnsi="Times New Roman" w:cs="Times New Roman"/>
                <w:noProof/>
                <w:sz w:val="20"/>
                <w:szCs w:val="20"/>
                <w:lang w:val="en-GB"/>
              </w:rPr>
              <w:t> </w:t>
            </w:r>
            <w:r w:rsidRPr="00C92F3A">
              <w:rPr>
                <w:rFonts w:ascii="Times New Roman" w:hAnsi="Times New Roman" w:cs="Times New Roman"/>
                <w:noProof/>
                <w:sz w:val="20"/>
                <w:szCs w:val="20"/>
                <w:lang w:val="en-GB"/>
              </w:rPr>
              <w:t>000</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43DADE4"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D44D7F9"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2025</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51E5016" w14:textId="759AB52E"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At least 2 000 associations of practices or practices of family doctors shall be equipped or renovated. At least 75% of all associations of practices or family doctors shall be located in marginalized regions or municipalities. </w:t>
            </w:r>
            <w:r w:rsidRPr="00C92F3A">
              <w:rPr>
                <w:rFonts w:ascii="Times New Roman" w:eastAsia="Times New Roman" w:hAnsi="Times New Roman" w:cs="Times New Roman"/>
                <w:noProof/>
                <w:sz w:val="20"/>
                <w:szCs w:val="20"/>
                <w:lang w:val="en-GB"/>
              </w:rPr>
              <w:t>The marginalized regions/municipalities are those without or with a limited access to primary health care.</w:t>
            </w:r>
            <w:r w:rsidRPr="00C92F3A">
              <w:rPr>
                <w:rFonts w:ascii="Times New Roman" w:hAnsi="Times New Roman" w:cs="Times New Roman"/>
                <w:noProof/>
                <w:sz w:val="20"/>
                <w:szCs w:val="20"/>
                <w:lang w:val="en-GB"/>
              </w:rPr>
              <w:t xml:space="preserve"> </w:t>
            </w:r>
            <w:r w:rsidRPr="00C92F3A">
              <w:rPr>
                <w:rFonts w:ascii="Times New Roman" w:eastAsia="Times New Roman" w:hAnsi="Times New Roman" w:cs="Times New Roman"/>
                <w:noProof/>
                <w:sz w:val="20"/>
                <w:szCs w:val="20"/>
                <w:lang w:val="en-GB"/>
              </w:rPr>
              <w:t>The criteria of marginalization and the degree of marginalization are established at regional level according to the methodologies for calculating the local human development index and the development index presented in the Atlas of marginalized rural areas and local human development in Romania, in the Atlas of marginalized urban areas in Romania and in the Substantiation Study for the National Strategy on Social Inclusion and Poverty Reduction.</w:t>
            </w:r>
            <w:r w:rsidR="00D23D91" w:rsidRPr="00C92F3A">
              <w:rPr>
                <w:rFonts w:ascii="Times New Roman" w:hAnsi="Times New Roman" w:cs="Times New Roman"/>
                <w:noProof/>
                <w:sz w:val="20"/>
                <w:szCs w:val="20"/>
                <w:lang w:val="en-GB"/>
              </w:rPr>
              <w:t xml:space="preserve"> </w:t>
            </w:r>
          </w:p>
        </w:tc>
      </w:tr>
      <w:tr w:rsidR="00823693" w:rsidRPr="00C92F3A" w14:paraId="41A70FBB"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1B11A1CE" w14:textId="77777777" w:rsidR="00823693" w:rsidRPr="00C92F3A" w:rsidRDefault="00823693">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369</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E791349"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Investment 1. Pre-hospital medical infrastructure </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5E59AE1"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Target</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4738EE4"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Outpatient care units that are newly built or renovated, and equipped </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03DA2E9"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79F9592"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Number</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039BC1B"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1F24F3F"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30</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7D6EBE4"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Q4</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B247906"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2024</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143A3F0"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At least 30 outpatient care units shall be newly built or renovated and equipped.</w:t>
            </w:r>
          </w:p>
          <w:p w14:paraId="1AF4EFFA"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Out of the 30 outpatient care units, at least 20 outpatient care units shall be located in less developed regions or municipalities, considering the Atlas of marginalized urban areas, part of milestone 367. </w:t>
            </w:r>
          </w:p>
        </w:tc>
      </w:tr>
      <w:tr w:rsidR="00823693" w:rsidRPr="00C92F3A" w14:paraId="148AF4B2"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411349F8" w14:textId="77777777" w:rsidR="00823693" w:rsidRPr="00C92F3A" w:rsidRDefault="00823693">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370</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C0986C3"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Investment 1. Pre-hospital medical infrastructure </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483AE3F"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Target</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AC084B3"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Integrated community centres constructed or renovated</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6AF8A64"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75CDD1F"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Number</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09BA9FA"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ED4D31B"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78</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5B3933E"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5248298"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2026</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4B2EF97"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78 integrated community centres shall be constructed or renovated. </w:t>
            </w:r>
          </w:p>
          <w:p w14:paraId="1F9E3CB0"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The constructed community centres shall comply with the objective of achieving a primary energy demand (PED) at least 20% lower than the nearly zero-energy building (NZEB) requirement according to national guidelines, which shall be confirmed through energy performance certificates. </w:t>
            </w:r>
          </w:p>
        </w:tc>
      </w:tr>
      <w:tr w:rsidR="00823693" w:rsidRPr="00C92F3A" w14:paraId="7DEBE038"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31DA1274" w14:textId="77777777" w:rsidR="00823693" w:rsidRPr="00C92F3A" w:rsidRDefault="00823693">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375</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602B20D"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Investment 2. Public hospital infrastructure </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0756243"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Target</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2474708"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Public hospitals receive equipment and materials to reduce the risk of infections</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37CDB91"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80030F8"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Number</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A634986"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E0872B2"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25</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524E86A"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3F4E481"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2024</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4EEF2F8"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At least 25 public hospitals shall receive equipment and materials helping to reduce the risk of hospital-acquired infections, which may include, but is not limited to, equipment for the microbiological air control in the operating blocks and Intensive Care Units through specific air-conditioning facilities as well as facilities for the disinfection of medical personnel (for example, environmental decontamination equipment, sterilization, waste receptacles). </w:t>
            </w:r>
          </w:p>
        </w:tc>
      </w:tr>
      <w:tr w:rsidR="00823693" w:rsidRPr="00C92F3A" w14:paraId="75BFEB55"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5D05B329" w14:textId="77777777" w:rsidR="00823693" w:rsidRPr="00C92F3A" w:rsidRDefault="00823693">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376</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EB71E9C"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Investment 2. Public hospital infrastructure </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21E2409"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Target</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9592D2F"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Investments in new-born intensive care units </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D273B97"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525EFB0"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Number</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B6918FD"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9F08AE2"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25</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C0CEC4C"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6D2048A"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2026</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204EF4F"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25 intensive care units shall receive investments in neonatal critical patient infrastructure for early diagnosis, antenatal/neonatal and postnatal treatment. </w:t>
            </w:r>
          </w:p>
          <w:p w14:paraId="725D86FB"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The investment shall consist of:</w:t>
            </w:r>
          </w:p>
          <w:p w14:paraId="091050DC"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the capacity extension of hospital infrastructure dedicated to neonatal critical patients through installing and equipping 65 additional beds</w:t>
            </w:r>
            <w:r w:rsidRPr="00C92F3A">
              <w:rPr>
                <w:rFonts w:ascii="Times New Roman" w:hAnsi="Times New Roman" w:cs="Times New Roman"/>
                <w:noProof/>
                <w:sz w:val="20"/>
                <w:szCs w:val="20"/>
              </w:rPr>
              <w:t xml:space="preserve"> </w:t>
            </w:r>
            <w:r w:rsidRPr="00C92F3A">
              <w:rPr>
                <w:rFonts w:ascii="Times New Roman" w:hAnsi="Times New Roman" w:cs="Times New Roman"/>
                <w:noProof/>
                <w:sz w:val="20"/>
                <w:szCs w:val="20"/>
                <w:lang w:val="en-GB"/>
              </w:rPr>
              <w:t>with medical equipment, and through equipping 200 existing beds with medical equipment.</w:t>
            </w:r>
          </w:p>
          <w:p w14:paraId="51FABD32"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equipping the existing infrastructure for screening with medical equipment;</w:t>
            </w:r>
          </w:p>
          <w:p w14:paraId="1B3906A0"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equipping of eight regional training centres for medical staff foreseen to treat critically ill neonatal patients. </w:t>
            </w:r>
          </w:p>
        </w:tc>
      </w:tr>
      <w:tr w:rsidR="00823693" w:rsidRPr="00C92F3A" w14:paraId="5EE95C9C"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5EB41975" w14:textId="77777777" w:rsidR="00823693" w:rsidRPr="00C92F3A" w:rsidRDefault="00823693">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377</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E4187D4"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Investment 2. Public hospital infrastructure </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304A030"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Target</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38238EB"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Construction of and/or equipping new public health units/hospitals </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5CE3D02"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4071A97"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Number</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F93FAC8"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B08A205"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5</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53C9213"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FBCD133"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2026</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9B25363"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The following public health units/hospitals shall be constructed and equipped:</w:t>
            </w:r>
          </w:p>
          <w:p w14:paraId="4935F034" w14:textId="77777777" w:rsidR="00823693" w:rsidRPr="00C92F3A" w:rsidRDefault="00823693" w:rsidP="00823693">
            <w:pPr>
              <w:numPr>
                <w:ilvl w:val="0"/>
                <w:numId w:val="57"/>
              </w:numPr>
              <w:spacing w:line="259" w:lineRule="auto"/>
              <w:ind w:left="395" w:hanging="284"/>
              <w:contextualSpacing/>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“Prof. Dr. Agrippa lonescu” Hospital, Balotești;</w:t>
            </w:r>
          </w:p>
          <w:p w14:paraId="354CE2D1" w14:textId="77777777" w:rsidR="00823693" w:rsidRPr="00C92F3A" w:rsidRDefault="00823693" w:rsidP="00823693">
            <w:pPr>
              <w:numPr>
                <w:ilvl w:val="0"/>
                <w:numId w:val="57"/>
              </w:numPr>
              <w:spacing w:after="0" w:line="240" w:lineRule="auto"/>
              <w:ind w:left="395" w:hanging="284"/>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Emergency County Hospital Bistrița;</w:t>
            </w:r>
          </w:p>
          <w:p w14:paraId="61A6434A" w14:textId="77777777" w:rsidR="00823693" w:rsidRPr="00C92F3A" w:rsidRDefault="00823693" w:rsidP="00823693">
            <w:pPr>
              <w:numPr>
                <w:ilvl w:val="0"/>
                <w:numId w:val="57"/>
              </w:numPr>
              <w:spacing w:line="259" w:lineRule="auto"/>
              <w:ind w:left="395" w:hanging="284"/>
              <w:contextualSpacing/>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County Clinic Hospital, Cluj;</w:t>
            </w:r>
          </w:p>
          <w:p w14:paraId="42706625" w14:textId="77777777" w:rsidR="00823693" w:rsidRPr="00C92F3A" w:rsidRDefault="00823693" w:rsidP="00823693">
            <w:pPr>
              <w:numPr>
                <w:ilvl w:val="0"/>
                <w:numId w:val="57"/>
              </w:numPr>
              <w:spacing w:after="0" w:line="240" w:lineRule="auto"/>
              <w:ind w:left="395" w:hanging="284"/>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New multitrauma pavilion, Craiova;</w:t>
            </w:r>
          </w:p>
          <w:p w14:paraId="6D0B615F" w14:textId="77777777" w:rsidR="00823693" w:rsidRPr="00C92F3A" w:rsidRDefault="00823693" w:rsidP="00823693">
            <w:pPr>
              <w:numPr>
                <w:ilvl w:val="0"/>
                <w:numId w:val="57"/>
              </w:numPr>
              <w:spacing w:after="0" w:line="240" w:lineRule="auto"/>
              <w:ind w:left="395" w:hanging="284"/>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New multitrauma pavilion, Sibiu.</w:t>
            </w:r>
          </w:p>
          <w:p w14:paraId="68A361BC"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At least EUR 91 million shall be paid for the construction of construction of buildings with a primary energy demand (PED) at least 20% lower than the nearly zero-energy building (NZEB) according to national guidelines which shall be confirmed through energy performance certificates. </w:t>
            </w:r>
          </w:p>
        </w:tc>
      </w:tr>
      <w:tr w:rsidR="00823693" w:rsidRPr="00C92F3A" w14:paraId="2081ADAA"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3992BB6B" w14:textId="77777777" w:rsidR="00823693" w:rsidRPr="00C92F3A" w:rsidRDefault="00823693">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534</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D2CBD2E"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Investment 4. Modernisation of emergency health care</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8626839"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Target</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2453CBC"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Purchasing of new ambulances</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537AC99"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3E53B2F"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Number</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C1C3D22"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26230FE" w14:textId="4129543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1</w:t>
            </w:r>
            <w:r w:rsidR="007E3CE5" w:rsidRPr="00C92F3A">
              <w:rPr>
                <w:rFonts w:ascii="Times New Roman" w:hAnsi="Times New Roman" w:cs="Times New Roman"/>
                <w:noProof/>
                <w:sz w:val="20"/>
                <w:szCs w:val="20"/>
                <w:lang w:val="en-GB"/>
              </w:rPr>
              <w:t> </w:t>
            </w:r>
            <w:r w:rsidRPr="00C92F3A">
              <w:rPr>
                <w:rFonts w:ascii="Times New Roman" w:hAnsi="Times New Roman" w:cs="Times New Roman"/>
                <w:noProof/>
                <w:sz w:val="20"/>
                <w:szCs w:val="20"/>
                <w:lang w:val="en-GB"/>
              </w:rPr>
              <w:t>200</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BFE72FC"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B8E3146"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2026</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9050A7E" w14:textId="6D40673E"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1</w:t>
            </w:r>
            <w:r w:rsidR="007E3CE5" w:rsidRPr="00C92F3A">
              <w:rPr>
                <w:rFonts w:ascii="Times New Roman" w:hAnsi="Times New Roman" w:cs="Times New Roman"/>
                <w:noProof/>
                <w:sz w:val="20"/>
                <w:szCs w:val="20"/>
                <w:lang w:val="en-GB"/>
              </w:rPr>
              <w:t> </w:t>
            </w:r>
            <w:r w:rsidRPr="00C92F3A">
              <w:rPr>
                <w:rFonts w:ascii="Times New Roman" w:hAnsi="Times New Roman" w:cs="Times New Roman"/>
                <w:noProof/>
                <w:sz w:val="20"/>
                <w:szCs w:val="20"/>
                <w:lang w:val="en-GB"/>
              </w:rPr>
              <w:t>200 new ambulances shall be purchased. Of those, 1 000 shall be Type B 4x4 ambulances, and 200 shall be Type C ambulances. Reception certificates shall be issued to demonstrate that the ambulances have been purchased.</w:t>
            </w:r>
          </w:p>
          <w:p w14:paraId="1170693B" w14:textId="77777777" w:rsidR="00823693" w:rsidRPr="00C92F3A" w:rsidRDefault="00823693">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The ambulances purchased shall be the best-available-technology from an environmental point of view, in order to ensure compliance with the DNSH Technical Guidance (2021/C58/01).</w:t>
            </w:r>
          </w:p>
        </w:tc>
      </w:tr>
    </w:tbl>
    <w:p w14:paraId="29F01333" w14:textId="77777777" w:rsidR="00823693" w:rsidRPr="00291374" w:rsidRDefault="00823693" w:rsidP="00823693">
      <w:pPr>
        <w:spacing w:before="120" w:after="120" w:line="240" w:lineRule="auto"/>
        <w:jc w:val="both"/>
        <w:rPr>
          <w:rFonts w:ascii="Times New Roman" w:eastAsia="Arial" w:hAnsi="Times New Roman" w:cs="Times New Roman"/>
          <w:noProof/>
          <w:sz w:val="20"/>
          <w:szCs w:val="20"/>
          <w:lang w:val="en-GB"/>
        </w:rPr>
      </w:pPr>
    </w:p>
    <w:p w14:paraId="7A1D4718" w14:textId="77777777" w:rsidR="00823693" w:rsidRPr="00291374" w:rsidRDefault="00823693" w:rsidP="00823693">
      <w:pPr>
        <w:spacing w:before="120" w:after="120" w:line="240" w:lineRule="auto"/>
        <w:jc w:val="both"/>
        <w:rPr>
          <w:rFonts w:ascii="Times New Roman" w:eastAsia="Arial" w:hAnsi="Times New Roman" w:cs="Times New Roman"/>
          <w:noProof/>
          <w:sz w:val="20"/>
          <w:szCs w:val="20"/>
          <w:lang w:val="en-GB"/>
        </w:rPr>
        <w:sectPr w:rsidR="00823693" w:rsidRPr="00291374" w:rsidSect="00823693">
          <w:headerReference w:type="even" r:id="rId288"/>
          <w:headerReference w:type="default" r:id="rId289"/>
          <w:footerReference w:type="even" r:id="rId290"/>
          <w:footerReference w:type="default" r:id="rId291"/>
          <w:headerReference w:type="first" r:id="rId292"/>
          <w:footerReference w:type="first" r:id="rId293"/>
          <w:pgSz w:w="16839" w:h="11907" w:orient="landscape"/>
          <w:pgMar w:top="1134" w:right="1134" w:bottom="1134" w:left="1134" w:header="567" w:footer="567" w:gutter="0"/>
          <w:cols w:space="720"/>
          <w:docGrid w:linePitch="360"/>
        </w:sectPr>
      </w:pPr>
    </w:p>
    <w:p w14:paraId="503D4D11" w14:textId="77777777" w:rsidR="00823693" w:rsidRPr="00291374" w:rsidRDefault="00823693" w:rsidP="00823693">
      <w:pPr>
        <w:keepNext/>
        <w:spacing w:before="120" w:after="120" w:line="240" w:lineRule="auto"/>
        <w:ind w:left="851"/>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L.3. </w:t>
      </w:r>
      <w:r w:rsidRPr="00291374">
        <w:rPr>
          <w:rFonts w:ascii="Times New Roman" w:hAnsi="Times New Roman" w:cs="Times New Roman"/>
          <w:noProof/>
          <w:lang w:val="en-GB"/>
        </w:rPr>
        <w:tab/>
      </w:r>
      <w:r w:rsidRPr="00291374">
        <w:rPr>
          <w:rFonts w:ascii="Times New Roman" w:hAnsi="Times New Roman" w:cs="Times New Roman"/>
          <w:b/>
          <w:noProof/>
          <w:lang w:val="en-GB"/>
        </w:rPr>
        <w:t>Description of the reforms and investments for the loan</w:t>
      </w:r>
    </w:p>
    <w:p w14:paraId="5AC26E00" w14:textId="77777777" w:rsidR="00823693" w:rsidRPr="00291374" w:rsidRDefault="00823693" w:rsidP="00823693">
      <w:pPr>
        <w:suppressAutoHyphens/>
        <w:autoSpaceDN w:val="0"/>
        <w:spacing w:after="240" w:line="240" w:lineRule="auto"/>
        <w:textAlignment w:val="baseline"/>
        <w:rPr>
          <w:rFonts w:ascii="Times New Roman" w:eastAsia="NSimSun" w:hAnsi="Times New Roman" w:cs="Times New Roman"/>
          <w:noProof/>
          <w:kern w:val="3"/>
          <w:u w:val="single"/>
          <w:lang w:val="en-GB"/>
        </w:rPr>
      </w:pPr>
    </w:p>
    <w:p w14:paraId="7002D442" w14:textId="77777777" w:rsidR="00823693" w:rsidRPr="00291374" w:rsidRDefault="00823693" w:rsidP="00823693">
      <w:pPr>
        <w:suppressAutoHyphens/>
        <w:autoSpaceDN w:val="0"/>
        <w:spacing w:after="240" w:line="240" w:lineRule="auto"/>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 xml:space="preserve">Investment 3. Public hospitals </w:t>
      </w:r>
    </w:p>
    <w:p w14:paraId="3795D526" w14:textId="77777777" w:rsidR="00823693" w:rsidRDefault="00823693" w:rsidP="00823693">
      <w:pPr>
        <w:suppressAutoHyphens/>
        <w:autoSpaceDN w:val="0"/>
        <w:spacing w:after="0" w:line="240" w:lineRule="auto"/>
        <w:jc w:val="both"/>
        <w:textAlignment w:val="baseline"/>
        <w:rPr>
          <w:rFonts w:ascii="Times New Roman" w:eastAsia="NSimSun" w:hAnsi="Times New Roman" w:cs="Times New Roman"/>
          <w:noProof/>
          <w:lang w:val="en-GB"/>
        </w:rPr>
      </w:pPr>
      <w:r w:rsidRPr="00291374">
        <w:rPr>
          <w:rFonts w:ascii="Times New Roman" w:eastAsia="NSimSun" w:hAnsi="Times New Roman" w:cs="Times New Roman"/>
          <w:noProof/>
          <w:lang w:val="en-GB"/>
        </w:rPr>
        <w:t xml:space="preserve">The objective of this investment is to construct and equip public hospital units. </w:t>
      </w:r>
    </w:p>
    <w:p w14:paraId="7F493D0F" w14:textId="77777777" w:rsidR="00BD1573" w:rsidRPr="00291374" w:rsidRDefault="00BD1573" w:rsidP="00823693">
      <w:pPr>
        <w:suppressAutoHyphens/>
        <w:autoSpaceDN w:val="0"/>
        <w:spacing w:after="0" w:line="240" w:lineRule="auto"/>
        <w:jc w:val="both"/>
        <w:textAlignment w:val="baseline"/>
        <w:rPr>
          <w:rFonts w:ascii="Times New Roman" w:eastAsia="NSimSun" w:hAnsi="Times New Roman" w:cs="Times New Roman"/>
          <w:noProof/>
          <w:kern w:val="3"/>
          <w:lang w:val="en-GB"/>
        </w:rPr>
      </w:pPr>
    </w:p>
    <w:p w14:paraId="0A1EDF4F" w14:textId="77777777" w:rsidR="00823693" w:rsidRPr="00291374" w:rsidRDefault="00823693" w:rsidP="00823693">
      <w:pPr>
        <w:suppressAutoHyphens/>
        <w:autoSpaceDN w:val="0"/>
        <w:spacing w:after="0" w:line="240" w:lineRule="auto"/>
        <w:jc w:val="both"/>
        <w:textAlignment w:val="baseline"/>
        <w:rPr>
          <w:rFonts w:ascii="Times New Roman" w:eastAsia="NSimSun" w:hAnsi="Times New Roman" w:cs="Times New Roman"/>
          <w:noProof/>
          <w:kern w:val="3"/>
          <w:lang w:val="en-GB"/>
        </w:rPr>
      </w:pPr>
      <w:r w:rsidRPr="00291374">
        <w:rPr>
          <w:rFonts w:ascii="Times New Roman" w:eastAsia="NSimSun" w:hAnsi="Times New Roman" w:cs="Times New Roman"/>
          <w:noProof/>
          <w:kern w:val="3"/>
          <w:lang w:val="en-GB"/>
        </w:rPr>
        <w:t xml:space="preserve">The investment consists in the construction and equipment of </w:t>
      </w:r>
      <w:r w:rsidRPr="00291374">
        <w:rPr>
          <w:rFonts w:ascii="Times New Roman" w:eastAsia="NSimSun" w:hAnsi="Times New Roman" w:cs="Times New Roman"/>
          <w:noProof/>
          <w:lang w:val="en-GB"/>
        </w:rPr>
        <w:t xml:space="preserve">two </w:t>
      </w:r>
      <w:r w:rsidRPr="00291374">
        <w:rPr>
          <w:rFonts w:ascii="Times New Roman" w:eastAsia="NSimSun" w:hAnsi="Times New Roman" w:cs="Times New Roman"/>
          <w:noProof/>
          <w:kern w:val="3"/>
          <w:lang w:val="en-GB"/>
        </w:rPr>
        <w:t>new public hospital</w:t>
      </w:r>
      <w:r w:rsidRPr="00291374">
        <w:rPr>
          <w:rFonts w:ascii="Times New Roman" w:eastAsia="NSimSun" w:hAnsi="Times New Roman" w:cs="Times New Roman"/>
          <w:noProof/>
          <w:lang w:val="en-GB"/>
        </w:rPr>
        <w:t xml:space="preserve"> units.</w:t>
      </w:r>
    </w:p>
    <w:p w14:paraId="5D699EA2" w14:textId="77777777" w:rsidR="00823693" w:rsidRPr="00291374" w:rsidRDefault="00823693" w:rsidP="00823693">
      <w:pPr>
        <w:suppressAutoHyphens/>
        <w:autoSpaceDN w:val="0"/>
        <w:spacing w:after="0" w:line="240" w:lineRule="auto"/>
        <w:jc w:val="both"/>
        <w:textAlignment w:val="baseline"/>
        <w:rPr>
          <w:rFonts w:ascii="Times New Roman" w:eastAsia="NSimSun" w:hAnsi="Times New Roman" w:cs="Times New Roman"/>
          <w:noProof/>
          <w:kern w:val="3"/>
          <w:lang w:val="en-GB"/>
        </w:rPr>
      </w:pPr>
    </w:p>
    <w:p w14:paraId="37F78AE3" w14:textId="47CE5D88" w:rsidR="00823693" w:rsidRPr="00291374" w:rsidRDefault="00E2787E" w:rsidP="00823693">
      <w:pPr>
        <w:suppressAutoHyphens/>
        <w:autoSpaceDN w:val="0"/>
        <w:spacing w:after="0" w:line="240" w:lineRule="auto"/>
        <w:jc w:val="both"/>
        <w:textAlignment w:val="baseline"/>
        <w:rPr>
          <w:rFonts w:ascii="Times New Roman" w:eastAsia="NSimSun" w:hAnsi="Times New Roman" w:cs="Times New Roman"/>
          <w:noProof/>
          <w:kern w:val="3"/>
          <w:lang w:val="en-GB"/>
        </w:rPr>
        <w:sectPr w:rsidR="00823693" w:rsidRPr="00291374" w:rsidSect="00823693">
          <w:headerReference w:type="default" r:id="rId294"/>
          <w:footerReference w:type="default" r:id="rId295"/>
          <w:pgSz w:w="11906" w:h="16838"/>
          <w:pgMar w:top="1440" w:right="1440" w:bottom="1440" w:left="1440" w:header="708" w:footer="708" w:gutter="0"/>
          <w:cols w:space="708"/>
          <w:docGrid w:linePitch="360"/>
        </w:sectPr>
      </w:pPr>
      <w:r w:rsidRPr="00291374">
        <w:rPr>
          <w:rFonts w:ascii="Times New Roman" w:eastAsia="NSimSun" w:hAnsi="Times New Roman" w:cs="Times New Roman"/>
          <w:noProof/>
          <w:kern w:val="3"/>
          <w:lang w:val="en-GB"/>
        </w:rPr>
        <w:br w:type="page"/>
      </w:r>
    </w:p>
    <w:p w14:paraId="2E97FEBB" w14:textId="77777777" w:rsidR="00823693" w:rsidRPr="00291374" w:rsidRDefault="00823693" w:rsidP="00823693">
      <w:pPr>
        <w:keepNext/>
        <w:spacing w:before="120" w:after="120" w:line="240" w:lineRule="auto"/>
        <w:ind w:left="851"/>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L.4. </w:t>
      </w:r>
      <w:r w:rsidRPr="00291374">
        <w:rPr>
          <w:rFonts w:ascii="Times New Roman" w:hAnsi="Times New Roman" w:cs="Times New Roman"/>
          <w:b/>
          <w:noProof/>
          <w:lang w:val="en-GB"/>
        </w:rPr>
        <w:tab/>
        <w:t>Milestones, targets, indicators, and timetable for monitoring and implementation for the loan</w:t>
      </w:r>
    </w:p>
    <w:tbl>
      <w:tblPr>
        <w:tblW w:w="15876" w:type="dxa"/>
        <w:jc w:val="center"/>
        <w:tblLayout w:type="fixed"/>
        <w:tblCellMar>
          <w:left w:w="28" w:type="dxa"/>
          <w:right w:w="28" w:type="dxa"/>
        </w:tblCellMar>
        <w:tblLook w:val="04A0" w:firstRow="1" w:lastRow="0" w:firstColumn="1" w:lastColumn="0" w:noHBand="0" w:noVBand="1"/>
      </w:tblPr>
      <w:tblGrid>
        <w:gridCol w:w="729"/>
        <w:gridCol w:w="1656"/>
        <w:gridCol w:w="1123"/>
        <w:gridCol w:w="1992"/>
        <w:gridCol w:w="2104"/>
        <w:gridCol w:w="1180"/>
        <w:gridCol w:w="992"/>
        <w:gridCol w:w="797"/>
        <w:gridCol w:w="982"/>
        <w:gridCol w:w="773"/>
        <w:gridCol w:w="3548"/>
      </w:tblGrid>
      <w:tr w:rsidR="00823693" w:rsidRPr="00BD01A2" w14:paraId="51047FE5" w14:textId="77777777">
        <w:trPr>
          <w:trHeight w:val="927"/>
          <w:tblHeader/>
          <w:jc w:val="center"/>
        </w:trPr>
        <w:tc>
          <w:tcPr>
            <w:tcW w:w="7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1424BA" w14:textId="77777777" w:rsidR="00823693" w:rsidRPr="00BD01A2" w:rsidRDefault="00823693">
            <w:pPr>
              <w:spacing w:after="0" w:line="240" w:lineRule="auto"/>
              <w:jc w:val="center"/>
              <w:rPr>
                <w:rFonts w:ascii="Times New Roman" w:hAnsi="Times New Roman" w:cs="Times New Roman"/>
                <w:b/>
                <w:bCs/>
                <w:noProof/>
                <w:sz w:val="20"/>
                <w:szCs w:val="20"/>
                <w:lang w:val="en-GB"/>
              </w:rPr>
            </w:pPr>
            <w:r w:rsidRPr="00BD01A2">
              <w:rPr>
                <w:rFonts w:ascii="Times New Roman" w:hAnsi="Times New Roman" w:cs="Times New Roman"/>
                <w:b/>
                <w:noProof/>
                <w:sz w:val="20"/>
                <w:szCs w:val="20"/>
                <w:lang w:val="en-GB"/>
              </w:rPr>
              <w:t>Seq. Num.</w:t>
            </w:r>
          </w:p>
        </w:tc>
        <w:tc>
          <w:tcPr>
            <w:tcW w:w="16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7D1B069" w14:textId="77777777" w:rsidR="00823693" w:rsidRPr="00BD01A2" w:rsidRDefault="00823693">
            <w:pPr>
              <w:spacing w:after="0" w:line="240" w:lineRule="auto"/>
              <w:jc w:val="center"/>
              <w:rPr>
                <w:rFonts w:ascii="Times New Roman" w:hAnsi="Times New Roman" w:cs="Times New Roman"/>
                <w:b/>
                <w:bCs/>
                <w:noProof/>
                <w:sz w:val="20"/>
                <w:szCs w:val="20"/>
                <w:lang w:val="en-GB"/>
              </w:rPr>
            </w:pPr>
            <w:r w:rsidRPr="00BD01A2">
              <w:rPr>
                <w:rFonts w:ascii="Times New Roman" w:hAnsi="Times New Roman" w:cs="Times New Roman"/>
                <w:b/>
                <w:noProof/>
                <w:sz w:val="20"/>
                <w:szCs w:val="20"/>
                <w:lang w:val="en-GB"/>
              </w:rPr>
              <w:t>Related Measure (Reform or Investment)</w:t>
            </w:r>
          </w:p>
        </w:tc>
        <w:tc>
          <w:tcPr>
            <w:tcW w:w="112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26998DE" w14:textId="77777777" w:rsidR="00823693" w:rsidRPr="00BD01A2" w:rsidRDefault="00823693">
            <w:pPr>
              <w:spacing w:after="0" w:line="240" w:lineRule="auto"/>
              <w:jc w:val="center"/>
              <w:rPr>
                <w:rFonts w:ascii="Times New Roman" w:hAnsi="Times New Roman" w:cs="Times New Roman"/>
                <w:b/>
                <w:bCs/>
                <w:noProof/>
                <w:sz w:val="20"/>
                <w:szCs w:val="20"/>
                <w:lang w:val="en-GB"/>
              </w:rPr>
            </w:pPr>
            <w:r w:rsidRPr="00BD01A2">
              <w:rPr>
                <w:rFonts w:ascii="Times New Roman" w:hAnsi="Times New Roman" w:cs="Times New Roman"/>
                <w:b/>
                <w:noProof/>
                <w:sz w:val="20"/>
                <w:szCs w:val="20"/>
                <w:lang w:val="en-GB"/>
              </w:rPr>
              <w:t>Milestone/Target</w:t>
            </w:r>
          </w:p>
        </w:tc>
        <w:tc>
          <w:tcPr>
            <w:tcW w:w="1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1A45A1" w14:textId="77777777" w:rsidR="00823693" w:rsidRPr="00BD01A2" w:rsidRDefault="00823693">
            <w:pPr>
              <w:spacing w:after="0" w:line="240" w:lineRule="auto"/>
              <w:jc w:val="center"/>
              <w:rPr>
                <w:rFonts w:ascii="Times New Roman" w:hAnsi="Times New Roman" w:cs="Times New Roman"/>
                <w:b/>
                <w:bCs/>
                <w:noProof/>
                <w:sz w:val="20"/>
                <w:szCs w:val="20"/>
                <w:lang w:val="en-GB"/>
              </w:rPr>
            </w:pPr>
            <w:r w:rsidRPr="00BD01A2">
              <w:rPr>
                <w:rFonts w:ascii="Times New Roman" w:hAnsi="Times New Roman" w:cs="Times New Roman"/>
                <w:b/>
                <w:noProof/>
                <w:sz w:val="20"/>
                <w:szCs w:val="20"/>
                <w:lang w:val="en-GB"/>
              </w:rPr>
              <w:t>Name</w:t>
            </w:r>
          </w:p>
        </w:tc>
        <w:tc>
          <w:tcPr>
            <w:tcW w:w="21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BCAC9E" w14:textId="79B08E1C" w:rsidR="00823693" w:rsidRPr="00BD01A2" w:rsidRDefault="00823693" w:rsidP="00C92F3A">
            <w:pPr>
              <w:spacing w:after="0" w:line="240" w:lineRule="auto"/>
              <w:jc w:val="center"/>
              <w:rPr>
                <w:rFonts w:ascii="Times New Roman" w:hAnsi="Times New Roman" w:cs="Times New Roman"/>
                <w:b/>
                <w:bCs/>
                <w:noProof/>
                <w:sz w:val="20"/>
                <w:szCs w:val="20"/>
                <w:lang w:val="en-GB"/>
              </w:rPr>
            </w:pPr>
            <w:r w:rsidRPr="00BD01A2">
              <w:rPr>
                <w:rFonts w:ascii="Times New Roman" w:hAnsi="Times New Roman" w:cs="Times New Roman"/>
                <w:b/>
                <w:noProof/>
                <w:sz w:val="20"/>
                <w:szCs w:val="20"/>
                <w:lang w:val="en-GB"/>
              </w:rPr>
              <w:t>Qualitative</w:t>
            </w:r>
            <w:r w:rsidR="00C92F3A" w:rsidRPr="00BD01A2">
              <w:rPr>
                <w:rFonts w:ascii="Times New Roman" w:hAnsi="Times New Roman" w:cs="Times New Roman"/>
                <w:b/>
                <w:noProof/>
                <w:sz w:val="20"/>
                <w:szCs w:val="20"/>
                <w:lang w:val="en-GB"/>
              </w:rPr>
              <w:t xml:space="preserve"> </w:t>
            </w:r>
            <w:r w:rsidRPr="00BD01A2">
              <w:rPr>
                <w:rFonts w:ascii="Times New Roman" w:hAnsi="Times New Roman" w:cs="Times New Roman"/>
                <w:b/>
                <w:noProof/>
                <w:sz w:val="20"/>
                <w:szCs w:val="20"/>
                <w:lang w:val="en-GB"/>
              </w:rPr>
              <w:t>indicators</w:t>
            </w:r>
            <w:r w:rsidRPr="00BD01A2">
              <w:rPr>
                <w:rFonts w:ascii="Times New Roman" w:hAnsi="Times New Roman" w:cs="Times New Roman"/>
                <w:noProof/>
                <w:sz w:val="20"/>
                <w:szCs w:val="20"/>
                <w:lang w:val="en-GB"/>
              </w:rPr>
              <w:t xml:space="preserve"> </w:t>
            </w:r>
            <w:r w:rsidRPr="00BD01A2">
              <w:rPr>
                <w:rFonts w:ascii="Times New Roman" w:hAnsi="Times New Roman" w:cs="Times New Roman"/>
                <w:noProof/>
                <w:sz w:val="20"/>
                <w:szCs w:val="20"/>
                <w:lang w:val="en-GB"/>
              </w:rPr>
              <w:br/>
            </w:r>
            <w:r w:rsidRPr="00BD01A2">
              <w:rPr>
                <w:rFonts w:ascii="Times New Roman" w:hAnsi="Times New Roman" w:cs="Times New Roman"/>
                <w:b/>
                <w:noProof/>
                <w:sz w:val="20"/>
                <w:szCs w:val="20"/>
                <w:lang w:val="en-GB"/>
              </w:rPr>
              <w:t>(for milestones)</w:t>
            </w:r>
          </w:p>
        </w:tc>
        <w:tc>
          <w:tcPr>
            <w:tcW w:w="296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963EBCE" w14:textId="3B76BC1E" w:rsidR="00823693" w:rsidRPr="00BD01A2" w:rsidRDefault="00823693" w:rsidP="00C92F3A">
            <w:pPr>
              <w:spacing w:after="0" w:line="240" w:lineRule="auto"/>
              <w:jc w:val="center"/>
              <w:rPr>
                <w:rFonts w:ascii="Times New Roman" w:hAnsi="Times New Roman" w:cs="Times New Roman"/>
                <w:b/>
                <w:bCs/>
                <w:noProof/>
                <w:sz w:val="20"/>
                <w:szCs w:val="20"/>
                <w:lang w:val="en-GB"/>
              </w:rPr>
            </w:pPr>
            <w:r w:rsidRPr="00BD01A2">
              <w:rPr>
                <w:rFonts w:ascii="Times New Roman" w:hAnsi="Times New Roman" w:cs="Times New Roman"/>
                <w:b/>
                <w:noProof/>
                <w:sz w:val="20"/>
                <w:szCs w:val="20"/>
                <w:lang w:val="en-GB"/>
              </w:rPr>
              <w:t>Quantitative</w:t>
            </w:r>
            <w:r w:rsidR="00C92F3A" w:rsidRPr="00BD01A2">
              <w:rPr>
                <w:rFonts w:ascii="Times New Roman" w:hAnsi="Times New Roman" w:cs="Times New Roman"/>
                <w:b/>
                <w:noProof/>
                <w:sz w:val="20"/>
                <w:szCs w:val="20"/>
                <w:lang w:val="en-GB"/>
              </w:rPr>
              <w:t xml:space="preserve"> </w:t>
            </w:r>
            <w:r w:rsidRPr="00BD01A2">
              <w:rPr>
                <w:rFonts w:ascii="Times New Roman" w:hAnsi="Times New Roman" w:cs="Times New Roman"/>
                <w:b/>
                <w:noProof/>
                <w:sz w:val="20"/>
                <w:szCs w:val="20"/>
                <w:lang w:val="en-GB"/>
              </w:rPr>
              <w:t xml:space="preserve">indicators </w:t>
            </w:r>
            <w:r w:rsidRPr="00BD01A2">
              <w:rPr>
                <w:rFonts w:ascii="Times New Roman" w:hAnsi="Times New Roman" w:cs="Times New Roman"/>
                <w:noProof/>
                <w:sz w:val="20"/>
                <w:szCs w:val="20"/>
                <w:lang w:val="en-GB"/>
              </w:rPr>
              <w:br/>
            </w:r>
            <w:r w:rsidRPr="00BD01A2">
              <w:rPr>
                <w:rFonts w:ascii="Times New Roman" w:hAnsi="Times New Roman" w:cs="Times New Roman"/>
                <w:b/>
                <w:noProof/>
                <w:sz w:val="20"/>
                <w:szCs w:val="20"/>
                <w:lang w:val="en-GB"/>
              </w:rPr>
              <w:t>(for targets)</w:t>
            </w:r>
          </w:p>
        </w:tc>
        <w:tc>
          <w:tcPr>
            <w:tcW w:w="1755" w:type="dxa"/>
            <w:gridSpan w:val="2"/>
            <w:tcBorders>
              <w:top w:val="single" w:sz="4" w:space="0" w:color="auto"/>
              <w:left w:val="nil"/>
              <w:bottom w:val="single" w:sz="4" w:space="0" w:color="auto"/>
              <w:right w:val="single" w:sz="4" w:space="0" w:color="auto"/>
            </w:tcBorders>
            <w:shd w:val="clear" w:color="auto" w:fill="BDD7EE"/>
            <w:vAlign w:val="center"/>
            <w:hideMark/>
          </w:tcPr>
          <w:p w14:paraId="5959E4A6" w14:textId="77777777" w:rsidR="00823693" w:rsidRPr="00BD01A2" w:rsidRDefault="00823693">
            <w:pPr>
              <w:spacing w:after="0" w:line="240" w:lineRule="auto"/>
              <w:jc w:val="center"/>
              <w:rPr>
                <w:rFonts w:ascii="Times New Roman" w:hAnsi="Times New Roman" w:cs="Times New Roman"/>
                <w:b/>
                <w:bCs/>
                <w:noProof/>
                <w:sz w:val="20"/>
                <w:szCs w:val="20"/>
                <w:lang w:val="en-GB"/>
              </w:rPr>
            </w:pPr>
            <w:r w:rsidRPr="00BD01A2">
              <w:rPr>
                <w:rFonts w:ascii="Times New Roman" w:hAnsi="Times New Roman" w:cs="Times New Roman"/>
                <w:b/>
                <w:noProof/>
                <w:sz w:val="20"/>
                <w:szCs w:val="20"/>
                <w:lang w:val="en-GB"/>
              </w:rPr>
              <w:t>Indicative timeline</w:t>
            </w:r>
          </w:p>
          <w:p w14:paraId="68A59197" w14:textId="77777777" w:rsidR="00823693" w:rsidRPr="00BD01A2" w:rsidRDefault="00823693">
            <w:pPr>
              <w:spacing w:after="0" w:line="240" w:lineRule="auto"/>
              <w:jc w:val="center"/>
              <w:rPr>
                <w:rFonts w:ascii="Times New Roman" w:hAnsi="Times New Roman" w:cs="Times New Roman"/>
                <w:b/>
                <w:bCs/>
                <w:noProof/>
                <w:sz w:val="20"/>
                <w:szCs w:val="20"/>
                <w:lang w:val="en-GB"/>
              </w:rPr>
            </w:pPr>
            <w:r w:rsidRPr="00BD01A2">
              <w:rPr>
                <w:rFonts w:ascii="Times New Roman" w:hAnsi="Times New Roman" w:cs="Times New Roman"/>
                <w:b/>
                <w:noProof/>
                <w:sz w:val="20"/>
                <w:szCs w:val="20"/>
                <w:lang w:val="en-GB"/>
              </w:rPr>
              <w:t>for completion</w:t>
            </w:r>
          </w:p>
        </w:tc>
        <w:tc>
          <w:tcPr>
            <w:tcW w:w="354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CF2D2A" w14:textId="77777777" w:rsidR="00823693" w:rsidRPr="00BD01A2" w:rsidRDefault="00823693">
            <w:pPr>
              <w:spacing w:after="0" w:line="240" w:lineRule="auto"/>
              <w:jc w:val="center"/>
              <w:rPr>
                <w:rFonts w:ascii="Times New Roman" w:hAnsi="Times New Roman" w:cs="Times New Roman"/>
                <w:b/>
                <w:bCs/>
                <w:noProof/>
                <w:sz w:val="20"/>
                <w:szCs w:val="20"/>
                <w:lang w:val="en-GB"/>
              </w:rPr>
            </w:pPr>
            <w:r w:rsidRPr="00BD01A2">
              <w:rPr>
                <w:rFonts w:ascii="Times New Roman" w:hAnsi="Times New Roman" w:cs="Times New Roman"/>
                <w:b/>
                <w:noProof/>
                <w:sz w:val="20"/>
                <w:szCs w:val="20"/>
                <w:lang w:val="en-GB"/>
              </w:rPr>
              <w:t>Description of each milestone and target</w:t>
            </w:r>
          </w:p>
        </w:tc>
      </w:tr>
      <w:tr w:rsidR="00823693" w:rsidRPr="00BD01A2" w14:paraId="4CF4A0DE" w14:textId="77777777">
        <w:trPr>
          <w:trHeight w:val="624"/>
          <w:tblHeader/>
          <w:jc w:val="center"/>
        </w:trPr>
        <w:tc>
          <w:tcPr>
            <w:tcW w:w="729" w:type="dxa"/>
            <w:vMerge/>
            <w:tcBorders>
              <w:top w:val="single" w:sz="4" w:space="0" w:color="auto"/>
              <w:left w:val="single" w:sz="4" w:space="0" w:color="auto"/>
              <w:bottom w:val="single" w:sz="4" w:space="0" w:color="auto"/>
              <w:right w:val="single" w:sz="4" w:space="0" w:color="auto"/>
            </w:tcBorders>
            <w:vAlign w:val="center"/>
            <w:hideMark/>
          </w:tcPr>
          <w:p w14:paraId="34AB53A7" w14:textId="77777777" w:rsidR="00823693" w:rsidRPr="00BD01A2" w:rsidRDefault="00823693">
            <w:pPr>
              <w:spacing w:after="0" w:line="240" w:lineRule="auto"/>
              <w:jc w:val="both"/>
              <w:rPr>
                <w:rFonts w:ascii="Times New Roman" w:hAnsi="Times New Roman" w:cs="Times New Roman"/>
                <w:b/>
                <w:noProof/>
                <w:sz w:val="20"/>
                <w:szCs w:val="20"/>
                <w:lang w:val="en-GB"/>
              </w:rPr>
            </w:pPr>
          </w:p>
        </w:tc>
        <w:tc>
          <w:tcPr>
            <w:tcW w:w="1656" w:type="dxa"/>
            <w:vMerge/>
            <w:tcBorders>
              <w:top w:val="single" w:sz="4" w:space="0" w:color="auto"/>
              <w:left w:val="single" w:sz="4" w:space="0" w:color="auto"/>
              <w:bottom w:val="single" w:sz="4" w:space="0" w:color="auto"/>
              <w:right w:val="single" w:sz="4" w:space="0" w:color="auto"/>
            </w:tcBorders>
            <w:vAlign w:val="center"/>
            <w:hideMark/>
          </w:tcPr>
          <w:p w14:paraId="2BB4F0E1" w14:textId="77777777" w:rsidR="00823693" w:rsidRPr="00BD01A2" w:rsidRDefault="00823693">
            <w:pPr>
              <w:spacing w:after="0" w:line="240" w:lineRule="auto"/>
              <w:jc w:val="both"/>
              <w:rPr>
                <w:rFonts w:ascii="Times New Roman" w:hAnsi="Times New Roman" w:cs="Times New Roman"/>
                <w:b/>
                <w:noProof/>
                <w:sz w:val="20"/>
                <w:szCs w:val="20"/>
                <w:lang w:val="en-GB"/>
              </w:rPr>
            </w:pPr>
          </w:p>
        </w:tc>
        <w:tc>
          <w:tcPr>
            <w:tcW w:w="1123" w:type="dxa"/>
            <w:vMerge/>
            <w:tcBorders>
              <w:top w:val="single" w:sz="4" w:space="0" w:color="auto"/>
              <w:left w:val="single" w:sz="4" w:space="0" w:color="auto"/>
              <w:bottom w:val="single" w:sz="4" w:space="0" w:color="auto"/>
              <w:right w:val="single" w:sz="4" w:space="0" w:color="auto"/>
            </w:tcBorders>
            <w:vAlign w:val="center"/>
            <w:hideMark/>
          </w:tcPr>
          <w:p w14:paraId="5789BEF4" w14:textId="77777777" w:rsidR="00823693" w:rsidRPr="00BD01A2" w:rsidRDefault="00823693">
            <w:pPr>
              <w:spacing w:after="0" w:line="240" w:lineRule="auto"/>
              <w:jc w:val="both"/>
              <w:rPr>
                <w:rFonts w:ascii="Times New Roman" w:hAnsi="Times New Roman" w:cs="Times New Roman"/>
                <w:b/>
                <w:noProof/>
                <w:sz w:val="20"/>
                <w:szCs w:val="20"/>
                <w:lang w:val="en-GB"/>
              </w:rPr>
            </w:pPr>
          </w:p>
        </w:tc>
        <w:tc>
          <w:tcPr>
            <w:tcW w:w="1992" w:type="dxa"/>
            <w:vMerge/>
            <w:tcBorders>
              <w:top w:val="single" w:sz="4" w:space="0" w:color="auto"/>
              <w:left w:val="single" w:sz="4" w:space="0" w:color="auto"/>
              <w:bottom w:val="single" w:sz="4" w:space="0" w:color="auto"/>
              <w:right w:val="single" w:sz="4" w:space="0" w:color="auto"/>
            </w:tcBorders>
            <w:vAlign w:val="center"/>
            <w:hideMark/>
          </w:tcPr>
          <w:p w14:paraId="5A6F80F6" w14:textId="77777777" w:rsidR="00823693" w:rsidRPr="00BD01A2" w:rsidRDefault="00823693">
            <w:pPr>
              <w:spacing w:after="0" w:line="240" w:lineRule="auto"/>
              <w:jc w:val="both"/>
              <w:rPr>
                <w:rFonts w:ascii="Times New Roman" w:hAnsi="Times New Roman" w:cs="Times New Roman"/>
                <w:b/>
                <w:noProof/>
                <w:sz w:val="20"/>
                <w:szCs w:val="20"/>
                <w:lang w:val="en-GB"/>
              </w:rPr>
            </w:pPr>
          </w:p>
        </w:tc>
        <w:tc>
          <w:tcPr>
            <w:tcW w:w="2104" w:type="dxa"/>
            <w:vMerge/>
            <w:tcBorders>
              <w:top w:val="single" w:sz="4" w:space="0" w:color="auto"/>
              <w:left w:val="single" w:sz="4" w:space="0" w:color="auto"/>
              <w:bottom w:val="single" w:sz="4" w:space="0" w:color="auto"/>
              <w:right w:val="single" w:sz="4" w:space="0" w:color="auto"/>
            </w:tcBorders>
            <w:vAlign w:val="center"/>
            <w:hideMark/>
          </w:tcPr>
          <w:p w14:paraId="02B353E8" w14:textId="77777777" w:rsidR="00823693" w:rsidRPr="00BD01A2" w:rsidRDefault="00823693">
            <w:pPr>
              <w:spacing w:after="0" w:line="240" w:lineRule="auto"/>
              <w:jc w:val="both"/>
              <w:rPr>
                <w:rFonts w:ascii="Times New Roman" w:hAnsi="Times New Roman" w:cs="Times New Roman"/>
                <w:b/>
                <w:noProof/>
                <w:sz w:val="20"/>
                <w:szCs w:val="20"/>
                <w:lang w:val="en-GB"/>
              </w:rPr>
            </w:pPr>
          </w:p>
        </w:tc>
        <w:tc>
          <w:tcPr>
            <w:tcW w:w="1180" w:type="dxa"/>
            <w:tcBorders>
              <w:top w:val="nil"/>
              <w:left w:val="single" w:sz="4" w:space="0" w:color="auto"/>
              <w:bottom w:val="single" w:sz="4" w:space="0" w:color="auto"/>
              <w:right w:val="single" w:sz="4" w:space="0" w:color="auto"/>
            </w:tcBorders>
            <w:shd w:val="clear" w:color="auto" w:fill="BDD7EE"/>
            <w:vAlign w:val="center"/>
            <w:hideMark/>
          </w:tcPr>
          <w:p w14:paraId="52A9CC4C" w14:textId="498F4B81" w:rsidR="00823693" w:rsidRPr="00BD01A2" w:rsidRDefault="00823693" w:rsidP="00C92F3A">
            <w:pPr>
              <w:spacing w:after="0" w:line="240" w:lineRule="auto"/>
              <w:jc w:val="center"/>
              <w:rPr>
                <w:rFonts w:ascii="Times New Roman" w:hAnsi="Times New Roman" w:cs="Times New Roman"/>
                <w:b/>
                <w:bCs/>
                <w:noProof/>
                <w:sz w:val="20"/>
                <w:szCs w:val="20"/>
                <w:lang w:val="en-GB"/>
              </w:rPr>
            </w:pPr>
            <w:r w:rsidRPr="00BD01A2">
              <w:rPr>
                <w:rFonts w:ascii="Times New Roman" w:hAnsi="Times New Roman" w:cs="Times New Roman"/>
                <w:b/>
                <w:noProof/>
                <w:sz w:val="20"/>
                <w:szCs w:val="20"/>
                <w:lang w:val="en-GB"/>
              </w:rPr>
              <w:t>Unit</w:t>
            </w:r>
            <w:r w:rsidR="00C92F3A" w:rsidRPr="00BD01A2">
              <w:rPr>
                <w:rFonts w:ascii="Times New Roman" w:hAnsi="Times New Roman" w:cs="Times New Roman"/>
                <w:b/>
                <w:noProof/>
                <w:sz w:val="20"/>
                <w:szCs w:val="20"/>
                <w:lang w:val="en-GB"/>
              </w:rPr>
              <w:t xml:space="preserve"> </w:t>
            </w:r>
            <w:r w:rsidRPr="00BD01A2">
              <w:rPr>
                <w:rFonts w:ascii="Times New Roman" w:hAnsi="Times New Roman" w:cs="Times New Roman"/>
                <w:b/>
                <w:noProof/>
                <w:sz w:val="20"/>
                <w:szCs w:val="20"/>
                <w:lang w:val="en-GB"/>
              </w:rPr>
              <w:t>of</w:t>
            </w:r>
            <w:r w:rsidR="00C92F3A" w:rsidRPr="00BD01A2">
              <w:rPr>
                <w:rFonts w:ascii="Times New Roman" w:hAnsi="Times New Roman" w:cs="Times New Roman"/>
                <w:b/>
                <w:noProof/>
                <w:sz w:val="20"/>
                <w:szCs w:val="20"/>
                <w:lang w:val="en-GB"/>
              </w:rPr>
              <w:t xml:space="preserve"> </w:t>
            </w:r>
            <w:r w:rsidRPr="00BD01A2">
              <w:rPr>
                <w:rFonts w:ascii="Times New Roman" w:hAnsi="Times New Roman" w:cs="Times New Roman"/>
                <w:b/>
                <w:noProof/>
                <w:sz w:val="20"/>
                <w:szCs w:val="20"/>
                <w:lang w:val="en-GB"/>
              </w:rPr>
              <w:t>measure</w:t>
            </w:r>
          </w:p>
        </w:tc>
        <w:tc>
          <w:tcPr>
            <w:tcW w:w="992" w:type="dxa"/>
            <w:tcBorders>
              <w:top w:val="nil"/>
              <w:left w:val="nil"/>
              <w:bottom w:val="single" w:sz="4" w:space="0" w:color="auto"/>
              <w:right w:val="single" w:sz="4" w:space="0" w:color="auto"/>
            </w:tcBorders>
            <w:shd w:val="clear" w:color="auto" w:fill="BDD7EE"/>
            <w:vAlign w:val="center"/>
            <w:hideMark/>
          </w:tcPr>
          <w:p w14:paraId="570F62BD" w14:textId="77777777" w:rsidR="00823693" w:rsidRPr="00BD01A2" w:rsidRDefault="00823693">
            <w:pPr>
              <w:spacing w:after="0" w:line="240" w:lineRule="auto"/>
              <w:jc w:val="center"/>
              <w:rPr>
                <w:rFonts w:ascii="Times New Roman" w:hAnsi="Times New Roman" w:cs="Times New Roman"/>
                <w:b/>
                <w:bCs/>
                <w:noProof/>
                <w:sz w:val="20"/>
                <w:szCs w:val="20"/>
                <w:lang w:val="en-GB"/>
              </w:rPr>
            </w:pPr>
            <w:r w:rsidRPr="00BD01A2">
              <w:rPr>
                <w:rFonts w:ascii="Times New Roman" w:hAnsi="Times New Roman" w:cs="Times New Roman"/>
                <w:b/>
                <w:noProof/>
                <w:sz w:val="20"/>
                <w:szCs w:val="20"/>
                <w:lang w:val="en-GB"/>
              </w:rPr>
              <w:t>Baseline</w:t>
            </w:r>
          </w:p>
        </w:tc>
        <w:tc>
          <w:tcPr>
            <w:tcW w:w="797" w:type="dxa"/>
            <w:tcBorders>
              <w:top w:val="nil"/>
              <w:left w:val="nil"/>
              <w:bottom w:val="single" w:sz="4" w:space="0" w:color="auto"/>
              <w:right w:val="single" w:sz="4" w:space="0" w:color="auto"/>
            </w:tcBorders>
            <w:shd w:val="clear" w:color="auto" w:fill="BDD7EE"/>
            <w:vAlign w:val="center"/>
            <w:hideMark/>
          </w:tcPr>
          <w:p w14:paraId="044BD26B" w14:textId="77777777" w:rsidR="00823693" w:rsidRPr="00BD01A2" w:rsidRDefault="00823693">
            <w:pPr>
              <w:spacing w:after="0" w:line="240" w:lineRule="auto"/>
              <w:jc w:val="center"/>
              <w:rPr>
                <w:rFonts w:ascii="Times New Roman" w:hAnsi="Times New Roman" w:cs="Times New Roman"/>
                <w:b/>
                <w:bCs/>
                <w:noProof/>
                <w:sz w:val="20"/>
                <w:szCs w:val="20"/>
                <w:lang w:val="en-GB"/>
              </w:rPr>
            </w:pPr>
            <w:r w:rsidRPr="00BD01A2">
              <w:rPr>
                <w:rFonts w:ascii="Times New Roman" w:hAnsi="Times New Roman" w:cs="Times New Roman"/>
                <w:b/>
                <w:noProof/>
                <w:sz w:val="20"/>
                <w:szCs w:val="20"/>
                <w:lang w:val="en-GB"/>
              </w:rPr>
              <w:t>Goal</w:t>
            </w:r>
          </w:p>
        </w:tc>
        <w:tc>
          <w:tcPr>
            <w:tcW w:w="982" w:type="dxa"/>
            <w:tcBorders>
              <w:top w:val="nil"/>
              <w:left w:val="nil"/>
              <w:bottom w:val="single" w:sz="4" w:space="0" w:color="auto"/>
              <w:right w:val="single" w:sz="4" w:space="0" w:color="auto"/>
            </w:tcBorders>
            <w:shd w:val="clear" w:color="auto" w:fill="BDD7EE"/>
            <w:vAlign w:val="center"/>
            <w:hideMark/>
          </w:tcPr>
          <w:p w14:paraId="6BD3F99B" w14:textId="77777777" w:rsidR="00823693" w:rsidRPr="00BD01A2" w:rsidRDefault="00823693">
            <w:pPr>
              <w:spacing w:after="0" w:line="240" w:lineRule="auto"/>
              <w:jc w:val="center"/>
              <w:rPr>
                <w:rFonts w:ascii="Times New Roman" w:hAnsi="Times New Roman" w:cs="Times New Roman"/>
                <w:b/>
                <w:bCs/>
                <w:noProof/>
                <w:sz w:val="20"/>
                <w:szCs w:val="20"/>
                <w:lang w:val="en-GB"/>
              </w:rPr>
            </w:pPr>
            <w:r w:rsidRPr="00BD01A2">
              <w:rPr>
                <w:rFonts w:ascii="Times New Roman" w:hAnsi="Times New Roman" w:cs="Times New Roman"/>
                <w:b/>
                <w:noProof/>
                <w:sz w:val="20"/>
                <w:szCs w:val="20"/>
                <w:lang w:val="en-GB"/>
              </w:rPr>
              <w:t>Quarter</w:t>
            </w:r>
          </w:p>
        </w:tc>
        <w:tc>
          <w:tcPr>
            <w:tcW w:w="773" w:type="dxa"/>
            <w:tcBorders>
              <w:top w:val="nil"/>
              <w:left w:val="nil"/>
              <w:bottom w:val="single" w:sz="4" w:space="0" w:color="auto"/>
              <w:right w:val="single" w:sz="4" w:space="0" w:color="auto"/>
            </w:tcBorders>
            <w:shd w:val="clear" w:color="auto" w:fill="BDD7EE"/>
            <w:vAlign w:val="center"/>
            <w:hideMark/>
          </w:tcPr>
          <w:p w14:paraId="3E1BABFD" w14:textId="77777777" w:rsidR="00823693" w:rsidRPr="00BD01A2" w:rsidRDefault="00823693">
            <w:pPr>
              <w:spacing w:after="0" w:line="240" w:lineRule="auto"/>
              <w:jc w:val="center"/>
              <w:rPr>
                <w:rFonts w:ascii="Times New Roman" w:hAnsi="Times New Roman" w:cs="Times New Roman"/>
                <w:b/>
                <w:bCs/>
                <w:noProof/>
                <w:sz w:val="20"/>
                <w:szCs w:val="20"/>
                <w:lang w:val="en-GB"/>
              </w:rPr>
            </w:pPr>
            <w:r w:rsidRPr="00BD01A2">
              <w:rPr>
                <w:rFonts w:ascii="Times New Roman" w:hAnsi="Times New Roman" w:cs="Times New Roman"/>
                <w:b/>
                <w:noProof/>
                <w:sz w:val="20"/>
                <w:szCs w:val="20"/>
                <w:lang w:val="en-GB"/>
              </w:rPr>
              <w:t>Year</w:t>
            </w:r>
          </w:p>
        </w:tc>
        <w:tc>
          <w:tcPr>
            <w:tcW w:w="3548" w:type="dxa"/>
            <w:vMerge/>
            <w:tcBorders>
              <w:top w:val="single" w:sz="4" w:space="0" w:color="auto"/>
              <w:bottom w:val="single" w:sz="4" w:space="0" w:color="auto"/>
              <w:right w:val="single" w:sz="4" w:space="0" w:color="auto"/>
            </w:tcBorders>
            <w:vAlign w:val="center"/>
            <w:hideMark/>
          </w:tcPr>
          <w:p w14:paraId="46A1EC57" w14:textId="77777777" w:rsidR="00823693" w:rsidRPr="00BD01A2" w:rsidRDefault="00823693">
            <w:pPr>
              <w:spacing w:after="0" w:line="240" w:lineRule="auto"/>
              <w:jc w:val="both"/>
              <w:rPr>
                <w:rFonts w:ascii="Times New Roman" w:hAnsi="Times New Roman" w:cs="Times New Roman"/>
                <w:b/>
                <w:noProof/>
                <w:sz w:val="20"/>
                <w:szCs w:val="20"/>
                <w:lang w:val="en-GB"/>
              </w:rPr>
            </w:pPr>
          </w:p>
        </w:tc>
      </w:tr>
      <w:tr w:rsidR="00823693" w:rsidRPr="00BD01A2" w14:paraId="38C84CD5" w14:textId="77777777">
        <w:trPr>
          <w:trHeight w:val="309"/>
          <w:jc w:val="center"/>
        </w:trPr>
        <w:tc>
          <w:tcPr>
            <w:tcW w:w="729" w:type="dxa"/>
            <w:tcBorders>
              <w:top w:val="single" w:sz="4" w:space="0" w:color="auto"/>
              <w:left w:val="single" w:sz="4" w:space="0" w:color="000000" w:themeColor="text1"/>
              <w:bottom w:val="single" w:sz="4" w:space="0" w:color="auto"/>
              <w:right w:val="single" w:sz="4" w:space="0" w:color="000000" w:themeColor="text1"/>
            </w:tcBorders>
            <w:shd w:val="clear" w:color="auto" w:fill="C6EFCE"/>
            <w:noWrap/>
          </w:tcPr>
          <w:p w14:paraId="5FCC47A1" w14:textId="77777777" w:rsidR="00823693" w:rsidRPr="00BD01A2" w:rsidRDefault="00823693">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531</w:t>
            </w:r>
          </w:p>
        </w:tc>
        <w:tc>
          <w:tcPr>
            <w:tcW w:w="1656" w:type="dxa"/>
            <w:tcBorders>
              <w:top w:val="single" w:sz="4" w:space="0" w:color="auto"/>
              <w:left w:val="nil"/>
              <w:bottom w:val="single" w:sz="4" w:space="0" w:color="auto"/>
              <w:right w:val="single" w:sz="4" w:space="0" w:color="000000" w:themeColor="text1"/>
            </w:tcBorders>
            <w:shd w:val="clear" w:color="auto" w:fill="C6EFCE"/>
            <w:noWrap/>
          </w:tcPr>
          <w:p w14:paraId="3AE4C34E" w14:textId="77777777" w:rsidR="00823693" w:rsidRPr="00BD01A2" w:rsidRDefault="00823693">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Investment 3. Public hospitals</w:t>
            </w:r>
          </w:p>
        </w:tc>
        <w:tc>
          <w:tcPr>
            <w:tcW w:w="1123" w:type="dxa"/>
            <w:tcBorders>
              <w:top w:val="single" w:sz="4" w:space="0" w:color="auto"/>
              <w:left w:val="nil"/>
              <w:bottom w:val="single" w:sz="4" w:space="0" w:color="auto"/>
              <w:right w:val="single" w:sz="4" w:space="0" w:color="000000" w:themeColor="text1"/>
            </w:tcBorders>
            <w:shd w:val="clear" w:color="auto" w:fill="C6EFCE"/>
            <w:noWrap/>
          </w:tcPr>
          <w:p w14:paraId="75255CAD" w14:textId="77777777" w:rsidR="00823693" w:rsidRPr="00BD01A2" w:rsidRDefault="00823693">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992" w:type="dxa"/>
            <w:tcBorders>
              <w:top w:val="single" w:sz="4" w:space="0" w:color="auto"/>
              <w:left w:val="nil"/>
              <w:bottom w:val="single" w:sz="4" w:space="0" w:color="auto"/>
              <w:right w:val="single" w:sz="4" w:space="0" w:color="000000" w:themeColor="text1"/>
            </w:tcBorders>
            <w:shd w:val="clear" w:color="auto" w:fill="C6EFCE"/>
            <w:noWrap/>
          </w:tcPr>
          <w:p w14:paraId="356154C8" w14:textId="77777777" w:rsidR="00823693" w:rsidRPr="00BD01A2" w:rsidRDefault="00823693">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Construction and equipping of the Zerlendi Tuberculosis Diagnostics and Treatment Centre Bucharest</w:t>
            </w:r>
          </w:p>
        </w:tc>
        <w:tc>
          <w:tcPr>
            <w:tcW w:w="2104" w:type="dxa"/>
            <w:tcBorders>
              <w:top w:val="single" w:sz="4" w:space="0" w:color="auto"/>
              <w:left w:val="nil"/>
              <w:bottom w:val="single" w:sz="4" w:space="0" w:color="auto"/>
              <w:right w:val="single" w:sz="4" w:space="0" w:color="auto"/>
            </w:tcBorders>
            <w:shd w:val="clear" w:color="auto" w:fill="C6EFCE"/>
            <w:noWrap/>
          </w:tcPr>
          <w:p w14:paraId="71FE40EA" w14:textId="77777777" w:rsidR="00823693" w:rsidRPr="00BD01A2" w:rsidRDefault="00823693">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Construction and equipping of a new hospital unit</w:t>
            </w:r>
          </w:p>
        </w:tc>
        <w:tc>
          <w:tcPr>
            <w:tcW w:w="1180" w:type="dxa"/>
            <w:tcBorders>
              <w:top w:val="single" w:sz="4" w:space="0" w:color="auto"/>
              <w:left w:val="single" w:sz="4" w:space="0" w:color="auto"/>
              <w:bottom w:val="single" w:sz="4" w:space="0" w:color="auto"/>
              <w:right w:val="single" w:sz="4" w:space="0" w:color="auto"/>
            </w:tcBorders>
            <w:shd w:val="clear" w:color="auto" w:fill="C6EFCE"/>
            <w:noWrap/>
          </w:tcPr>
          <w:p w14:paraId="420D3D0E" w14:textId="77777777" w:rsidR="00823693" w:rsidRPr="00BD01A2" w:rsidRDefault="00823693">
            <w:pPr>
              <w:spacing w:after="0" w:line="240" w:lineRule="auto"/>
              <w:jc w:val="both"/>
              <w:rPr>
                <w:rFonts w:ascii="Times New Roman" w:hAnsi="Times New Roman" w:cs="Times New Roman"/>
                <w:noProof/>
                <w:sz w:val="20"/>
                <w:szCs w:val="20"/>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0EC193B" w14:textId="77777777" w:rsidR="00823693" w:rsidRPr="00BD01A2" w:rsidRDefault="00823693">
            <w:pPr>
              <w:spacing w:after="0" w:line="240" w:lineRule="auto"/>
              <w:jc w:val="both"/>
              <w:rPr>
                <w:rFonts w:ascii="Times New Roman" w:hAnsi="Times New Roman" w:cs="Times New Roman"/>
                <w:noProof/>
                <w:sz w:val="20"/>
                <w:szCs w:val="20"/>
                <w:lang w:val="en-GB"/>
              </w:rPr>
            </w:pPr>
          </w:p>
        </w:tc>
        <w:tc>
          <w:tcPr>
            <w:tcW w:w="797" w:type="dxa"/>
            <w:tcBorders>
              <w:top w:val="single" w:sz="4" w:space="0" w:color="auto"/>
              <w:left w:val="single" w:sz="4" w:space="0" w:color="auto"/>
              <w:bottom w:val="single" w:sz="4" w:space="0" w:color="auto"/>
              <w:right w:val="single" w:sz="4" w:space="0" w:color="auto"/>
            </w:tcBorders>
            <w:shd w:val="clear" w:color="auto" w:fill="C6EFCE"/>
            <w:noWrap/>
          </w:tcPr>
          <w:p w14:paraId="4C90A96D" w14:textId="77777777" w:rsidR="00823693" w:rsidRPr="00BD01A2" w:rsidRDefault="00823693">
            <w:pPr>
              <w:spacing w:after="0" w:line="240" w:lineRule="auto"/>
              <w:jc w:val="both"/>
              <w:rPr>
                <w:rFonts w:ascii="Times New Roman" w:hAnsi="Times New Roman" w:cs="Times New Roman"/>
                <w:noProof/>
                <w:sz w:val="20"/>
                <w:szCs w:val="20"/>
                <w:lang w:val="en-GB"/>
              </w:rPr>
            </w:pPr>
          </w:p>
        </w:tc>
        <w:tc>
          <w:tcPr>
            <w:tcW w:w="982" w:type="dxa"/>
            <w:tcBorders>
              <w:top w:val="single" w:sz="4" w:space="0" w:color="auto"/>
              <w:left w:val="single" w:sz="4" w:space="0" w:color="auto"/>
              <w:bottom w:val="single" w:sz="4" w:space="0" w:color="auto"/>
              <w:right w:val="single" w:sz="4" w:space="0" w:color="auto"/>
            </w:tcBorders>
            <w:shd w:val="clear" w:color="auto" w:fill="C6EFCE"/>
            <w:noWrap/>
          </w:tcPr>
          <w:p w14:paraId="64C08EE4" w14:textId="77777777" w:rsidR="00823693" w:rsidRPr="00BD01A2" w:rsidRDefault="00823693">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Q2</w:t>
            </w:r>
          </w:p>
        </w:tc>
        <w:tc>
          <w:tcPr>
            <w:tcW w:w="773" w:type="dxa"/>
            <w:tcBorders>
              <w:top w:val="single" w:sz="4" w:space="0" w:color="auto"/>
              <w:left w:val="single" w:sz="4" w:space="0" w:color="auto"/>
              <w:bottom w:val="single" w:sz="4" w:space="0" w:color="auto"/>
              <w:right w:val="single" w:sz="4" w:space="0" w:color="auto"/>
            </w:tcBorders>
            <w:shd w:val="clear" w:color="auto" w:fill="C6EFCE"/>
            <w:noWrap/>
          </w:tcPr>
          <w:p w14:paraId="4A36A7EE" w14:textId="77777777" w:rsidR="00823693" w:rsidRPr="00BD01A2" w:rsidRDefault="00823693">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2026</w:t>
            </w:r>
          </w:p>
        </w:tc>
        <w:tc>
          <w:tcPr>
            <w:tcW w:w="3548" w:type="dxa"/>
            <w:tcBorders>
              <w:top w:val="single" w:sz="4" w:space="0" w:color="auto"/>
              <w:left w:val="single" w:sz="4" w:space="0" w:color="auto"/>
              <w:bottom w:val="single" w:sz="4" w:space="0" w:color="auto"/>
              <w:right w:val="single" w:sz="4" w:space="0" w:color="000000" w:themeColor="text1"/>
            </w:tcBorders>
            <w:shd w:val="clear" w:color="auto" w:fill="C6EFCE"/>
            <w:noWrap/>
          </w:tcPr>
          <w:p w14:paraId="2DD52CE7" w14:textId="77777777" w:rsidR="00823693" w:rsidRPr="00BD01A2" w:rsidRDefault="00823693" w:rsidP="00D47EBA">
            <w:pPr>
              <w:spacing w:after="0" w:line="240" w:lineRule="exact"/>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Construction and equipping of the Zerlendi Tuberculosis Diagnostics and Treatment Centre Bucharest.</w:t>
            </w:r>
          </w:p>
          <w:p w14:paraId="662872C8" w14:textId="77777777" w:rsidR="00823693" w:rsidRPr="00BD01A2" w:rsidRDefault="00823693" w:rsidP="00D47EBA">
            <w:pPr>
              <w:spacing w:after="0" w:line="240" w:lineRule="exact"/>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The building shall comply with the objective of achieving a primary energy demand (PED) at least 20% lower than the nearly zero-energy building (NZEB) requirement according to national guidelines which shall be confirmed through energy performance certificates.</w:t>
            </w:r>
          </w:p>
        </w:tc>
      </w:tr>
      <w:tr w:rsidR="00823693" w:rsidRPr="00BD01A2" w14:paraId="419C99DB" w14:textId="77777777">
        <w:trPr>
          <w:trHeight w:val="309"/>
          <w:jc w:val="center"/>
        </w:trPr>
        <w:tc>
          <w:tcPr>
            <w:tcW w:w="729" w:type="dxa"/>
            <w:tcBorders>
              <w:top w:val="single" w:sz="4" w:space="0" w:color="auto"/>
              <w:left w:val="single" w:sz="4" w:space="0" w:color="000000" w:themeColor="text1"/>
              <w:bottom w:val="single" w:sz="4" w:space="0" w:color="auto"/>
              <w:right w:val="single" w:sz="4" w:space="0" w:color="000000" w:themeColor="text1"/>
            </w:tcBorders>
            <w:shd w:val="clear" w:color="auto" w:fill="C6EFCE"/>
            <w:noWrap/>
          </w:tcPr>
          <w:p w14:paraId="7738499D" w14:textId="77777777" w:rsidR="00823693" w:rsidRPr="00BD01A2" w:rsidRDefault="00823693">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532</w:t>
            </w:r>
          </w:p>
        </w:tc>
        <w:tc>
          <w:tcPr>
            <w:tcW w:w="1656" w:type="dxa"/>
            <w:tcBorders>
              <w:top w:val="single" w:sz="4" w:space="0" w:color="auto"/>
              <w:left w:val="nil"/>
              <w:bottom w:val="single" w:sz="4" w:space="0" w:color="auto"/>
              <w:right w:val="single" w:sz="4" w:space="0" w:color="000000" w:themeColor="text1"/>
            </w:tcBorders>
            <w:shd w:val="clear" w:color="auto" w:fill="C6EFCE"/>
            <w:noWrap/>
          </w:tcPr>
          <w:p w14:paraId="456CFBC1" w14:textId="77777777" w:rsidR="00823693" w:rsidRPr="00BD01A2" w:rsidRDefault="00823693">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Investment 3. Public hospitals </w:t>
            </w:r>
          </w:p>
        </w:tc>
        <w:tc>
          <w:tcPr>
            <w:tcW w:w="1123" w:type="dxa"/>
            <w:tcBorders>
              <w:top w:val="single" w:sz="4" w:space="0" w:color="auto"/>
              <w:left w:val="nil"/>
              <w:bottom w:val="single" w:sz="4" w:space="0" w:color="auto"/>
              <w:right w:val="single" w:sz="4" w:space="0" w:color="000000" w:themeColor="text1"/>
            </w:tcBorders>
            <w:shd w:val="clear" w:color="auto" w:fill="C6EFCE"/>
            <w:noWrap/>
          </w:tcPr>
          <w:p w14:paraId="0102EE5D" w14:textId="77777777" w:rsidR="00823693" w:rsidRPr="00BD01A2" w:rsidRDefault="00823693">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992" w:type="dxa"/>
            <w:tcBorders>
              <w:top w:val="single" w:sz="4" w:space="0" w:color="auto"/>
              <w:left w:val="nil"/>
              <w:bottom w:val="single" w:sz="4" w:space="0" w:color="auto"/>
              <w:right w:val="single" w:sz="4" w:space="0" w:color="000000" w:themeColor="text1"/>
            </w:tcBorders>
            <w:shd w:val="clear" w:color="auto" w:fill="C6EFCE"/>
            <w:noWrap/>
          </w:tcPr>
          <w:p w14:paraId="687F11B1" w14:textId="77777777" w:rsidR="00823693" w:rsidRPr="00BD01A2" w:rsidRDefault="00823693">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Construction and equipping of the Emergency Institute for Cardiovascular Diseases and Transplant Târgu Mures</w:t>
            </w:r>
          </w:p>
        </w:tc>
        <w:tc>
          <w:tcPr>
            <w:tcW w:w="2104" w:type="dxa"/>
            <w:tcBorders>
              <w:top w:val="single" w:sz="4" w:space="0" w:color="auto"/>
              <w:left w:val="nil"/>
              <w:bottom w:val="single" w:sz="4" w:space="0" w:color="auto"/>
              <w:right w:val="single" w:sz="4" w:space="0" w:color="auto"/>
            </w:tcBorders>
            <w:shd w:val="clear" w:color="auto" w:fill="C6EFCE"/>
            <w:noWrap/>
          </w:tcPr>
          <w:p w14:paraId="6DD69E13" w14:textId="77777777" w:rsidR="00823693" w:rsidRPr="00BD01A2" w:rsidRDefault="00823693">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Construction and equipping of a new hospital unit</w:t>
            </w:r>
          </w:p>
        </w:tc>
        <w:tc>
          <w:tcPr>
            <w:tcW w:w="1180" w:type="dxa"/>
            <w:tcBorders>
              <w:top w:val="single" w:sz="4" w:space="0" w:color="auto"/>
              <w:left w:val="single" w:sz="4" w:space="0" w:color="auto"/>
              <w:bottom w:val="single" w:sz="4" w:space="0" w:color="auto"/>
              <w:right w:val="single" w:sz="4" w:space="0" w:color="auto"/>
            </w:tcBorders>
            <w:shd w:val="clear" w:color="auto" w:fill="C6EFCE"/>
            <w:noWrap/>
          </w:tcPr>
          <w:p w14:paraId="5D7B1DFC" w14:textId="77777777" w:rsidR="00823693" w:rsidRPr="00BD01A2" w:rsidRDefault="00823693">
            <w:pPr>
              <w:spacing w:after="0" w:line="240" w:lineRule="auto"/>
              <w:jc w:val="both"/>
              <w:rPr>
                <w:rFonts w:ascii="Times New Roman" w:hAnsi="Times New Roman" w:cs="Times New Roman"/>
                <w:noProof/>
                <w:sz w:val="20"/>
                <w:szCs w:val="20"/>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73A39B7" w14:textId="77777777" w:rsidR="00823693" w:rsidRPr="00BD01A2" w:rsidRDefault="00823693">
            <w:pPr>
              <w:spacing w:after="0" w:line="240" w:lineRule="auto"/>
              <w:jc w:val="both"/>
              <w:rPr>
                <w:rFonts w:ascii="Times New Roman" w:hAnsi="Times New Roman" w:cs="Times New Roman"/>
                <w:noProof/>
                <w:sz w:val="20"/>
                <w:szCs w:val="20"/>
                <w:lang w:val="en-GB"/>
              </w:rPr>
            </w:pPr>
          </w:p>
        </w:tc>
        <w:tc>
          <w:tcPr>
            <w:tcW w:w="797" w:type="dxa"/>
            <w:tcBorders>
              <w:top w:val="single" w:sz="4" w:space="0" w:color="auto"/>
              <w:left w:val="single" w:sz="4" w:space="0" w:color="auto"/>
              <w:bottom w:val="single" w:sz="4" w:space="0" w:color="auto"/>
              <w:right w:val="single" w:sz="4" w:space="0" w:color="auto"/>
            </w:tcBorders>
            <w:shd w:val="clear" w:color="auto" w:fill="C6EFCE"/>
            <w:noWrap/>
          </w:tcPr>
          <w:p w14:paraId="6FC51445" w14:textId="77777777" w:rsidR="00823693" w:rsidRPr="00BD01A2" w:rsidRDefault="00823693">
            <w:pPr>
              <w:spacing w:after="0" w:line="240" w:lineRule="auto"/>
              <w:jc w:val="both"/>
              <w:rPr>
                <w:rFonts w:ascii="Times New Roman" w:hAnsi="Times New Roman" w:cs="Times New Roman"/>
                <w:noProof/>
                <w:sz w:val="20"/>
                <w:szCs w:val="20"/>
                <w:lang w:val="en-GB"/>
              </w:rPr>
            </w:pPr>
          </w:p>
        </w:tc>
        <w:tc>
          <w:tcPr>
            <w:tcW w:w="982" w:type="dxa"/>
            <w:tcBorders>
              <w:top w:val="single" w:sz="4" w:space="0" w:color="auto"/>
              <w:left w:val="single" w:sz="4" w:space="0" w:color="auto"/>
              <w:bottom w:val="single" w:sz="4" w:space="0" w:color="auto"/>
              <w:right w:val="single" w:sz="4" w:space="0" w:color="auto"/>
            </w:tcBorders>
            <w:shd w:val="clear" w:color="auto" w:fill="C6EFCE"/>
            <w:noWrap/>
          </w:tcPr>
          <w:p w14:paraId="76A77F64" w14:textId="77777777" w:rsidR="00823693" w:rsidRPr="00BD01A2" w:rsidRDefault="00823693">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Q2</w:t>
            </w:r>
          </w:p>
        </w:tc>
        <w:tc>
          <w:tcPr>
            <w:tcW w:w="773" w:type="dxa"/>
            <w:tcBorders>
              <w:top w:val="single" w:sz="4" w:space="0" w:color="auto"/>
              <w:left w:val="single" w:sz="4" w:space="0" w:color="auto"/>
              <w:bottom w:val="single" w:sz="4" w:space="0" w:color="auto"/>
              <w:right w:val="single" w:sz="4" w:space="0" w:color="auto"/>
            </w:tcBorders>
            <w:shd w:val="clear" w:color="auto" w:fill="C6EFCE"/>
            <w:noWrap/>
          </w:tcPr>
          <w:p w14:paraId="12CF27ED" w14:textId="77777777" w:rsidR="00823693" w:rsidRPr="00BD01A2" w:rsidRDefault="00823693">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2026</w:t>
            </w:r>
          </w:p>
        </w:tc>
        <w:tc>
          <w:tcPr>
            <w:tcW w:w="3548" w:type="dxa"/>
            <w:tcBorders>
              <w:top w:val="single" w:sz="4" w:space="0" w:color="auto"/>
              <w:left w:val="single" w:sz="4" w:space="0" w:color="auto"/>
              <w:bottom w:val="single" w:sz="4" w:space="0" w:color="auto"/>
              <w:right w:val="single" w:sz="4" w:space="0" w:color="000000" w:themeColor="text1"/>
            </w:tcBorders>
            <w:shd w:val="clear" w:color="auto" w:fill="C6EFCE"/>
            <w:noWrap/>
          </w:tcPr>
          <w:p w14:paraId="303B67AB" w14:textId="77777777" w:rsidR="00823693" w:rsidRPr="00BD01A2" w:rsidRDefault="00823693" w:rsidP="00D47EBA">
            <w:pPr>
              <w:spacing w:after="0" w:line="240" w:lineRule="exact"/>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Construction and equipping of the Emergency Institute for Cardiovascular Diseases and Transplant Târgu Mures.</w:t>
            </w:r>
          </w:p>
          <w:p w14:paraId="7204EA47" w14:textId="77777777" w:rsidR="00823693" w:rsidRPr="00BD01A2" w:rsidRDefault="00823693" w:rsidP="00D47EBA">
            <w:pPr>
              <w:spacing w:after="0" w:line="240" w:lineRule="exact"/>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The building shall comply with the objective of achieving a primary energy demand (PED) at least 20% lower than the nearly zero-energy building (NZEB) requirement according to national guidelines which shall be confirmed through energy performance certificates.</w:t>
            </w:r>
          </w:p>
        </w:tc>
      </w:tr>
    </w:tbl>
    <w:p w14:paraId="3C2BD8CC" w14:textId="77777777" w:rsidR="00E2787E" w:rsidRPr="00291374" w:rsidRDefault="00E2787E" w:rsidP="00E2787E">
      <w:pPr>
        <w:suppressAutoHyphens/>
        <w:autoSpaceDN w:val="0"/>
        <w:spacing w:after="0" w:line="240" w:lineRule="auto"/>
        <w:jc w:val="both"/>
        <w:textAlignment w:val="baseline"/>
        <w:rPr>
          <w:rFonts w:ascii="Times New Roman" w:eastAsia="NSimSun" w:hAnsi="Times New Roman" w:cs="Times New Roman"/>
          <w:noProof/>
          <w:kern w:val="3"/>
          <w:lang w:val="en-GB"/>
        </w:rPr>
      </w:pPr>
      <w:r w:rsidRPr="00291374">
        <w:rPr>
          <w:rFonts w:ascii="Times New Roman" w:eastAsia="NSimSun" w:hAnsi="Times New Roman" w:cs="Times New Roman"/>
          <w:noProof/>
          <w:kern w:val="3"/>
          <w:lang w:val="en-GB"/>
        </w:rPr>
        <w:br w:type="page"/>
      </w:r>
    </w:p>
    <w:p w14:paraId="5370F7D1" w14:textId="77777777" w:rsidR="00E2787E" w:rsidRPr="00291374" w:rsidRDefault="00E2787E" w:rsidP="00E2787E">
      <w:pPr>
        <w:suppressAutoHyphens/>
        <w:autoSpaceDN w:val="0"/>
        <w:spacing w:after="0" w:line="240" w:lineRule="auto"/>
        <w:jc w:val="both"/>
        <w:textAlignment w:val="baseline"/>
        <w:rPr>
          <w:rFonts w:ascii="Times New Roman" w:eastAsia="NSimSun" w:hAnsi="Times New Roman" w:cs="Times New Roman"/>
          <w:noProof/>
          <w:kern w:val="3"/>
          <w:lang w:val="en-GB"/>
        </w:rPr>
        <w:sectPr w:rsidR="00E2787E" w:rsidRPr="00291374" w:rsidSect="00E2787E">
          <w:headerReference w:type="default" r:id="rId296"/>
          <w:footerReference w:type="default" r:id="rId297"/>
          <w:pgSz w:w="16838" w:h="11906" w:orient="landscape"/>
          <w:pgMar w:top="1440" w:right="1440" w:bottom="1440" w:left="1440" w:header="708" w:footer="708" w:gutter="0"/>
          <w:cols w:space="708"/>
          <w:docGrid w:linePitch="360"/>
        </w:sectPr>
      </w:pPr>
    </w:p>
    <w:p w14:paraId="0C866A88" w14:textId="77777777" w:rsidR="00852517" w:rsidRPr="00291374" w:rsidRDefault="00852517" w:rsidP="00852517">
      <w:pPr>
        <w:keepNext/>
        <w:numPr>
          <w:ilvl w:val="0"/>
          <w:numId w:val="55"/>
        </w:numPr>
        <w:tabs>
          <w:tab w:val="left" w:pos="850"/>
        </w:tabs>
        <w:spacing w:before="360" w:after="120" w:line="240" w:lineRule="auto"/>
        <w:jc w:val="both"/>
        <w:outlineLvl w:val="0"/>
        <w:rPr>
          <w:rFonts w:ascii="Times New Roman" w:hAnsi="Times New Roman" w:cs="Times New Roman"/>
          <w:b/>
          <w:bCs/>
          <w:smallCaps/>
          <w:noProof/>
          <w:lang w:val="en-GB"/>
        </w:rPr>
      </w:pPr>
      <w:r w:rsidRPr="00291374">
        <w:rPr>
          <w:rFonts w:ascii="Times New Roman" w:hAnsi="Times New Roman" w:cs="Times New Roman"/>
          <w:b/>
          <w:smallCaps/>
          <w:noProof/>
          <w:lang w:val="en-GB"/>
        </w:rPr>
        <w:t>COMPONENT 13: Social reforms</w:t>
      </w:r>
    </w:p>
    <w:p w14:paraId="1BB1A964" w14:textId="77777777"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This component includes a set of reforms and investments to consolidate the social security in Romania. </w:t>
      </w:r>
    </w:p>
    <w:p w14:paraId="09BC2DD5" w14:textId="77777777"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the component is to support the most vulnerable, including workers, children, persons with disabilities, the inactive and the elderly, by increasing access to social services. The reforms supporting the investments include regulatory changes to prevent the separation of children from their families, to address the de-institutionalisation process for persons with disabilities, to start the provision of the Minimum Inclusion Income, to decrease un-declared work and allow the inactive persons to find employment. Measures shall equally support the reform of the long-term care services for the elderly as well as the establishment of an objective minimum wage setting mechanism. The complementary investments relate to the creation of a network of day centres for children of risk of separation, rehabilitation and renovation of social services of persons with disabilities, the creation of a digital platform to implement the voucher system for domestic workers, and the creation of day care and rehabilitation centres for the elderly. </w:t>
      </w:r>
    </w:p>
    <w:p w14:paraId="13370951" w14:textId="77777777"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These investments and reforms shall contribute to address Romania’s country-specific recommendations of the past two years to “increase the coverage and quality of social services and complete the minimum inclusion income reform” (country-specific recommendation 3, 2019), “ensure minimum wage setting based on objective criteria, consistent with job creation and competitiveness” (country-specific recommendation 3, 2019) and to “extend social protection measures and access to essential services for all” (country-specific recommendation 2, 2020). </w:t>
      </w:r>
    </w:p>
    <w:p w14:paraId="416D2019" w14:textId="77777777"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275375A" w14:textId="77777777" w:rsidR="00852517" w:rsidRPr="00291374" w:rsidRDefault="00852517" w:rsidP="00852517">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M.1. </w:t>
      </w:r>
      <w:r w:rsidRPr="00291374">
        <w:rPr>
          <w:rFonts w:ascii="Times New Roman" w:hAnsi="Times New Roman" w:cs="Times New Roman"/>
          <w:noProof/>
          <w:lang w:val="en-GB"/>
        </w:rPr>
        <w:tab/>
      </w:r>
      <w:r w:rsidRPr="00291374">
        <w:rPr>
          <w:rFonts w:ascii="Times New Roman" w:hAnsi="Times New Roman" w:cs="Times New Roman"/>
          <w:b/>
          <w:noProof/>
          <w:lang w:val="en-GB"/>
        </w:rPr>
        <w:t>Description of the reforms and investments for non-repayable financial support</w:t>
      </w:r>
    </w:p>
    <w:p w14:paraId="35D92A1F" w14:textId="77777777" w:rsidR="00852517" w:rsidRPr="00291374" w:rsidRDefault="00852517" w:rsidP="00852517">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 xml:space="preserve">Reform 1. Creating a new legal framework to prevent the separation of children from their families </w:t>
      </w:r>
    </w:p>
    <w:p w14:paraId="6731CA77" w14:textId="77777777"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reform is to prevent the separation of children from their families. </w:t>
      </w:r>
    </w:p>
    <w:p w14:paraId="7C3123F3" w14:textId="77777777"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This measure consists in the adoption of legal acts to prevent the separation of the child from the family. </w:t>
      </w:r>
    </w:p>
    <w:p w14:paraId="043D10A0" w14:textId="77777777" w:rsidR="00852517" w:rsidRPr="00291374" w:rsidRDefault="00852517" w:rsidP="00852517">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Reform 2. Reform of the protection system for adults with disabilities</w:t>
      </w:r>
    </w:p>
    <w:p w14:paraId="35B37A9B" w14:textId="77777777"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reform is to accelerate the de-institutionalisation process for persons with disabilities and prevent their institutionalisation. </w:t>
      </w:r>
    </w:p>
    <w:p w14:paraId="417353CA" w14:textId="77777777" w:rsidR="00852517" w:rsidRPr="00291374" w:rsidRDefault="00852517" w:rsidP="00852517">
      <w:pPr>
        <w:spacing w:after="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This measure consists in the adoption of legal acts to accelerate the de-institutionalisation process of all persons with a disability currently institutionalised and to prevent institutionalisation. </w:t>
      </w:r>
    </w:p>
    <w:p w14:paraId="0062512A" w14:textId="77777777" w:rsidR="00852517" w:rsidRPr="00291374" w:rsidRDefault="00852517" w:rsidP="00852517">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Reform 3. Provision of the Minimum Inclusion Income (VMI)</w:t>
      </w:r>
    </w:p>
    <w:p w14:paraId="56D0777F" w14:textId="77777777"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this reform is to increase social assistance and reduce poverty, while reducing the administrative burden for the public administration, and the beneficiaries.</w:t>
      </w:r>
    </w:p>
    <w:p w14:paraId="168528AB" w14:textId="77777777"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consists in the adoption of legal acts to set out the methodological rules for implementing the VMI. The establishment of the digital platform to support this reform is contained in component 7. Digital transformation.</w:t>
      </w:r>
    </w:p>
    <w:p w14:paraId="0D75EEB5" w14:textId="77777777" w:rsidR="00852517" w:rsidRPr="00291374" w:rsidRDefault="00852517" w:rsidP="00852517">
      <w:pPr>
        <w:spacing w:before="120" w:after="120" w:line="240" w:lineRule="auto"/>
        <w:jc w:val="both"/>
        <w:rPr>
          <w:rFonts w:ascii="Times New Roman" w:hAnsi="Times New Roman" w:cs="Times New Roman"/>
          <w:noProof/>
          <w:lang w:val="en-GB"/>
        </w:rPr>
      </w:pPr>
    </w:p>
    <w:p w14:paraId="00534D48" w14:textId="77777777" w:rsidR="00852517" w:rsidRPr="00291374" w:rsidRDefault="00852517" w:rsidP="00852517">
      <w:pPr>
        <w:spacing w:before="120" w:after="120" w:line="240" w:lineRule="auto"/>
        <w:jc w:val="both"/>
        <w:rPr>
          <w:rFonts w:ascii="Times New Roman" w:hAnsi="Times New Roman" w:cs="Times New Roman"/>
          <w:noProof/>
          <w:lang w:val="en-GB"/>
        </w:rPr>
      </w:pPr>
    </w:p>
    <w:p w14:paraId="16C86720" w14:textId="77777777" w:rsidR="00852517" w:rsidRPr="00291374" w:rsidRDefault="00852517" w:rsidP="00852517">
      <w:pPr>
        <w:suppressAutoHyphens/>
        <w:autoSpaceDN w:val="0"/>
        <w:spacing w:before="240" w:after="0" w:line="240" w:lineRule="auto"/>
        <w:jc w:val="both"/>
        <w:textAlignment w:val="baseline"/>
        <w:rPr>
          <w:rFonts w:ascii="Times New Roman" w:eastAsia="NSimSun" w:hAnsi="Times New Roman" w:cs="Times New Roman"/>
          <w:noProof/>
          <w:kern w:val="3"/>
          <w:u w:val="single"/>
        </w:rPr>
      </w:pPr>
      <w:r w:rsidRPr="00291374">
        <w:rPr>
          <w:rFonts w:ascii="Times New Roman" w:eastAsia="NSimSun" w:hAnsi="Times New Roman" w:cs="Times New Roman"/>
          <w:noProof/>
          <w:kern w:val="3"/>
          <w:u w:val="single"/>
          <w:lang w:val="en-GB"/>
        </w:rPr>
        <w:t xml:space="preserve">Reform 4. </w:t>
      </w:r>
      <w:r w:rsidRPr="00291374">
        <w:rPr>
          <w:rFonts w:ascii="Times New Roman" w:eastAsia="NSimSun" w:hAnsi="Times New Roman" w:cs="Times New Roman"/>
          <w:noProof/>
          <w:kern w:val="3"/>
          <w:u w:val="single"/>
        </w:rPr>
        <w:t>Introduction of work cards and formalisation of work in domestic work</w:t>
      </w:r>
    </w:p>
    <w:p w14:paraId="2128F14C" w14:textId="77777777" w:rsidR="00852517" w:rsidRPr="00291374" w:rsidRDefault="00852517" w:rsidP="00852517">
      <w:pPr>
        <w:suppressAutoHyphens/>
        <w:autoSpaceDN w:val="0"/>
        <w:spacing w:before="240" w:after="0" w:line="240" w:lineRule="auto"/>
        <w:jc w:val="both"/>
        <w:textAlignment w:val="baseline"/>
        <w:rPr>
          <w:rFonts w:ascii="Times New Roman" w:hAnsi="Times New Roman" w:cs="Times New Roman"/>
          <w:noProof/>
          <w:lang w:val="en-GB"/>
        </w:rPr>
      </w:pPr>
      <w:r w:rsidRPr="00291374">
        <w:rPr>
          <w:rFonts w:ascii="Times New Roman" w:hAnsi="Times New Roman" w:cs="Times New Roman"/>
          <w:noProof/>
          <w:lang w:val="en-GB"/>
        </w:rPr>
        <w:t>The objective of this reform is to reduce undeclared work and to allow inactive persons to find employment.</w:t>
      </w:r>
    </w:p>
    <w:p w14:paraId="3ABDBB12" w14:textId="77777777"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consists in the adoption of legal acts to establish the labour voucher system and create formal employment for domestic providers who are currently recorded as unemployed or inactive and integrating them into the social security and health insurance system.</w:t>
      </w:r>
    </w:p>
    <w:p w14:paraId="1BBE7204" w14:textId="77777777" w:rsidR="00852517" w:rsidRPr="00291374" w:rsidRDefault="00852517" w:rsidP="00852517">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lang w:val="en-GB"/>
        </w:rPr>
      </w:pPr>
      <w:r w:rsidRPr="00291374">
        <w:rPr>
          <w:rFonts w:ascii="Times New Roman" w:eastAsia="NSimSun" w:hAnsi="Times New Roman" w:cs="Times New Roman"/>
          <w:noProof/>
          <w:kern w:val="3"/>
          <w:u w:val="single"/>
          <w:lang w:val="en-GB"/>
        </w:rPr>
        <w:t>Reform 5. Ensure a minimum wage setting</w:t>
      </w:r>
    </w:p>
    <w:p w14:paraId="7428BA13" w14:textId="77777777"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the reform is to establish a minimum wage setting mechanism based on objective criteria and consistent with job creation and competitiveness of the country.</w:t>
      </w:r>
    </w:p>
    <w:p w14:paraId="597754B3" w14:textId="77777777"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This measure consists in the adoption of legal acts that provide for the creation of a new mechanism and a formula to objectively set the minimum wage level. </w:t>
      </w:r>
    </w:p>
    <w:p w14:paraId="51F94326" w14:textId="77777777" w:rsidR="00852517" w:rsidRPr="00291374" w:rsidRDefault="00852517" w:rsidP="00852517">
      <w:pPr>
        <w:suppressAutoHyphens/>
        <w:autoSpaceDN w:val="0"/>
        <w:spacing w:before="240" w:after="0" w:line="240" w:lineRule="auto"/>
        <w:jc w:val="both"/>
        <w:textAlignment w:val="baseline"/>
        <w:rPr>
          <w:rFonts w:ascii="Times New Roman" w:eastAsiaTheme="majorEastAsia" w:hAnsi="Times New Roman" w:cs="Times New Roman"/>
          <w:bCs/>
          <w:i/>
          <w:noProof/>
          <w:kern w:val="3"/>
          <w:u w:val="single"/>
          <w:lang w:val="en-GB"/>
        </w:rPr>
      </w:pPr>
      <w:r w:rsidRPr="00291374">
        <w:rPr>
          <w:rFonts w:ascii="Times New Roman" w:eastAsia="NSimSun" w:hAnsi="Times New Roman" w:cs="Times New Roman"/>
          <w:noProof/>
          <w:kern w:val="3"/>
          <w:u w:val="single"/>
          <w:lang w:val="en-GB"/>
        </w:rPr>
        <w:t xml:space="preserve">Investment 1. Creation of a network of day centres for children at risk of separation </w:t>
      </w:r>
    </w:p>
    <w:p w14:paraId="6291E6C3" w14:textId="77777777"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prevent the separation of children from their family. </w:t>
      </w:r>
    </w:p>
    <w:p w14:paraId="124EBE81" w14:textId="7E243622"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consists in the licensing of a network of day service centres to prevent the separation of children from their families.</w:t>
      </w:r>
      <w:r w:rsidR="00D23D91">
        <w:rPr>
          <w:rFonts w:ascii="Times New Roman" w:hAnsi="Times New Roman" w:cs="Times New Roman"/>
          <w:noProof/>
          <w:lang w:val="en-GB"/>
        </w:rPr>
        <w:t xml:space="preserve"> </w:t>
      </w:r>
    </w:p>
    <w:p w14:paraId="71EF1169" w14:textId="77777777" w:rsidR="00852517" w:rsidRPr="00291374" w:rsidRDefault="00852517" w:rsidP="00852517">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 xml:space="preserve">Investment 2. </w:t>
      </w:r>
      <w:r w:rsidRPr="00291374">
        <w:rPr>
          <w:rFonts w:ascii="Times New Roman" w:eastAsia="NSimSun" w:hAnsi="Times New Roman" w:cs="Times New Roman"/>
          <w:noProof/>
          <w:u w:val="single"/>
          <w:lang w:val="en-GB"/>
        </w:rPr>
        <w:t>Licensing and modernisation of social infrastructure for persons with disabilities</w:t>
      </w:r>
    </w:p>
    <w:p w14:paraId="7B7BCBF9" w14:textId="77777777"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modernize and increase the number of social services provided to persons with disabilities to support their de-institutionalisation. </w:t>
      </w:r>
    </w:p>
    <w:p w14:paraId="574CFFC6" w14:textId="77777777"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consists in the licensing of new community services for persons with disabilities and the modernisation of other community centres for persons with disabilities .</w:t>
      </w:r>
    </w:p>
    <w:p w14:paraId="3FFD338F" w14:textId="77777777" w:rsidR="00852517" w:rsidRPr="00291374" w:rsidRDefault="00852517" w:rsidP="00852517">
      <w:pPr>
        <w:suppressAutoHyphens/>
        <w:autoSpaceDN w:val="0"/>
        <w:spacing w:before="240" w:after="0" w:line="240" w:lineRule="auto"/>
        <w:jc w:val="both"/>
        <w:textAlignment w:val="baseline"/>
        <w:rPr>
          <w:rFonts w:ascii="Times New Roman" w:eastAsiaTheme="majorEastAsia" w:hAnsi="Times New Roman" w:cs="Times New Roman"/>
          <w:noProof/>
          <w:kern w:val="3"/>
          <w:u w:val="single"/>
          <w:lang w:val="en-GB"/>
        </w:rPr>
      </w:pPr>
      <w:r w:rsidRPr="00291374">
        <w:rPr>
          <w:rFonts w:ascii="Times New Roman" w:eastAsia="NSimSun" w:hAnsi="Times New Roman" w:cs="Times New Roman"/>
          <w:noProof/>
          <w:kern w:val="3"/>
          <w:u w:val="single"/>
          <w:lang w:val="en-GB"/>
        </w:rPr>
        <w:t xml:space="preserve">Investment 3. The establishment of the labour voucher system for domestic providers and service beneficiaries </w:t>
      </w:r>
    </w:p>
    <w:p w14:paraId="6FAFCC9D" w14:textId="30BC5578"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this investment is to make the labour voucher system available to domestic</w:t>
      </w:r>
      <w:r w:rsidR="00D23D91">
        <w:rPr>
          <w:rFonts w:ascii="Times New Roman" w:hAnsi="Times New Roman" w:cs="Times New Roman"/>
          <w:noProof/>
          <w:lang w:val="en-GB"/>
        </w:rPr>
        <w:t xml:space="preserve"> </w:t>
      </w:r>
      <w:r w:rsidRPr="00291374">
        <w:rPr>
          <w:rFonts w:ascii="Times New Roman" w:hAnsi="Times New Roman" w:cs="Times New Roman"/>
          <w:noProof/>
          <w:lang w:val="en-GB"/>
        </w:rPr>
        <w:t>providers and service beneficiaries.</w:t>
      </w:r>
    </w:p>
    <w:p w14:paraId="464990CE" w14:textId="77777777"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This measure consists in the delivery of a digital platform that is made available for the use of labour vouchers by domestic providers and service beneficiaries. </w:t>
      </w:r>
    </w:p>
    <w:p w14:paraId="0F450CB9" w14:textId="77777777" w:rsidR="00852517" w:rsidRPr="00291374" w:rsidRDefault="00852517" w:rsidP="00852517">
      <w:pPr>
        <w:pStyle w:val="Standard"/>
        <w:spacing w:before="240"/>
        <w:jc w:val="both"/>
        <w:rPr>
          <w:rFonts w:ascii="Times New Roman" w:eastAsiaTheme="majorEastAsia" w:hAnsi="Times New Roman" w:cs="Times New Roman"/>
          <w:noProof/>
          <w:u w:val="single"/>
          <w:lang w:val="en-GB"/>
        </w:rPr>
      </w:pPr>
      <w:r w:rsidRPr="00291374">
        <w:rPr>
          <w:rFonts w:ascii="Times New Roman" w:hAnsi="Times New Roman" w:cs="Times New Roman"/>
          <w:noProof/>
          <w:u w:val="single"/>
          <w:lang w:val="en-GB"/>
        </w:rPr>
        <w:t xml:space="preserve">Investment 4. Creation of a network of day care and rehabilitating centres for elderly </w:t>
      </w:r>
    </w:p>
    <w:p w14:paraId="6705DF89" w14:textId="77777777"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the investment is to give access to quality long-term care services for the elderly.</w:t>
      </w:r>
    </w:p>
    <w:p w14:paraId="675D6BCD" w14:textId="77777777"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consists in the licensing of day service centres.</w:t>
      </w:r>
    </w:p>
    <w:p w14:paraId="05FD79EF" w14:textId="77777777" w:rsidR="00852517" w:rsidRPr="00291374" w:rsidRDefault="00852517" w:rsidP="00852517">
      <w:pPr>
        <w:spacing w:before="120" w:after="120" w:line="240" w:lineRule="auto"/>
        <w:jc w:val="both"/>
        <w:rPr>
          <w:rFonts w:ascii="Times New Roman" w:hAnsi="Times New Roman" w:cs="Times New Roman"/>
          <w:noProof/>
          <w:lang w:val="en-GB"/>
        </w:rPr>
        <w:sectPr w:rsidR="00852517" w:rsidRPr="00291374" w:rsidSect="00852517">
          <w:headerReference w:type="even" r:id="rId298"/>
          <w:headerReference w:type="default" r:id="rId299"/>
          <w:footerReference w:type="even" r:id="rId300"/>
          <w:footerReference w:type="default" r:id="rId301"/>
          <w:headerReference w:type="first" r:id="rId302"/>
          <w:footerReference w:type="first" r:id="rId303"/>
          <w:pgSz w:w="11907" w:h="16839"/>
          <w:pgMar w:top="1134" w:right="1134" w:bottom="1134" w:left="1134" w:header="567" w:footer="567" w:gutter="0"/>
          <w:cols w:space="720"/>
          <w:docGrid w:linePitch="360"/>
        </w:sectPr>
      </w:pPr>
    </w:p>
    <w:p w14:paraId="683B6CDC" w14:textId="77777777" w:rsidR="00852517" w:rsidRPr="00291374" w:rsidRDefault="00852517" w:rsidP="00852517">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M.2. </w:t>
      </w:r>
      <w:r w:rsidRPr="00291374">
        <w:rPr>
          <w:rFonts w:ascii="Times New Roman" w:hAnsi="Times New Roman" w:cs="Times New Roman"/>
          <w:noProof/>
          <w:lang w:val="en-GB"/>
        </w:rPr>
        <w:tab/>
      </w:r>
      <w:r w:rsidRPr="00291374">
        <w:rPr>
          <w:rFonts w:ascii="Times New Roman" w:hAnsi="Times New Roman" w:cs="Times New Roman"/>
          <w:b/>
          <w:noProof/>
          <w:lang w:val="en-GB"/>
        </w:rPr>
        <w:t>Milestones, targets, indicators, and timetable for monitoring and implementation for non-repayable financial support</w:t>
      </w:r>
    </w:p>
    <w:tbl>
      <w:tblPr>
        <w:tblW w:w="15387" w:type="dxa"/>
        <w:jc w:val="center"/>
        <w:tblLayout w:type="fixed"/>
        <w:tblLook w:val="04A0" w:firstRow="1" w:lastRow="0" w:firstColumn="1" w:lastColumn="0" w:noHBand="0" w:noVBand="1"/>
      </w:tblPr>
      <w:tblGrid>
        <w:gridCol w:w="988"/>
        <w:gridCol w:w="1875"/>
        <w:gridCol w:w="1183"/>
        <w:gridCol w:w="1478"/>
        <w:gridCol w:w="1842"/>
        <w:gridCol w:w="1265"/>
        <w:gridCol w:w="1145"/>
        <w:gridCol w:w="851"/>
        <w:gridCol w:w="1242"/>
        <w:gridCol w:w="825"/>
        <w:gridCol w:w="2693"/>
      </w:tblGrid>
      <w:tr w:rsidR="00852517" w:rsidRPr="00C92F3A" w14:paraId="77B6B05A" w14:textId="77777777" w:rsidTr="0061489A">
        <w:trPr>
          <w:trHeight w:val="774"/>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ACC261D" w14:textId="77777777" w:rsidR="00852517" w:rsidRPr="00C92F3A" w:rsidRDefault="00852517">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Seq. Num.</w:t>
            </w:r>
          </w:p>
        </w:tc>
        <w:tc>
          <w:tcPr>
            <w:tcW w:w="18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DEF97C" w14:textId="77777777" w:rsidR="00852517" w:rsidRPr="00C92F3A" w:rsidRDefault="00852517">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Related Measure (Reform or Investment)</w:t>
            </w:r>
          </w:p>
        </w:tc>
        <w:tc>
          <w:tcPr>
            <w:tcW w:w="118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15C072" w14:textId="77777777" w:rsidR="00852517" w:rsidRPr="00C92F3A" w:rsidRDefault="00852517">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Milestone / Target</w:t>
            </w:r>
          </w:p>
        </w:tc>
        <w:tc>
          <w:tcPr>
            <w:tcW w:w="147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84AA4E" w14:textId="77777777" w:rsidR="00852517" w:rsidRPr="00C92F3A" w:rsidRDefault="00852517">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Name</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6866AD3" w14:textId="77777777" w:rsidR="00852517" w:rsidRPr="00C92F3A" w:rsidRDefault="00852517">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 xml:space="preserve">Qualitative indicators </w:t>
            </w:r>
            <w:r w:rsidRPr="00C92F3A">
              <w:rPr>
                <w:rFonts w:ascii="Times New Roman" w:hAnsi="Times New Roman" w:cs="Times New Roman"/>
                <w:noProof/>
                <w:sz w:val="20"/>
                <w:szCs w:val="20"/>
                <w:lang w:val="en-GB"/>
              </w:rPr>
              <w:br/>
            </w:r>
            <w:r w:rsidRPr="00C92F3A">
              <w:rPr>
                <w:rFonts w:ascii="Times New Roman" w:hAnsi="Times New Roman" w:cs="Times New Roman"/>
                <w:b/>
                <w:noProof/>
                <w:sz w:val="20"/>
                <w:szCs w:val="20"/>
                <w:lang w:val="en-GB"/>
              </w:rPr>
              <w:t>(for milestones)</w:t>
            </w:r>
          </w:p>
        </w:tc>
        <w:tc>
          <w:tcPr>
            <w:tcW w:w="326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DBCD720" w14:textId="77777777" w:rsidR="00852517" w:rsidRPr="00C92F3A" w:rsidRDefault="00852517">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 xml:space="preserve">Quantitative indicators </w:t>
            </w:r>
            <w:r w:rsidRPr="00C92F3A">
              <w:rPr>
                <w:rFonts w:ascii="Times New Roman" w:hAnsi="Times New Roman" w:cs="Times New Roman"/>
                <w:noProof/>
                <w:sz w:val="20"/>
                <w:szCs w:val="20"/>
                <w:lang w:val="en-GB"/>
              </w:rPr>
              <w:br/>
            </w:r>
            <w:r w:rsidRPr="00C92F3A">
              <w:rPr>
                <w:rFonts w:ascii="Times New Roman" w:hAnsi="Times New Roman" w:cs="Times New Roman"/>
                <w:b/>
                <w:noProof/>
                <w:sz w:val="20"/>
                <w:szCs w:val="20"/>
                <w:lang w:val="en-GB"/>
              </w:rPr>
              <w:t>(for targets)</w:t>
            </w:r>
          </w:p>
        </w:tc>
        <w:tc>
          <w:tcPr>
            <w:tcW w:w="2067" w:type="dxa"/>
            <w:gridSpan w:val="2"/>
            <w:tcBorders>
              <w:top w:val="single" w:sz="4" w:space="0" w:color="auto"/>
              <w:left w:val="nil"/>
              <w:bottom w:val="single" w:sz="4" w:space="0" w:color="auto"/>
              <w:right w:val="single" w:sz="4" w:space="0" w:color="auto"/>
            </w:tcBorders>
            <w:shd w:val="clear" w:color="auto" w:fill="BDD7EE"/>
            <w:vAlign w:val="center"/>
            <w:hideMark/>
          </w:tcPr>
          <w:p w14:paraId="1095C27E" w14:textId="77777777" w:rsidR="00852517" w:rsidRPr="00C92F3A" w:rsidRDefault="00852517">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Indicative timeline for completion</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530369" w14:textId="77777777" w:rsidR="00852517" w:rsidRPr="00C92F3A" w:rsidRDefault="00852517">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Description of each milestone and target</w:t>
            </w:r>
          </w:p>
        </w:tc>
      </w:tr>
      <w:tr w:rsidR="00530BE8" w:rsidRPr="00C92F3A" w14:paraId="6E9C211F" w14:textId="77777777" w:rsidTr="00F70443">
        <w:trPr>
          <w:trHeight w:val="404"/>
          <w:tblHeader/>
          <w:jc w:val="cent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6986B66" w14:textId="77777777" w:rsidR="00852517" w:rsidRPr="00C92F3A" w:rsidRDefault="00852517">
            <w:pPr>
              <w:spacing w:after="0" w:line="240" w:lineRule="auto"/>
              <w:jc w:val="both"/>
              <w:rPr>
                <w:rFonts w:ascii="Times New Roman" w:eastAsia="Times New Roman" w:hAnsi="Times New Roman" w:cs="Times New Roman"/>
                <w:b/>
                <w:bCs/>
                <w:noProof/>
                <w:sz w:val="20"/>
                <w:szCs w:val="20"/>
                <w:lang w:val="en-GB" w:eastAsia="en-GB"/>
              </w:rPr>
            </w:pPr>
          </w:p>
        </w:tc>
        <w:tc>
          <w:tcPr>
            <w:tcW w:w="1875" w:type="dxa"/>
            <w:vMerge/>
            <w:tcBorders>
              <w:top w:val="single" w:sz="4" w:space="0" w:color="auto"/>
              <w:left w:val="single" w:sz="4" w:space="0" w:color="auto"/>
              <w:bottom w:val="single" w:sz="4" w:space="0" w:color="auto"/>
              <w:right w:val="single" w:sz="4" w:space="0" w:color="auto"/>
            </w:tcBorders>
            <w:vAlign w:val="center"/>
            <w:hideMark/>
          </w:tcPr>
          <w:p w14:paraId="105D07E4" w14:textId="77777777" w:rsidR="00852517" w:rsidRPr="00C92F3A" w:rsidRDefault="00852517">
            <w:pPr>
              <w:spacing w:after="0" w:line="240" w:lineRule="auto"/>
              <w:jc w:val="both"/>
              <w:rPr>
                <w:rFonts w:ascii="Times New Roman" w:eastAsia="Times New Roman" w:hAnsi="Times New Roman" w:cs="Times New Roman"/>
                <w:b/>
                <w:bCs/>
                <w:noProof/>
                <w:sz w:val="20"/>
                <w:szCs w:val="20"/>
                <w:lang w:val="en-GB" w:eastAsia="en-GB"/>
              </w:rPr>
            </w:pPr>
          </w:p>
        </w:tc>
        <w:tc>
          <w:tcPr>
            <w:tcW w:w="1183" w:type="dxa"/>
            <w:vMerge/>
            <w:tcBorders>
              <w:top w:val="single" w:sz="4" w:space="0" w:color="auto"/>
              <w:left w:val="single" w:sz="4" w:space="0" w:color="auto"/>
              <w:bottom w:val="single" w:sz="4" w:space="0" w:color="auto"/>
              <w:right w:val="single" w:sz="4" w:space="0" w:color="auto"/>
            </w:tcBorders>
            <w:vAlign w:val="center"/>
            <w:hideMark/>
          </w:tcPr>
          <w:p w14:paraId="5C047584" w14:textId="77777777" w:rsidR="00852517" w:rsidRPr="00C92F3A" w:rsidRDefault="00852517">
            <w:pPr>
              <w:spacing w:after="0" w:line="240" w:lineRule="auto"/>
              <w:jc w:val="both"/>
              <w:rPr>
                <w:rFonts w:ascii="Times New Roman" w:eastAsia="Times New Roman" w:hAnsi="Times New Roman" w:cs="Times New Roman"/>
                <w:b/>
                <w:bCs/>
                <w:noProof/>
                <w:sz w:val="20"/>
                <w:szCs w:val="20"/>
                <w:lang w:val="en-GB" w:eastAsia="en-GB"/>
              </w:rPr>
            </w:pPr>
          </w:p>
        </w:tc>
        <w:tc>
          <w:tcPr>
            <w:tcW w:w="1478" w:type="dxa"/>
            <w:vMerge/>
            <w:tcBorders>
              <w:top w:val="single" w:sz="4" w:space="0" w:color="auto"/>
              <w:left w:val="single" w:sz="4" w:space="0" w:color="auto"/>
              <w:bottom w:val="single" w:sz="4" w:space="0" w:color="auto"/>
              <w:right w:val="single" w:sz="4" w:space="0" w:color="auto"/>
            </w:tcBorders>
            <w:vAlign w:val="center"/>
            <w:hideMark/>
          </w:tcPr>
          <w:p w14:paraId="321D31EE" w14:textId="77777777" w:rsidR="00852517" w:rsidRPr="00C92F3A" w:rsidRDefault="00852517">
            <w:pPr>
              <w:spacing w:after="0" w:line="240" w:lineRule="auto"/>
              <w:jc w:val="both"/>
              <w:rPr>
                <w:rFonts w:ascii="Times New Roman" w:eastAsia="Times New Roman" w:hAnsi="Times New Roman" w:cs="Times New Roman"/>
                <w:b/>
                <w:bCs/>
                <w:noProof/>
                <w:sz w:val="20"/>
                <w:szCs w:val="20"/>
                <w:lang w:val="en-GB" w:eastAsia="en-GB"/>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5113D4C" w14:textId="77777777" w:rsidR="00852517" w:rsidRPr="00C92F3A" w:rsidRDefault="00852517">
            <w:pPr>
              <w:spacing w:after="0" w:line="240" w:lineRule="auto"/>
              <w:jc w:val="both"/>
              <w:rPr>
                <w:rFonts w:ascii="Times New Roman" w:eastAsia="Times New Roman" w:hAnsi="Times New Roman" w:cs="Times New Roman"/>
                <w:b/>
                <w:bCs/>
                <w:noProof/>
                <w:sz w:val="20"/>
                <w:szCs w:val="20"/>
                <w:lang w:val="en-GB" w:eastAsia="en-GB"/>
              </w:rPr>
            </w:pPr>
          </w:p>
        </w:tc>
        <w:tc>
          <w:tcPr>
            <w:tcW w:w="1265" w:type="dxa"/>
            <w:tcBorders>
              <w:top w:val="nil"/>
              <w:left w:val="single" w:sz="4" w:space="0" w:color="auto"/>
              <w:bottom w:val="single" w:sz="4" w:space="0" w:color="auto"/>
              <w:right w:val="single" w:sz="4" w:space="0" w:color="auto"/>
            </w:tcBorders>
            <w:shd w:val="clear" w:color="auto" w:fill="BDD7EE"/>
            <w:vAlign w:val="center"/>
            <w:hideMark/>
          </w:tcPr>
          <w:p w14:paraId="21694B2D" w14:textId="77777777" w:rsidR="00852517" w:rsidRPr="00C92F3A" w:rsidRDefault="00852517">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Unit of measure</w:t>
            </w:r>
          </w:p>
        </w:tc>
        <w:tc>
          <w:tcPr>
            <w:tcW w:w="1145" w:type="dxa"/>
            <w:tcBorders>
              <w:top w:val="nil"/>
              <w:left w:val="nil"/>
              <w:bottom w:val="single" w:sz="4" w:space="0" w:color="auto"/>
              <w:right w:val="single" w:sz="4" w:space="0" w:color="auto"/>
            </w:tcBorders>
            <w:shd w:val="clear" w:color="auto" w:fill="BDD7EE"/>
            <w:vAlign w:val="center"/>
            <w:hideMark/>
          </w:tcPr>
          <w:p w14:paraId="5F75CA86" w14:textId="77777777" w:rsidR="00852517" w:rsidRPr="00C92F3A" w:rsidRDefault="00852517">
            <w:pPr>
              <w:spacing w:after="0" w:line="240" w:lineRule="auto"/>
              <w:jc w:val="both"/>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 xml:space="preserve">Baseline </w:t>
            </w:r>
          </w:p>
        </w:tc>
        <w:tc>
          <w:tcPr>
            <w:tcW w:w="851" w:type="dxa"/>
            <w:tcBorders>
              <w:top w:val="nil"/>
              <w:left w:val="nil"/>
              <w:bottom w:val="single" w:sz="4" w:space="0" w:color="auto"/>
              <w:right w:val="single" w:sz="4" w:space="0" w:color="auto"/>
            </w:tcBorders>
            <w:shd w:val="clear" w:color="auto" w:fill="BDD7EE"/>
            <w:vAlign w:val="center"/>
            <w:hideMark/>
          </w:tcPr>
          <w:p w14:paraId="44E753F7" w14:textId="77777777" w:rsidR="00852517" w:rsidRPr="00C92F3A" w:rsidRDefault="00852517">
            <w:pPr>
              <w:spacing w:after="0" w:line="240" w:lineRule="auto"/>
              <w:jc w:val="center"/>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Goal</w:t>
            </w:r>
          </w:p>
        </w:tc>
        <w:tc>
          <w:tcPr>
            <w:tcW w:w="1242" w:type="dxa"/>
            <w:tcBorders>
              <w:top w:val="nil"/>
              <w:left w:val="nil"/>
              <w:bottom w:val="single" w:sz="4" w:space="0" w:color="auto"/>
              <w:right w:val="single" w:sz="4" w:space="0" w:color="auto"/>
            </w:tcBorders>
            <w:shd w:val="clear" w:color="auto" w:fill="BDD7EE"/>
            <w:vAlign w:val="center"/>
            <w:hideMark/>
          </w:tcPr>
          <w:p w14:paraId="798D0A09" w14:textId="77777777" w:rsidR="00852517" w:rsidRPr="00C92F3A" w:rsidRDefault="00852517">
            <w:pPr>
              <w:spacing w:after="0" w:line="240" w:lineRule="auto"/>
              <w:jc w:val="both"/>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Quarter</w:t>
            </w:r>
          </w:p>
        </w:tc>
        <w:tc>
          <w:tcPr>
            <w:tcW w:w="825" w:type="dxa"/>
            <w:tcBorders>
              <w:top w:val="nil"/>
              <w:left w:val="nil"/>
              <w:bottom w:val="single" w:sz="4" w:space="0" w:color="auto"/>
              <w:right w:val="single" w:sz="4" w:space="0" w:color="auto"/>
            </w:tcBorders>
            <w:shd w:val="clear" w:color="auto" w:fill="BDD7EE"/>
            <w:vAlign w:val="center"/>
            <w:hideMark/>
          </w:tcPr>
          <w:p w14:paraId="32C6FD45" w14:textId="77777777" w:rsidR="00852517" w:rsidRPr="00C92F3A" w:rsidRDefault="00852517">
            <w:pPr>
              <w:spacing w:after="0" w:line="240" w:lineRule="auto"/>
              <w:jc w:val="both"/>
              <w:rPr>
                <w:rFonts w:ascii="Times New Roman" w:eastAsia="Times New Roman" w:hAnsi="Times New Roman" w:cs="Times New Roman"/>
                <w:b/>
                <w:noProof/>
                <w:sz w:val="20"/>
                <w:szCs w:val="20"/>
                <w:lang w:val="en-GB"/>
              </w:rPr>
            </w:pPr>
            <w:r w:rsidRPr="00C92F3A">
              <w:rPr>
                <w:rFonts w:ascii="Times New Roman" w:hAnsi="Times New Roman" w:cs="Times New Roman"/>
                <w:b/>
                <w:noProof/>
                <w:sz w:val="20"/>
                <w:szCs w:val="20"/>
                <w:lang w:val="en-GB"/>
              </w:rPr>
              <w:t>Year</w:t>
            </w:r>
          </w:p>
        </w:tc>
        <w:tc>
          <w:tcPr>
            <w:tcW w:w="2693" w:type="dxa"/>
            <w:vMerge/>
            <w:tcBorders>
              <w:top w:val="single" w:sz="4" w:space="0" w:color="auto"/>
              <w:bottom w:val="single" w:sz="4" w:space="0" w:color="auto"/>
              <w:right w:val="single" w:sz="4" w:space="0" w:color="auto"/>
            </w:tcBorders>
            <w:vAlign w:val="center"/>
            <w:hideMark/>
          </w:tcPr>
          <w:p w14:paraId="16EF1F9A" w14:textId="77777777" w:rsidR="00852517" w:rsidRPr="00C92F3A" w:rsidRDefault="00852517">
            <w:pPr>
              <w:spacing w:after="0" w:line="240" w:lineRule="auto"/>
              <w:jc w:val="both"/>
              <w:rPr>
                <w:rFonts w:ascii="Times New Roman" w:eastAsia="Times New Roman" w:hAnsi="Times New Roman" w:cs="Times New Roman"/>
                <w:b/>
                <w:bCs/>
                <w:noProof/>
                <w:sz w:val="20"/>
                <w:szCs w:val="20"/>
                <w:lang w:val="en-GB" w:eastAsia="en-GB"/>
              </w:rPr>
            </w:pPr>
          </w:p>
        </w:tc>
      </w:tr>
      <w:tr w:rsidR="00530BE8" w:rsidRPr="00C92F3A" w14:paraId="5C9BC24E" w14:textId="77777777" w:rsidTr="00F70443">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76AF9BB8" w14:textId="77777777" w:rsidR="00852517" w:rsidRPr="00C92F3A" w:rsidRDefault="00852517">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378</w:t>
            </w:r>
          </w:p>
        </w:tc>
        <w:tc>
          <w:tcPr>
            <w:tcW w:w="1875" w:type="dxa"/>
            <w:tcBorders>
              <w:top w:val="single" w:sz="4" w:space="0" w:color="auto"/>
              <w:left w:val="nil"/>
              <w:bottom w:val="single" w:sz="4" w:space="0" w:color="auto"/>
              <w:right w:val="single" w:sz="4" w:space="0" w:color="auto"/>
            </w:tcBorders>
            <w:shd w:val="clear" w:color="auto" w:fill="C6EFCE"/>
            <w:noWrap/>
            <w:hideMark/>
          </w:tcPr>
          <w:p w14:paraId="49F5CC9E"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Reform 1. Creating a new legal framework to prevent the separation of children from their families</w:t>
            </w:r>
          </w:p>
        </w:tc>
        <w:tc>
          <w:tcPr>
            <w:tcW w:w="1183" w:type="dxa"/>
            <w:tcBorders>
              <w:top w:val="single" w:sz="4" w:space="0" w:color="auto"/>
              <w:left w:val="nil"/>
              <w:bottom w:val="single" w:sz="4" w:space="0" w:color="auto"/>
              <w:right w:val="single" w:sz="4" w:space="0" w:color="auto"/>
            </w:tcBorders>
            <w:shd w:val="clear" w:color="auto" w:fill="C6EFCE"/>
            <w:noWrap/>
            <w:hideMark/>
          </w:tcPr>
          <w:p w14:paraId="75B79D17"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478" w:type="dxa"/>
            <w:tcBorders>
              <w:top w:val="single" w:sz="4" w:space="0" w:color="auto"/>
              <w:left w:val="nil"/>
              <w:bottom w:val="single" w:sz="4" w:space="0" w:color="auto"/>
              <w:right w:val="single" w:sz="4" w:space="0" w:color="auto"/>
            </w:tcBorders>
            <w:shd w:val="clear" w:color="auto" w:fill="C6EFCE"/>
            <w:noWrap/>
            <w:hideMark/>
          </w:tcPr>
          <w:p w14:paraId="20127770"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Entry into force of a legislative act necessary to prevent the separation of children from the family and support for vulnerable families</w:t>
            </w:r>
          </w:p>
        </w:tc>
        <w:tc>
          <w:tcPr>
            <w:tcW w:w="1842" w:type="dxa"/>
            <w:tcBorders>
              <w:top w:val="single" w:sz="4" w:space="0" w:color="auto"/>
              <w:left w:val="nil"/>
              <w:bottom w:val="single" w:sz="4" w:space="0" w:color="auto"/>
              <w:right w:val="single" w:sz="4" w:space="0" w:color="auto"/>
            </w:tcBorders>
            <w:shd w:val="clear" w:color="auto" w:fill="C6EFCE"/>
            <w:noWrap/>
            <w:hideMark/>
          </w:tcPr>
          <w:p w14:paraId="7F7CD5BB"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Provision in the law indicating the entry into force of legislative act necessary to prevent the separation of children from the family and support for vulnerable families</w:t>
            </w:r>
          </w:p>
        </w:tc>
        <w:tc>
          <w:tcPr>
            <w:tcW w:w="1265" w:type="dxa"/>
            <w:tcBorders>
              <w:top w:val="nil"/>
              <w:left w:val="nil"/>
              <w:bottom w:val="single" w:sz="4" w:space="0" w:color="auto"/>
              <w:right w:val="single" w:sz="4" w:space="0" w:color="auto"/>
            </w:tcBorders>
            <w:shd w:val="clear" w:color="auto" w:fill="C6EFCE"/>
            <w:noWrap/>
            <w:hideMark/>
          </w:tcPr>
          <w:p w14:paraId="73206329"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1145" w:type="dxa"/>
            <w:tcBorders>
              <w:top w:val="nil"/>
              <w:left w:val="nil"/>
              <w:bottom w:val="single" w:sz="4" w:space="0" w:color="auto"/>
              <w:right w:val="single" w:sz="4" w:space="0" w:color="auto"/>
            </w:tcBorders>
            <w:shd w:val="clear" w:color="auto" w:fill="C6EFCE"/>
            <w:noWrap/>
            <w:hideMark/>
          </w:tcPr>
          <w:p w14:paraId="3C892264"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851" w:type="dxa"/>
            <w:tcBorders>
              <w:top w:val="nil"/>
              <w:left w:val="nil"/>
              <w:bottom w:val="single" w:sz="4" w:space="0" w:color="auto"/>
              <w:right w:val="single" w:sz="4" w:space="0" w:color="auto"/>
            </w:tcBorders>
            <w:shd w:val="clear" w:color="auto" w:fill="C6EFCE"/>
            <w:noWrap/>
            <w:hideMark/>
          </w:tcPr>
          <w:p w14:paraId="73F931F6"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1242" w:type="dxa"/>
            <w:tcBorders>
              <w:top w:val="nil"/>
              <w:left w:val="nil"/>
              <w:bottom w:val="single" w:sz="4" w:space="0" w:color="auto"/>
              <w:right w:val="single" w:sz="4" w:space="0" w:color="auto"/>
            </w:tcBorders>
            <w:shd w:val="clear" w:color="auto" w:fill="C6EFCE"/>
            <w:noWrap/>
            <w:hideMark/>
          </w:tcPr>
          <w:p w14:paraId="39FEB031"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Q4</w:t>
            </w:r>
          </w:p>
        </w:tc>
        <w:tc>
          <w:tcPr>
            <w:tcW w:w="825" w:type="dxa"/>
            <w:tcBorders>
              <w:top w:val="nil"/>
              <w:left w:val="nil"/>
              <w:bottom w:val="single" w:sz="4" w:space="0" w:color="auto"/>
              <w:right w:val="single" w:sz="4" w:space="0" w:color="auto"/>
            </w:tcBorders>
            <w:shd w:val="clear" w:color="auto" w:fill="C6EFCE"/>
            <w:noWrap/>
            <w:hideMark/>
          </w:tcPr>
          <w:p w14:paraId="7ABA0B28"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2022</w:t>
            </w:r>
          </w:p>
        </w:tc>
        <w:tc>
          <w:tcPr>
            <w:tcW w:w="2693" w:type="dxa"/>
            <w:tcBorders>
              <w:top w:val="single" w:sz="4" w:space="0" w:color="auto"/>
              <w:left w:val="nil"/>
              <w:bottom w:val="single" w:sz="4" w:space="0" w:color="auto"/>
              <w:right w:val="single" w:sz="4" w:space="0" w:color="auto"/>
            </w:tcBorders>
            <w:shd w:val="clear" w:color="auto" w:fill="C6EFCE"/>
            <w:noWrap/>
            <w:hideMark/>
          </w:tcPr>
          <w:p w14:paraId="4E4B090C"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The new law shall create a framework to implement measures (including for example counselling and support for parents and children, day centres for children at risk of separation from parents, day centres for children with disabilities) to effectively prevent the separation of the child from the family and supporting the family in raising and caring for the child at risk of separation. The legislative act shall entail: </w:t>
            </w:r>
          </w:p>
          <w:p w14:paraId="2FA6F397" w14:textId="77777777" w:rsidR="00852517" w:rsidRPr="00C92F3A" w:rsidRDefault="00852517" w:rsidP="00852517">
            <w:pPr>
              <w:numPr>
                <w:ilvl w:val="0"/>
                <w:numId w:val="58"/>
              </w:numPr>
              <w:spacing w:before="120" w:after="0" w:line="240" w:lineRule="auto"/>
              <w:ind w:left="230" w:hanging="218"/>
              <w:contextualSpacing/>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an identified stable source of funding for the measures </w:t>
            </w:r>
          </w:p>
          <w:p w14:paraId="32DBC6B7" w14:textId="77777777" w:rsidR="00852517" w:rsidRPr="00C92F3A" w:rsidRDefault="00852517" w:rsidP="00852517">
            <w:pPr>
              <w:numPr>
                <w:ilvl w:val="0"/>
                <w:numId w:val="58"/>
              </w:numPr>
              <w:spacing w:before="120" w:after="0" w:line="240" w:lineRule="auto"/>
              <w:ind w:left="230" w:hanging="218"/>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a governance mechanism with clear responsibilities assigned for the public authorities at national and local level;</w:t>
            </w:r>
          </w:p>
          <w:p w14:paraId="346332AC" w14:textId="77777777" w:rsidR="00852517" w:rsidRPr="00C92F3A" w:rsidRDefault="00852517" w:rsidP="00852517">
            <w:pPr>
              <w:numPr>
                <w:ilvl w:val="0"/>
                <w:numId w:val="58"/>
              </w:numPr>
              <w:spacing w:before="120" w:after="0" w:line="240" w:lineRule="auto"/>
              <w:ind w:left="230" w:hanging="218"/>
              <w:contextualSpacing/>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a funding disbursement mechanism conditional on the achievement key performance indicators associated to the policy objectives.</w:t>
            </w:r>
          </w:p>
        </w:tc>
      </w:tr>
      <w:tr w:rsidR="00852517" w:rsidRPr="00C92F3A" w14:paraId="363E21F7" w14:textId="77777777" w:rsidTr="009A7C5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5E7A11A9" w14:textId="77777777" w:rsidR="00852517" w:rsidRPr="00C92F3A" w:rsidRDefault="00852517">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379</w:t>
            </w:r>
          </w:p>
        </w:tc>
        <w:tc>
          <w:tcPr>
            <w:tcW w:w="1875" w:type="dxa"/>
            <w:tcBorders>
              <w:top w:val="nil"/>
              <w:left w:val="nil"/>
              <w:bottom w:val="single" w:sz="4" w:space="0" w:color="auto"/>
              <w:right w:val="single" w:sz="4" w:space="0" w:color="auto"/>
            </w:tcBorders>
            <w:shd w:val="clear" w:color="auto" w:fill="C6EFCE"/>
            <w:noWrap/>
            <w:hideMark/>
          </w:tcPr>
          <w:p w14:paraId="0C046CBF"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Reform 1. Creating a new legal framework to prevent the separation of children from their families</w:t>
            </w:r>
          </w:p>
        </w:tc>
        <w:tc>
          <w:tcPr>
            <w:tcW w:w="1183" w:type="dxa"/>
            <w:tcBorders>
              <w:top w:val="nil"/>
              <w:left w:val="nil"/>
              <w:bottom w:val="single" w:sz="4" w:space="0" w:color="auto"/>
              <w:right w:val="single" w:sz="4" w:space="0" w:color="auto"/>
            </w:tcBorders>
            <w:shd w:val="clear" w:color="auto" w:fill="C6EFCE"/>
            <w:noWrap/>
            <w:hideMark/>
          </w:tcPr>
          <w:p w14:paraId="20CC8187"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Target</w:t>
            </w:r>
          </w:p>
        </w:tc>
        <w:tc>
          <w:tcPr>
            <w:tcW w:w="1478" w:type="dxa"/>
            <w:tcBorders>
              <w:top w:val="nil"/>
              <w:left w:val="nil"/>
              <w:bottom w:val="single" w:sz="4" w:space="0" w:color="auto"/>
              <w:right w:val="single" w:sz="4" w:space="0" w:color="auto"/>
            </w:tcBorders>
            <w:shd w:val="clear" w:color="auto" w:fill="C6EFCE"/>
            <w:noWrap/>
            <w:hideMark/>
          </w:tcPr>
          <w:p w14:paraId="6091DCFA"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Reducing the number of children entering the social protection system </w:t>
            </w:r>
          </w:p>
        </w:tc>
        <w:tc>
          <w:tcPr>
            <w:tcW w:w="1842" w:type="dxa"/>
            <w:tcBorders>
              <w:top w:val="nil"/>
              <w:left w:val="nil"/>
              <w:bottom w:val="single" w:sz="4" w:space="0" w:color="auto"/>
              <w:right w:val="single" w:sz="4" w:space="0" w:color="auto"/>
            </w:tcBorders>
            <w:shd w:val="clear" w:color="auto" w:fill="C6EFCE"/>
            <w:noWrap/>
            <w:hideMark/>
          </w:tcPr>
          <w:p w14:paraId="56D740DB"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eastAsia="en-GB"/>
              </w:rPr>
            </w:pPr>
          </w:p>
        </w:tc>
        <w:tc>
          <w:tcPr>
            <w:tcW w:w="1265" w:type="dxa"/>
            <w:tcBorders>
              <w:top w:val="nil"/>
              <w:left w:val="nil"/>
              <w:bottom w:val="single" w:sz="4" w:space="0" w:color="auto"/>
              <w:right w:val="single" w:sz="4" w:space="0" w:color="auto"/>
            </w:tcBorders>
            <w:shd w:val="clear" w:color="auto" w:fill="C6EFCE"/>
            <w:noWrap/>
            <w:hideMark/>
          </w:tcPr>
          <w:p w14:paraId="1ADFE9D4"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Number</w:t>
            </w:r>
          </w:p>
        </w:tc>
        <w:tc>
          <w:tcPr>
            <w:tcW w:w="1145" w:type="dxa"/>
            <w:tcBorders>
              <w:top w:val="nil"/>
              <w:left w:val="nil"/>
              <w:bottom w:val="single" w:sz="4" w:space="0" w:color="auto"/>
              <w:right w:val="single" w:sz="4" w:space="0" w:color="auto"/>
            </w:tcBorders>
            <w:shd w:val="clear" w:color="auto" w:fill="C6EFCE"/>
            <w:noWrap/>
            <w:hideMark/>
          </w:tcPr>
          <w:p w14:paraId="1B1A1C72" w14:textId="69A942A1"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12</w:t>
            </w:r>
            <w:r w:rsidR="007E3CE5" w:rsidRPr="00C92F3A">
              <w:rPr>
                <w:rFonts w:ascii="Times New Roman" w:hAnsi="Times New Roman" w:cs="Times New Roman"/>
                <w:noProof/>
                <w:sz w:val="20"/>
                <w:szCs w:val="20"/>
                <w:lang w:val="en-GB"/>
              </w:rPr>
              <w:t> </w:t>
            </w:r>
            <w:r w:rsidRPr="00C92F3A">
              <w:rPr>
                <w:rFonts w:ascii="Times New Roman" w:hAnsi="Times New Roman" w:cs="Times New Roman"/>
                <w:noProof/>
                <w:sz w:val="20"/>
                <w:szCs w:val="20"/>
                <w:lang w:val="en-GB"/>
              </w:rPr>
              <w:t>139</w:t>
            </w:r>
          </w:p>
        </w:tc>
        <w:tc>
          <w:tcPr>
            <w:tcW w:w="851" w:type="dxa"/>
            <w:tcBorders>
              <w:top w:val="nil"/>
              <w:left w:val="nil"/>
              <w:bottom w:val="single" w:sz="4" w:space="0" w:color="auto"/>
              <w:right w:val="single" w:sz="4" w:space="0" w:color="auto"/>
            </w:tcBorders>
            <w:shd w:val="clear" w:color="auto" w:fill="C6EFCE"/>
            <w:noWrap/>
            <w:hideMark/>
          </w:tcPr>
          <w:p w14:paraId="53C1FE41" w14:textId="20AD1062"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6</w:t>
            </w:r>
            <w:r w:rsidR="007E3CE5" w:rsidRPr="00C92F3A">
              <w:rPr>
                <w:rFonts w:ascii="Times New Roman" w:hAnsi="Times New Roman" w:cs="Times New Roman"/>
                <w:noProof/>
                <w:sz w:val="20"/>
                <w:szCs w:val="20"/>
                <w:lang w:val="en-GB"/>
              </w:rPr>
              <w:t> </w:t>
            </w:r>
            <w:r w:rsidRPr="00C92F3A">
              <w:rPr>
                <w:rFonts w:ascii="Times New Roman" w:hAnsi="Times New Roman" w:cs="Times New Roman"/>
                <w:noProof/>
                <w:sz w:val="20"/>
                <w:szCs w:val="20"/>
                <w:lang w:val="en-GB"/>
              </w:rPr>
              <w:t xml:space="preserve">100 </w:t>
            </w:r>
          </w:p>
        </w:tc>
        <w:tc>
          <w:tcPr>
            <w:tcW w:w="1242" w:type="dxa"/>
            <w:tcBorders>
              <w:top w:val="nil"/>
              <w:left w:val="nil"/>
              <w:bottom w:val="single" w:sz="4" w:space="0" w:color="auto"/>
              <w:right w:val="single" w:sz="4" w:space="0" w:color="auto"/>
            </w:tcBorders>
            <w:shd w:val="clear" w:color="auto" w:fill="C6EFCE"/>
            <w:noWrap/>
            <w:hideMark/>
          </w:tcPr>
          <w:p w14:paraId="5443F055"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Q1</w:t>
            </w:r>
          </w:p>
        </w:tc>
        <w:tc>
          <w:tcPr>
            <w:tcW w:w="825" w:type="dxa"/>
            <w:tcBorders>
              <w:top w:val="nil"/>
              <w:left w:val="nil"/>
              <w:bottom w:val="single" w:sz="4" w:space="0" w:color="auto"/>
              <w:right w:val="single" w:sz="4" w:space="0" w:color="auto"/>
            </w:tcBorders>
            <w:shd w:val="clear" w:color="auto" w:fill="C6EFCE"/>
            <w:noWrap/>
            <w:hideMark/>
          </w:tcPr>
          <w:p w14:paraId="4D67DC39"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2026</w:t>
            </w:r>
          </w:p>
        </w:tc>
        <w:tc>
          <w:tcPr>
            <w:tcW w:w="2693" w:type="dxa"/>
            <w:tcBorders>
              <w:top w:val="nil"/>
              <w:left w:val="nil"/>
              <w:bottom w:val="single" w:sz="4" w:space="0" w:color="auto"/>
              <w:right w:val="single" w:sz="4" w:space="0" w:color="auto"/>
            </w:tcBorders>
            <w:shd w:val="clear" w:color="auto" w:fill="C6EFCE"/>
            <w:noWrap/>
            <w:hideMark/>
          </w:tcPr>
          <w:p w14:paraId="24784D67" w14:textId="6687FCD5"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eastAsia="Times New Roman" w:hAnsi="Times New Roman" w:cs="Times New Roman"/>
                <w:noProof/>
                <w:sz w:val="20"/>
                <w:szCs w:val="20"/>
                <w:lang w:val="en-GB"/>
              </w:rPr>
              <w:t>The number of children entering the social protection system reduced by 6</w:t>
            </w:r>
            <w:r w:rsidR="007E3CE5" w:rsidRPr="00C92F3A">
              <w:rPr>
                <w:rFonts w:ascii="Times New Roman" w:eastAsia="Times New Roman" w:hAnsi="Times New Roman" w:cs="Times New Roman"/>
                <w:noProof/>
                <w:sz w:val="20"/>
                <w:szCs w:val="20"/>
                <w:lang w:val="en-GB"/>
              </w:rPr>
              <w:t> </w:t>
            </w:r>
            <w:r w:rsidRPr="00C92F3A">
              <w:rPr>
                <w:rFonts w:ascii="Times New Roman" w:eastAsia="Times New Roman" w:hAnsi="Times New Roman" w:cs="Times New Roman"/>
                <w:noProof/>
                <w:sz w:val="20"/>
                <w:szCs w:val="20"/>
                <w:lang w:val="en-GB"/>
              </w:rPr>
              <w:t>039 compared to 31.12.2020, according to data provided by the local authorities and verified by the National Authority for the Protection of Children’s Rights and Adoption (ANPDCA).</w:t>
            </w:r>
          </w:p>
        </w:tc>
      </w:tr>
      <w:tr w:rsidR="00852517" w:rsidRPr="00C92F3A" w14:paraId="799F547C" w14:textId="77777777" w:rsidTr="009A7C5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08A9C764" w14:textId="77777777" w:rsidR="00852517" w:rsidRPr="00C92F3A" w:rsidRDefault="00852517">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380</w:t>
            </w:r>
          </w:p>
        </w:tc>
        <w:tc>
          <w:tcPr>
            <w:tcW w:w="1875" w:type="dxa"/>
            <w:tcBorders>
              <w:top w:val="nil"/>
              <w:left w:val="nil"/>
              <w:bottom w:val="single" w:sz="4" w:space="0" w:color="auto"/>
              <w:right w:val="single" w:sz="4" w:space="0" w:color="auto"/>
            </w:tcBorders>
            <w:shd w:val="clear" w:color="auto" w:fill="C6EFCE"/>
            <w:noWrap/>
          </w:tcPr>
          <w:p w14:paraId="745305D1"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Reform 2. Reform of the protection system for adults with disabilities </w:t>
            </w:r>
          </w:p>
        </w:tc>
        <w:tc>
          <w:tcPr>
            <w:tcW w:w="1183" w:type="dxa"/>
            <w:tcBorders>
              <w:top w:val="nil"/>
              <w:left w:val="nil"/>
              <w:bottom w:val="single" w:sz="4" w:space="0" w:color="auto"/>
              <w:right w:val="single" w:sz="4" w:space="0" w:color="auto"/>
            </w:tcBorders>
            <w:shd w:val="clear" w:color="auto" w:fill="C6EFCE"/>
            <w:noWrap/>
          </w:tcPr>
          <w:p w14:paraId="30130F80"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478" w:type="dxa"/>
            <w:tcBorders>
              <w:top w:val="nil"/>
              <w:left w:val="nil"/>
              <w:bottom w:val="single" w:sz="4" w:space="0" w:color="auto"/>
              <w:right w:val="single" w:sz="4" w:space="0" w:color="auto"/>
            </w:tcBorders>
            <w:shd w:val="clear" w:color="auto" w:fill="C6EFCE"/>
            <w:noWrap/>
          </w:tcPr>
          <w:p w14:paraId="66465C9E"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Entry into force of the law for the implementation and operationalisation of the Guide to Accelerating the De-institutiona-lisation Process </w:t>
            </w:r>
          </w:p>
        </w:tc>
        <w:tc>
          <w:tcPr>
            <w:tcW w:w="1842" w:type="dxa"/>
            <w:tcBorders>
              <w:top w:val="nil"/>
              <w:left w:val="nil"/>
              <w:bottom w:val="single" w:sz="4" w:space="0" w:color="auto"/>
              <w:right w:val="single" w:sz="4" w:space="0" w:color="auto"/>
            </w:tcBorders>
            <w:shd w:val="clear" w:color="auto" w:fill="C6EFCE"/>
            <w:noWrap/>
          </w:tcPr>
          <w:p w14:paraId="345BFF4D"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Provision in the law indicating the entry into force of the legislative act </w:t>
            </w:r>
          </w:p>
        </w:tc>
        <w:tc>
          <w:tcPr>
            <w:tcW w:w="1265" w:type="dxa"/>
            <w:tcBorders>
              <w:top w:val="nil"/>
              <w:left w:val="nil"/>
              <w:bottom w:val="single" w:sz="4" w:space="0" w:color="auto"/>
              <w:right w:val="single" w:sz="4" w:space="0" w:color="auto"/>
            </w:tcBorders>
            <w:shd w:val="clear" w:color="auto" w:fill="C6EFCE"/>
            <w:noWrap/>
          </w:tcPr>
          <w:p w14:paraId="485E0803"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1145" w:type="dxa"/>
            <w:tcBorders>
              <w:top w:val="nil"/>
              <w:left w:val="nil"/>
              <w:bottom w:val="single" w:sz="4" w:space="0" w:color="auto"/>
              <w:right w:val="single" w:sz="4" w:space="0" w:color="auto"/>
            </w:tcBorders>
            <w:shd w:val="clear" w:color="auto" w:fill="C6EFCE"/>
            <w:noWrap/>
          </w:tcPr>
          <w:p w14:paraId="5A66292A"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851" w:type="dxa"/>
            <w:tcBorders>
              <w:top w:val="nil"/>
              <w:left w:val="nil"/>
              <w:bottom w:val="single" w:sz="4" w:space="0" w:color="auto"/>
              <w:right w:val="single" w:sz="4" w:space="0" w:color="auto"/>
            </w:tcBorders>
            <w:shd w:val="clear" w:color="auto" w:fill="C6EFCE"/>
            <w:noWrap/>
          </w:tcPr>
          <w:p w14:paraId="1C461470"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1242" w:type="dxa"/>
            <w:tcBorders>
              <w:top w:val="nil"/>
              <w:left w:val="nil"/>
              <w:bottom w:val="single" w:sz="4" w:space="0" w:color="auto"/>
              <w:right w:val="single" w:sz="4" w:space="0" w:color="auto"/>
            </w:tcBorders>
            <w:shd w:val="clear" w:color="auto" w:fill="C6EFCE"/>
            <w:noWrap/>
          </w:tcPr>
          <w:p w14:paraId="478AE0E8"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Q4</w:t>
            </w:r>
          </w:p>
        </w:tc>
        <w:tc>
          <w:tcPr>
            <w:tcW w:w="825" w:type="dxa"/>
            <w:tcBorders>
              <w:top w:val="nil"/>
              <w:left w:val="nil"/>
              <w:bottom w:val="single" w:sz="4" w:space="0" w:color="auto"/>
              <w:right w:val="single" w:sz="4" w:space="0" w:color="auto"/>
            </w:tcBorders>
            <w:shd w:val="clear" w:color="auto" w:fill="C6EFCE"/>
            <w:noWrap/>
          </w:tcPr>
          <w:p w14:paraId="35E3046A"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2022</w:t>
            </w:r>
          </w:p>
        </w:tc>
        <w:tc>
          <w:tcPr>
            <w:tcW w:w="2693" w:type="dxa"/>
            <w:tcBorders>
              <w:top w:val="nil"/>
              <w:left w:val="nil"/>
              <w:bottom w:val="single" w:sz="4" w:space="0" w:color="auto"/>
              <w:right w:val="single" w:sz="4" w:space="0" w:color="auto"/>
            </w:tcBorders>
            <w:shd w:val="clear" w:color="auto" w:fill="C6EFCE"/>
            <w:noWrap/>
          </w:tcPr>
          <w:p w14:paraId="612D3212"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Entry into force of the law for the implementation and operationalisation of the Guide to Accelerating the De-institutionalisation Process, of all persons with a disability currently institutionalised so that an “independent living pathway” is defined for each person, and done based on case management approach. The guide to accelerating the de-institutionalization process will be an annex to the National Strategy, both of them being approved through a Government’s Decision.</w:t>
            </w:r>
          </w:p>
          <w:p w14:paraId="1DE6B508"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The legislative act shall equally entail: </w:t>
            </w:r>
          </w:p>
          <w:p w14:paraId="36BBBB3D" w14:textId="77777777" w:rsidR="00852517" w:rsidRPr="00C92F3A" w:rsidRDefault="00852517" w:rsidP="00852517">
            <w:pPr>
              <w:numPr>
                <w:ilvl w:val="0"/>
                <w:numId w:val="58"/>
              </w:numPr>
              <w:spacing w:before="120" w:after="0" w:line="240" w:lineRule="auto"/>
              <w:ind w:left="230" w:hanging="218"/>
              <w:contextualSpacing/>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an identified stable source of funding for the measures planned in the guideline </w:t>
            </w:r>
          </w:p>
          <w:p w14:paraId="5B0AEA00" w14:textId="77777777" w:rsidR="00852517" w:rsidRPr="00C92F3A" w:rsidRDefault="00852517" w:rsidP="00852517">
            <w:pPr>
              <w:numPr>
                <w:ilvl w:val="0"/>
                <w:numId w:val="58"/>
              </w:numPr>
              <w:spacing w:before="120" w:after="0" w:line="240" w:lineRule="auto"/>
              <w:ind w:left="230" w:hanging="218"/>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a governance mechanism with clear responsibilities assigned for the public authorities at national and local level;</w:t>
            </w:r>
          </w:p>
          <w:p w14:paraId="4CBFEFD8" w14:textId="77777777" w:rsidR="00852517" w:rsidRPr="00C92F3A" w:rsidRDefault="00852517" w:rsidP="00852517">
            <w:pPr>
              <w:numPr>
                <w:ilvl w:val="0"/>
                <w:numId w:val="58"/>
              </w:numPr>
              <w:spacing w:before="120" w:after="0" w:line="240" w:lineRule="auto"/>
              <w:ind w:left="230" w:hanging="218"/>
              <w:contextualSpacing/>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a funding disbursement mechanism conditional on the achievement of key performance indicators associated to the policy objectives. </w:t>
            </w:r>
          </w:p>
          <w:p w14:paraId="7A61163E"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The legislative act shall be based on a full mapping of the individual situation of all persons with a disability and currently institutionalized in Romania.</w:t>
            </w:r>
          </w:p>
        </w:tc>
      </w:tr>
      <w:tr w:rsidR="00852517" w:rsidRPr="00C92F3A" w14:paraId="7ABFBE0C" w14:textId="77777777" w:rsidTr="009A7C5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707924EF" w14:textId="77777777" w:rsidR="00852517" w:rsidRPr="00C92F3A" w:rsidRDefault="00852517">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381</w:t>
            </w:r>
          </w:p>
        </w:tc>
        <w:tc>
          <w:tcPr>
            <w:tcW w:w="1875" w:type="dxa"/>
            <w:tcBorders>
              <w:top w:val="nil"/>
              <w:left w:val="nil"/>
              <w:bottom w:val="single" w:sz="4" w:space="0" w:color="auto"/>
              <w:right w:val="single" w:sz="4" w:space="0" w:color="auto"/>
            </w:tcBorders>
            <w:shd w:val="clear" w:color="auto" w:fill="C6EFCE"/>
            <w:noWrap/>
          </w:tcPr>
          <w:p w14:paraId="728AE9D2"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Reform 2. Reform of the protection system for adults with disabilities </w:t>
            </w:r>
          </w:p>
        </w:tc>
        <w:tc>
          <w:tcPr>
            <w:tcW w:w="1183" w:type="dxa"/>
            <w:tcBorders>
              <w:top w:val="nil"/>
              <w:left w:val="nil"/>
              <w:bottom w:val="single" w:sz="4" w:space="0" w:color="auto"/>
              <w:right w:val="single" w:sz="4" w:space="0" w:color="auto"/>
            </w:tcBorders>
            <w:shd w:val="clear" w:color="auto" w:fill="C6EFCE"/>
            <w:noWrap/>
          </w:tcPr>
          <w:p w14:paraId="56390703"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478" w:type="dxa"/>
            <w:tcBorders>
              <w:top w:val="nil"/>
              <w:left w:val="nil"/>
              <w:bottom w:val="single" w:sz="4" w:space="0" w:color="auto"/>
              <w:right w:val="single" w:sz="4" w:space="0" w:color="auto"/>
            </w:tcBorders>
            <w:shd w:val="clear" w:color="auto" w:fill="C6EFCE"/>
            <w:noWrap/>
          </w:tcPr>
          <w:p w14:paraId="64CEE351"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Entry into force of the law to support the implementation of the adopted national strategy for the prevention of institutio-nalisation </w:t>
            </w:r>
          </w:p>
        </w:tc>
        <w:tc>
          <w:tcPr>
            <w:tcW w:w="1842" w:type="dxa"/>
            <w:tcBorders>
              <w:top w:val="nil"/>
              <w:left w:val="nil"/>
              <w:bottom w:val="single" w:sz="4" w:space="0" w:color="auto"/>
              <w:right w:val="single" w:sz="4" w:space="0" w:color="auto"/>
            </w:tcBorders>
            <w:shd w:val="clear" w:color="auto" w:fill="C6EFCE"/>
            <w:noWrap/>
          </w:tcPr>
          <w:p w14:paraId="6FF38379"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Provision in the law indicating the entry into force of the legislative act for supporting the implementation of the adopted national strategy for the prevention of institutionali-sation</w:t>
            </w:r>
          </w:p>
        </w:tc>
        <w:tc>
          <w:tcPr>
            <w:tcW w:w="1265" w:type="dxa"/>
            <w:tcBorders>
              <w:top w:val="nil"/>
              <w:left w:val="nil"/>
              <w:bottom w:val="single" w:sz="4" w:space="0" w:color="auto"/>
              <w:right w:val="single" w:sz="4" w:space="0" w:color="auto"/>
            </w:tcBorders>
            <w:shd w:val="clear" w:color="auto" w:fill="C6EFCE"/>
            <w:noWrap/>
          </w:tcPr>
          <w:p w14:paraId="6C07AC1F"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1145" w:type="dxa"/>
            <w:tcBorders>
              <w:top w:val="nil"/>
              <w:left w:val="nil"/>
              <w:bottom w:val="single" w:sz="4" w:space="0" w:color="auto"/>
              <w:right w:val="single" w:sz="4" w:space="0" w:color="auto"/>
            </w:tcBorders>
            <w:shd w:val="clear" w:color="auto" w:fill="C6EFCE"/>
            <w:noWrap/>
          </w:tcPr>
          <w:p w14:paraId="7D630224"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851" w:type="dxa"/>
            <w:tcBorders>
              <w:top w:val="nil"/>
              <w:left w:val="nil"/>
              <w:bottom w:val="single" w:sz="4" w:space="0" w:color="auto"/>
              <w:right w:val="single" w:sz="4" w:space="0" w:color="auto"/>
            </w:tcBorders>
            <w:shd w:val="clear" w:color="auto" w:fill="C6EFCE"/>
            <w:noWrap/>
          </w:tcPr>
          <w:p w14:paraId="5A561A09"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1242" w:type="dxa"/>
            <w:tcBorders>
              <w:top w:val="nil"/>
              <w:left w:val="nil"/>
              <w:bottom w:val="single" w:sz="4" w:space="0" w:color="auto"/>
              <w:right w:val="single" w:sz="4" w:space="0" w:color="auto"/>
            </w:tcBorders>
            <w:shd w:val="clear" w:color="auto" w:fill="C6EFCE"/>
            <w:noWrap/>
          </w:tcPr>
          <w:p w14:paraId="3431A7F5"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Q4</w:t>
            </w:r>
          </w:p>
        </w:tc>
        <w:tc>
          <w:tcPr>
            <w:tcW w:w="825" w:type="dxa"/>
            <w:tcBorders>
              <w:top w:val="nil"/>
              <w:left w:val="nil"/>
              <w:bottom w:val="single" w:sz="4" w:space="0" w:color="auto"/>
              <w:right w:val="single" w:sz="4" w:space="0" w:color="auto"/>
            </w:tcBorders>
            <w:shd w:val="clear" w:color="auto" w:fill="C6EFCE"/>
            <w:noWrap/>
          </w:tcPr>
          <w:p w14:paraId="70052FED"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2022</w:t>
            </w:r>
          </w:p>
        </w:tc>
        <w:tc>
          <w:tcPr>
            <w:tcW w:w="2693" w:type="dxa"/>
            <w:tcBorders>
              <w:top w:val="nil"/>
              <w:left w:val="nil"/>
              <w:bottom w:val="single" w:sz="4" w:space="0" w:color="auto"/>
              <w:right w:val="single" w:sz="4" w:space="0" w:color="auto"/>
            </w:tcBorders>
            <w:shd w:val="clear" w:color="auto" w:fill="C6EFCE"/>
            <w:noWrap/>
          </w:tcPr>
          <w:p w14:paraId="120C93B5"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Entry into force of the law to support the implementation of the adopted National Strategy for Preventing Institutionalisation that provides measures for an “independent living pathway” for the majority of persons with a disability and currently institutionalised. The legislative act shall entail: </w:t>
            </w:r>
          </w:p>
          <w:p w14:paraId="078B3CEE" w14:textId="77777777" w:rsidR="00852517" w:rsidRPr="00C92F3A" w:rsidRDefault="00852517" w:rsidP="00852517">
            <w:pPr>
              <w:numPr>
                <w:ilvl w:val="0"/>
                <w:numId w:val="58"/>
              </w:numPr>
              <w:spacing w:before="120" w:after="0" w:line="240" w:lineRule="auto"/>
              <w:ind w:left="230" w:hanging="218"/>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an identified stable source of funding for the measures planned;</w:t>
            </w:r>
          </w:p>
          <w:p w14:paraId="03AD3674" w14:textId="77777777" w:rsidR="00852517" w:rsidRPr="00C92F3A" w:rsidRDefault="00852517" w:rsidP="00852517">
            <w:pPr>
              <w:numPr>
                <w:ilvl w:val="0"/>
                <w:numId w:val="58"/>
              </w:numPr>
              <w:spacing w:before="120" w:after="0" w:line="240" w:lineRule="auto"/>
              <w:ind w:left="230" w:hanging="218"/>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a governance mechanism with clear responsibilities assigned for the public authorities at national and local level;</w:t>
            </w:r>
          </w:p>
          <w:p w14:paraId="270EB844" w14:textId="77777777" w:rsidR="00852517" w:rsidRPr="00C92F3A" w:rsidRDefault="00852517" w:rsidP="00852517">
            <w:pPr>
              <w:numPr>
                <w:ilvl w:val="0"/>
                <w:numId w:val="58"/>
              </w:numPr>
              <w:spacing w:before="120" w:after="0" w:line="240" w:lineRule="auto"/>
              <w:ind w:left="230" w:hanging="218"/>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a funding disbursement mechanism conditional on the achievement of key performance indicators associated to the policy objectives.</w:t>
            </w:r>
          </w:p>
        </w:tc>
      </w:tr>
      <w:tr w:rsidR="00852517" w:rsidRPr="00C92F3A" w14:paraId="5303EB60" w14:textId="77777777" w:rsidTr="009A7C5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28EADF27" w14:textId="77777777" w:rsidR="00852517" w:rsidRPr="00C92F3A" w:rsidRDefault="00852517">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383</w:t>
            </w:r>
          </w:p>
        </w:tc>
        <w:tc>
          <w:tcPr>
            <w:tcW w:w="1875" w:type="dxa"/>
            <w:tcBorders>
              <w:top w:val="nil"/>
              <w:left w:val="nil"/>
              <w:bottom w:val="single" w:sz="4" w:space="0" w:color="auto"/>
              <w:right w:val="single" w:sz="4" w:space="0" w:color="auto"/>
            </w:tcBorders>
            <w:shd w:val="clear" w:color="auto" w:fill="C6EFCE"/>
            <w:noWrap/>
          </w:tcPr>
          <w:p w14:paraId="557F9A55"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Reform 2. Reform of the protection system for adults with disabilities </w:t>
            </w:r>
          </w:p>
        </w:tc>
        <w:tc>
          <w:tcPr>
            <w:tcW w:w="1183" w:type="dxa"/>
            <w:tcBorders>
              <w:top w:val="nil"/>
              <w:left w:val="nil"/>
              <w:bottom w:val="single" w:sz="4" w:space="0" w:color="auto"/>
              <w:right w:val="single" w:sz="4" w:space="0" w:color="auto"/>
            </w:tcBorders>
            <w:shd w:val="clear" w:color="auto" w:fill="C6EFCE"/>
            <w:noWrap/>
          </w:tcPr>
          <w:p w14:paraId="1B508D71"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Target</w:t>
            </w:r>
          </w:p>
        </w:tc>
        <w:tc>
          <w:tcPr>
            <w:tcW w:w="1478" w:type="dxa"/>
            <w:tcBorders>
              <w:top w:val="nil"/>
              <w:left w:val="nil"/>
              <w:bottom w:val="single" w:sz="4" w:space="0" w:color="auto"/>
              <w:right w:val="single" w:sz="4" w:space="0" w:color="auto"/>
            </w:tcBorders>
            <w:shd w:val="clear" w:color="auto" w:fill="C6EFCE"/>
            <w:noWrap/>
          </w:tcPr>
          <w:p w14:paraId="7C4EE45D" w14:textId="0E3DC235"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Persons with disabilities deinstitutionalised</w:t>
            </w:r>
          </w:p>
        </w:tc>
        <w:tc>
          <w:tcPr>
            <w:tcW w:w="1842" w:type="dxa"/>
            <w:tcBorders>
              <w:top w:val="nil"/>
              <w:left w:val="nil"/>
              <w:bottom w:val="single" w:sz="4" w:space="0" w:color="auto"/>
              <w:right w:val="single" w:sz="4" w:space="0" w:color="auto"/>
            </w:tcBorders>
            <w:shd w:val="clear" w:color="auto" w:fill="C6EFCE"/>
            <w:noWrap/>
          </w:tcPr>
          <w:p w14:paraId="799BCC73"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1265" w:type="dxa"/>
            <w:tcBorders>
              <w:top w:val="nil"/>
              <w:left w:val="nil"/>
              <w:bottom w:val="single" w:sz="4" w:space="0" w:color="auto"/>
              <w:right w:val="single" w:sz="4" w:space="0" w:color="auto"/>
            </w:tcBorders>
            <w:shd w:val="clear" w:color="auto" w:fill="C6EFCE"/>
            <w:noWrap/>
          </w:tcPr>
          <w:p w14:paraId="68FF63F7"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Number</w:t>
            </w:r>
          </w:p>
        </w:tc>
        <w:tc>
          <w:tcPr>
            <w:tcW w:w="1145" w:type="dxa"/>
            <w:tcBorders>
              <w:top w:val="nil"/>
              <w:left w:val="nil"/>
              <w:bottom w:val="single" w:sz="4" w:space="0" w:color="auto"/>
              <w:right w:val="single" w:sz="4" w:space="0" w:color="auto"/>
            </w:tcBorders>
            <w:shd w:val="clear" w:color="auto" w:fill="C6EFCE"/>
            <w:noWrap/>
          </w:tcPr>
          <w:p w14:paraId="28AAF53D"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0</w:t>
            </w:r>
          </w:p>
        </w:tc>
        <w:tc>
          <w:tcPr>
            <w:tcW w:w="851" w:type="dxa"/>
            <w:tcBorders>
              <w:top w:val="nil"/>
              <w:left w:val="nil"/>
              <w:bottom w:val="single" w:sz="4" w:space="0" w:color="auto"/>
              <w:right w:val="single" w:sz="4" w:space="0" w:color="auto"/>
            </w:tcBorders>
            <w:shd w:val="clear" w:color="auto" w:fill="C6EFCE"/>
            <w:noWrap/>
          </w:tcPr>
          <w:p w14:paraId="418EFE53" w14:textId="0E8F07A9" w:rsidR="00852517" w:rsidRPr="00C92F3A" w:rsidRDefault="00852517">
            <w:pPr>
              <w:spacing w:after="0" w:line="240" w:lineRule="auto"/>
              <w:jc w:val="both"/>
              <w:rPr>
                <w:rFonts w:ascii="Times New Roman" w:hAnsi="Times New Roman" w:cs="Times New Roman"/>
                <w:noProof/>
                <w:sz w:val="20"/>
                <w:szCs w:val="20"/>
                <w:highlight w:val="yellow"/>
                <w:lang w:val="en-GB"/>
              </w:rPr>
            </w:pPr>
            <w:r w:rsidRPr="00C92F3A">
              <w:rPr>
                <w:rFonts w:ascii="Times New Roman" w:hAnsi="Times New Roman" w:cs="Times New Roman"/>
                <w:noProof/>
                <w:sz w:val="20"/>
                <w:szCs w:val="20"/>
                <w:lang w:val="en-GB"/>
              </w:rPr>
              <w:t>4</w:t>
            </w:r>
            <w:r w:rsidR="007E3CE5" w:rsidRPr="00C92F3A">
              <w:rPr>
                <w:rFonts w:ascii="Times New Roman" w:hAnsi="Times New Roman" w:cs="Times New Roman"/>
                <w:noProof/>
                <w:sz w:val="20"/>
                <w:szCs w:val="20"/>
                <w:lang w:val="en-GB"/>
              </w:rPr>
              <w:t> </w:t>
            </w:r>
            <w:r w:rsidRPr="00C92F3A">
              <w:rPr>
                <w:rFonts w:ascii="Times New Roman" w:hAnsi="Times New Roman" w:cs="Times New Roman"/>
                <w:noProof/>
                <w:sz w:val="20"/>
                <w:szCs w:val="20"/>
                <w:lang w:val="en-GB"/>
              </w:rPr>
              <w:t>000</w:t>
            </w:r>
          </w:p>
        </w:tc>
        <w:tc>
          <w:tcPr>
            <w:tcW w:w="1242" w:type="dxa"/>
            <w:tcBorders>
              <w:top w:val="nil"/>
              <w:left w:val="nil"/>
              <w:bottom w:val="single" w:sz="4" w:space="0" w:color="auto"/>
              <w:right w:val="single" w:sz="4" w:space="0" w:color="auto"/>
            </w:tcBorders>
            <w:shd w:val="clear" w:color="auto" w:fill="C6EFCE"/>
            <w:noWrap/>
          </w:tcPr>
          <w:p w14:paraId="25BF95D6"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Q2</w:t>
            </w:r>
          </w:p>
        </w:tc>
        <w:tc>
          <w:tcPr>
            <w:tcW w:w="825" w:type="dxa"/>
            <w:tcBorders>
              <w:top w:val="nil"/>
              <w:left w:val="nil"/>
              <w:bottom w:val="single" w:sz="4" w:space="0" w:color="auto"/>
              <w:right w:val="single" w:sz="4" w:space="0" w:color="auto"/>
            </w:tcBorders>
            <w:shd w:val="clear" w:color="auto" w:fill="C6EFCE"/>
            <w:noWrap/>
          </w:tcPr>
          <w:p w14:paraId="41E40ADC"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2026</w:t>
            </w:r>
          </w:p>
        </w:tc>
        <w:tc>
          <w:tcPr>
            <w:tcW w:w="2693" w:type="dxa"/>
            <w:tcBorders>
              <w:top w:val="nil"/>
              <w:left w:val="nil"/>
              <w:bottom w:val="single" w:sz="4" w:space="0" w:color="auto"/>
              <w:right w:val="single" w:sz="4" w:space="0" w:color="auto"/>
            </w:tcBorders>
            <w:shd w:val="clear" w:color="auto" w:fill="C6EFCE"/>
            <w:noWrap/>
          </w:tcPr>
          <w:p w14:paraId="648164C6" w14:textId="202585A9"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4</w:t>
            </w:r>
            <w:r w:rsidR="007E3CE5" w:rsidRPr="00C92F3A">
              <w:rPr>
                <w:rFonts w:ascii="Times New Roman" w:hAnsi="Times New Roman" w:cs="Times New Roman"/>
                <w:noProof/>
                <w:sz w:val="20"/>
                <w:szCs w:val="20"/>
                <w:lang w:val="en-GB"/>
              </w:rPr>
              <w:t> </w:t>
            </w:r>
            <w:r w:rsidRPr="00C92F3A">
              <w:rPr>
                <w:rFonts w:ascii="Times New Roman" w:hAnsi="Times New Roman" w:cs="Times New Roman"/>
                <w:noProof/>
                <w:sz w:val="20"/>
                <w:szCs w:val="20"/>
                <w:lang w:val="en-GB"/>
              </w:rPr>
              <w:t>000 persons with disabilities deinstitutionalised compared to 31.12.2020,</w:t>
            </w:r>
            <w:r w:rsidRPr="00C92F3A">
              <w:rPr>
                <w:rFonts w:ascii="Times New Roman" w:eastAsia="Segoe UI" w:hAnsi="Times New Roman" w:cs="Times New Roman"/>
                <w:i/>
                <w:iCs/>
                <w:noProof/>
                <w:color w:val="242424"/>
                <w:sz w:val="20"/>
                <w:szCs w:val="20"/>
                <w:lang w:val="en-GB"/>
              </w:rPr>
              <w:t xml:space="preserve"> </w:t>
            </w:r>
            <w:r w:rsidRPr="00C92F3A">
              <w:rPr>
                <w:rFonts w:ascii="Times New Roman" w:eastAsia="Times New Roman" w:hAnsi="Times New Roman" w:cs="Times New Roman"/>
                <w:noProof/>
                <w:color w:val="242424"/>
                <w:sz w:val="20"/>
                <w:szCs w:val="20"/>
                <w:lang w:val="en-GB"/>
              </w:rPr>
              <w:t>according to the data provided by the local authorities and verified by the National Authority for the Protection of Rights of Persons with Disabilities (ANPDPD)</w:t>
            </w:r>
            <w:r w:rsidRPr="00C92F3A">
              <w:rPr>
                <w:rFonts w:ascii="Times New Roman" w:hAnsi="Times New Roman" w:cs="Times New Roman"/>
                <w:noProof/>
                <w:sz w:val="20"/>
                <w:szCs w:val="20"/>
                <w:lang w:val="en-GB"/>
              </w:rPr>
              <w:t>.</w:t>
            </w:r>
          </w:p>
        </w:tc>
      </w:tr>
      <w:tr w:rsidR="00852517" w:rsidRPr="00C92F3A" w14:paraId="7C42D893" w14:textId="77777777" w:rsidTr="009A7C5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5869ADD8" w14:textId="77777777" w:rsidR="00852517" w:rsidRPr="00C92F3A" w:rsidRDefault="00852517">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384</w:t>
            </w:r>
          </w:p>
        </w:tc>
        <w:tc>
          <w:tcPr>
            <w:tcW w:w="1875" w:type="dxa"/>
            <w:tcBorders>
              <w:top w:val="nil"/>
              <w:left w:val="nil"/>
              <w:bottom w:val="single" w:sz="4" w:space="0" w:color="auto"/>
              <w:right w:val="single" w:sz="4" w:space="0" w:color="auto"/>
            </w:tcBorders>
            <w:shd w:val="clear" w:color="auto" w:fill="C6EFCE"/>
            <w:noWrap/>
          </w:tcPr>
          <w:p w14:paraId="693F2DDA"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Reform 3. Provision of the Minimum Inclusion Income (VMI)</w:t>
            </w:r>
          </w:p>
        </w:tc>
        <w:tc>
          <w:tcPr>
            <w:tcW w:w="1183" w:type="dxa"/>
            <w:tcBorders>
              <w:top w:val="nil"/>
              <w:left w:val="nil"/>
              <w:bottom w:val="single" w:sz="4" w:space="0" w:color="auto"/>
              <w:right w:val="single" w:sz="4" w:space="0" w:color="auto"/>
            </w:tcBorders>
            <w:shd w:val="clear" w:color="auto" w:fill="C6EFCE"/>
            <w:noWrap/>
          </w:tcPr>
          <w:p w14:paraId="37CF0419"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478" w:type="dxa"/>
            <w:tcBorders>
              <w:top w:val="nil"/>
              <w:left w:val="nil"/>
              <w:bottom w:val="single" w:sz="4" w:space="0" w:color="auto"/>
              <w:right w:val="single" w:sz="4" w:space="0" w:color="auto"/>
            </w:tcBorders>
            <w:shd w:val="clear" w:color="auto" w:fill="C6EFCE"/>
            <w:noWrap/>
          </w:tcPr>
          <w:p w14:paraId="1BDD0F3F"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Entry into force of the legislation approving the implementing rules for the application of VMI </w:t>
            </w:r>
          </w:p>
        </w:tc>
        <w:tc>
          <w:tcPr>
            <w:tcW w:w="1842" w:type="dxa"/>
            <w:tcBorders>
              <w:top w:val="nil"/>
              <w:left w:val="nil"/>
              <w:bottom w:val="single" w:sz="4" w:space="0" w:color="auto"/>
              <w:right w:val="single" w:sz="4" w:space="0" w:color="auto"/>
            </w:tcBorders>
            <w:shd w:val="clear" w:color="auto" w:fill="C6EFCE"/>
            <w:noWrap/>
          </w:tcPr>
          <w:p w14:paraId="0A9EA767"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Provision in the legislation indicating the implementing rules for the application of VMI</w:t>
            </w:r>
          </w:p>
        </w:tc>
        <w:tc>
          <w:tcPr>
            <w:tcW w:w="1265" w:type="dxa"/>
            <w:tcBorders>
              <w:top w:val="nil"/>
              <w:left w:val="nil"/>
              <w:bottom w:val="single" w:sz="4" w:space="0" w:color="auto"/>
              <w:right w:val="single" w:sz="4" w:space="0" w:color="auto"/>
            </w:tcBorders>
            <w:shd w:val="clear" w:color="auto" w:fill="C6EFCE"/>
            <w:noWrap/>
          </w:tcPr>
          <w:p w14:paraId="0388C0C9"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1145" w:type="dxa"/>
            <w:tcBorders>
              <w:top w:val="nil"/>
              <w:left w:val="nil"/>
              <w:bottom w:val="single" w:sz="4" w:space="0" w:color="auto"/>
              <w:right w:val="single" w:sz="4" w:space="0" w:color="auto"/>
            </w:tcBorders>
            <w:shd w:val="clear" w:color="auto" w:fill="C6EFCE"/>
            <w:noWrap/>
          </w:tcPr>
          <w:p w14:paraId="3058927F"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851" w:type="dxa"/>
            <w:tcBorders>
              <w:top w:val="nil"/>
              <w:left w:val="nil"/>
              <w:bottom w:val="single" w:sz="4" w:space="0" w:color="auto"/>
              <w:right w:val="single" w:sz="4" w:space="0" w:color="auto"/>
            </w:tcBorders>
            <w:shd w:val="clear" w:color="auto" w:fill="C6EFCE"/>
            <w:noWrap/>
          </w:tcPr>
          <w:p w14:paraId="50F8E3CF"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1242" w:type="dxa"/>
            <w:tcBorders>
              <w:top w:val="nil"/>
              <w:left w:val="nil"/>
              <w:bottom w:val="single" w:sz="4" w:space="0" w:color="auto"/>
              <w:right w:val="single" w:sz="4" w:space="0" w:color="auto"/>
            </w:tcBorders>
            <w:shd w:val="clear" w:color="auto" w:fill="C6EFCE"/>
            <w:noWrap/>
          </w:tcPr>
          <w:p w14:paraId="77485596"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Q3</w:t>
            </w:r>
          </w:p>
        </w:tc>
        <w:tc>
          <w:tcPr>
            <w:tcW w:w="825" w:type="dxa"/>
            <w:tcBorders>
              <w:top w:val="nil"/>
              <w:left w:val="nil"/>
              <w:bottom w:val="single" w:sz="4" w:space="0" w:color="auto"/>
              <w:right w:val="single" w:sz="4" w:space="0" w:color="auto"/>
            </w:tcBorders>
            <w:shd w:val="clear" w:color="auto" w:fill="C6EFCE"/>
            <w:noWrap/>
          </w:tcPr>
          <w:p w14:paraId="2D085015"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2022</w:t>
            </w:r>
          </w:p>
        </w:tc>
        <w:tc>
          <w:tcPr>
            <w:tcW w:w="2693" w:type="dxa"/>
            <w:tcBorders>
              <w:top w:val="nil"/>
              <w:left w:val="nil"/>
              <w:bottom w:val="single" w:sz="4" w:space="0" w:color="auto"/>
              <w:right w:val="single" w:sz="4" w:space="0" w:color="auto"/>
            </w:tcBorders>
            <w:shd w:val="clear" w:color="auto" w:fill="C6EFCE"/>
            <w:noWrap/>
          </w:tcPr>
          <w:p w14:paraId="32F50162"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The legislation shall set out the methodological rules for implementing the law on VMI while maintaining at least the same level of adequacy for the benefits and eligibility conditions as foreseen in the current law (Law 196/2016) with the aim to reduce poverty, stimulate employment through activation measures and increased education attainment. </w:t>
            </w:r>
          </w:p>
        </w:tc>
      </w:tr>
      <w:tr w:rsidR="00852517" w:rsidRPr="00C92F3A" w14:paraId="209DBFA0" w14:textId="77777777" w:rsidTr="009A7C5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2B7B86A6" w14:textId="77777777" w:rsidR="00852517" w:rsidRPr="00C92F3A" w:rsidRDefault="00852517">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386</w:t>
            </w:r>
          </w:p>
        </w:tc>
        <w:tc>
          <w:tcPr>
            <w:tcW w:w="1875" w:type="dxa"/>
            <w:tcBorders>
              <w:top w:val="nil"/>
              <w:left w:val="nil"/>
              <w:bottom w:val="single" w:sz="4" w:space="0" w:color="auto"/>
              <w:right w:val="single" w:sz="4" w:space="0" w:color="auto"/>
            </w:tcBorders>
            <w:shd w:val="clear" w:color="auto" w:fill="C6EFCE"/>
            <w:noWrap/>
          </w:tcPr>
          <w:p w14:paraId="3CE962E6"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Reform 3. Provision of the Minimum Inclusion Income (VMI)</w:t>
            </w:r>
          </w:p>
        </w:tc>
        <w:tc>
          <w:tcPr>
            <w:tcW w:w="1183" w:type="dxa"/>
            <w:tcBorders>
              <w:top w:val="nil"/>
              <w:left w:val="nil"/>
              <w:bottom w:val="single" w:sz="4" w:space="0" w:color="auto"/>
              <w:right w:val="single" w:sz="4" w:space="0" w:color="auto"/>
            </w:tcBorders>
            <w:shd w:val="clear" w:color="auto" w:fill="C6EFCE"/>
            <w:noWrap/>
          </w:tcPr>
          <w:p w14:paraId="6083EE2A"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Target</w:t>
            </w:r>
          </w:p>
        </w:tc>
        <w:tc>
          <w:tcPr>
            <w:tcW w:w="1478" w:type="dxa"/>
            <w:tcBorders>
              <w:top w:val="nil"/>
              <w:left w:val="nil"/>
              <w:bottom w:val="single" w:sz="4" w:space="0" w:color="auto"/>
              <w:right w:val="single" w:sz="4" w:space="0" w:color="auto"/>
            </w:tcBorders>
            <w:shd w:val="clear" w:color="auto" w:fill="C6EFCE"/>
            <w:noWrap/>
          </w:tcPr>
          <w:p w14:paraId="4054AE94"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Activation measures received </w:t>
            </w:r>
          </w:p>
        </w:tc>
        <w:tc>
          <w:tcPr>
            <w:tcW w:w="1842" w:type="dxa"/>
            <w:tcBorders>
              <w:top w:val="nil"/>
              <w:left w:val="nil"/>
              <w:bottom w:val="single" w:sz="4" w:space="0" w:color="auto"/>
              <w:right w:val="single" w:sz="4" w:space="0" w:color="auto"/>
            </w:tcBorders>
            <w:shd w:val="clear" w:color="auto" w:fill="C6EFCE"/>
            <w:noWrap/>
          </w:tcPr>
          <w:p w14:paraId="0BBA3E22" w14:textId="77777777" w:rsidR="00852517" w:rsidRPr="00C92F3A" w:rsidRDefault="00852517">
            <w:pPr>
              <w:spacing w:after="0" w:line="240" w:lineRule="auto"/>
              <w:jc w:val="both"/>
              <w:rPr>
                <w:rFonts w:ascii="Times New Roman" w:hAnsi="Times New Roman" w:cs="Times New Roman"/>
                <w:noProof/>
                <w:sz w:val="20"/>
                <w:szCs w:val="20"/>
                <w:lang w:val="en-GB"/>
              </w:rPr>
            </w:pPr>
          </w:p>
        </w:tc>
        <w:tc>
          <w:tcPr>
            <w:tcW w:w="1265" w:type="dxa"/>
            <w:tcBorders>
              <w:top w:val="nil"/>
              <w:left w:val="nil"/>
              <w:bottom w:val="single" w:sz="4" w:space="0" w:color="auto"/>
              <w:right w:val="single" w:sz="4" w:space="0" w:color="auto"/>
            </w:tcBorders>
            <w:shd w:val="clear" w:color="auto" w:fill="C6EFCE"/>
            <w:noWrap/>
          </w:tcPr>
          <w:p w14:paraId="02EE5414"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(Percentage)</w:t>
            </w:r>
          </w:p>
          <w:p w14:paraId="0C1C3FD0" w14:textId="77777777" w:rsidR="00852517" w:rsidRPr="00C92F3A" w:rsidRDefault="00852517">
            <w:pPr>
              <w:spacing w:after="0" w:line="240" w:lineRule="auto"/>
              <w:jc w:val="both"/>
              <w:rPr>
                <w:rFonts w:ascii="Times New Roman" w:hAnsi="Times New Roman" w:cs="Times New Roman"/>
                <w:noProof/>
                <w:sz w:val="20"/>
                <w:szCs w:val="20"/>
                <w:lang w:val="en-GB"/>
              </w:rPr>
            </w:pPr>
          </w:p>
        </w:tc>
        <w:tc>
          <w:tcPr>
            <w:tcW w:w="1145" w:type="dxa"/>
            <w:tcBorders>
              <w:top w:val="nil"/>
              <w:left w:val="nil"/>
              <w:bottom w:val="single" w:sz="4" w:space="0" w:color="auto"/>
              <w:right w:val="single" w:sz="4" w:space="0" w:color="auto"/>
            </w:tcBorders>
            <w:shd w:val="clear" w:color="auto" w:fill="C6EFCE"/>
            <w:noWrap/>
          </w:tcPr>
          <w:p w14:paraId="32C8B90D"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0</w:t>
            </w:r>
          </w:p>
        </w:tc>
        <w:tc>
          <w:tcPr>
            <w:tcW w:w="851" w:type="dxa"/>
            <w:tcBorders>
              <w:top w:val="nil"/>
              <w:left w:val="nil"/>
              <w:bottom w:val="single" w:sz="4" w:space="0" w:color="auto"/>
              <w:right w:val="single" w:sz="4" w:space="0" w:color="auto"/>
            </w:tcBorders>
            <w:shd w:val="clear" w:color="auto" w:fill="C6EFCE"/>
            <w:noWrap/>
          </w:tcPr>
          <w:p w14:paraId="596FF1D1"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60%</w:t>
            </w:r>
          </w:p>
        </w:tc>
        <w:tc>
          <w:tcPr>
            <w:tcW w:w="1242" w:type="dxa"/>
            <w:tcBorders>
              <w:top w:val="nil"/>
              <w:left w:val="nil"/>
              <w:bottom w:val="single" w:sz="4" w:space="0" w:color="auto"/>
              <w:right w:val="single" w:sz="4" w:space="0" w:color="auto"/>
            </w:tcBorders>
            <w:shd w:val="clear" w:color="auto" w:fill="C6EFCE"/>
            <w:noWrap/>
          </w:tcPr>
          <w:p w14:paraId="369CC22B"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Q2</w:t>
            </w:r>
          </w:p>
        </w:tc>
        <w:tc>
          <w:tcPr>
            <w:tcW w:w="825" w:type="dxa"/>
            <w:tcBorders>
              <w:top w:val="nil"/>
              <w:left w:val="nil"/>
              <w:bottom w:val="single" w:sz="4" w:space="0" w:color="auto"/>
              <w:right w:val="single" w:sz="4" w:space="0" w:color="auto"/>
            </w:tcBorders>
            <w:shd w:val="clear" w:color="auto" w:fill="C6EFCE"/>
            <w:noWrap/>
          </w:tcPr>
          <w:p w14:paraId="36D1C8AF"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2025</w:t>
            </w:r>
          </w:p>
        </w:tc>
        <w:tc>
          <w:tcPr>
            <w:tcW w:w="2693" w:type="dxa"/>
            <w:tcBorders>
              <w:top w:val="nil"/>
              <w:left w:val="nil"/>
              <w:bottom w:val="single" w:sz="4" w:space="0" w:color="auto"/>
              <w:right w:val="single" w:sz="4" w:space="0" w:color="auto"/>
            </w:tcBorders>
            <w:shd w:val="clear" w:color="auto" w:fill="C6EFCE"/>
            <w:noWrap/>
          </w:tcPr>
          <w:p w14:paraId="290CABFB" w14:textId="77777777" w:rsidR="00852517" w:rsidRPr="00C92F3A" w:rsidRDefault="00852517">
            <w:pPr>
              <w:spacing w:after="0" w:line="240" w:lineRule="auto"/>
              <w:jc w:val="both"/>
              <w:rPr>
                <w:rFonts w:ascii="Times New Roman" w:hAnsi="Times New Roman" w:cs="Times New Roman"/>
                <w:noProof/>
                <w:sz w:val="20"/>
                <w:szCs w:val="20"/>
                <w:lang w:val="en-GB"/>
              </w:rPr>
            </w:pPr>
            <w:bookmarkStart w:id="24" w:name="_Hlk210215943"/>
            <w:r w:rsidRPr="00C92F3A">
              <w:rPr>
                <w:rFonts w:ascii="Times New Roman" w:hAnsi="Times New Roman" w:cs="Times New Roman"/>
                <w:noProof/>
                <w:sz w:val="20"/>
                <w:szCs w:val="20"/>
                <w:lang w:val="en-GB"/>
              </w:rPr>
              <w:t xml:space="preserve">At least 60% of able-to-work recipients of the minimum inclusion income since 2023 shall have received at least one of the following activation measures: </w:t>
            </w:r>
          </w:p>
          <w:bookmarkEnd w:id="24"/>
          <w:p w14:paraId="662E7DD2"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eastAsia="Times New Roman" w:hAnsi="Times New Roman" w:cs="Times New Roman"/>
                <w:noProof/>
                <w:sz w:val="20"/>
                <w:szCs w:val="20"/>
              </w:rPr>
              <w:t>training or retraining services, information and career counselling, job mediation and job proposals, advice and assistance in starting a self-employed or business activity, boosting labour mobility, as well as enrolment in ‘second chance’ education programmes.</w:t>
            </w:r>
          </w:p>
        </w:tc>
      </w:tr>
      <w:tr w:rsidR="00852517" w:rsidRPr="00C92F3A" w14:paraId="1D9488E1" w14:textId="77777777" w:rsidTr="009A7C5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5ECD2AE6" w14:textId="77777777" w:rsidR="00852517" w:rsidRPr="00C92F3A" w:rsidRDefault="00852517">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387</w:t>
            </w:r>
          </w:p>
        </w:tc>
        <w:tc>
          <w:tcPr>
            <w:tcW w:w="1875" w:type="dxa"/>
            <w:tcBorders>
              <w:top w:val="nil"/>
              <w:left w:val="nil"/>
              <w:bottom w:val="single" w:sz="4" w:space="0" w:color="auto"/>
              <w:right w:val="single" w:sz="4" w:space="0" w:color="auto"/>
            </w:tcBorders>
            <w:shd w:val="clear" w:color="auto" w:fill="C6EFCE"/>
            <w:noWrap/>
          </w:tcPr>
          <w:p w14:paraId="7FF3A838"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Reform 4. </w:t>
            </w:r>
            <w:r w:rsidRPr="00C92F3A">
              <w:rPr>
                <w:rFonts w:ascii="Times New Roman" w:hAnsi="Times New Roman" w:cs="Times New Roman"/>
                <w:noProof/>
                <w:sz w:val="20"/>
                <w:szCs w:val="20"/>
              </w:rPr>
              <w:t>Introduction of work cards and formalisation of work in domestic work</w:t>
            </w:r>
          </w:p>
        </w:tc>
        <w:tc>
          <w:tcPr>
            <w:tcW w:w="1183" w:type="dxa"/>
            <w:tcBorders>
              <w:top w:val="nil"/>
              <w:left w:val="nil"/>
              <w:bottom w:val="single" w:sz="4" w:space="0" w:color="auto"/>
              <w:right w:val="single" w:sz="4" w:space="0" w:color="auto"/>
            </w:tcBorders>
            <w:shd w:val="clear" w:color="auto" w:fill="C6EFCE"/>
            <w:noWrap/>
          </w:tcPr>
          <w:p w14:paraId="41897769"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478" w:type="dxa"/>
            <w:tcBorders>
              <w:top w:val="nil"/>
              <w:left w:val="nil"/>
              <w:bottom w:val="single" w:sz="4" w:space="0" w:color="auto"/>
              <w:right w:val="single" w:sz="4" w:space="0" w:color="auto"/>
            </w:tcBorders>
            <w:shd w:val="clear" w:color="auto" w:fill="C6EFCE"/>
            <w:noWrap/>
          </w:tcPr>
          <w:p w14:paraId="51B6D5C7"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Entry into force of legislation, and its implementing rules, for the domestic workers voucher system </w:t>
            </w:r>
          </w:p>
        </w:tc>
        <w:tc>
          <w:tcPr>
            <w:tcW w:w="1842" w:type="dxa"/>
            <w:tcBorders>
              <w:top w:val="nil"/>
              <w:left w:val="nil"/>
              <w:bottom w:val="single" w:sz="4" w:space="0" w:color="auto"/>
              <w:right w:val="single" w:sz="4" w:space="0" w:color="auto"/>
            </w:tcBorders>
            <w:shd w:val="clear" w:color="auto" w:fill="C6EFCE"/>
            <w:noWrap/>
          </w:tcPr>
          <w:p w14:paraId="6E341CF0"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Provision in the law indicating the entry into force of the law for implementing labour voucher system</w:t>
            </w:r>
          </w:p>
        </w:tc>
        <w:tc>
          <w:tcPr>
            <w:tcW w:w="1265" w:type="dxa"/>
            <w:tcBorders>
              <w:top w:val="nil"/>
              <w:left w:val="nil"/>
              <w:bottom w:val="single" w:sz="4" w:space="0" w:color="auto"/>
              <w:right w:val="single" w:sz="4" w:space="0" w:color="auto"/>
            </w:tcBorders>
            <w:shd w:val="clear" w:color="auto" w:fill="C6EFCE"/>
            <w:noWrap/>
          </w:tcPr>
          <w:p w14:paraId="604727BC"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1145" w:type="dxa"/>
            <w:tcBorders>
              <w:top w:val="nil"/>
              <w:left w:val="nil"/>
              <w:bottom w:val="single" w:sz="4" w:space="0" w:color="auto"/>
              <w:right w:val="single" w:sz="4" w:space="0" w:color="auto"/>
            </w:tcBorders>
            <w:shd w:val="clear" w:color="auto" w:fill="C6EFCE"/>
            <w:noWrap/>
          </w:tcPr>
          <w:p w14:paraId="24CC3D93" w14:textId="77777777" w:rsidR="00852517" w:rsidRPr="00C92F3A" w:rsidRDefault="00852517">
            <w:pPr>
              <w:spacing w:after="0" w:line="240" w:lineRule="auto"/>
              <w:jc w:val="both"/>
              <w:rPr>
                <w:rFonts w:ascii="Times New Roman" w:hAnsi="Times New Roman" w:cs="Times New Roman"/>
                <w:noProof/>
                <w:sz w:val="20"/>
                <w:szCs w:val="20"/>
                <w:lang w:val="en-GB"/>
              </w:rPr>
            </w:pPr>
          </w:p>
        </w:tc>
        <w:tc>
          <w:tcPr>
            <w:tcW w:w="851" w:type="dxa"/>
            <w:tcBorders>
              <w:top w:val="nil"/>
              <w:left w:val="nil"/>
              <w:bottom w:val="single" w:sz="4" w:space="0" w:color="auto"/>
              <w:right w:val="single" w:sz="4" w:space="0" w:color="auto"/>
            </w:tcBorders>
            <w:shd w:val="clear" w:color="auto" w:fill="C6EFCE"/>
            <w:noWrap/>
          </w:tcPr>
          <w:p w14:paraId="4A6307EB" w14:textId="77777777" w:rsidR="00852517" w:rsidRPr="00C92F3A" w:rsidRDefault="00852517">
            <w:pPr>
              <w:spacing w:after="0" w:line="240" w:lineRule="auto"/>
              <w:jc w:val="both"/>
              <w:rPr>
                <w:rFonts w:ascii="Times New Roman" w:hAnsi="Times New Roman" w:cs="Times New Roman"/>
                <w:noProof/>
                <w:sz w:val="20"/>
                <w:szCs w:val="20"/>
                <w:lang w:val="en-GB"/>
              </w:rPr>
            </w:pPr>
          </w:p>
        </w:tc>
        <w:tc>
          <w:tcPr>
            <w:tcW w:w="1242" w:type="dxa"/>
            <w:tcBorders>
              <w:top w:val="nil"/>
              <w:left w:val="nil"/>
              <w:bottom w:val="single" w:sz="4" w:space="0" w:color="auto"/>
              <w:right w:val="single" w:sz="4" w:space="0" w:color="auto"/>
            </w:tcBorders>
            <w:shd w:val="clear" w:color="auto" w:fill="C6EFCE"/>
            <w:noWrap/>
          </w:tcPr>
          <w:p w14:paraId="5433A234"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Q1</w:t>
            </w:r>
          </w:p>
        </w:tc>
        <w:tc>
          <w:tcPr>
            <w:tcW w:w="825" w:type="dxa"/>
            <w:tcBorders>
              <w:top w:val="nil"/>
              <w:left w:val="nil"/>
              <w:bottom w:val="single" w:sz="4" w:space="0" w:color="auto"/>
              <w:right w:val="single" w:sz="4" w:space="0" w:color="auto"/>
            </w:tcBorders>
            <w:shd w:val="clear" w:color="auto" w:fill="C6EFCE"/>
            <w:noWrap/>
          </w:tcPr>
          <w:p w14:paraId="5BE28AF1"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2022</w:t>
            </w:r>
          </w:p>
        </w:tc>
        <w:tc>
          <w:tcPr>
            <w:tcW w:w="2693" w:type="dxa"/>
            <w:tcBorders>
              <w:top w:val="nil"/>
              <w:left w:val="nil"/>
              <w:bottom w:val="single" w:sz="4" w:space="0" w:color="auto"/>
              <w:right w:val="single" w:sz="4" w:space="0" w:color="auto"/>
            </w:tcBorders>
            <w:shd w:val="clear" w:color="auto" w:fill="C6EFCE"/>
            <w:noWrap/>
          </w:tcPr>
          <w:p w14:paraId="1CF92887"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Entry into force of the law for the establishment of the labour voucher system to boost formal employment of domestic workers who are currently recorded as unemployed or inactive.</w:t>
            </w:r>
          </w:p>
        </w:tc>
      </w:tr>
      <w:tr w:rsidR="00852517" w:rsidRPr="00C92F3A" w14:paraId="29AE6C26" w14:textId="77777777" w:rsidTr="009A7C5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6653DE4D" w14:textId="77777777" w:rsidR="00852517" w:rsidRPr="00C92F3A" w:rsidRDefault="00852517">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392</w:t>
            </w:r>
          </w:p>
        </w:tc>
        <w:tc>
          <w:tcPr>
            <w:tcW w:w="1875" w:type="dxa"/>
            <w:tcBorders>
              <w:top w:val="nil"/>
              <w:left w:val="nil"/>
              <w:bottom w:val="single" w:sz="4" w:space="0" w:color="auto"/>
              <w:right w:val="single" w:sz="4" w:space="0" w:color="auto"/>
            </w:tcBorders>
            <w:shd w:val="clear" w:color="auto" w:fill="C6EFCE"/>
            <w:noWrap/>
          </w:tcPr>
          <w:p w14:paraId="3A842383"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Reform 5. Ensure a minimum wage setting </w:t>
            </w:r>
          </w:p>
        </w:tc>
        <w:tc>
          <w:tcPr>
            <w:tcW w:w="1183" w:type="dxa"/>
            <w:tcBorders>
              <w:top w:val="nil"/>
              <w:left w:val="nil"/>
              <w:bottom w:val="single" w:sz="4" w:space="0" w:color="auto"/>
              <w:right w:val="single" w:sz="4" w:space="0" w:color="auto"/>
            </w:tcBorders>
            <w:shd w:val="clear" w:color="auto" w:fill="C6EFCE"/>
            <w:noWrap/>
          </w:tcPr>
          <w:p w14:paraId="7A5335DF"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478" w:type="dxa"/>
            <w:tcBorders>
              <w:top w:val="nil"/>
              <w:left w:val="nil"/>
              <w:bottom w:val="single" w:sz="4" w:space="0" w:color="auto"/>
              <w:right w:val="single" w:sz="4" w:space="0" w:color="auto"/>
            </w:tcBorders>
            <w:shd w:val="clear" w:color="auto" w:fill="C6EFCE"/>
            <w:noWrap/>
          </w:tcPr>
          <w:p w14:paraId="6546B1AF"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Entry into force of the legal acts governing the new system for minimum wage setting</w:t>
            </w:r>
          </w:p>
        </w:tc>
        <w:tc>
          <w:tcPr>
            <w:tcW w:w="1842" w:type="dxa"/>
            <w:tcBorders>
              <w:top w:val="nil"/>
              <w:left w:val="nil"/>
              <w:bottom w:val="single" w:sz="4" w:space="0" w:color="auto"/>
              <w:right w:val="single" w:sz="4" w:space="0" w:color="auto"/>
            </w:tcBorders>
            <w:shd w:val="clear" w:color="auto" w:fill="C6EFCE"/>
            <w:noWrap/>
          </w:tcPr>
          <w:p w14:paraId="641B6236"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Provision in the legal acts indicating their entry into force </w:t>
            </w:r>
          </w:p>
        </w:tc>
        <w:tc>
          <w:tcPr>
            <w:tcW w:w="1265" w:type="dxa"/>
            <w:tcBorders>
              <w:top w:val="nil"/>
              <w:left w:val="nil"/>
              <w:bottom w:val="single" w:sz="4" w:space="0" w:color="auto"/>
              <w:right w:val="single" w:sz="4" w:space="0" w:color="auto"/>
            </w:tcBorders>
            <w:shd w:val="clear" w:color="auto" w:fill="C6EFCE"/>
            <w:noWrap/>
          </w:tcPr>
          <w:p w14:paraId="09939114" w14:textId="77777777" w:rsidR="00852517" w:rsidRPr="00C92F3A" w:rsidRDefault="00852517">
            <w:pPr>
              <w:spacing w:after="0" w:line="240" w:lineRule="auto"/>
              <w:jc w:val="both"/>
              <w:rPr>
                <w:rFonts w:ascii="Times New Roman" w:hAnsi="Times New Roman" w:cs="Times New Roman"/>
                <w:noProof/>
                <w:sz w:val="20"/>
                <w:szCs w:val="20"/>
                <w:lang w:val="en-GB"/>
              </w:rPr>
            </w:pPr>
          </w:p>
        </w:tc>
        <w:tc>
          <w:tcPr>
            <w:tcW w:w="1145" w:type="dxa"/>
            <w:tcBorders>
              <w:top w:val="nil"/>
              <w:left w:val="nil"/>
              <w:bottom w:val="single" w:sz="4" w:space="0" w:color="auto"/>
              <w:right w:val="single" w:sz="4" w:space="0" w:color="auto"/>
            </w:tcBorders>
            <w:shd w:val="clear" w:color="auto" w:fill="C6EFCE"/>
            <w:noWrap/>
          </w:tcPr>
          <w:p w14:paraId="7D316F79" w14:textId="77777777" w:rsidR="00852517" w:rsidRPr="00C92F3A" w:rsidRDefault="00852517">
            <w:pPr>
              <w:spacing w:after="0" w:line="240" w:lineRule="auto"/>
              <w:jc w:val="both"/>
              <w:rPr>
                <w:rFonts w:ascii="Times New Roman" w:hAnsi="Times New Roman" w:cs="Times New Roman"/>
                <w:noProof/>
                <w:sz w:val="20"/>
                <w:szCs w:val="20"/>
                <w:lang w:val="en-GB"/>
              </w:rPr>
            </w:pPr>
          </w:p>
        </w:tc>
        <w:tc>
          <w:tcPr>
            <w:tcW w:w="851" w:type="dxa"/>
            <w:tcBorders>
              <w:top w:val="nil"/>
              <w:left w:val="nil"/>
              <w:bottom w:val="single" w:sz="4" w:space="0" w:color="auto"/>
              <w:right w:val="single" w:sz="4" w:space="0" w:color="auto"/>
            </w:tcBorders>
            <w:shd w:val="clear" w:color="auto" w:fill="C6EFCE"/>
            <w:noWrap/>
          </w:tcPr>
          <w:p w14:paraId="6C8E7289" w14:textId="77777777" w:rsidR="00852517" w:rsidRPr="00C92F3A" w:rsidRDefault="00852517">
            <w:pPr>
              <w:spacing w:after="0" w:line="240" w:lineRule="auto"/>
              <w:jc w:val="both"/>
              <w:rPr>
                <w:rFonts w:ascii="Times New Roman" w:hAnsi="Times New Roman" w:cs="Times New Roman"/>
                <w:noProof/>
                <w:sz w:val="20"/>
                <w:szCs w:val="20"/>
                <w:lang w:val="en-GB"/>
              </w:rPr>
            </w:pPr>
          </w:p>
        </w:tc>
        <w:tc>
          <w:tcPr>
            <w:tcW w:w="1242" w:type="dxa"/>
            <w:tcBorders>
              <w:top w:val="nil"/>
              <w:left w:val="nil"/>
              <w:bottom w:val="single" w:sz="4" w:space="0" w:color="auto"/>
              <w:right w:val="single" w:sz="4" w:space="0" w:color="auto"/>
            </w:tcBorders>
            <w:shd w:val="clear" w:color="auto" w:fill="C6EFCE"/>
            <w:noWrap/>
          </w:tcPr>
          <w:p w14:paraId="2FCCDC18"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Q1</w:t>
            </w:r>
          </w:p>
        </w:tc>
        <w:tc>
          <w:tcPr>
            <w:tcW w:w="825" w:type="dxa"/>
            <w:tcBorders>
              <w:top w:val="nil"/>
              <w:left w:val="nil"/>
              <w:bottom w:val="single" w:sz="4" w:space="0" w:color="auto"/>
              <w:right w:val="single" w:sz="4" w:space="0" w:color="auto"/>
            </w:tcBorders>
            <w:shd w:val="clear" w:color="auto" w:fill="C6EFCE"/>
            <w:noWrap/>
          </w:tcPr>
          <w:p w14:paraId="612454F7"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2024</w:t>
            </w:r>
          </w:p>
        </w:tc>
        <w:tc>
          <w:tcPr>
            <w:tcW w:w="2693" w:type="dxa"/>
            <w:tcBorders>
              <w:top w:val="nil"/>
              <w:left w:val="nil"/>
              <w:bottom w:val="single" w:sz="4" w:space="0" w:color="auto"/>
              <w:right w:val="single" w:sz="4" w:space="0" w:color="auto"/>
            </w:tcBorders>
            <w:shd w:val="clear" w:color="auto" w:fill="C6EFCE"/>
            <w:noWrap/>
          </w:tcPr>
          <w:p w14:paraId="49DC762D"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The legal acts shall establish a new mechanism and a formula to objectively set the minimum wage level in a systematic manner, in consultation with social partners and taking into account the actions of the Union.</w:t>
            </w:r>
          </w:p>
        </w:tc>
      </w:tr>
      <w:tr w:rsidR="00852517" w:rsidRPr="00C92F3A" w14:paraId="77DF3965" w14:textId="77777777" w:rsidTr="009A7C5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2377B271" w14:textId="77777777" w:rsidR="00852517" w:rsidRPr="00C92F3A" w:rsidRDefault="00852517">
            <w:pPr>
              <w:spacing w:after="0" w:line="240" w:lineRule="auto"/>
              <w:jc w:val="center"/>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394</w:t>
            </w:r>
          </w:p>
        </w:tc>
        <w:tc>
          <w:tcPr>
            <w:tcW w:w="1875" w:type="dxa"/>
            <w:tcBorders>
              <w:top w:val="nil"/>
              <w:left w:val="nil"/>
              <w:bottom w:val="single" w:sz="4" w:space="0" w:color="auto"/>
              <w:right w:val="single" w:sz="4" w:space="0" w:color="auto"/>
            </w:tcBorders>
            <w:shd w:val="clear" w:color="auto" w:fill="C6EFCE"/>
            <w:noWrap/>
            <w:hideMark/>
          </w:tcPr>
          <w:p w14:paraId="42055B36"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Investment 1. Creation of a network of day centres for children at risk of separation</w:t>
            </w:r>
          </w:p>
          <w:p w14:paraId="62890F5D"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eastAsia="en-GB"/>
              </w:rPr>
            </w:pPr>
          </w:p>
        </w:tc>
        <w:tc>
          <w:tcPr>
            <w:tcW w:w="1183" w:type="dxa"/>
            <w:tcBorders>
              <w:top w:val="nil"/>
              <w:left w:val="nil"/>
              <w:bottom w:val="single" w:sz="4" w:space="0" w:color="auto"/>
              <w:right w:val="single" w:sz="4" w:space="0" w:color="auto"/>
            </w:tcBorders>
            <w:shd w:val="clear" w:color="auto" w:fill="C6EFCE"/>
            <w:noWrap/>
            <w:hideMark/>
          </w:tcPr>
          <w:p w14:paraId="3F1F6071"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Target</w:t>
            </w:r>
          </w:p>
        </w:tc>
        <w:tc>
          <w:tcPr>
            <w:tcW w:w="1478" w:type="dxa"/>
            <w:tcBorders>
              <w:top w:val="nil"/>
              <w:left w:val="nil"/>
              <w:bottom w:val="single" w:sz="4" w:space="0" w:color="auto"/>
              <w:right w:val="single" w:sz="4" w:space="0" w:color="auto"/>
            </w:tcBorders>
            <w:shd w:val="clear" w:color="auto" w:fill="C6EFCE"/>
            <w:noWrap/>
            <w:hideMark/>
          </w:tcPr>
          <w:p w14:paraId="31C399FB"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Day centres to prevent the separation of children from the family</w:t>
            </w:r>
          </w:p>
        </w:tc>
        <w:tc>
          <w:tcPr>
            <w:tcW w:w="1842" w:type="dxa"/>
            <w:tcBorders>
              <w:top w:val="nil"/>
              <w:left w:val="nil"/>
              <w:bottom w:val="single" w:sz="4" w:space="0" w:color="auto"/>
              <w:right w:val="single" w:sz="4" w:space="0" w:color="auto"/>
            </w:tcBorders>
            <w:shd w:val="clear" w:color="auto" w:fill="C6EFCE"/>
            <w:noWrap/>
            <w:hideMark/>
          </w:tcPr>
          <w:p w14:paraId="37F6FE3D"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1265" w:type="dxa"/>
            <w:tcBorders>
              <w:top w:val="nil"/>
              <w:left w:val="nil"/>
              <w:bottom w:val="single" w:sz="4" w:space="0" w:color="auto"/>
              <w:right w:val="single" w:sz="4" w:space="0" w:color="auto"/>
            </w:tcBorders>
            <w:shd w:val="clear" w:color="auto" w:fill="C6EFCE"/>
            <w:noWrap/>
            <w:hideMark/>
          </w:tcPr>
          <w:p w14:paraId="19842BA6"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Number</w:t>
            </w:r>
          </w:p>
        </w:tc>
        <w:tc>
          <w:tcPr>
            <w:tcW w:w="1145" w:type="dxa"/>
            <w:tcBorders>
              <w:top w:val="nil"/>
              <w:left w:val="nil"/>
              <w:bottom w:val="single" w:sz="4" w:space="0" w:color="auto"/>
              <w:right w:val="single" w:sz="4" w:space="0" w:color="auto"/>
            </w:tcBorders>
            <w:shd w:val="clear" w:color="auto" w:fill="C6EFCE"/>
            <w:noWrap/>
            <w:hideMark/>
          </w:tcPr>
          <w:p w14:paraId="7E8B4FB3"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0</w:t>
            </w:r>
          </w:p>
        </w:tc>
        <w:tc>
          <w:tcPr>
            <w:tcW w:w="851" w:type="dxa"/>
            <w:tcBorders>
              <w:top w:val="nil"/>
              <w:left w:val="nil"/>
              <w:bottom w:val="single" w:sz="4" w:space="0" w:color="auto"/>
              <w:right w:val="single" w:sz="4" w:space="0" w:color="auto"/>
            </w:tcBorders>
            <w:shd w:val="clear" w:color="auto" w:fill="C6EFCE"/>
            <w:noWrap/>
            <w:hideMark/>
          </w:tcPr>
          <w:p w14:paraId="417D8269"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124</w:t>
            </w:r>
          </w:p>
        </w:tc>
        <w:tc>
          <w:tcPr>
            <w:tcW w:w="1242" w:type="dxa"/>
            <w:tcBorders>
              <w:top w:val="nil"/>
              <w:left w:val="nil"/>
              <w:bottom w:val="single" w:sz="4" w:space="0" w:color="auto"/>
              <w:right w:val="single" w:sz="4" w:space="0" w:color="auto"/>
            </w:tcBorders>
            <w:shd w:val="clear" w:color="auto" w:fill="C6EFCE"/>
            <w:noWrap/>
            <w:hideMark/>
          </w:tcPr>
          <w:p w14:paraId="0700BDB4" w14:textId="77777777" w:rsidR="00852517" w:rsidRPr="00C92F3A" w:rsidRDefault="00852517">
            <w:pPr>
              <w:spacing w:after="0" w:line="240" w:lineRule="auto"/>
              <w:jc w:val="both"/>
              <w:rPr>
                <w:rFonts w:ascii="Times New Roman" w:eastAsia="Times New Roman" w:hAnsi="Times New Roman" w:cs="Times New Roman"/>
                <w:noProof/>
                <w:sz w:val="20"/>
                <w:szCs w:val="20"/>
                <w:lang w:val="en-GB"/>
              </w:rPr>
            </w:pPr>
            <w:r w:rsidRPr="00C92F3A">
              <w:rPr>
                <w:rFonts w:ascii="Times New Roman" w:hAnsi="Times New Roman" w:cs="Times New Roman"/>
                <w:noProof/>
                <w:sz w:val="20"/>
                <w:szCs w:val="20"/>
                <w:lang w:val="en-GB"/>
              </w:rPr>
              <w:t>Q2</w:t>
            </w:r>
          </w:p>
        </w:tc>
        <w:tc>
          <w:tcPr>
            <w:tcW w:w="825" w:type="dxa"/>
            <w:tcBorders>
              <w:top w:val="nil"/>
              <w:left w:val="nil"/>
              <w:bottom w:val="single" w:sz="4" w:space="0" w:color="auto"/>
              <w:right w:val="single" w:sz="4" w:space="0" w:color="auto"/>
            </w:tcBorders>
            <w:shd w:val="clear" w:color="auto" w:fill="C6EFCE"/>
            <w:noWrap/>
            <w:hideMark/>
          </w:tcPr>
          <w:p w14:paraId="427A67C6"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2026</w:t>
            </w:r>
          </w:p>
        </w:tc>
        <w:tc>
          <w:tcPr>
            <w:tcW w:w="2693" w:type="dxa"/>
            <w:tcBorders>
              <w:top w:val="nil"/>
              <w:left w:val="nil"/>
              <w:bottom w:val="single" w:sz="4" w:space="0" w:color="auto"/>
              <w:right w:val="single" w:sz="4" w:space="0" w:color="auto"/>
            </w:tcBorders>
            <w:shd w:val="clear" w:color="auto" w:fill="C6EFCE"/>
            <w:noWrap/>
            <w:hideMark/>
          </w:tcPr>
          <w:p w14:paraId="6CEBF869" w14:textId="0C51D8CE"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124 day</w:t>
            </w:r>
            <w:r w:rsidR="00D23D91" w:rsidRPr="00C92F3A">
              <w:rPr>
                <w:rFonts w:ascii="Times New Roman" w:hAnsi="Times New Roman" w:cs="Times New Roman"/>
                <w:noProof/>
                <w:sz w:val="20"/>
                <w:szCs w:val="20"/>
                <w:lang w:val="en-GB"/>
              </w:rPr>
              <w:t xml:space="preserve"> </w:t>
            </w:r>
            <w:r w:rsidRPr="00C92F3A">
              <w:rPr>
                <w:rFonts w:ascii="Times New Roman" w:hAnsi="Times New Roman" w:cs="Times New Roman"/>
                <w:noProof/>
                <w:sz w:val="20"/>
                <w:szCs w:val="20"/>
                <w:lang w:val="en-GB"/>
              </w:rPr>
              <w:t>centres</w:t>
            </w:r>
            <w:r w:rsidR="00D23D91" w:rsidRPr="00C92F3A">
              <w:rPr>
                <w:rFonts w:ascii="Times New Roman" w:hAnsi="Times New Roman" w:cs="Times New Roman"/>
                <w:noProof/>
                <w:sz w:val="20"/>
                <w:szCs w:val="20"/>
                <w:lang w:val="en-GB"/>
              </w:rPr>
              <w:t xml:space="preserve"> </w:t>
            </w:r>
            <w:r w:rsidRPr="00C92F3A">
              <w:rPr>
                <w:rFonts w:ascii="Times New Roman" w:hAnsi="Times New Roman" w:cs="Times New Roman"/>
                <w:noProof/>
                <w:sz w:val="20"/>
                <w:szCs w:val="20"/>
                <w:lang w:val="en-GB"/>
              </w:rPr>
              <w:t xml:space="preserve">to prevent the separation of children from the families shall be licensed. </w:t>
            </w:r>
          </w:p>
          <w:p w14:paraId="33A5BA0C"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120 day centres shall comply with the nearly zero energy building (NZEB) requirement according to national guidelines. Four day centres shall comply with the objective of achieving a primary energy demand (PED) at least 20% lower than the nearly zero-energy building (NZEB) requirement according to national guidelines, which shall be confirmed through energy performance certificates. The spatial distribution of day centres shall be based on a mapping identifying the needs of services and infrastructure for children at risk of separation from families.</w:t>
            </w:r>
          </w:p>
        </w:tc>
      </w:tr>
      <w:tr w:rsidR="00852517" w:rsidRPr="00C92F3A" w14:paraId="66DDB95F" w14:textId="77777777" w:rsidTr="009A7C5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49A9CC21" w14:textId="77777777" w:rsidR="00852517" w:rsidRPr="00C92F3A" w:rsidRDefault="00852517">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395</w:t>
            </w:r>
          </w:p>
        </w:tc>
        <w:tc>
          <w:tcPr>
            <w:tcW w:w="1875" w:type="dxa"/>
            <w:tcBorders>
              <w:top w:val="nil"/>
              <w:left w:val="nil"/>
              <w:bottom w:val="single" w:sz="4" w:space="0" w:color="auto"/>
              <w:right w:val="single" w:sz="4" w:space="0" w:color="auto"/>
            </w:tcBorders>
            <w:shd w:val="clear" w:color="auto" w:fill="C6EFCE"/>
            <w:noWrap/>
          </w:tcPr>
          <w:p w14:paraId="1208F252"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Investment 2. Licensing and modernisation of social infrastructure for persons with disabilities </w:t>
            </w:r>
          </w:p>
        </w:tc>
        <w:tc>
          <w:tcPr>
            <w:tcW w:w="1183" w:type="dxa"/>
            <w:tcBorders>
              <w:top w:val="nil"/>
              <w:left w:val="nil"/>
              <w:bottom w:val="single" w:sz="4" w:space="0" w:color="auto"/>
              <w:right w:val="single" w:sz="4" w:space="0" w:color="auto"/>
            </w:tcBorders>
            <w:shd w:val="clear" w:color="auto" w:fill="C6EFCE"/>
            <w:noWrap/>
          </w:tcPr>
          <w:p w14:paraId="7C44EF94"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Target</w:t>
            </w:r>
          </w:p>
        </w:tc>
        <w:tc>
          <w:tcPr>
            <w:tcW w:w="1478" w:type="dxa"/>
            <w:tcBorders>
              <w:top w:val="nil"/>
              <w:left w:val="nil"/>
              <w:bottom w:val="single" w:sz="4" w:space="0" w:color="auto"/>
              <w:right w:val="single" w:sz="4" w:space="0" w:color="auto"/>
            </w:tcBorders>
            <w:shd w:val="clear" w:color="auto" w:fill="C6EFCE"/>
            <w:noWrap/>
          </w:tcPr>
          <w:p w14:paraId="7BA7FF04"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Modernised community services for persons with disabilities </w:t>
            </w:r>
          </w:p>
        </w:tc>
        <w:tc>
          <w:tcPr>
            <w:tcW w:w="1842" w:type="dxa"/>
            <w:tcBorders>
              <w:top w:val="nil"/>
              <w:left w:val="nil"/>
              <w:bottom w:val="single" w:sz="4" w:space="0" w:color="auto"/>
              <w:right w:val="single" w:sz="4" w:space="0" w:color="auto"/>
            </w:tcBorders>
            <w:shd w:val="clear" w:color="auto" w:fill="C6EFCE"/>
            <w:noWrap/>
          </w:tcPr>
          <w:p w14:paraId="76EF3F33"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1265" w:type="dxa"/>
            <w:tcBorders>
              <w:top w:val="nil"/>
              <w:left w:val="nil"/>
              <w:bottom w:val="single" w:sz="4" w:space="0" w:color="auto"/>
              <w:right w:val="single" w:sz="4" w:space="0" w:color="auto"/>
            </w:tcBorders>
            <w:shd w:val="clear" w:color="auto" w:fill="C6EFCE"/>
            <w:noWrap/>
          </w:tcPr>
          <w:p w14:paraId="53588661"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Number</w:t>
            </w:r>
          </w:p>
        </w:tc>
        <w:tc>
          <w:tcPr>
            <w:tcW w:w="1145" w:type="dxa"/>
            <w:tcBorders>
              <w:top w:val="nil"/>
              <w:left w:val="nil"/>
              <w:bottom w:val="single" w:sz="4" w:space="0" w:color="auto"/>
              <w:right w:val="single" w:sz="4" w:space="0" w:color="auto"/>
            </w:tcBorders>
            <w:shd w:val="clear" w:color="auto" w:fill="C6EFCE"/>
            <w:noWrap/>
          </w:tcPr>
          <w:p w14:paraId="06282503" w14:textId="77777777" w:rsidR="00852517" w:rsidRPr="00C92F3A" w:rsidRDefault="00852517">
            <w:pPr>
              <w:spacing w:after="0" w:line="240" w:lineRule="auto"/>
              <w:ind w:left="-102"/>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0</w:t>
            </w:r>
          </w:p>
        </w:tc>
        <w:tc>
          <w:tcPr>
            <w:tcW w:w="851" w:type="dxa"/>
            <w:tcBorders>
              <w:top w:val="nil"/>
              <w:left w:val="nil"/>
              <w:bottom w:val="single" w:sz="4" w:space="0" w:color="auto"/>
              <w:right w:val="single" w:sz="4" w:space="0" w:color="auto"/>
            </w:tcBorders>
            <w:shd w:val="clear" w:color="auto" w:fill="C6EFCE"/>
            <w:noWrap/>
          </w:tcPr>
          <w:p w14:paraId="4D209B89"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50</w:t>
            </w:r>
          </w:p>
        </w:tc>
        <w:tc>
          <w:tcPr>
            <w:tcW w:w="1242" w:type="dxa"/>
            <w:tcBorders>
              <w:top w:val="nil"/>
              <w:left w:val="nil"/>
              <w:bottom w:val="single" w:sz="4" w:space="0" w:color="auto"/>
              <w:right w:val="single" w:sz="4" w:space="0" w:color="auto"/>
            </w:tcBorders>
            <w:shd w:val="clear" w:color="auto" w:fill="C6EFCE"/>
            <w:noWrap/>
          </w:tcPr>
          <w:p w14:paraId="76FBC07E"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Q4</w:t>
            </w:r>
          </w:p>
        </w:tc>
        <w:tc>
          <w:tcPr>
            <w:tcW w:w="825" w:type="dxa"/>
            <w:tcBorders>
              <w:top w:val="nil"/>
              <w:left w:val="nil"/>
              <w:bottom w:val="single" w:sz="4" w:space="0" w:color="auto"/>
              <w:right w:val="single" w:sz="4" w:space="0" w:color="auto"/>
            </w:tcBorders>
            <w:shd w:val="clear" w:color="auto" w:fill="C6EFCE"/>
            <w:noWrap/>
          </w:tcPr>
          <w:p w14:paraId="331486EE"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2024</w:t>
            </w:r>
          </w:p>
        </w:tc>
        <w:tc>
          <w:tcPr>
            <w:tcW w:w="2693" w:type="dxa"/>
            <w:tcBorders>
              <w:top w:val="nil"/>
              <w:left w:val="nil"/>
              <w:bottom w:val="single" w:sz="4" w:space="0" w:color="auto"/>
              <w:right w:val="single" w:sz="4" w:space="0" w:color="auto"/>
            </w:tcBorders>
            <w:shd w:val="clear" w:color="auto" w:fill="C6EFCE"/>
            <w:noWrap/>
          </w:tcPr>
          <w:p w14:paraId="35891454"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50 modernised community services (25 day centres and 25 neuro-motor recovery centres for persons with disabilities) through rehabilitation, renovation, or equipment. The modernised community centres shall be selected from the existing social services (licensed at the time of selection) and shall provide services to at least eight beneficiaries per day, according to their license.</w:t>
            </w:r>
          </w:p>
        </w:tc>
      </w:tr>
      <w:tr w:rsidR="00852517" w:rsidRPr="00C92F3A" w14:paraId="43A4B07D" w14:textId="77777777" w:rsidTr="00C92F3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631D7010" w14:textId="77777777" w:rsidR="00852517" w:rsidRPr="00C92F3A" w:rsidRDefault="00852517">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396</w:t>
            </w:r>
          </w:p>
        </w:tc>
        <w:tc>
          <w:tcPr>
            <w:tcW w:w="1875" w:type="dxa"/>
            <w:tcBorders>
              <w:top w:val="nil"/>
              <w:left w:val="nil"/>
              <w:bottom w:val="single" w:sz="4" w:space="0" w:color="auto"/>
              <w:right w:val="single" w:sz="4" w:space="0" w:color="auto"/>
            </w:tcBorders>
            <w:shd w:val="clear" w:color="auto" w:fill="C6EFCE"/>
            <w:noWrap/>
          </w:tcPr>
          <w:p w14:paraId="7B610DFF"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Investment 2. Licensing and modernisation of social infrastructure for persons with disabilities</w:t>
            </w:r>
          </w:p>
        </w:tc>
        <w:tc>
          <w:tcPr>
            <w:tcW w:w="1183" w:type="dxa"/>
            <w:tcBorders>
              <w:top w:val="nil"/>
              <w:left w:val="nil"/>
              <w:bottom w:val="single" w:sz="4" w:space="0" w:color="auto"/>
              <w:right w:val="single" w:sz="4" w:space="0" w:color="auto"/>
            </w:tcBorders>
            <w:shd w:val="clear" w:color="auto" w:fill="C6EFCE"/>
            <w:noWrap/>
          </w:tcPr>
          <w:p w14:paraId="5562D6F6"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Target</w:t>
            </w:r>
          </w:p>
        </w:tc>
        <w:tc>
          <w:tcPr>
            <w:tcW w:w="1478" w:type="dxa"/>
            <w:tcBorders>
              <w:top w:val="nil"/>
              <w:left w:val="nil"/>
              <w:bottom w:val="single" w:sz="4" w:space="0" w:color="auto"/>
              <w:right w:val="single" w:sz="4" w:space="0" w:color="auto"/>
            </w:tcBorders>
            <w:shd w:val="clear" w:color="auto" w:fill="C6EFCE"/>
            <w:noWrap/>
          </w:tcPr>
          <w:p w14:paraId="4BDD87CA"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New community services for persons with disabilities</w:t>
            </w:r>
          </w:p>
        </w:tc>
        <w:tc>
          <w:tcPr>
            <w:tcW w:w="1842" w:type="dxa"/>
            <w:tcBorders>
              <w:top w:val="nil"/>
              <w:left w:val="nil"/>
              <w:bottom w:val="single" w:sz="4" w:space="0" w:color="auto"/>
              <w:right w:val="single" w:sz="4" w:space="0" w:color="auto"/>
            </w:tcBorders>
            <w:shd w:val="clear" w:color="auto" w:fill="C6EFCE"/>
            <w:noWrap/>
          </w:tcPr>
          <w:p w14:paraId="0CAF23DB"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1265" w:type="dxa"/>
            <w:tcBorders>
              <w:top w:val="nil"/>
              <w:left w:val="nil"/>
              <w:bottom w:val="single" w:sz="4" w:space="0" w:color="auto"/>
              <w:right w:val="single" w:sz="4" w:space="0" w:color="auto"/>
            </w:tcBorders>
            <w:shd w:val="clear" w:color="auto" w:fill="C6EFCE"/>
            <w:noWrap/>
          </w:tcPr>
          <w:p w14:paraId="35FF495F"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Number</w:t>
            </w:r>
          </w:p>
        </w:tc>
        <w:tc>
          <w:tcPr>
            <w:tcW w:w="1145" w:type="dxa"/>
            <w:tcBorders>
              <w:top w:val="nil"/>
              <w:left w:val="nil"/>
              <w:bottom w:val="single" w:sz="4" w:space="0" w:color="auto"/>
              <w:right w:val="single" w:sz="4" w:space="0" w:color="auto"/>
            </w:tcBorders>
            <w:shd w:val="clear" w:color="auto" w:fill="C6EFCE"/>
            <w:noWrap/>
          </w:tcPr>
          <w:p w14:paraId="1DAE9FEC" w14:textId="77777777" w:rsidR="00852517" w:rsidRPr="00C92F3A" w:rsidRDefault="00852517">
            <w:pPr>
              <w:spacing w:after="0" w:line="240" w:lineRule="auto"/>
              <w:ind w:left="-102"/>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0</w:t>
            </w:r>
          </w:p>
        </w:tc>
        <w:tc>
          <w:tcPr>
            <w:tcW w:w="851" w:type="dxa"/>
            <w:tcBorders>
              <w:top w:val="nil"/>
              <w:left w:val="nil"/>
              <w:bottom w:val="single" w:sz="4" w:space="0" w:color="auto"/>
              <w:right w:val="single" w:sz="4" w:space="0" w:color="auto"/>
            </w:tcBorders>
            <w:shd w:val="clear" w:color="auto" w:fill="C6EFCE"/>
            <w:noWrap/>
          </w:tcPr>
          <w:p w14:paraId="4F39F57A" w14:textId="77777777" w:rsidR="00852517" w:rsidRPr="00C92F3A" w:rsidRDefault="00852517">
            <w:pPr>
              <w:spacing w:after="0" w:line="240" w:lineRule="auto"/>
              <w:jc w:val="both"/>
              <w:rPr>
                <w:rFonts w:ascii="Times New Roman" w:hAnsi="Times New Roman" w:cs="Times New Roman"/>
                <w:noProof/>
                <w:sz w:val="20"/>
                <w:szCs w:val="20"/>
                <w:highlight w:val="yellow"/>
                <w:lang w:val="en-GB"/>
              </w:rPr>
            </w:pPr>
            <w:r w:rsidRPr="00C92F3A">
              <w:rPr>
                <w:rFonts w:ascii="Times New Roman" w:hAnsi="Times New Roman" w:cs="Times New Roman"/>
                <w:noProof/>
                <w:sz w:val="20"/>
                <w:szCs w:val="20"/>
                <w:lang w:val="en-GB"/>
              </w:rPr>
              <w:t>28</w:t>
            </w:r>
          </w:p>
        </w:tc>
        <w:tc>
          <w:tcPr>
            <w:tcW w:w="1242" w:type="dxa"/>
            <w:tcBorders>
              <w:top w:val="nil"/>
              <w:left w:val="nil"/>
              <w:bottom w:val="single" w:sz="4" w:space="0" w:color="auto"/>
              <w:right w:val="single" w:sz="4" w:space="0" w:color="auto"/>
            </w:tcBorders>
            <w:shd w:val="clear" w:color="auto" w:fill="C6EFCE"/>
            <w:noWrap/>
          </w:tcPr>
          <w:p w14:paraId="7D8B33DD"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Q2</w:t>
            </w:r>
          </w:p>
        </w:tc>
        <w:tc>
          <w:tcPr>
            <w:tcW w:w="825" w:type="dxa"/>
            <w:tcBorders>
              <w:top w:val="nil"/>
              <w:left w:val="nil"/>
              <w:bottom w:val="single" w:sz="4" w:space="0" w:color="auto"/>
              <w:right w:val="single" w:sz="4" w:space="0" w:color="auto"/>
            </w:tcBorders>
            <w:shd w:val="clear" w:color="auto" w:fill="C6EFCE"/>
            <w:noWrap/>
          </w:tcPr>
          <w:p w14:paraId="6051B0BA"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2026</w:t>
            </w:r>
          </w:p>
        </w:tc>
        <w:tc>
          <w:tcPr>
            <w:tcW w:w="2693" w:type="dxa"/>
            <w:tcBorders>
              <w:top w:val="nil"/>
              <w:left w:val="nil"/>
              <w:bottom w:val="single" w:sz="4" w:space="0" w:color="auto"/>
              <w:right w:val="single" w:sz="4" w:space="0" w:color="auto"/>
            </w:tcBorders>
            <w:shd w:val="clear" w:color="auto" w:fill="C6EFCE"/>
            <w:noWrap/>
          </w:tcPr>
          <w:p w14:paraId="38F5AAC2" w14:textId="77777777" w:rsidR="00852517" w:rsidRPr="00C92F3A" w:rsidRDefault="00852517">
            <w:pPr>
              <w:spacing w:after="0" w:line="240" w:lineRule="auto"/>
              <w:jc w:val="both"/>
              <w:rPr>
                <w:rFonts w:ascii="Times New Roman" w:hAnsi="Times New Roman" w:cs="Times New Roman"/>
                <w:noProof/>
                <w:sz w:val="20"/>
                <w:szCs w:val="20"/>
                <w:lang w:val="en-GB"/>
              </w:rPr>
            </w:pPr>
            <w:bookmarkStart w:id="25" w:name="_Hlk210219337"/>
            <w:r w:rsidRPr="00C92F3A">
              <w:rPr>
                <w:rFonts w:ascii="Times New Roman" w:hAnsi="Times New Roman" w:cs="Times New Roman"/>
                <w:noProof/>
                <w:sz w:val="20"/>
                <w:szCs w:val="20"/>
                <w:lang w:val="en-GB"/>
              </w:rPr>
              <w:t>28 new community services (22 new nearly zero-energy buildings and six nearly zero-energy buildings +) for persons with disabilities shall be licensed (for example, day centres, assistance and support services, or patient neuro-motor recovery service centres). Each shall provide services to at least eight beneficiaries per day, according to their license</w:t>
            </w:r>
            <w:bookmarkEnd w:id="25"/>
            <w:r w:rsidRPr="00C92F3A">
              <w:rPr>
                <w:rFonts w:ascii="Times New Roman" w:hAnsi="Times New Roman" w:cs="Times New Roman"/>
                <w:noProof/>
                <w:sz w:val="20"/>
                <w:szCs w:val="20"/>
                <w:lang w:val="en-GB"/>
              </w:rPr>
              <w:t xml:space="preserve">. </w:t>
            </w:r>
          </w:p>
        </w:tc>
      </w:tr>
      <w:tr w:rsidR="00852517" w:rsidRPr="00C92F3A" w14:paraId="236EE8BB" w14:textId="77777777" w:rsidTr="00C92F3A">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20138759" w14:textId="77777777" w:rsidR="00852517" w:rsidRPr="00C92F3A" w:rsidRDefault="00852517">
            <w:pPr>
              <w:spacing w:after="0" w:line="240" w:lineRule="auto"/>
              <w:jc w:val="center"/>
              <w:rPr>
                <w:rFonts w:ascii="Times New Roman" w:hAnsi="Times New Roman" w:cs="Times New Roman"/>
                <w:noProof/>
                <w:sz w:val="20"/>
                <w:szCs w:val="20"/>
                <w:lang w:val="en-GB"/>
              </w:rPr>
            </w:pPr>
            <w:bookmarkStart w:id="26" w:name="_Hlk210216956"/>
            <w:r w:rsidRPr="00C92F3A">
              <w:rPr>
                <w:rFonts w:ascii="Times New Roman" w:hAnsi="Times New Roman" w:cs="Times New Roman"/>
                <w:noProof/>
                <w:sz w:val="20"/>
                <w:szCs w:val="20"/>
                <w:lang w:val="en-GB"/>
              </w:rPr>
              <w:t>397</w:t>
            </w:r>
          </w:p>
        </w:tc>
        <w:tc>
          <w:tcPr>
            <w:tcW w:w="1875" w:type="dxa"/>
            <w:tcBorders>
              <w:top w:val="single" w:sz="4" w:space="0" w:color="auto"/>
              <w:left w:val="single" w:sz="4" w:space="0" w:color="auto"/>
              <w:bottom w:val="single" w:sz="4" w:space="0" w:color="auto"/>
              <w:right w:val="single" w:sz="4" w:space="0" w:color="auto"/>
            </w:tcBorders>
            <w:shd w:val="clear" w:color="auto" w:fill="C6EFCE"/>
            <w:noWrap/>
          </w:tcPr>
          <w:p w14:paraId="283C364D" w14:textId="77777777" w:rsidR="00852517" w:rsidRPr="00C92F3A" w:rsidRDefault="00852517">
            <w:pPr>
              <w:spacing w:after="0" w:line="240" w:lineRule="auto"/>
              <w:jc w:val="both"/>
              <w:rPr>
                <w:rFonts w:ascii="Times New Roman" w:hAnsi="Times New Roman" w:cs="Times New Roman"/>
                <w:noProof/>
                <w:sz w:val="20"/>
                <w:szCs w:val="20"/>
                <w:lang w:val="en-GB"/>
              </w:rPr>
            </w:pPr>
            <w:bookmarkStart w:id="27" w:name="_Hlk210216772"/>
            <w:r w:rsidRPr="00C92F3A">
              <w:rPr>
                <w:rFonts w:ascii="Times New Roman" w:hAnsi="Times New Roman" w:cs="Times New Roman"/>
                <w:noProof/>
                <w:sz w:val="20"/>
                <w:szCs w:val="20"/>
                <w:lang w:val="en-GB"/>
              </w:rPr>
              <w:t>Investment 3. The establishment of the labour voucher system for domestic providers and service beneficiaries</w:t>
            </w:r>
            <w:bookmarkEnd w:id="27"/>
          </w:p>
        </w:tc>
        <w:tc>
          <w:tcPr>
            <w:tcW w:w="1183" w:type="dxa"/>
            <w:tcBorders>
              <w:top w:val="single" w:sz="4" w:space="0" w:color="auto"/>
              <w:left w:val="single" w:sz="4" w:space="0" w:color="auto"/>
              <w:bottom w:val="single" w:sz="4" w:space="0" w:color="auto"/>
              <w:right w:val="single" w:sz="4" w:space="0" w:color="auto"/>
            </w:tcBorders>
            <w:shd w:val="clear" w:color="auto" w:fill="C6EFCE"/>
            <w:noWrap/>
          </w:tcPr>
          <w:p w14:paraId="28FC0110"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Milestone</w:t>
            </w:r>
          </w:p>
        </w:tc>
        <w:tc>
          <w:tcPr>
            <w:tcW w:w="1478" w:type="dxa"/>
            <w:tcBorders>
              <w:top w:val="single" w:sz="4" w:space="0" w:color="auto"/>
              <w:left w:val="single" w:sz="4" w:space="0" w:color="auto"/>
              <w:bottom w:val="single" w:sz="4" w:space="0" w:color="auto"/>
              <w:right w:val="single" w:sz="4" w:space="0" w:color="auto"/>
            </w:tcBorders>
            <w:shd w:val="clear" w:color="auto" w:fill="C6EFCE"/>
            <w:noWrap/>
          </w:tcPr>
          <w:p w14:paraId="66C19B87"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Digital platform for the use of labour vouchers by domestic providers and service beneficiaries</w:t>
            </w:r>
          </w:p>
        </w:tc>
        <w:tc>
          <w:tcPr>
            <w:tcW w:w="1842" w:type="dxa"/>
            <w:tcBorders>
              <w:top w:val="single" w:sz="4" w:space="0" w:color="auto"/>
              <w:left w:val="single" w:sz="4" w:space="0" w:color="auto"/>
              <w:bottom w:val="single" w:sz="4" w:space="0" w:color="auto"/>
              <w:right w:val="single" w:sz="4" w:space="0" w:color="auto"/>
            </w:tcBorders>
            <w:shd w:val="clear" w:color="auto" w:fill="C6EFCE"/>
            <w:noWrap/>
          </w:tcPr>
          <w:p w14:paraId="2C786648"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Digital platform accessible online </w:t>
            </w:r>
          </w:p>
        </w:tc>
        <w:tc>
          <w:tcPr>
            <w:tcW w:w="1265" w:type="dxa"/>
            <w:tcBorders>
              <w:top w:val="single" w:sz="4" w:space="0" w:color="auto"/>
              <w:left w:val="single" w:sz="4" w:space="0" w:color="auto"/>
              <w:bottom w:val="single" w:sz="4" w:space="0" w:color="auto"/>
              <w:right w:val="single" w:sz="4" w:space="0" w:color="auto"/>
            </w:tcBorders>
            <w:shd w:val="clear" w:color="auto" w:fill="C6EFCE"/>
            <w:noWrap/>
          </w:tcPr>
          <w:p w14:paraId="21F8A2A3"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1145" w:type="dxa"/>
            <w:tcBorders>
              <w:top w:val="single" w:sz="4" w:space="0" w:color="auto"/>
              <w:left w:val="single" w:sz="4" w:space="0" w:color="auto"/>
              <w:bottom w:val="single" w:sz="4" w:space="0" w:color="auto"/>
              <w:right w:val="single" w:sz="4" w:space="0" w:color="auto"/>
            </w:tcBorders>
            <w:shd w:val="clear" w:color="auto" w:fill="C6EFCE"/>
            <w:noWrap/>
          </w:tcPr>
          <w:p w14:paraId="5A840FD2" w14:textId="77777777" w:rsidR="00852517" w:rsidRPr="00C92F3A" w:rsidRDefault="00852517">
            <w:pPr>
              <w:spacing w:after="0" w:line="240" w:lineRule="auto"/>
              <w:ind w:left="720"/>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75FC581"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1242" w:type="dxa"/>
            <w:tcBorders>
              <w:top w:val="single" w:sz="4" w:space="0" w:color="auto"/>
              <w:left w:val="single" w:sz="4" w:space="0" w:color="auto"/>
              <w:bottom w:val="single" w:sz="4" w:space="0" w:color="auto"/>
              <w:right w:val="single" w:sz="4" w:space="0" w:color="auto"/>
            </w:tcBorders>
            <w:shd w:val="clear" w:color="auto" w:fill="C6EFCE"/>
            <w:noWrap/>
          </w:tcPr>
          <w:p w14:paraId="5028B403"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448EC23D"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2023</w:t>
            </w:r>
          </w:p>
        </w:tc>
        <w:tc>
          <w:tcPr>
            <w:tcW w:w="2693" w:type="dxa"/>
            <w:tcBorders>
              <w:top w:val="single" w:sz="4" w:space="0" w:color="auto"/>
              <w:left w:val="single" w:sz="4" w:space="0" w:color="auto"/>
              <w:bottom w:val="single" w:sz="4" w:space="0" w:color="auto"/>
              <w:right w:val="single" w:sz="4" w:space="0" w:color="auto"/>
            </w:tcBorders>
            <w:shd w:val="clear" w:color="auto" w:fill="C6EFCE"/>
            <w:noWrap/>
          </w:tcPr>
          <w:p w14:paraId="33BE6E42"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The digital platform shall be accessible online and shall allow for the registration of domestic providers, previously recorded as unemployed or inactive, as service providers and the registration of services beneficiaries as users of domestic services. The platform shall allow:</w:t>
            </w:r>
          </w:p>
          <w:p w14:paraId="2B98BA7C" w14:textId="77777777" w:rsidR="00852517" w:rsidRPr="00C92F3A" w:rsidRDefault="00852517" w:rsidP="00852517">
            <w:pPr>
              <w:numPr>
                <w:ilvl w:val="0"/>
                <w:numId w:val="59"/>
              </w:numPr>
              <w:spacing w:before="120" w:after="0" w:line="240" w:lineRule="auto"/>
              <w:ind w:left="230" w:hanging="218"/>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To carry out voucher-related transactions (for example, buying vouchers, encoding working hours) digitally</w:t>
            </w:r>
          </w:p>
          <w:p w14:paraId="1D36FF17" w14:textId="77777777" w:rsidR="00852517" w:rsidRPr="00C92F3A" w:rsidRDefault="00852517" w:rsidP="00852517">
            <w:pPr>
              <w:numPr>
                <w:ilvl w:val="0"/>
                <w:numId w:val="59"/>
              </w:numPr>
              <w:spacing w:before="120" w:after="0" w:line="240" w:lineRule="auto"/>
              <w:ind w:left="230" w:hanging="218"/>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Encoding domestic workers activity details (for example, number of hours, type of domestic activity carried out) </w:t>
            </w:r>
          </w:p>
          <w:p w14:paraId="61E4D93D" w14:textId="77777777" w:rsidR="00852517" w:rsidRPr="00C92F3A" w:rsidRDefault="00852517" w:rsidP="00852517">
            <w:pPr>
              <w:numPr>
                <w:ilvl w:val="0"/>
                <w:numId w:val="59"/>
              </w:numPr>
              <w:spacing w:before="120" w:after="0" w:line="240" w:lineRule="auto"/>
              <w:ind w:left="230" w:hanging="218"/>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Digital interoperability with other national databases </w:t>
            </w:r>
          </w:p>
        </w:tc>
      </w:tr>
      <w:tr w:rsidR="00852517" w:rsidRPr="00C92F3A" w14:paraId="55920116" w14:textId="77777777" w:rsidTr="00C92F3A">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0E3132A" w14:textId="77777777" w:rsidR="00852517" w:rsidRPr="00C92F3A" w:rsidRDefault="00852517">
            <w:pPr>
              <w:spacing w:after="0" w:line="240" w:lineRule="auto"/>
              <w:jc w:val="center"/>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400</w:t>
            </w:r>
          </w:p>
        </w:tc>
        <w:tc>
          <w:tcPr>
            <w:tcW w:w="1875" w:type="dxa"/>
            <w:tcBorders>
              <w:top w:val="single" w:sz="4" w:space="0" w:color="auto"/>
              <w:left w:val="nil"/>
              <w:bottom w:val="single" w:sz="4" w:space="0" w:color="auto"/>
              <w:right w:val="single" w:sz="4" w:space="0" w:color="auto"/>
            </w:tcBorders>
            <w:shd w:val="clear" w:color="auto" w:fill="C6EFCE"/>
            <w:noWrap/>
          </w:tcPr>
          <w:p w14:paraId="52632C2A"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Investment 4. Creation of a network of day care and rehabilitating centres for elderly </w:t>
            </w:r>
          </w:p>
        </w:tc>
        <w:tc>
          <w:tcPr>
            <w:tcW w:w="1183" w:type="dxa"/>
            <w:tcBorders>
              <w:top w:val="single" w:sz="4" w:space="0" w:color="auto"/>
              <w:left w:val="nil"/>
              <w:bottom w:val="single" w:sz="4" w:space="0" w:color="auto"/>
              <w:right w:val="single" w:sz="4" w:space="0" w:color="auto"/>
            </w:tcBorders>
            <w:shd w:val="clear" w:color="auto" w:fill="C6EFCE"/>
            <w:noWrap/>
          </w:tcPr>
          <w:p w14:paraId="41A2357A"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Target</w:t>
            </w:r>
          </w:p>
        </w:tc>
        <w:tc>
          <w:tcPr>
            <w:tcW w:w="1478" w:type="dxa"/>
            <w:tcBorders>
              <w:top w:val="single" w:sz="4" w:space="0" w:color="auto"/>
              <w:left w:val="nil"/>
              <w:bottom w:val="single" w:sz="4" w:space="0" w:color="auto"/>
              <w:right w:val="single" w:sz="4" w:space="0" w:color="auto"/>
            </w:tcBorders>
            <w:shd w:val="clear" w:color="auto" w:fill="C6EFCE"/>
            <w:noWrap/>
          </w:tcPr>
          <w:p w14:paraId="06EA6A95"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Licensed day care and rehabilitating centres for the elderly</w:t>
            </w:r>
          </w:p>
        </w:tc>
        <w:tc>
          <w:tcPr>
            <w:tcW w:w="1842" w:type="dxa"/>
            <w:tcBorders>
              <w:top w:val="single" w:sz="4" w:space="0" w:color="auto"/>
              <w:left w:val="nil"/>
              <w:bottom w:val="single" w:sz="4" w:space="0" w:color="auto"/>
              <w:right w:val="single" w:sz="4" w:space="0" w:color="auto"/>
            </w:tcBorders>
            <w:shd w:val="clear" w:color="auto" w:fill="C6EFCE"/>
            <w:noWrap/>
          </w:tcPr>
          <w:p w14:paraId="6A0780C3"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 xml:space="preserve"> </w:t>
            </w:r>
          </w:p>
        </w:tc>
        <w:tc>
          <w:tcPr>
            <w:tcW w:w="1265" w:type="dxa"/>
            <w:tcBorders>
              <w:top w:val="single" w:sz="4" w:space="0" w:color="auto"/>
              <w:left w:val="nil"/>
              <w:bottom w:val="single" w:sz="4" w:space="0" w:color="auto"/>
              <w:right w:val="single" w:sz="4" w:space="0" w:color="auto"/>
            </w:tcBorders>
            <w:shd w:val="clear" w:color="auto" w:fill="C6EFCE"/>
            <w:noWrap/>
          </w:tcPr>
          <w:p w14:paraId="3CE3A03E"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Number</w:t>
            </w:r>
          </w:p>
        </w:tc>
        <w:tc>
          <w:tcPr>
            <w:tcW w:w="1145" w:type="dxa"/>
            <w:tcBorders>
              <w:top w:val="single" w:sz="4" w:space="0" w:color="auto"/>
              <w:left w:val="nil"/>
              <w:bottom w:val="single" w:sz="4" w:space="0" w:color="auto"/>
              <w:right w:val="single" w:sz="4" w:space="0" w:color="auto"/>
            </w:tcBorders>
            <w:shd w:val="clear" w:color="auto" w:fill="C6EFCE"/>
            <w:noWrap/>
          </w:tcPr>
          <w:p w14:paraId="0387377B" w14:textId="77777777" w:rsidR="00852517" w:rsidRPr="00C92F3A" w:rsidRDefault="00852517">
            <w:pPr>
              <w:spacing w:after="0" w:line="240" w:lineRule="auto"/>
              <w:ind w:left="720"/>
              <w:contextualSpacing/>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0</w:t>
            </w:r>
          </w:p>
        </w:tc>
        <w:tc>
          <w:tcPr>
            <w:tcW w:w="851" w:type="dxa"/>
            <w:tcBorders>
              <w:top w:val="single" w:sz="4" w:space="0" w:color="auto"/>
              <w:left w:val="nil"/>
              <w:bottom w:val="single" w:sz="4" w:space="0" w:color="auto"/>
              <w:right w:val="single" w:sz="4" w:space="0" w:color="auto"/>
            </w:tcBorders>
            <w:shd w:val="clear" w:color="auto" w:fill="C6EFCE"/>
            <w:noWrap/>
          </w:tcPr>
          <w:p w14:paraId="75680BB3"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41</w:t>
            </w:r>
          </w:p>
        </w:tc>
        <w:tc>
          <w:tcPr>
            <w:tcW w:w="1242" w:type="dxa"/>
            <w:tcBorders>
              <w:top w:val="single" w:sz="4" w:space="0" w:color="auto"/>
              <w:left w:val="nil"/>
              <w:bottom w:val="single" w:sz="4" w:space="0" w:color="auto"/>
              <w:right w:val="single" w:sz="4" w:space="0" w:color="auto"/>
            </w:tcBorders>
            <w:shd w:val="clear" w:color="auto" w:fill="C6EFCE"/>
            <w:noWrap/>
          </w:tcPr>
          <w:p w14:paraId="3395BDB3"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Q2</w:t>
            </w:r>
          </w:p>
        </w:tc>
        <w:tc>
          <w:tcPr>
            <w:tcW w:w="825" w:type="dxa"/>
            <w:tcBorders>
              <w:top w:val="single" w:sz="4" w:space="0" w:color="auto"/>
              <w:left w:val="nil"/>
              <w:bottom w:val="single" w:sz="4" w:space="0" w:color="auto"/>
              <w:right w:val="single" w:sz="4" w:space="0" w:color="auto"/>
            </w:tcBorders>
            <w:shd w:val="clear" w:color="auto" w:fill="C6EFCE"/>
            <w:noWrap/>
          </w:tcPr>
          <w:p w14:paraId="129B569E"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2026</w:t>
            </w:r>
          </w:p>
        </w:tc>
        <w:tc>
          <w:tcPr>
            <w:tcW w:w="2693" w:type="dxa"/>
            <w:tcBorders>
              <w:top w:val="single" w:sz="4" w:space="0" w:color="auto"/>
              <w:left w:val="nil"/>
              <w:bottom w:val="single" w:sz="4" w:space="0" w:color="auto"/>
              <w:right w:val="single" w:sz="4" w:space="0" w:color="auto"/>
            </w:tcBorders>
            <w:shd w:val="clear" w:color="auto" w:fill="C6EFCE"/>
            <w:noWrap/>
          </w:tcPr>
          <w:p w14:paraId="6C56B606" w14:textId="77777777" w:rsidR="00852517" w:rsidRPr="00C92F3A" w:rsidRDefault="00852517">
            <w:pPr>
              <w:spacing w:after="0" w:line="240" w:lineRule="auto"/>
              <w:jc w:val="both"/>
              <w:rPr>
                <w:rFonts w:ascii="Times New Roman" w:hAnsi="Times New Roman" w:cs="Times New Roman"/>
                <w:noProof/>
                <w:sz w:val="20"/>
                <w:szCs w:val="20"/>
                <w:lang w:val="en-GB"/>
              </w:rPr>
            </w:pPr>
            <w:r w:rsidRPr="00C92F3A">
              <w:rPr>
                <w:rFonts w:ascii="Times New Roman" w:hAnsi="Times New Roman" w:cs="Times New Roman"/>
                <w:noProof/>
                <w:sz w:val="20"/>
                <w:szCs w:val="20"/>
                <w:lang w:val="en-GB"/>
              </w:rPr>
              <w:t>41 day care and rehabilitating centres shall be licensed. The centres shall provide social assistance and rehabilitation services, and each one shall have at least a mobile team of service providers for the elderly persons not able to come to the centre. The spatial distribution of day service centres shall be based on the mapping carried out in line with milestone 399.</w:t>
            </w:r>
          </w:p>
        </w:tc>
      </w:tr>
      <w:bookmarkEnd w:id="26"/>
    </w:tbl>
    <w:p w14:paraId="5D407B0A" w14:textId="77777777" w:rsidR="00852517" w:rsidRPr="00291374" w:rsidRDefault="00852517" w:rsidP="00852517">
      <w:pPr>
        <w:spacing w:before="120" w:after="120" w:line="240" w:lineRule="auto"/>
        <w:ind w:left="709"/>
        <w:jc w:val="both"/>
        <w:rPr>
          <w:rFonts w:ascii="Times New Roman" w:hAnsi="Times New Roman" w:cs="Times New Roman"/>
          <w:noProof/>
          <w:lang w:val="en-GB"/>
        </w:rPr>
      </w:pPr>
    </w:p>
    <w:p w14:paraId="0DBD0481" w14:textId="77777777" w:rsidR="00852517" w:rsidRPr="00291374" w:rsidRDefault="00852517" w:rsidP="00852517">
      <w:pPr>
        <w:spacing w:before="120" w:after="120" w:line="240" w:lineRule="auto"/>
        <w:ind w:left="709"/>
        <w:jc w:val="both"/>
        <w:rPr>
          <w:rFonts w:ascii="Times New Roman" w:hAnsi="Times New Roman" w:cs="Times New Roman"/>
          <w:noProof/>
          <w:lang w:val="en-GB"/>
        </w:rPr>
        <w:sectPr w:rsidR="00852517" w:rsidRPr="00291374" w:rsidSect="00852517">
          <w:headerReference w:type="even" r:id="rId304"/>
          <w:headerReference w:type="default" r:id="rId305"/>
          <w:footerReference w:type="even" r:id="rId306"/>
          <w:footerReference w:type="default" r:id="rId307"/>
          <w:headerReference w:type="first" r:id="rId308"/>
          <w:footerReference w:type="first" r:id="rId309"/>
          <w:pgSz w:w="16839" w:h="11907" w:orient="landscape"/>
          <w:pgMar w:top="1134" w:right="1134" w:bottom="1134" w:left="1134" w:header="567" w:footer="567" w:gutter="0"/>
          <w:cols w:space="720"/>
          <w:docGrid w:linePitch="360"/>
        </w:sectPr>
      </w:pPr>
    </w:p>
    <w:p w14:paraId="2762827C" w14:textId="77777777" w:rsidR="00852517" w:rsidRPr="00291374" w:rsidRDefault="00852517" w:rsidP="00852517">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M.3. </w:t>
      </w:r>
      <w:r w:rsidRPr="00291374">
        <w:rPr>
          <w:rFonts w:ascii="Times New Roman" w:hAnsi="Times New Roman" w:cs="Times New Roman"/>
          <w:noProof/>
          <w:lang w:val="en-GB"/>
        </w:rPr>
        <w:tab/>
      </w:r>
      <w:r w:rsidRPr="00291374">
        <w:rPr>
          <w:rFonts w:ascii="Times New Roman" w:hAnsi="Times New Roman" w:cs="Times New Roman"/>
          <w:b/>
          <w:noProof/>
          <w:lang w:val="en-GB"/>
        </w:rPr>
        <w:t xml:space="preserve">Description of the reforms for the loan </w:t>
      </w:r>
    </w:p>
    <w:p w14:paraId="09349CAD" w14:textId="77777777" w:rsidR="00852517" w:rsidRPr="00291374" w:rsidRDefault="00852517" w:rsidP="00852517">
      <w:pPr>
        <w:pStyle w:val="Standard"/>
        <w:spacing w:before="240"/>
        <w:jc w:val="both"/>
        <w:rPr>
          <w:rFonts w:ascii="Times New Roman" w:eastAsiaTheme="majorEastAsia" w:hAnsi="Times New Roman" w:cs="Times New Roman"/>
          <w:bCs/>
          <w:noProof/>
          <w:u w:val="single"/>
          <w:lang w:val="en-GB"/>
        </w:rPr>
      </w:pPr>
      <w:r w:rsidRPr="00291374">
        <w:rPr>
          <w:rFonts w:ascii="Times New Roman" w:hAnsi="Times New Roman" w:cs="Times New Roman"/>
          <w:noProof/>
          <w:u w:val="single"/>
          <w:lang w:val="en-GB"/>
        </w:rPr>
        <w:t xml:space="preserve">Reform 6. Improvement of the social economy legislation </w:t>
      </w:r>
    </w:p>
    <w:p w14:paraId="426B5338" w14:textId="77777777"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reform is to better use the potential of social economy enterprises to innovate and contribute to the social and environmental challenges. </w:t>
      </w:r>
    </w:p>
    <w:p w14:paraId="2A6451EE" w14:textId="316A9B36"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consists in the adoption of legal acts for the sustainability of the social economy structures.</w:t>
      </w:r>
      <w:r w:rsidR="00D23D91">
        <w:rPr>
          <w:rFonts w:ascii="Times New Roman" w:hAnsi="Times New Roman" w:cs="Times New Roman"/>
          <w:noProof/>
          <w:lang w:val="en-GB"/>
        </w:rPr>
        <w:t xml:space="preserve"> </w:t>
      </w:r>
    </w:p>
    <w:p w14:paraId="65A7CEFB" w14:textId="77777777" w:rsidR="00852517" w:rsidRPr="00291374" w:rsidRDefault="00852517" w:rsidP="00852517">
      <w:pPr>
        <w:pStyle w:val="Standard"/>
        <w:spacing w:before="240"/>
        <w:jc w:val="both"/>
        <w:rPr>
          <w:rFonts w:ascii="Times New Roman" w:eastAsiaTheme="majorEastAsia" w:hAnsi="Times New Roman" w:cs="Times New Roman"/>
          <w:noProof/>
          <w:u w:val="single"/>
          <w:lang w:val="en-GB"/>
        </w:rPr>
      </w:pPr>
      <w:r w:rsidRPr="00291374">
        <w:rPr>
          <w:rFonts w:ascii="Times New Roman" w:hAnsi="Times New Roman" w:cs="Times New Roman"/>
          <w:noProof/>
          <w:u w:val="single"/>
          <w:lang w:val="en-GB"/>
        </w:rPr>
        <w:t>Reform 7. Reform of long-term care services for older people</w:t>
      </w:r>
    </w:p>
    <w:p w14:paraId="71BC63DF" w14:textId="77777777"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reform is to increase the quality of the long-term care services for older people. </w:t>
      </w:r>
    </w:p>
    <w:p w14:paraId="63506968" w14:textId="77777777" w:rsidR="00852517" w:rsidRPr="00291374" w:rsidRDefault="00852517" w:rsidP="00852517">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This measure consists in the adoption of legal acts to support the delivery of quality long-term care services for older people. </w:t>
      </w:r>
    </w:p>
    <w:p w14:paraId="1EE89D50" w14:textId="77777777" w:rsidR="00852517" w:rsidRPr="00291374" w:rsidRDefault="00852517" w:rsidP="00852517">
      <w:pPr>
        <w:spacing w:before="120" w:after="120" w:line="240" w:lineRule="auto"/>
        <w:jc w:val="both"/>
        <w:rPr>
          <w:rFonts w:ascii="Times New Roman" w:hAnsi="Times New Roman" w:cs="Times New Roman"/>
          <w:noProof/>
          <w:lang w:val="en-GB"/>
        </w:rPr>
        <w:sectPr w:rsidR="00852517" w:rsidRPr="00291374" w:rsidSect="00852517">
          <w:headerReference w:type="even" r:id="rId310"/>
          <w:headerReference w:type="default" r:id="rId311"/>
          <w:footerReference w:type="even" r:id="rId312"/>
          <w:footerReference w:type="default" r:id="rId313"/>
          <w:headerReference w:type="first" r:id="rId314"/>
          <w:footerReference w:type="first" r:id="rId315"/>
          <w:pgSz w:w="11907" w:h="16839"/>
          <w:pgMar w:top="1134" w:right="1134" w:bottom="1134" w:left="1134" w:header="567" w:footer="567" w:gutter="0"/>
          <w:cols w:space="720"/>
          <w:docGrid w:linePitch="360"/>
        </w:sectPr>
      </w:pPr>
    </w:p>
    <w:p w14:paraId="5CE7DA6E" w14:textId="77777777" w:rsidR="00852517" w:rsidRPr="00291374" w:rsidRDefault="00852517" w:rsidP="00852517">
      <w:pPr>
        <w:keepNext/>
        <w:spacing w:before="120" w:after="120" w:line="240" w:lineRule="auto"/>
        <w:ind w:left="709"/>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M.4. </w:t>
      </w:r>
      <w:r w:rsidRPr="00291374">
        <w:rPr>
          <w:rFonts w:ascii="Times New Roman" w:hAnsi="Times New Roman" w:cs="Times New Roman"/>
          <w:noProof/>
          <w:lang w:val="en-GB"/>
        </w:rPr>
        <w:tab/>
      </w:r>
      <w:r w:rsidRPr="00291374">
        <w:rPr>
          <w:rFonts w:ascii="Times New Roman" w:hAnsi="Times New Roman" w:cs="Times New Roman"/>
          <w:b/>
          <w:noProof/>
          <w:lang w:val="en-GB"/>
        </w:rPr>
        <w:t xml:space="preserve">Milestones, targets, indicators, and timetable for monitoring and implementation for the loan </w:t>
      </w:r>
    </w:p>
    <w:tbl>
      <w:tblPr>
        <w:tblW w:w="15730" w:type="dxa"/>
        <w:jc w:val="center"/>
        <w:tblLayout w:type="fixed"/>
        <w:tblLook w:val="04A0" w:firstRow="1" w:lastRow="0" w:firstColumn="1" w:lastColumn="0" w:noHBand="0" w:noVBand="1"/>
      </w:tblPr>
      <w:tblGrid>
        <w:gridCol w:w="846"/>
        <w:gridCol w:w="1836"/>
        <w:gridCol w:w="1282"/>
        <w:gridCol w:w="1693"/>
        <w:gridCol w:w="1597"/>
        <w:gridCol w:w="1246"/>
        <w:gridCol w:w="1134"/>
        <w:gridCol w:w="920"/>
        <w:gridCol w:w="1065"/>
        <w:gridCol w:w="850"/>
        <w:gridCol w:w="3261"/>
      </w:tblGrid>
      <w:tr w:rsidR="00852517" w:rsidRPr="00BD01A2" w14:paraId="7D13D1F7" w14:textId="77777777">
        <w:trPr>
          <w:trHeight w:val="939"/>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B39C08" w14:textId="77777777" w:rsidR="00852517" w:rsidRPr="00BD01A2" w:rsidRDefault="00852517">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Seq. Num.</w:t>
            </w:r>
          </w:p>
        </w:tc>
        <w:tc>
          <w:tcPr>
            <w:tcW w:w="18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675B23B" w14:textId="77777777" w:rsidR="00852517" w:rsidRPr="00BD01A2" w:rsidRDefault="00852517">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Related Measure (Reform or Investment)</w:t>
            </w:r>
          </w:p>
        </w:tc>
        <w:tc>
          <w:tcPr>
            <w:tcW w:w="12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43344F" w14:textId="77777777" w:rsidR="00852517" w:rsidRPr="00BD01A2" w:rsidRDefault="00852517">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Milestone / Target</w:t>
            </w:r>
          </w:p>
        </w:tc>
        <w:tc>
          <w:tcPr>
            <w:tcW w:w="169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3AA159" w14:textId="77777777" w:rsidR="00852517" w:rsidRPr="00BD01A2" w:rsidRDefault="00852517">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Name</w:t>
            </w:r>
          </w:p>
        </w:tc>
        <w:tc>
          <w:tcPr>
            <w:tcW w:w="15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94CCDB0" w14:textId="77777777" w:rsidR="00852517" w:rsidRPr="00BD01A2" w:rsidRDefault="00852517">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 xml:space="preserve">Qualitative indicators </w:t>
            </w:r>
            <w:r w:rsidRPr="00BD01A2">
              <w:rPr>
                <w:rFonts w:ascii="Times New Roman" w:hAnsi="Times New Roman" w:cs="Times New Roman"/>
                <w:noProof/>
                <w:sz w:val="20"/>
                <w:szCs w:val="20"/>
                <w:lang w:val="en-GB"/>
              </w:rPr>
              <w:br/>
            </w:r>
            <w:r w:rsidRPr="00BD01A2">
              <w:rPr>
                <w:rFonts w:ascii="Times New Roman" w:hAnsi="Times New Roman" w:cs="Times New Roman"/>
                <w:b/>
                <w:noProof/>
                <w:sz w:val="20"/>
                <w:szCs w:val="20"/>
                <w:lang w:val="en-GB"/>
              </w:rPr>
              <w:t>(for milestones)</w:t>
            </w:r>
          </w:p>
        </w:tc>
        <w:tc>
          <w:tcPr>
            <w:tcW w:w="330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27BCA9A" w14:textId="77777777" w:rsidR="00852517" w:rsidRPr="00BD01A2" w:rsidRDefault="00852517">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 xml:space="preserve">Quantitative indicators </w:t>
            </w:r>
            <w:r w:rsidRPr="00BD01A2">
              <w:rPr>
                <w:rFonts w:ascii="Times New Roman" w:hAnsi="Times New Roman" w:cs="Times New Roman"/>
                <w:noProof/>
                <w:sz w:val="20"/>
                <w:szCs w:val="20"/>
                <w:lang w:val="en-GB"/>
              </w:rPr>
              <w:br/>
            </w:r>
            <w:r w:rsidRPr="00BD01A2">
              <w:rPr>
                <w:rFonts w:ascii="Times New Roman" w:hAnsi="Times New Roman" w:cs="Times New Roman"/>
                <w:b/>
                <w:noProof/>
                <w:sz w:val="20"/>
                <w:szCs w:val="20"/>
                <w:lang w:val="en-GB"/>
              </w:rPr>
              <w:t>(for targets)</w:t>
            </w:r>
          </w:p>
        </w:tc>
        <w:tc>
          <w:tcPr>
            <w:tcW w:w="1915" w:type="dxa"/>
            <w:gridSpan w:val="2"/>
            <w:tcBorders>
              <w:top w:val="single" w:sz="4" w:space="0" w:color="auto"/>
              <w:left w:val="nil"/>
              <w:bottom w:val="single" w:sz="4" w:space="0" w:color="auto"/>
              <w:right w:val="single" w:sz="4" w:space="0" w:color="auto"/>
            </w:tcBorders>
            <w:shd w:val="clear" w:color="auto" w:fill="BDD7EE"/>
            <w:vAlign w:val="center"/>
            <w:hideMark/>
          </w:tcPr>
          <w:p w14:paraId="121864D8" w14:textId="77777777" w:rsidR="00852517" w:rsidRPr="00BD01A2" w:rsidRDefault="00852517">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Indicative timeline for completion</w:t>
            </w:r>
          </w:p>
        </w:tc>
        <w:tc>
          <w:tcPr>
            <w:tcW w:w="326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E15F5A" w14:textId="77777777" w:rsidR="00852517" w:rsidRPr="00BD01A2" w:rsidRDefault="00852517">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Description of each milestone and target</w:t>
            </w:r>
          </w:p>
        </w:tc>
      </w:tr>
      <w:tr w:rsidR="00852517" w:rsidRPr="00BD01A2" w14:paraId="07773FA4" w14:textId="77777777">
        <w:trPr>
          <w:trHeight w:val="122"/>
          <w:tblHeader/>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C6ADB80" w14:textId="77777777" w:rsidR="00852517" w:rsidRPr="00BD01A2" w:rsidRDefault="00852517">
            <w:pPr>
              <w:spacing w:after="0" w:line="240" w:lineRule="auto"/>
              <w:jc w:val="both"/>
              <w:rPr>
                <w:rFonts w:ascii="Times New Roman" w:eastAsia="Times New Roman" w:hAnsi="Times New Roman" w:cs="Times New Roman"/>
                <w:b/>
                <w:bCs/>
                <w:noProof/>
                <w:sz w:val="20"/>
                <w:szCs w:val="20"/>
                <w:lang w:val="en-GB" w:eastAsia="en-GB"/>
              </w:rPr>
            </w:pPr>
          </w:p>
        </w:tc>
        <w:tc>
          <w:tcPr>
            <w:tcW w:w="1836" w:type="dxa"/>
            <w:vMerge/>
            <w:tcBorders>
              <w:top w:val="single" w:sz="4" w:space="0" w:color="auto"/>
              <w:left w:val="single" w:sz="4" w:space="0" w:color="auto"/>
              <w:bottom w:val="single" w:sz="4" w:space="0" w:color="auto"/>
              <w:right w:val="single" w:sz="4" w:space="0" w:color="auto"/>
            </w:tcBorders>
            <w:vAlign w:val="center"/>
            <w:hideMark/>
          </w:tcPr>
          <w:p w14:paraId="2A73B78F" w14:textId="77777777" w:rsidR="00852517" w:rsidRPr="00BD01A2" w:rsidRDefault="00852517">
            <w:pPr>
              <w:spacing w:after="0" w:line="240" w:lineRule="auto"/>
              <w:jc w:val="both"/>
              <w:rPr>
                <w:rFonts w:ascii="Times New Roman" w:eastAsia="Times New Roman" w:hAnsi="Times New Roman" w:cs="Times New Roman"/>
                <w:b/>
                <w:bCs/>
                <w:noProof/>
                <w:sz w:val="20"/>
                <w:szCs w:val="20"/>
                <w:lang w:val="en-GB" w:eastAsia="en-GB"/>
              </w:rPr>
            </w:pPr>
          </w:p>
        </w:tc>
        <w:tc>
          <w:tcPr>
            <w:tcW w:w="1282" w:type="dxa"/>
            <w:vMerge/>
            <w:tcBorders>
              <w:top w:val="single" w:sz="4" w:space="0" w:color="auto"/>
              <w:left w:val="single" w:sz="4" w:space="0" w:color="auto"/>
              <w:bottom w:val="single" w:sz="4" w:space="0" w:color="auto"/>
              <w:right w:val="single" w:sz="4" w:space="0" w:color="auto"/>
            </w:tcBorders>
            <w:vAlign w:val="center"/>
            <w:hideMark/>
          </w:tcPr>
          <w:p w14:paraId="3455BEBE" w14:textId="77777777" w:rsidR="00852517" w:rsidRPr="00BD01A2" w:rsidRDefault="00852517">
            <w:pPr>
              <w:spacing w:after="0" w:line="240" w:lineRule="auto"/>
              <w:jc w:val="both"/>
              <w:rPr>
                <w:rFonts w:ascii="Times New Roman" w:eastAsia="Times New Roman" w:hAnsi="Times New Roman" w:cs="Times New Roman"/>
                <w:b/>
                <w:bCs/>
                <w:noProof/>
                <w:sz w:val="20"/>
                <w:szCs w:val="20"/>
                <w:lang w:val="en-GB" w:eastAsia="en-GB"/>
              </w:rPr>
            </w:pPr>
          </w:p>
        </w:tc>
        <w:tc>
          <w:tcPr>
            <w:tcW w:w="1693" w:type="dxa"/>
            <w:vMerge/>
            <w:tcBorders>
              <w:top w:val="single" w:sz="4" w:space="0" w:color="auto"/>
              <w:left w:val="single" w:sz="4" w:space="0" w:color="auto"/>
              <w:bottom w:val="single" w:sz="4" w:space="0" w:color="auto"/>
              <w:right w:val="single" w:sz="4" w:space="0" w:color="auto"/>
            </w:tcBorders>
            <w:vAlign w:val="center"/>
            <w:hideMark/>
          </w:tcPr>
          <w:p w14:paraId="58835809" w14:textId="77777777" w:rsidR="00852517" w:rsidRPr="00BD01A2" w:rsidRDefault="00852517">
            <w:pPr>
              <w:spacing w:after="0" w:line="240" w:lineRule="auto"/>
              <w:jc w:val="both"/>
              <w:rPr>
                <w:rFonts w:ascii="Times New Roman" w:eastAsia="Times New Roman" w:hAnsi="Times New Roman" w:cs="Times New Roman"/>
                <w:b/>
                <w:bCs/>
                <w:noProof/>
                <w:sz w:val="20"/>
                <w:szCs w:val="20"/>
                <w:lang w:val="en-GB" w:eastAsia="en-GB"/>
              </w:rPr>
            </w:pPr>
          </w:p>
        </w:tc>
        <w:tc>
          <w:tcPr>
            <w:tcW w:w="1597" w:type="dxa"/>
            <w:vMerge/>
            <w:tcBorders>
              <w:top w:val="single" w:sz="4" w:space="0" w:color="auto"/>
              <w:left w:val="single" w:sz="4" w:space="0" w:color="auto"/>
              <w:bottom w:val="single" w:sz="4" w:space="0" w:color="auto"/>
              <w:right w:val="single" w:sz="4" w:space="0" w:color="auto"/>
            </w:tcBorders>
            <w:vAlign w:val="center"/>
            <w:hideMark/>
          </w:tcPr>
          <w:p w14:paraId="41D54961" w14:textId="77777777" w:rsidR="00852517" w:rsidRPr="00BD01A2" w:rsidRDefault="00852517">
            <w:pPr>
              <w:spacing w:after="0" w:line="240" w:lineRule="auto"/>
              <w:jc w:val="both"/>
              <w:rPr>
                <w:rFonts w:ascii="Times New Roman" w:eastAsia="Times New Roman" w:hAnsi="Times New Roman" w:cs="Times New Roman"/>
                <w:b/>
                <w:bCs/>
                <w:noProof/>
                <w:sz w:val="20"/>
                <w:szCs w:val="20"/>
                <w:lang w:val="en-GB" w:eastAsia="en-GB"/>
              </w:rPr>
            </w:pPr>
          </w:p>
        </w:tc>
        <w:tc>
          <w:tcPr>
            <w:tcW w:w="1246" w:type="dxa"/>
            <w:tcBorders>
              <w:top w:val="nil"/>
              <w:left w:val="single" w:sz="4" w:space="0" w:color="auto"/>
              <w:bottom w:val="single" w:sz="4" w:space="0" w:color="auto"/>
              <w:right w:val="single" w:sz="4" w:space="0" w:color="auto"/>
            </w:tcBorders>
            <w:shd w:val="clear" w:color="auto" w:fill="BDD7EE"/>
            <w:vAlign w:val="center"/>
            <w:hideMark/>
          </w:tcPr>
          <w:p w14:paraId="2E6CEE99" w14:textId="77777777" w:rsidR="00852517" w:rsidRPr="00BD01A2" w:rsidRDefault="00852517">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Unit of measure</w:t>
            </w:r>
          </w:p>
        </w:tc>
        <w:tc>
          <w:tcPr>
            <w:tcW w:w="1134" w:type="dxa"/>
            <w:tcBorders>
              <w:top w:val="nil"/>
              <w:left w:val="nil"/>
              <w:bottom w:val="single" w:sz="4" w:space="0" w:color="auto"/>
              <w:right w:val="single" w:sz="4" w:space="0" w:color="auto"/>
            </w:tcBorders>
            <w:shd w:val="clear" w:color="auto" w:fill="BDD7EE"/>
            <w:vAlign w:val="center"/>
            <w:hideMark/>
          </w:tcPr>
          <w:p w14:paraId="240A2DB0" w14:textId="77777777" w:rsidR="00852517" w:rsidRPr="00BD01A2" w:rsidRDefault="00852517">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Baseline</w:t>
            </w:r>
          </w:p>
        </w:tc>
        <w:tc>
          <w:tcPr>
            <w:tcW w:w="920" w:type="dxa"/>
            <w:tcBorders>
              <w:top w:val="nil"/>
              <w:left w:val="nil"/>
              <w:bottom w:val="single" w:sz="4" w:space="0" w:color="auto"/>
              <w:right w:val="single" w:sz="4" w:space="0" w:color="auto"/>
            </w:tcBorders>
            <w:shd w:val="clear" w:color="auto" w:fill="BDD7EE"/>
            <w:vAlign w:val="center"/>
            <w:hideMark/>
          </w:tcPr>
          <w:p w14:paraId="35878511" w14:textId="77777777" w:rsidR="00852517" w:rsidRPr="00BD01A2" w:rsidRDefault="00852517">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Goal</w:t>
            </w:r>
          </w:p>
        </w:tc>
        <w:tc>
          <w:tcPr>
            <w:tcW w:w="1065" w:type="dxa"/>
            <w:tcBorders>
              <w:top w:val="nil"/>
              <w:left w:val="nil"/>
              <w:bottom w:val="single" w:sz="4" w:space="0" w:color="auto"/>
              <w:right w:val="single" w:sz="4" w:space="0" w:color="auto"/>
            </w:tcBorders>
            <w:shd w:val="clear" w:color="auto" w:fill="BDD7EE"/>
            <w:vAlign w:val="center"/>
            <w:hideMark/>
          </w:tcPr>
          <w:p w14:paraId="2B08A5A2" w14:textId="77777777" w:rsidR="00852517" w:rsidRPr="00BD01A2" w:rsidRDefault="00852517">
            <w:pPr>
              <w:spacing w:after="0" w:line="240" w:lineRule="auto"/>
              <w:jc w:val="both"/>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Quarter</w:t>
            </w:r>
          </w:p>
        </w:tc>
        <w:tc>
          <w:tcPr>
            <w:tcW w:w="850" w:type="dxa"/>
            <w:tcBorders>
              <w:top w:val="nil"/>
              <w:left w:val="nil"/>
              <w:bottom w:val="single" w:sz="4" w:space="0" w:color="auto"/>
              <w:right w:val="single" w:sz="4" w:space="0" w:color="auto"/>
            </w:tcBorders>
            <w:shd w:val="clear" w:color="auto" w:fill="BDD7EE"/>
            <w:vAlign w:val="center"/>
            <w:hideMark/>
          </w:tcPr>
          <w:p w14:paraId="05C70422" w14:textId="77777777" w:rsidR="00852517" w:rsidRPr="00BD01A2" w:rsidRDefault="00852517">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Year</w:t>
            </w:r>
          </w:p>
        </w:tc>
        <w:tc>
          <w:tcPr>
            <w:tcW w:w="3261" w:type="dxa"/>
            <w:vMerge/>
            <w:tcBorders>
              <w:top w:val="single" w:sz="4" w:space="0" w:color="auto"/>
              <w:bottom w:val="single" w:sz="4" w:space="0" w:color="auto"/>
              <w:right w:val="single" w:sz="4" w:space="0" w:color="auto"/>
            </w:tcBorders>
            <w:vAlign w:val="center"/>
            <w:hideMark/>
          </w:tcPr>
          <w:p w14:paraId="3EF63C62" w14:textId="77777777" w:rsidR="00852517" w:rsidRPr="00BD01A2" w:rsidRDefault="00852517">
            <w:pPr>
              <w:spacing w:after="0" w:line="240" w:lineRule="auto"/>
              <w:jc w:val="both"/>
              <w:rPr>
                <w:rFonts w:ascii="Times New Roman" w:eastAsia="Times New Roman" w:hAnsi="Times New Roman" w:cs="Times New Roman"/>
                <w:b/>
                <w:bCs/>
                <w:noProof/>
                <w:sz w:val="20"/>
                <w:szCs w:val="20"/>
                <w:lang w:val="en-GB" w:eastAsia="en-GB"/>
              </w:rPr>
            </w:pPr>
          </w:p>
        </w:tc>
      </w:tr>
      <w:tr w:rsidR="00852517" w:rsidRPr="00BD01A2" w14:paraId="3E64BB18" w14:textId="77777777">
        <w:trPr>
          <w:trHeight w:val="313"/>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hideMark/>
          </w:tcPr>
          <w:p w14:paraId="04D1275C" w14:textId="77777777" w:rsidR="00852517" w:rsidRPr="00BD01A2" w:rsidRDefault="00852517">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398</w:t>
            </w:r>
          </w:p>
        </w:tc>
        <w:tc>
          <w:tcPr>
            <w:tcW w:w="1836" w:type="dxa"/>
            <w:tcBorders>
              <w:top w:val="single" w:sz="4" w:space="0" w:color="auto"/>
              <w:left w:val="nil"/>
              <w:bottom w:val="single" w:sz="4" w:space="0" w:color="auto"/>
              <w:right w:val="single" w:sz="4" w:space="0" w:color="auto"/>
            </w:tcBorders>
            <w:shd w:val="clear" w:color="auto" w:fill="C6EFCE"/>
            <w:noWrap/>
          </w:tcPr>
          <w:p w14:paraId="66DFB169" w14:textId="77777777" w:rsidR="00852517" w:rsidRPr="00BD01A2" w:rsidRDefault="00852517">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Reform 6. Improvement of the social economy legislation </w:t>
            </w:r>
          </w:p>
        </w:tc>
        <w:tc>
          <w:tcPr>
            <w:tcW w:w="1282" w:type="dxa"/>
            <w:tcBorders>
              <w:top w:val="single" w:sz="4" w:space="0" w:color="auto"/>
              <w:left w:val="nil"/>
              <w:bottom w:val="single" w:sz="4" w:space="0" w:color="auto"/>
              <w:right w:val="single" w:sz="4" w:space="0" w:color="auto"/>
            </w:tcBorders>
            <w:shd w:val="clear" w:color="auto" w:fill="C6EFCE"/>
            <w:noWrap/>
            <w:hideMark/>
          </w:tcPr>
          <w:p w14:paraId="2EA603CE" w14:textId="77777777" w:rsidR="00852517" w:rsidRPr="00BD01A2" w:rsidRDefault="00852517">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93" w:type="dxa"/>
            <w:tcBorders>
              <w:top w:val="single" w:sz="4" w:space="0" w:color="auto"/>
              <w:left w:val="nil"/>
              <w:bottom w:val="single" w:sz="4" w:space="0" w:color="auto"/>
              <w:right w:val="single" w:sz="4" w:space="0" w:color="auto"/>
            </w:tcBorders>
            <w:shd w:val="clear" w:color="auto" w:fill="C6EFCE"/>
            <w:noWrap/>
          </w:tcPr>
          <w:p w14:paraId="31ECB693" w14:textId="77777777" w:rsidR="00852517" w:rsidRPr="00BD01A2" w:rsidRDefault="00852517">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Entry into force of the amendment of Law No 219/2015 on the social economy and the implementing rules</w:t>
            </w:r>
          </w:p>
        </w:tc>
        <w:tc>
          <w:tcPr>
            <w:tcW w:w="1597" w:type="dxa"/>
            <w:tcBorders>
              <w:top w:val="single" w:sz="4" w:space="0" w:color="auto"/>
              <w:left w:val="nil"/>
              <w:bottom w:val="single" w:sz="4" w:space="0" w:color="auto"/>
              <w:right w:val="single" w:sz="4" w:space="0" w:color="auto"/>
            </w:tcBorders>
            <w:shd w:val="clear" w:color="auto" w:fill="C6EFCE"/>
            <w:noWrap/>
            <w:hideMark/>
          </w:tcPr>
          <w:p w14:paraId="6124FCD8" w14:textId="77777777" w:rsidR="00852517" w:rsidRPr="00BD01A2" w:rsidRDefault="00852517">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Provision in the law indicating the entry into force of the amendment of Law No 219/2015 on the social economy and the implementing rules</w:t>
            </w:r>
          </w:p>
        </w:tc>
        <w:tc>
          <w:tcPr>
            <w:tcW w:w="1246" w:type="dxa"/>
            <w:tcBorders>
              <w:top w:val="nil"/>
              <w:left w:val="nil"/>
              <w:bottom w:val="single" w:sz="4" w:space="0" w:color="auto"/>
              <w:right w:val="single" w:sz="4" w:space="0" w:color="auto"/>
            </w:tcBorders>
            <w:shd w:val="clear" w:color="auto" w:fill="C6EFCE"/>
            <w:noWrap/>
            <w:hideMark/>
          </w:tcPr>
          <w:p w14:paraId="6304C355" w14:textId="77777777" w:rsidR="00852517" w:rsidRPr="00BD01A2" w:rsidRDefault="00852517">
            <w:pPr>
              <w:spacing w:after="0" w:line="240" w:lineRule="auto"/>
              <w:jc w:val="both"/>
              <w:rPr>
                <w:rFonts w:ascii="Times New Roman" w:eastAsia="Times New Roman" w:hAnsi="Times New Roman" w:cs="Times New Roman"/>
                <w:noProof/>
                <w:sz w:val="20"/>
                <w:szCs w:val="20"/>
                <w:lang w:val="en-GB" w:eastAsia="en-GB"/>
              </w:rPr>
            </w:pPr>
          </w:p>
        </w:tc>
        <w:tc>
          <w:tcPr>
            <w:tcW w:w="1134" w:type="dxa"/>
            <w:tcBorders>
              <w:top w:val="nil"/>
              <w:left w:val="nil"/>
              <w:bottom w:val="single" w:sz="4" w:space="0" w:color="auto"/>
              <w:right w:val="single" w:sz="4" w:space="0" w:color="auto"/>
            </w:tcBorders>
            <w:shd w:val="clear" w:color="auto" w:fill="C6EFCE"/>
            <w:noWrap/>
          </w:tcPr>
          <w:p w14:paraId="48C67E0D" w14:textId="77777777" w:rsidR="00852517" w:rsidRPr="00BD01A2" w:rsidRDefault="00852517">
            <w:pPr>
              <w:spacing w:after="0" w:line="240" w:lineRule="auto"/>
              <w:jc w:val="both"/>
              <w:rPr>
                <w:rFonts w:ascii="Times New Roman" w:eastAsia="Times New Roman" w:hAnsi="Times New Roman" w:cs="Times New Roman"/>
                <w:noProof/>
                <w:sz w:val="20"/>
                <w:szCs w:val="20"/>
                <w:lang w:val="en-GB" w:eastAsia="en-GB"/>
              </w:rPr>
            </w:pPr>
          </w:p>
        </w:tc>
        <w:tc>
          <w:tcPr>
            <w:tcW w:w="920" w:type="dxa"/>
            <w:tcBorders>
              <w:top w:val="nil"/>
              <w:left w:val="nil"/>
              <w:bottom w:val="single" w:sz="4" w:space="0" w:color="auto"/>
              <w:right w:val="single" w:sz="4" w:space="0" w:color="auto"/>
            </w:tcBorders>
            <w:shd w:val="clear" w:color="auto" w:fill="C6EFCE"/>
            <w:noWrap/>
          </w:tcPr>
          <w:p w14:paraId="01DEA154" w14:textId="77777777" w:rsidR="00852517" w:rsidRPr="00BD01A2" w:rsidRDefault="00852517">
            <w:pPr>
              <w:spacing w:after="0" w:line="240" w:lineRule="auto"/>
              <w:jc w:val="both"/>
              <w:rPr>
                <w:rFonts w:ascii="Times New Roman" w:eastAsia="Times New Roman" w:hAnsi="Times New Roman" w:cs="Times New Roman"/>
                <w:noProof/>
                <w:sz w:val="20"/>
                <w:szCs w:val="20"/>
                <w:lang w:val="en-GB" w:eastAsia="en-GB"/>
              </w:rPr>
            </w:pPr>
          </w:p>
        </w:tc>
        <w:tc>
          <w:tcPr>
            <w:tcW w:w="1065" w:type="dxa"/>
            <w:tcBorders>
              <w:top w:val="nil"/>
              <w:left w:val="nil"/>
              <w:bottom w:val="single" w:sz="4" w:space="0" w:color="auto"/>
              <w:right w:val="single" w:sz="4" w:space="0" w:color="auto"/>
            </w:tcBorders>
            <w:shd w:val="clear" w:color="auto" w:fill="C6EFCE"/>
            <w:noWrap/>
            <w:hideMark/>
          </w:tcPr>
          <w:p w14:paraId="54DFB682" w14:textId="77777777" w:rsidR="00852517" w:rsidRPr="00BD01A2" w:rsidRDefault="00852517">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Q2</w:t>
            </w:r>
          </w:p>
        </w:tc>
        <w:tc>
          <w:tcPr>
            <w:tcW w:w="850" w:type="dxa"/>
            <w:tcBorders>
              <w:top w:val="nil"/>
              <w:left w:val="nil"/>
              <w:bottom w:val="single" w:sz="4" w:space="0" w:color="auto"/>
              <w:right w:val="single" w:sz="4" w:space="0" w:color="auto"/>
            </w:tcBorders>
            <w:shd w:val="clear" w:color="auto" w:fill="C6EFCE"/>
            <w:noWrap/>
            <w:hideMark/>
          </w:tcPr>
          <w:p w14:paraId="25696C67" w14:textId="77777777" w:rsidR="00852517" w:rsidRPr="00BD01A2" w:rsidRDefault="00852517">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2022</w:t>
            </w:r>
          </w:p>
        </w:tc>
        <w:tc>
          <w:tcPr>
            <w:tcW w:w="3261" w:type="dxa"/>
            <w:tcBorders>
              <w:top w:val="single" w:sz="4" w:space="0" w:color="auto"/>
              <w:left w:val="nil"/>
              <w:bottom w:val="single" w:sz="4" w:space="0" w:color="auto"/>
              <w:right w:val="single" w:sz="4" w:space="0" w:color="auto"/>
            </w:tcBorders>
            <w:shd w:val="clear" w:color="auto" w:fill="C6EFCE"/>
            <w:noWrap/>
            <w:hideMark/>
          </w:tcPr>
          <w:p w14:paraId="5870675C" w14:textId="77777777" w:rsidR="00852517" w:rsidRPr="00BD01A2" w:rsidRDefault="00852517">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The regulatory modifications shall entail:</w:t>
            </w:r>
          </w:p>
          <w:p w14:paraId="6B3A1A3F" w14:textId="77777777" w:rsidR="00852517" w:rsidRPr="00BD01A2" w:rsidRDefault="00852517" w:rsidP="00852517">
            <w:pPr>
              <w:pStyle w:val="ListParagraph"/>
              <w:numPr>
                <w:ilvl w:val="0"/>
                <w:numId w:val="60"/>
              </w:numPr>
              <w:spacing w:after="0" w:line="240" w:lineRule="auto"/>
              <w:ind w:left="177" w:hanging="219"/>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Simplified registration procedure of social enterprises</w:t>
            </w:r>
          </w:p>
          <w:p w14:paraId="2F0DDD52" w14:textId="77777777" w:rsidR="00852517" w:rsidRPr="00BD01A2" w:rsidRDefault="00852517" w:rsidP="00852517">
            <w:pPr>
              <w:pStyle w:val="ListParagraph"/>
              <w:numPr>
                <w:ilvl w:val="0"/>
                <w:numId w:val="60"/>
              </w:numPr>
              <w:spacing w:before="120" w:after="0" w:line="240" w:lineRule="auto"/>
              <w:ind w:left="177" w:hanging="219"/>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Improved targeting of the economic activities and labour force use so that it addresses better the needs of the vulnerable groups and marginalized communities</w:t>
            </w:r>
          </w:p>
          <w:p w14:paraId="41F06523" w14:textId="77777777" w:rsidR="00852517" w:rsidRPr="00BD01A2" w:rsidRDefault="00852517" w:rsidP="00852517">
            <w:pPr>
              <w:pStyle w:val="ListParagraph"/>
              <w:numPr>
                <w:ilvl w:val="0"/>
                <w:numId w:val="60"/>
              </w:numPr>
              <w:spacing w:before="120" w:after="0" w:line="240" w:lineRule="auto"/>
              <w:ind w:left="177" w:hanging="219"/>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Identified measure to improve sustainability of the Social Economy Structures e.g. preferential public procurement regimes for goods and services. </w:t>
            </w:r>
          </w:p>
        </w:tc>
      </w:tr>
      <w:tr w:rsidR="00852517" w:rsidRPr="00BD01A2" w14:paraId="689C55AB" w14:textId="77777777">
        <w:trPr>
          <w:trHeight w:val="313"/>
          <w:jc w:val="center"/>
        </w:trPr>
        <w:tc>
          <w:tcPr>
            <w:tcW w:w="846" w:type="dxa"/>
            <w:tcBorders>
              <w:top w:val="nil"/>
              <w:left w:val="single" w:sz="4" w:space="0" w:color="auto"/>
              <w:bottom w:val="single" w:sz="4" w:space="0" w:color="auto"/>
              <w:right w:val="single" w:sz="4" w:space="0" w:color="auto"/>
            </w:tcBorders>
            <w:shd w:val="clear" w:color="auto" w:fill="C6EFCE"/>
            <w:noWrap/>
            <w:hideMark/>
          </w:tcPr>
          <w:p w14:paraId="396A5738" w14:textId="77777777" w:rsidR="00852517" w:rsidRPr="00BD01A2" w:rsidRDefault="00852517">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399</w:t>
            </w:r>
          </w:p>
        </w:tc>
        <w:tc>
          <w:tcPr>
            <w:tcW w:w="1836" w:type="dxa"/>
            <w:tcBorders>
              <w:top w:val="nil"/>
              <w:left w:val="nil"/>
              <w:bottom w:val="single" w:sz="4" w:space="0" w:color="auto"/>
              <w:right w:val="single" w:sz="4" w:space="0" w:color="auto"/>
            </w:tcBorders>
            <w:shd w:val="clear" w:color="auto" w:fill="C6EFCE"/>
            <w:noWrap/>
            <w:hideMark/>
          </w:tcPr>
          <w:p w14:paraId="3FA0CE78" w14:textId="77777777" w:rsidR="00852517" w:rsidRPr="00BD01A2" w:rsidRDefault="00852517">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Reform 7. Reform of long-term care services for older people</w:t>
            </w:r>
          </w:p>
        </w:tc>
        <w:tc>
          <w:tcPr>
            <w:tcW w:w="1282" w:type="dxa"/>
            <w:tcBorders>
              <w:top w:val="nil"/>
              <w:left w:val="nil"/>
              <w:bottom w:val="single" w:sz="4" w:space="0" w:color="auto"/>
              <w:right w:val="single" w:sz="4" w:space="0" w:color="auto"/>
            </w:tcBorders>
            <w:shd w:val="clear" w:color="auto" w:fill="C6EFCE"/>
            <w:noWrap/>
            <w:hideMark/>
          </w:tcPr>
          <w:p w14:paraId="171DA43E" w14:textId="77777777" w:rsidR="00852517" w:rsidRPr="00BD01A2" w:rsidRDefault="00852517">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93" w:type="dxa"/>
            <w:tcBorders>
              <w:top w:val="nil"/>
              <w:left w:val="nil"/>
              <w:bottom w:val="single" w:sz="4" w:space="0" w:color="auto"/>
              <w:right w:val="single" w:sz="4" w:space="0" w:color="auto"/>
            </w:tcBorders>
            <w:shd w:val="clear" w:color="auto" w:fill="C6EFCE"/>
            <w:noWrap/>
            <w:hideMark/>
          </w:tcPr>
          <w:p w14:paraId="67329F69" w14:textId="77777777" w:rsidR="00852517" w:rsidRPr="00BD01A2" w:rsidRDefault="00852517">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Entry into force of a law for the adoption and implementation of the National Long-Term-Care Strategy</w:t>
            </w:r>
          </w:p>
        </w:tc>
        <w:tc>
          <w:tcPr>
            <w:tcW w:w="1597" w:type="dxa"/>
            <w:tcBorders>
              <w:top w:val="nil"/>
              <w:left w:val="nil"/>
              <w:bottom w:val="single" w:sz="4" w:space="0" w:color="auto"/>
              <w:right w:val="single" w:sz="4" w:space="0" w:color="auto"/>
            </w:tcBorders>
            <w:shd w:val="clear" w:color="auto" w:fill="C6EFCE"/>
            <w:noWrap/>
            <w:hideMark/>
          </w:tcPr>
          <w:p w14:paraId="1C1A6486" w14:textId="77777777" w:rsidR="00852517" w:rsidRPr="00BD01A2" w:rsidRDefault="00852517">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Provision in the law indicating the entry into force of the legislative act to support the implementation of the adopted National Long-Term-Care Strategy </w:t>
            </w:r>
          </w:p>
        </w:tc>
        <w:tc>
          <w:tcPr>
            <w:tcW w:w="1246" w:type="dxa"/>
            <w:tcBorders>
              <w:top w:val="nil"/>
              <w:left w:val="nil"/>
              <w:bottom w:val="single" w:sz="4" w:space="0" w:color="auto"/>
              <w:right w:val="single" w:sz="4" w:space="0" w:color="auto"/>
            </w:tcBorders>
            <w:shd w:val="clear" w:color="auto" w:fill="C6EFCE"/>
            <w:noWrap/>
            <w:hideMark/>
          </w:tcPr>
          <w:p w14:paraId="3B8F394E" w14:textId="77777777" w:rsidR="00852517" w:rsidRPr="00BD01A2" w:rsidRDefault="00852517">
            <w:pPr>
              <w:spacing w:after="0" w:line="240" w:lineRule="auto"/>
              <w:jc w:val="both"/>
              <w:rPr>
                <w:rFonts w:ascii="Times New Roman" w:eastAsia="Times New Roman" w:hAnsi="Times New Roman" w:cs="Times New Roman"/>
                <w:noProof/>
                <w:sz w:val="20"/>
                <w:szCs w:val="20"/>
                <w:lang w:val="en-GB" w:eastAsia="en-GB"/>
              </w:rPr>
            </w:pPr>
          </w:p>
        </w:tc>
        <w:tc>
          <w:tcPr>
            <w:tcW w:w="1134" w:type="dxa"/>
            <w:tcBorders>
              <w:top w:val="nil"/>
              <w:left w:val="nil"/>
              <w:bottom w:val="single" w:sz="4" w:space="0" w:color="auto"/>
              <w:right w:val="single" w:sz="4" w:space="0" w:color="auto"/>
            </w:tcBorders>
            <w:shd w:val="clear" w:color="auto" w:fill="C6EFCE"/>
            <w:noWrap/>
            <w:hideMark/>
          </w:tcPr>
          <w:p w14:paraId="009629E6" w14:textId="77777777" w:rsidR="00852517" w:rsidRPr="00BD01A2" w:rsidRDefault="00852517">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920" w:type="dxa"/>
            <w:tcBorders>
              <w:top w:val="nil"/>
              <w:left w:val="nil"/>
              <w:bottom w:val="single" w:sz="4" w:space="0" w:color="auto"/>
              <w:right w:val="single" w:sz="4" w:space="0" w:color="auto"/>
            </w:tcBorders>
            <w:shd w:val="clear" w:color="auto" w:fill="C6EFCE"/>
            <w:noWrap/>
            <w:hideMark/>
          </w:tcPr>
          <w:p w14:paraId="1BD217C0" w14:textId="77777777" w:rsidR="00852517" w:rsidRPr="00BD01A2" w:rsidRDefault="00852517">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065" w:type="dxa"/>
            <w:tcBorders>
              <w:top w:val="nil"/>
              <w:left w:val="nil"/>
              <w:bottom w:val="single" w:sz="4" w:space="0" w:color="auto"/>
              <w:right w:val="single" w:sz="4" w:space="0" w:color="auto"/>
            </w:tcBorders>
            <w:shd w:val="clear" w:color="auto" w:fill="C6EFCE"/>
            <w:noWrap/>
            <w:hideMark/>
          </w:tcPr>
          <w:p w14:paraId="65E5E742" w14:textId="77777777" w:rsidR="00852517" w:rsidRPr="00BD01A2" w:rsidRDefault="00852517">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Q4</w:t>
            </w:r>
          </w:p>
        </w:tc>
        <w:tc>
          <w:tcPr>
            <w:tcW w:w="850" w:type="dxa"/>
            <w:tcBorders>
              <w:top w:val="nil"/>
              <w:left w:val="nil"/>
              <w:bottom w:val="single" w:sz="4" w:space="0" w:color="auto"/>
              <w:right w:val="single" w:sz="4" w:space="0" w:color="auto"/>
            </w:tcBorders>
            <w:shd w:val="clear" w:color="auto" w:fill="C6EFCE"/>
            <w:noWrap/>
            <w:hideMark/>
          </w:tcPr>
          <w:p w14:paraId="3FE5B165" w14:textId="77777777" w:rsidR="00852517" w:rsidRPr="00BD01A2" w:rsidRDefault="00852517">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2022</w:t>
            </w:r>
          </w:p>
        </w:tc>
        <w:tc>
          <w:tcPr>
            <w:tcW w:w="3261" w:type="dxa"/>
            <w:tcBorders>
              <w:top w:val="nil"/>
              <w:left w:val="nil"/>
              <w:bottom w:val="single" w:sz="4" w:space="0" w:color="auto"/>
              <w:right w:val="single" w:sz="4" w:space="0" w:color="auto"/>
            </w:tcBorders>
            <w:shd w:val="clear" w:color="auto" w:fill="C6EFCE"/>
            <w:noWrap/>
            <w:hideMark/>
          </w:tcPr>
          <w:p w14:paraId="69D34CC0" w14:textId="77777777" w:rsidR="00852517" w:rsidRPr="00BD01A2" w:rsidRDefault="00852517">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Law for the adopted strategy, including active ageing measures, as well as measures to cover the long-term care medical needs, and community-based services for the elderly.</w:t>
            </w:r>
          </w:p>
          <w:p w14:paraId="6A345284" w14:textId="77777777" w:rsidR="00852517" w:rsidRPr="00BD01A2" w:rsidRDefault="00852517">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The law shall entail: </w:t>
            </w:r>
          </w:p>
          <w:p w14:paraId="744E79F3" w14:textId="77777777" w:rsidR="00852517" w:rsidRPr="00BD01A2" w:rsidRDefault="00852517" w:rsidP="00852517">
            <w:pPr>
              <w:numPr>
                <w:ilvl w:val="0"/>
                <w:numId w:val="61"/>
              </w:numPr>
              <w:spacing w:after="0" w:line="240" w:lineRule="auto"/>
              <w:ind w:left="177" w:hanging="218"/>
              <w:contextualSpacing/>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an identified stable source of funding for the measures </w:t>
            </w:r>
          </w:p>
          <w:p w14:paraId="01A963FB" w14:textId="77777777" w:rsidR="00852517" w:rsidRPr="00BD01A2" w:rsidRDefault="00852517" w:rsidP="00852517">
            <w:pPr>
              <w:numPr>
                <w:ilvl w:val="0"/>
                <w:numId w:val="61"/>
              </w:numPr>
              <w:spacing w:after="0" w:line="240" w:lineRule="auto"/>
              <w:ind w:left="177" w:hanging="218"/>
              <w:contextualSpacing/>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a governance mechanism with clear responsibilities assigned for the public authorities at national and local level;</w:t>
            </w:r>
          </w:p>
          <w:p w14:paraId="5A6D3BAB" w14:textId="77777777" w:rsidR="00852517" w:rsidRPr="00BD01A2" w:rsidRDefault="00852517" w:rsidP="00852517">
            <w:pPr>
              <w:numPr>
                <w:ilvl w:val="0"/>
                <w:numId w:val="61"/>
              </w:numPr>
              <w:spacing w:after="0" w:line="240" w:lineRule="auto"/>
              <w:ind w:left="177" w:hanging="218"/>
              <w:contextualSpacing/>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a funding disbursement mechanism conditional on the achievement of key performance indicators associated to the policy objectives</w:t>
            </w:r>
          </w:p>
          <w:p w14:paraId="2B9704C3" w14:textId="77777777" w:rsidR="00852517" w:rsidRPr="00BD01A2" w:rsidRDefault="00852517" w:rsidP="00852517">
            <w:pPr>
              <w:numPr>
                <w:ilvl w:val="0"/>
                <w:numId w:val="61"/>
              </w:numPr>
              <w:spacing w:after="0" w:line="240" w:lineRule="auto"/>
              <w:ind w:left="177" w:hanging="218"/>
              <w:jc w:val="both"/>
              <w:textAlignment w:val="baseline"/>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the revision of minimum quality standards, </w:t>
            </w:r>
          </w:p>
          <w:p w14:paraId="5B9E7286" w14:textId="77777777" w:rsidR="00852517" w:rsidRPr="00BD01A2" w:rsidRDefault="00852517">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The legislative act shall be based on a full mapping at community level (commune/town/county level) of the potentially dependent elderly population or at risk (e.g. poverty, health, un-accompanied, high degree of dependency).</w:t>
            </w:r>
          </w:p>
        </w:tc>
      </w:tr>
    </w:tbl>
    <w:p w14:paraId="508F7CE7" w14:textId="77777777" w:rsidR="00852517" w:rsidRPr="00291374" w:rsidRDefault="00852517" w:rsidP="00852517">
      <w:pPr>
        <w:spacing w:before="120" w:after="120" w:line="240" w:lineRule="auto"/>
        <w:jc w:val="both"/>
        <w:rPr>
          <w:rFonts w:ascii="Times New Roman" w:hAnsi="Times New Roman" w:cs="Times New Roman"/>
          <w:noProof/>
          <w:lang w:val="en-GB"/>
        </w:rPr>
        <w:sectPr w:rsidR="00852517" w:rsidRPr="00291374" w:rsidSect="00852517">
          <w:headerReference w:type="even" r:id="rId316"/>
          <w:headerReference w:type="default" r:id="rId317"/>
          <w:footerReference w:type="even" r:id="rId318"/>
          <w:footerReference w:type="default" r:id="rId319"/>
          <w:headerReference w:type="first" r:id="rId320"/>
          <w:footerReference w:type="first" r:id="rId321"/>
          <w:pgSz w:w="16839" w:h="11907" w:orient="landscape"/>
          <w:pgMar w:top="1134" w:right="1134" w:bottom="1134" w:left="1134" w:header="567" w:footer="567" w:gutter="0"/>
          <w:cols w:space="720"/>
          <w:docGrid w:linePitch="360"/>
        </w:sectPr>
      </w:pPr>
    </w:p>
    <w:p w14:paraId="2C74D4A3" w14:textId="77777777" w:rsidR="00550A54" w:rsidRPr="00291374" w:rsidRDefault="00550A54" w:rsidP="00550A54">
      <w:pPr>
        <w:keepNext/>
        <w:numPr>
          <w:ilvl w:val="0"/>
          <w:numId w:val="62"/>
        </w:numPr>
        <w:tabs>
          <w:tab w:val="left" w:pos="850"/>
        </w:tabs>
        <w:spacing w:before="360" w:after="120" w:line="240" w:lineRule="auto"/>
        <w:jc w:val="both"/>
        <w:outlineLvl w:val="0"/>
        <w:rPr>
          <w:rFonts w:ascii="Times New Roman" w:eastAsia="Times New Roman" w:hAnsi="Times New Roman" w:cs="Times New Roman"/>
          <w:b/>
          <w:bCs/>
          <w:smallCaps/>
          <w:noProof/>
          <w:lang w:val="en-GB"/>
        </w:rPr>
      </w:pPr>
      <w:r w:rsidRPr="00291374">
        <w:rPr>
          <w:rFonts w:ascii="Times New Roman" w:eastAsia="Times New Roman" w:hAnsi="Times New Roman" w:cs="Times New Roman"/>
          <w:b/>
          <w:bCs/>
          <w:smallCaps/>
          <w:noProof/>
          <w:lang w:val="en-GB"/>
        </w:rPr>
        <w:t xml:space="preserve">COMPONENT 14: Good governance </w:t>
      </w:r>
    </w:p>
    <w:p w14:paraId="190E3A0C" w14:textId="77777777" w:rsidR="00550A54" w:rsidRPr="00291374" w:rsidRDefault="00550A54" w:rsidP="00550A54">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 xml:space="preserve">The objectives of the component are, through a broad set of reforms and investments, (i) to improve governance with a predictable, informed and participatory decision-making system, (ii) to ensure the delivery of quality public services by a pool of professional and well-trained civil servants that adequately respond to the challenges, needs and expectations of citizens and businesses. This shall strengthen resilience and the capacity to adapt to the green and digital transition. </w:t>
      </w:r>
    </w:p>
    <w:p w14:paraId="51D5A71D" w14:textId="77777777" w:rsidR="00550A54" w:rsidRPr="00291374" w:rsidRDefault="00550A54" w:rsidP="00550A54">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specific objectives of the component are as follows:</w:t>
      </w:r>
    </w:p>
    <w:p w14:paraId="0C78EBB0" w14:textId="77777777" w:rsidR="00550A54" w:rsidRPr="00291374" w:rsidRDefault="00550A54" w:rsidP="00550A54">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1. Better coordination, formulation and implementation of government policies, increased transparency and trust in the public sector.</w:t>
      </w:r>
    </w:p>
    <w:p w14:paraId="15F684D9" w14:textId="77777777" w:rsidR="00550A54" w:rsidRPr="00291374" w:rsidRDefault="00550A54" w:rsidP="00550A54">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2. Effective human resources management in the public sector.</w:t>
      </w:r>
    </w:p>
    <w:p w14:paraId="2D533E5E" w14:textId="77777777" w:rsidR="00550A54" w:rsidRPr="00291374" w:rsidRDefault="00550A54" w:rsidP="00550A54">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3. A coherent public sector wage policy, linked to performance and sustainable in the long term (Fair unitary pay).</w:t>
      </w:r>
    </w:p>
    <w:p w14:paraId="6D8C6533" w14:textId="77777777" w:rsidR="00550A54" w:rsidRPr="00291374" w:rsidRDefault="00550A54" w:rsidP="00550A54">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4. Strengthening the independence of the judiciary, improving access to justice and increasing efficiency in the judiciary.</w:t>
      </w:r>
    </w:p>
    <w:p w14:paraId="3E13598D" w14:textId="77777777" w:rsidR="00550A54" w:rsidRPr="00291374" w:rsidRDefault="00550A54" w:rsidP="00550A54">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5. A more efficient national procurement system, including by strengthening the administrative capacity of contracting authorities/entities, within a flexible and coherent legal framework.</w:t>
      </w:r>
    </w:p>
    <w:p w14:paraId="075F522A" w14:textId="77777777" w:rsidR="00550A54" w:rsidRPr="00291374" w:rsidRDefault="00550A54" w:rsidP="00550A54">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6. Improving public policy/decision making processes through stakeholder consultation.</w:t>
      </w:r>
    </w:p>
    <w:p w14:paraId="6EDFC3DC" w14:textId="77777777" w:rsidR="00550A54" w:rsidRPr="00291374" w:rsidRDefault="00550A54" w:rsidP="00550A54">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 xml:space="preserve">7. Increased resilience of state-owned companies due to application of corporate governance principles. </w:t>
      </w:r>
    </w:p>
    <w:p w14:paraId="1969CE61" w14:textId="77777777" w:rsidR="00550A54" w:rsidRPr="00291374" w:rsidRDefault="00550A54" w:rsidP="00550A54">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 xml:space="preserve">The component is comprised of nine reforms and two investments. </w:t>
      </w:r>
    </w:p>
    <w:p w14:paraId="0B1F11AB" w14:textId="77777777" w:rsidR="00550A54" w:rsidRPr="00291374" w:rsidRDefault="00550A54" w:rsidP="00550A54">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measures included in the component are expected to address a set of challenges highlighted by the country-specific recommendation to increase efficiency of public procurement and ensure full and sustainable implementation of the national public procurement strategy; to improve the quality and predictability of decision-making including by appropriate stakeholder consultations, effective impact assessments and streamlined administrative procedures and adequate involvement of social partners (country specific recommendation 3, country specific recommendation 4, country specific recommendation 5 2019 and country specific recommendation 4, 2020).</w:t>
      </w:r>
    </w:p>
    <w:p w14:paraId="41F589F7" w14:textId="77777777" w:rsidR="00550A54" w:rsidRPr="00291374" w:rsidRDefault="00550A54" w:rsidP="00550A54">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03BA8F18" w14:textId="77777777" w:rsidR="00550A54" w:rsidRPr="00291374" w:rsidRDefault="00550A54" w:rsidP="00550A54">
      <w:pPr>
        <w:spacing w:before="120" w:after="120" w:line="240" w:lineRule="auto"/>
        <w:jc w:val="both"/>
        <w:rPr>
          <w:rFonts w:ascii="Times New Roman" w:eastAsia="Times New Roman" w:hAnsi="Times New Roman" w:cs="Times New Roman"/>
          <w:noProof/>
          <w:lang w:val="en-GB"/>
        </w:rPr>
      </w:pPr>
    </w:p>
    <w:p w14:paraId="27102E56" w14:textId="77777777" w:rsidR="00550A54" w:rsidRPr="00291374" w:rsidRDefault="00550A54" w:rsidP="00550A54">
      <w:pPr>
        <w:keepNext/>
        <w:spacing w:before="120" w:after="120" w:line="240" w:lineRule="auto"/>
        <w:jc w:val="both"/>
        <w:outlineLvl w:val="1"/>
        <w:rPr>
          <w:rFonts w:ascii="Times New Roman" w:eastAsia="Times New Roman" w:hAnsi="Times New Roman" w:cs="Times New Roman"/>
          <w:b/>
          <w:bCs/>
          <w:noProof/>
          <w:lang w:val="en-GB"/>
        </w:rPr>
      </w:pPr>
      <w:r w:rsidRPr="00291374">
        <w:rPr>
          <w:rFonts w:ascii="Times New Roman" w:eastAsia="Times New Roman" w:hAnsi="Times New Roman" w:cs="Times New Roman"/>
          <w:b/>
          <w:bCs/>
          <w:noProof/>
          <w:lang w:val="en-GB"/>
        </w:rPr>
        <w:t xml:space="preserve">N.1. </w:t>
      </w:r>
      <w:r w:rsidRPr="00291374">
        <w:rPr>
          <w:rFonts w:ascii="Times New Roman" w:hAnsi="Times New Roman" w:cs="Times New Roman"/>
          <w:noProof/>
          <w:lang w:val="en-GB"/>
        </w:rPr>
        <w:tab/>
      </w:r>
      <w:r w:rsidRPr="00291374">
        <w:rPr>
          <w:rFonts w:ascii="Times New Roman" w:eastAsia="Times New Roman" w:hAnsi="Times New Roman" w:cs="Times New Roman"/>
          <w:b/>
          <w:bCs/>
          <w:noProof/>
          <w:lang w:val="en-GB"/>
        </w:rPr>
        <w:t>Description of the reforms and investments for non-repayable financial support</w:t>
      </w:r>
    </w:p>
    <w:p w14:paraId="32CE6FEF" w14:textId="77777777" w:rsidR="00550A54" w:rsidRPr="00291374" w:rsidRDefault="00550A54" w:rsidP="00550A54">
      <w:pPr>
        <w:spacing w:before="240" w:after="240"/>
        <w:jc w:val="both"/>
        <w:rPr>
          <w:rFonts w:ascii="Times New Roman" w:hAnsi="Times New Roman" w:cs="Times New Roman"/>
          <w:noProof/>
          <w:u w:val="single"/>
          <w:lang w:val="en-GB"/>
        </w:rPr>
      </w:pPr>
      <w:r w:rsidRPr="00291374">
        <w:rPr>
          <w:rFonts w:ascii="Times New Roman" w:hAnsi="Times New Roman" w:cs="Times New Roman"/>
          <w:noProof/>
          <w:u w:val="single"/>
          <w:lang w:val="en-GB"/>
        </w:rPr>
        <w:t>Reform 1. Enhancing the quality of government decision-making</w:t>
      </w:r>
    </w:p>
    <w:p w14:paraId="34A903BC" w14:textId="77777777" w:rsidR="00550A54" w:rsidRPr="00291374" w:rsidRDefault="00550A54" w:rsidP="00550A54">
      <w:pPr>
        <w:keepNext/>
        <w:spacing w:before="120" w:after="120" w:line="240" w:lineRule="auto"/>
        <w:jc w:val="both"/>
        <w:rPr>
          <w:rFonts w:ascii="Times New Roman" w:hAnsi="Times New Roman" w:cs="Times New Roman"/>
          <w:noProof/>
          <w:lang w:val="en-GB"/>
        </w:rPr>
      </w:pPr>
      <w:r w:rsidRPr="00291374">
        <w:rPr>
          <w:rFonts w:ascii="Times New Roman" w:eastAsia="Times New Roman" w:hAnsi="Times New Roman" w:cs="Times New Roman"/>
          <w:noProof/>
          <w:lang w:val="en-GB"/>
        </w:rPr>
        <w:t>The objective of this reform is to improve the quality and transparency of public policy-making and legislative planning across all levels of the administration.</w:t>
      </w:r>
    </w:p>
    <w:p w14:paraId="530109F4" w14:textId="77777777" w:rsidR="00550A54" w:rsidRPr="00291374" w:rsidRDefault="00550A54" w:rsidP="00550A54">
      <w:pPr>
        <w:keepNext/>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This measure consists in the adoption of methodologies, systems and legal tools to support strategic planning, regulatory impact analysis, public consultation, transparency, and the use of programme budgeting.</w:t>
      </w:r>
    </w:p>
    <w:p w14:paraId="69E7BA7E" w14:textId="77777777" w:rsidR="00550A54" w:rsidRPr="00291374" w:rsidRDefault="00550A54" w:rsidP="00550A54">
      <w:pPr>
        <w:pStyle w:val="Standard"/>
        <w:spacing w:before="240"/>
        <w:jc w:val="both"/>
        <w:rPr>
          <w:rFonts w:ascii="Times New Roman" w:eastAsia="Times New Roman" w:hAnsi="Times New Roman" w:cs="Times New Roman"/>
          <w:noProof/>
          <w:u w:val="single"/>
          <w:lang w:val="en-GB"/>
        </w:rPr>
      </w:pPr>
    </w:p>
    <w:p w14:paraId="79EA6057" w14:textId="77777777" w:rsidR="00550A54" w:rsidRPr="00291374" w:rsidRDefault="00550A54" w:rsidP="00550A54">
      <w:pPr>
        <w:pStyle w:val="Standard"/>
        <w:spacing w:before="240"/>
        <w:jc w:val="both"/>
        <w:rPr>
          <w:rFonts w:ascii="Times New Roman" w:eastAsia="Times New Roman" w:hAnsi="Times New Roman" w:cs="Times New Roman"/>
          <w:noProof/>
          <w:u w:val="single"/>
          <w:lang w:val="en-GB"/>
        </w:rPr>
      </w:pPr>
      <w:r w:rsidRPr="00291374">
        <w:rPr>
          <w:rFonts w:ascii="Times New Roman" w:eastAsia="Times New Roman" w:hAnsi="Times New Roman" w:cs="Times New Roman"/>
          <w:noProof/>
          <w:u w:val="single"/>
          <w:lang w:val="en-GB"/>
        </w:rPr>
        <w:t>Reform 2. Increasing strategic governance for climate and sustainable development and environmental policies</w:t>
      </w:r>
    </w:p>
    <w:p w14:paraId="2F7EF160" w14:textId="77777777" w:rsidR="00550A54" w:rsidRPr="00291374" w:rsidRDefault="00550A54" w:rsidP="00550A54">
      <w:pPr>
        <w:spacing w:before="240" w:after="120"/>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objective of this reform is to improve climate action and sustainable development and environmental policies across all levels of public administration.</w:t>
      </w:r>
    </w:p>
    <w:p w14:paraId="33FECECF" w14:textId="77777777" w:rsidR="00550A54" w:rsidRPr="00291374" w:rsidRDefault="00550A54" w:rsidP="00550A54">
      <w:pPr>
        <w:spacing w:after="240"/>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This measure consists in the creation of an inter-institutional mechanism for monitoring and prioritising climate initiatives, providing acces to digital tools, and building capacity in sustainable development policy-making.</w:t>
      </w:r>
    </w:p>
    <w:p w14:paraId="5150BA5B" w14:textId="77777777" w:rsidR="00550A54" w:rsidRPr="00291374" w:rsidRDefault="00550A54" w:rsidP="00550A54">
      <w:pPr>
        <w:pStyle w:val="Standard"/>
        <w:spacing w:before="240"/>
        <w:jc w:val="both"/>
        <w:rPr>
          <w:rFonts w:ascii="Times New Roman" w:eastAsia="Times New Roman" w:hAnsi="Times New Roman" w:cs="Times New Roman"/>
          <w:noProof/>
          <w:u w:val="single"/>
          <w:lang w:val="en-GB"/>
        </w:rPr>
      </w:pPr>
      <w:r w:rsidRPr="00291374">
        <w:rPr>
          <w:rFonts w:ascii="Times New Roman" w:eastAsia="Times New Roman" w:hAnsi="Times New Roman" w:cs="Times New Roman"/>
          <w:noProof/>
          <w:u w:val="single"/>
          <w:lang w:val="en-GB"/>
        </w:rPr>
        <w:t>Reform 3. Modernising human resources management in the public sector</w:t>
      </w:r>
    </w:p>
    <w:p w14:paraId="210A2920" w14:textId="77777777" w:rsidR="00550A54" w:rsidRPr="00291374" w:rsidRDefault="00550A54" w:rsidP="00550A54">
      <w:pPr>
        <w:spacing w:before="240" w:after="120"/>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objective of this reform is to increase merit-based and transparent recruitment in the civil service.</w:t>
      </w:r>
    </w:p>
    <w:p w14:paraId="1DD871F7" w14:textId="77777777" w:rsidR="00550A54" w:rsidRPr="00291374" w:rsidRDefault="00550A54" w:rsidP="00550A54">
      <w:pPr>
        <w:spacing w:after="0"/>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This measure consists in adopting legal acts and procedural tools for career development and contract staff management, conducting national recruitment competitions, and applying digitalised and competence-based human resource frameworks.</w:t>
      </w:r>
    </w:p>
    <w:p w14:paraId="1398D332" w14:textId="77777777" w:rsidR="00550A54" w:rsidRPr="00291374" w:rsidRDefault="00550A54" w:rsidP="00550A54">
      <w:pPr>
        <w:spacing w:before="240" w:after="240"/>
        <w:jc w:val="both"/>
        <w:rPr>
          <w:rFonts w:ascii="Times New Roman" w:eastAsia="Times New Roman" w:hAnsi="Times New Roman" w:cs="Times New Roman"/>
          <w:noProof/>
          <w:u w:val="single"/>
          <w:lang w:val="en-GB"/>
        </w:rPr>
      </w:pPr>
      <w:r w:rsidRPr="00291374">
        <w:rPr>
          <w:rFonts w:ascii="Times New Roman" w:eastAsia="Times New Roman" w:hAnsi="Times New Roman" w:cs="Times New Roman"/>
          <w:noProof/>
          <w:u w:val="single"/>
          <w:lang w:val="en-GB"/>
        </w:rPr>
        <w:t>Reform 4. Developing of a fair unitary pay system in the public sector</w:t>
      </w:r>
    </w:p>
    <w:p w14:paraId="68EADD0F" w14:textId="77777777" w:rsidR="00550A54" w:rsidRPr="00291374" w:rsidRDefault="00550A54" w:rsidP="00550A54">
      <w:pPr>
        <w:spacing w:after="120"/>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objective of this reform is to ensure fiscal sustainability, equity and transparency in public sector remuneration.</w:t>
      </w:r>
    </w:p>
    <w:p w14:paraId="152F759F" w14:textId="77777777" w:rsidR="00550A54" w:rsidRPr="00291374" w:rsidRDefault="00550A54" w:rsidP="00550A54">
      <w:pPr>
        <w:spacing w:after="180"/>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This measure consists in the adoption of a new legal framework for a unified and performance-oriented public wage system.</w:t>
      </w:r>
    </w:p>
    <w:p w14:paraId="58C02130" w14:textId="77777777" w:rsidR="00550A54" w:rsidRPr="00291374" w:rsidRDefault="00550A54" w:rsidP="00550A54">
      <w:pPr>
        <w:spacing w:before="240" w:after="240"/>
        <w:jc w:val="both"/>
        <w:rPr>
          <w:rFonts w:ascii="Times New Roman" w:eastAsia="Times New Roman" w:hAnsi="Times New Roman" w:cs="Times New Roman"/>
          <w:noProof/>
          <w:u w:val="single"/>
          <w:lang w:val="en-GB"/>
        </w:rPr>
      </w:pPr>
      <w:r w:rsidRPr="00291374">
        <w:rPr>
          <w:rFonts w:ascii="Times New Roman" w:eastAsia="Times New Roman" w:hAnsi="Times New Roman" w:cs="Times New Roman"/>
          <w:noProof/>
          <w:u w:val="single"/>
          <w:lang w:val="en-GB"/>
        </w:rPr>
        <w:t>Reform 5. Ensuring the independence of the judiciary, enhancing its quality and efficiency</w:t>
      </w:r>
    </w:p>
    <w:p w14:paraId="5DC612C4" w14:textId="77777777" w:rsidR="00550A54" w:rsidRPr="00291374" w:rsidRDefault="00550A54" w:rsidP="00550A54">
      <w:pPr>
        <w:spacing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objective of the reform is to make the functioning of judicial institutions more efficient.</w:t>
      </w:r>
    </w:p>
    <w:p w14:paraId="12CACB5D" w14:textId="77777777" w:rsidR="00550A54" w:rsidRPr="00291374" w:rsidRDefault="00550A54" w:rsidP="00550A54">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measure consists in the adoption of legal acts covering the independence of the judiciary, as well as legal acts amending the criminal codes on the basis of the Constitutional Court decisions in the area of the Criminal Code and the Criminal Procedural Code.</w:t>
      </w:r>
    </w:p>
    <w:p w14:paraId="08E86051" w14:textId="77777777" w:rsidR="00550A54" w:rsidRPr="00291374" w:rsidRDefault="00550A54" w:rsidP="00550A54">
      <w:pPr>
        <w:spacing w:before="240" w:after="240"/>
        <w:jc w:val="both"/>
        <w:rPr>
          <w:rFonts w:ascii="Times New Roman" w:eastAsia="Times New Roman" w:hAnsi="Times New Roman" w:cs="Times New Roman"/>
          <w:noProof/>
          <w:u w:val="single"/>
          <w:lang w:val="en-GB"/>
        </w:rPr>
      </w:pPr>
      <w:r w:rsidRPr="00291374">
        <w:rPr>
          <w:rFonts w:ascii="Times New Roman" w:eastAsia="Times New Roman" w:hAnsi="Times New Roman" w:cs="Times New Roman"/>
          <w:noProof/>
          <w:u w:val="single"/>
          <w:lang w:val="en-GB"/>
        </w:rPr>
        <w:t>Reform 6. Stepping up the fight against corruption</w:t>
      </w:r>
    </w:p>
    <w:p w14:paraId="55C3B960" w14:textId="77777777" w:rsidR="00550A54" w:rsidRPr="00291374" w:rsidRDefault="00550A54" w:rsidP="00550A54">
      <w:pPr>
        <w:tabs>
          <w:tab w:val="left" w:pos="5456"/>
        </w:tabs>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objective of the reform is to step up the fight against corruption, through its prevention and repression.</w:t>
      </w:r>
    </w:p>
    <w:p w14:paraId="50AB6952" w14:textId="77777777" w:rsidR="00550A54" w:rsidRPr="00291374" w:rsidRDefault="00550A54" w:rsidP="00550A54">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measure consists in the adoption of legal acts to revise the anti-corruption strategic framework, to transpose the directive on whistle-blowers' protection and to increase the occupation rate of National Anti-Corruption Directorate prosecutor positions.</w:t>
      </w:r>
    </w:p>
    <w:p w14:paraId="5AF459A3" w14:textId="77777777" w:rsidR="00550A54" w:rsidRPr="00291374" w:rsidRDefault="00550A54" w:rsidP="00550A54">
      <w:pPr>
        <w:spacing w:before="240" w:after="240"/>
        <w:jc w:val="both"/>
        <w:rPr>
          <w:rFonts w:ascii="Times New Roman" w:eastAsia="Times New Roman" w:hAnsi="Times New Roman" w:cs="Times New Roman"/>
          <w:noProof/>
          <w:u w:val="single"/>
          <w:lang w:val="en-GB"/>
        </w:rPr>
      </w:pPr>
      <w:r w:rsidRPr="00291374">
        <w:rPr>
          <w:rFonts w:ascii="Times New Roman" w:eastAsia="Times New Roman" w:hAnsi="Times New Roman" w:cs="Times New Roman"/>
          <w:noProof/>
          <w:u w:val="single"/>
          <w:lang w:val="en-GB"/>
        </w:rPr>
        <w:t>Reform 7. Updating the integrity legal framework for the civil service</w:t>
      </w:r>
    </w:p>
    <w:p w14:paraId="6B1F9CCD" w14:textId="77777777" w:rsidR="00550A54" w:rsidRPr="00291374" w:rsidRDefault="00550A54" w:rsidP="00550A54">
      <w:pPr>
        <w:spacing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objective of this reform is to increase the integrity in the civil service.</w:t>
      </w:r>
    </w:p>
    <w:p w14:paraId="36CF5577" w14:textId="77777777" w:rsidR="00550A54" w:rsidRPr="00291374" w:rsidRDefault="00550A54" w:rsidP="00550A54">
      <w:pPr>
        <w:spacing w:before="120" w:after="24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This measure consists in updating the legal acts on integrity for members of the civil service.</w:t>
      </w:r>
    </w:p>
    <w:p w14:paraId="4B0E8CC6" w14:textId="77777777" w:rsidR="00550A54" w:rsidRPr="00291374" w:rsidRDefault="00550A54" w:rsidP="00550A54">
      <w:pPr>
        <w:spacing w:before="240" w:after="240"/>
        <w:jc w:val="both"/>
        <w:rPr>
          <w:rFonts w:ascii="Times New Roman" w:eastAsia="Times New Roman" w:hAnsi="Times New Roman" w:cs="Times New Roman"/>
          <w:noProof/>
          <w:u w:val="single"/>
          <w:lang w:val="en-GB"/>
        </w:rPr>
      </w:pPr>
      <w:r w:rsidRPr="00291374">
        <w:rPr>
          <w:rFonts w:ascii="Times New Roman" w:eastAsia="Times New Roman" w:hAnsi="Times New Roman" w:cs="Times New Roman"/>
          <w:noProof/>
          <w:u w:val="single"/>
          <w:lang w:val="en-GB"/>
        </w:rPr>
        <w:t>Reform 8. Modernising and streamlining the national public procurement system</w:t>
      </w:r>
    </w:p>
    <w:p w14:paraId="083B59E8" w14:textId="77777777" w:rsidR="00550A54" w:rsidRPr="00291374" w:rsidRDefault="00550A54" w:rsidP="00550A54">
      <w:pPr>
        <w:spacing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objective of this reform is to increase the efficiency, transparency and functionality of the public procurement system and support the application of strategic procurement policies.</w:t>
      </w:r>
    </w:p>
    <w:p w14:paraId="67F4C1D1" w14:textId="77777777" w:rsidR="00550A54" w:rsidRPr="00291374" w:rsidRDefault="00550A54" w:rsidP="00550A54">
      <w:pPr>
        <w:spacing w:after="24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This measure consists in updating the legislative framework, increasing institutional capacity, adding new features to digital tools and increasing the interoperability for public procurement processes.</w:t>
      </w:r>
    </w:p>
    <w:p w14:paraId="33BC5308" w14:textId="77777777" w:rsidR="00550A54" w:rsidRPr="00291374" w:rsidRDefault="00550A54" w:rsidP="00550A54">
      <w:pPr>
        <w:spacing w:before="240" w:after="240"/>
        <w:jc w:val="both"/>
        <w:rPr>
          <w:rFonts w:ascii="Times New Roman" w:eastAsia="Times New Roman" w:hAnsi="Times New Roman" w:cs="Times New Roman"/>
          <w:noProof/>
          <w:u w:val="single"/>
          <w:lang w:val="en-GB"/>
        </w:rPr>
      </w:pPr>
      <w:r w:rsidRPr="00291374">
        <w:rPr>
          <w:rFonts w:ascii="Times New Roman" w:eastAsia="Times New Roman" w:hAnsi="Times New Roman" w:cs="Times New Roman"/>
          <w:noProof/>
          <w:u w:val="single"/>
          <w:lang w:val="en-GB"/>
        </w:rPr>
        <w:t>Reform 9. Improve the procedural framework for the implementation of corporate governance principles in state-owned enterprises</w:t>
      </w:r>
    </w:p>
    <w:p w14:paraId="5ACA2728" w14:textId="77777777" w:rsidR="00550A54" w:rsidRPr="00291374" w:rsidRDefault="00550A54" w:rsidP="00550A54">
      <w:pPr>
        <w:spacing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 xml:space="preserve">The objective of this reform is to improve the corporate governance of state-owned enterprises (SOEs) in Romania by enforcing OECD standards. </w:t>
      </w:r>
    </w:p>
    <w:p w14:paraId="184D0DCA" w14:textId="77777777" w:rsidR="00550A54" w:rsidRPr="00291374" w:rsidRDefault="00550A54" w:rsidP="00550A54">
      <w:pPr>
        <w:spacing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 xml:space="preserve">The reform consists in amending the relevant legislation on SOEs. </w:t>
      </w:r>
    </w:p>
    <w:p w14:paraId="5F16B335" w14:textId="77777777" w:rsidR="00550A54" w:rsidRPr="00291374" w:rsidRDefault="00550A54" w:rsidP="00550A54">
      <w:pPr>
        <w:spacing w:after="240"/>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 xml:space="preserve">In line with Article 7(2) of the Recovery and Resilience Regulation, Romania has requested technical support through the instrument on technical assistance for the implementation of reform to improve the framework on corporate governance in SOEs. </w:t>
      </w:r>
    </w:p>
    <w:p w14:paraId="04E5D445" w14:textId="77777777" w:rsidR="00550A54" w:rsidRPr="00291374" w:rsidRDefault="00550A54" w:rsidP="00550A54">
      <w:pPr>
        <w:spacing w:after="240"/>
        <w:jc w:val="both"/>
        <w:rPr>
          <w:rFonts w:ascii="Times New Roman" w:eastAsia="Times New Roman" w:hAnsi="Times New Roman" w:cs="Times New Roman"/>
          <w:noProof/>
          <w:u w:val="single"/>
          <w:lang w:val="en-GB"/>
        </w:rPr>
      </w:pPr>
      <w:r w:rsidRPr="00291374">
        <w:rPr>
          <w:rFonts w:ascii="Times New Roman" w:eastAsia="Times New Roman" w:hAnsi="Times New Roman" w:cs="Times New Roman"/>
          <w:noProof/>
          <w:u w:val="single"/>
          <w:lang w:val="en-GB"/>
        </w:rPr>
        <w:t xml:space="preserve">Investment 4. Increasing the capacity of civil society organisations to foster active citizenship, to engage professionally in the planning and implementation of public policies on social rights addressed by the national recovery and resilience plan and to monitor related reforms </w:t>
      </w:r>
    </w:p>
    <w:p w14:paraId="000D10A5" w14:textId="77777777" w:rsidR="00550A54" w:rsidRPr="00291374" w:rsidRDefault="00550A54" w:rsidP="00550A54">
      <w:pPr>
        <w:pStyle w:val="Standard"/>
        <w:spacing w:before="240" w:after="120"/>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objective of this measure is to provide increased participation in policy-making on social rights.</w:t>
      </w:r>
    </w:p>
    <w:p w14:paraId="1044388D" w14:textId="31D98EBD" w:rsidR="00550A54" w:rsidRPr="00291374" w:rsidRDefault="00550A54" w:rsidP="00550A54">
      <w:pPr>
        <w:pStyle w:val="Standard"/>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measure consists in the adoption of legal acts to address deficiencies in the social dialogue process and ensure meaningful consultation of relevant stakeholders.</w:t>
      </w:r>
      <w:r w:rsidR="00D23D91">
        <w:rPr>
          <w:rFonts w:ascii="Times New Roman" w:eastAsia="Times New Roman" w:hAnsi="Times New Roman" w:cs="Times New Roman"/>
          <w:noProof/>
          <w:lang w:val="en-GB"/>
        </w:rPr>
        <w:t xml:space="preserve"> </w:t>
      </w:r>
    </w:p>
    <w:p w14:paraId="243A2BF4" w14:textId="77777777" w:rsidR="00550A54" w:rsidRPr="00291374" w:rsidRDefault="00550A54" w:rsidP="00550A54">
      <w:pPr>
        <w:spacing w:before="240" w:after="240"/>
        <w:jc w:val="both"/>
        <w:rPr>
          <w:rFonts w:ascii="Times New Roman" w:eastAsia="Times New Roman" w:hAnsi="Times New Roman" w:cs="Times New Roman"/>
          <w:noProof/>
          <w:u w:val="single"/>
          <w:lang w:val="en-GB"/>
        </w:rPr>
      </w:pPr>
      <w:r w:rsidRPr="00291374">
        <w:rPr>
          <w:rFonts w:ascii="Times New Roman" w:eastAsia="Times New Roman" w:hAnsi="Times New Roman" w:cs="Times New Roman"/>
          <w:noProof/>
          <w:u w:val="single"/>
          <w:lang w:val="en-GB"/>
        </w:rPr>
        <w:t xml:space="preserve">Investment 5. Monitoring and implementation of the plan </w:t>
      </w:r>
    </w:p>
    <w:p w14:paraId="66B4EFA5" w14:textId="77777777" w:rsidR="00550A54" w:rsidRPr="00291374" w:rsidRDefault="00550A54" w:rsidP="00550A54">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objective of this investment is to set up and make available the integrated IT system, part of the government cloud, which is to be connected with other national and EU systems used for the purpose of the implementation of the recovery and resilience plan.</w:t>
      </w:r>
    </w:p>
    <w:p w14:paraId="465A89EC" w14:textId="77777777" w:rsidR="00550A54" w:rsidRPr="00291374" w:rsidRDefault="00550A54" w:rsidP="00550A54">
      <w:pPr>
        <w:spacing w:before="120" w:after="120" w:line="240" w:lineRule="auto"/>
        <w:jc w:val="both"/>
        <w:rPr>
          <w:rFonts w:ascii="Times New Roman" w:eastAsia="Times New Roman" w:hAnsi="Times New Roman" w:cs="Times New Roman"/>
          <w:noProof/>
          <w:lang w:val="en-GB"/>
        </w:rPr>
      </w:pPr>
      <w:r w:rsidRPr="00291374">
        <w:rPr>
          <w:rFonts w:ascii="Times New Roman" w:eastAsia="Times New Roman" w:hAnsi="Times New Roman" w:cs="Times New Roman"/>
          <w:noProof/>
          <w:lang w:val="en-GB"/>
        </w:rPr>
        <w:t>The measure consists in two phases: the first phase relates to making the integrated IT system available for use, and the second phase covers its interconnectivity with other systems of management and control of European funds and from the national budget and the integration with the government cloud.</w:t>
      </w:r>
    </w:p>
    <w:p w14:paraId="1A69FBAD" w14:textId="77777777" w:rsidR="00550A54" w:rsidRPr="00291374" w:rsidRDefault="00550A54" w:rsidP="00550A54">
      <w:pPr>
        <w:spacing w:before="120" w:after="120" w:line="240" w:lineRule="auto"/>
        <w:jc w:val="both"/>
        <w:rPr>
          <w:rFonts w:ascii="Times New Roman" w:eastAsia="Times New Roman" w:hAnsi="Times New Roman" w:cs="Times New Roman"/>
          <w:noProof/>
          <w:lang w:val="en-GB"/>
        </w:rPr>
        <w:sectPr w:rsidR="00550A54" w:rsidRPr="00291374" w:rsidSect="00550A54">
          <w:headerReference w:type="even" r:id="rId322"/>
          <w:headerReference w:type="default" r:id="rId323"/>
          <w:footerReference w:type="even" r:id="rId324"/>
          <w:footerReference w:type="default" r:id="rId325"/>
          <w:headerReference w:type="first" r:id="rId326"/>
          <w:footerReference w:type="first" r:id="rId327"/>
          <w:pgSz w:w="11907" w:h="16839"/>
          <w:pgMar w:top="1134" w:right="1134" w:bottom="1134" w:left="1134" w:header="567" w:footer="567" w:gutter="0"/>
          <w:cols w:space="708"/>
          <w:docGrid w:linePitch="360"/>
        </w:sectPr>
      </w:pPr>
    </w:p>
    <w:p w14:paraId="6EE8E6A0" w14:textId="77777777" w:rsidR="00550A54" w:rsidRPr="00291374" w:rsidRDefault="00550A54" w:rsidP="00550A54">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N.2. </w:t>
      </w:r>
      <w:r w:rsidRPr="00291374">
        <w:rPr>
          <w:rFonts w:ascii="Times New Roman" w:hAnsi="Times New Roman" w:cs="Times New Roman"/>
          <w:noProof/>
          <w:lang w:val="en-GB"/>
        </w:rPr>
        <w:tab/>
      </w:r>
      <w:r w:rsidRPr="00291374">
        <w:rPr>
          <w:rFonts w:ascii="Times New Roman" w:hAnsi="Times New Roman" w:cs="Times New Roman"/>
          <w:b/>
          <w:noProof/>
          <w:lang w:val="en-GB"/>
        </w:rPr>
        <w:t>Milestones, targets, indicators, and timetable for monitoring and implementation for non-repayable financial support</w:t>
      </w:r>
    </w:p>
    <w:tbl>
      <w:tblPr>
        <w:tblpPr w:leftFromText="180" w:rightFromText="180" w:vertAnchor="text" w:tblpXSpec="center" w:tblpY="1"/>
        <w:tblOverlap w:val="never"/>
        <w:tblW w:w="15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166"/>
        <w:gridCol w:w="1320"/>
        <w:gridCol w:w="1626"/>
        <w:gridCol w:w="1547"/>
        <w:gridCol w:w="1344"/>
        <w:gridCol w:w="1109"/>
        <w:gridCol w:w="872"/>
        <w:gridCol w:w="1082"/>
        <w:gridCol w:w="820"/>
        <w:gridCol w:w="3168"/>
      </w:tblGrid>
      <w:tr w:rsidR="00550A54" w:rsidRPr="00BD01A2" w14:paraId="5656A195" w14:textId="77777777" w:rsidTr="001B1E82">
        <w:trPr>
          <w:trHeight w:val="713"/>
          <w:tblHeader/>
        </w:trPr>
        <w:tc>
          <w:tcPr>
            <w:tcW w:w="822" w:type="dxa"/>
            <w:vMerge w:val="restart"/>
            <w:shd w:val="clear" w:color="auto" w:fill="BDD7EE"/>
            <w:vAlign w:val="center"/>
            <w:hideMark/>
          </w:tcPr>
          <w:p w14:paraId="77E46C9A" w14:textId="74449560" w:rsidR="00550A54" w:rsidRPr="00BD01A2" w:rsidRDefault="00550A54">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Seq. N</w:t>
            </w:r>
            <w:r w:rsidR="001B1E82" w:rsidRPr="00BD01A2">
              <w:rPr>
                <w:rFonts w:ascii="Times New Roman" w:hAnsi="Times New Roman" w:cs="Times New Roman"/>
                <w:b/>
                <w:noProof/>
                <w:sz w:val="20"/>
                <w:szCs w:val="20"/>
                <w:lang w:val="en-GB"/>
              </w:rPr>
              <w:t>um.</w:t>
            </w:r>
          </w:p>
        </w:tc>
        <w:tc>
          <w:tcPr>
            <w:tcW w:w="2166" w:type="dxa"/>
            <w:vMerge w:val="restart"/>
            <w:shd w:val="clear" w:color="auto" w:fill="BDD7EE"/>
            <w:vAlign w:val="center"/>
            <w:hideMark/>
          </w:tcPr>
          <w:p w14:paraId="1127401E" w14:textId="77777777" w:rsidR="00550A54" w:rsidRPr="00BD01A2" w:rsidRDefault="00550A54">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Related Measure (Reform or Investment)</w:t>
            </w:r>
          </w:p>
        </w:tc>
        <w:tc>
          <w:tcPr>
            <w:tcW w:w="1320" w:type="dxa"/>
            <w:vMerge w:val="restart"/>
            <w:shd w:val="clear" w:color="auto" w:fill="BDD7EE"/>
            <w:vAlign w:val="center"/>
            <w:hideMark/>
          </w:tcPr>
          <w:p w14:paraId="29D36F3B" w14:textId="3A3E82D5" w:rsidR="00550A54" w:rsidRPr="00BD01A2" w:rsidRDefault="00550A54">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Milestone/</w:t>
            </w:r>
            <w:r w:rsidR="001B1E82" w:rsidRPr="00BD01A2">
              <w:rPr>
                <w:rFonts w:ascii="Times New Roman" w:hAnsi="Times New Roman" w:cs="Times New Roman"/>
                <w:b/>
                <w:noProof/>
                <w:sz w:val="20"/>
                <w:szCs w:val="20"/>
                <w:lang w:val="en-GB"/>
              </w:rPr>
              <w:t xml:space="preserve"> </w:t>
            </w:r>
            <w:r w:rsidRPr="00BD01A2">
              <w:rPr>
                <w:rFonts w:ascii="Times New Roman" w:hAnsi="Times New Roman" w:cs="Times New Roman"/>
                <w:b/>
                <w:noProof/>
                <w:sz w:val="20"/>
                <w:szCs w:val="20"/>
                <w:lang w:val="en-GB"/>
              </w:rPr>
              <w:t>Target</w:t>
            </w:r>
          </w:p>
        </w:tc>
        <w:tc>
          <w:tcPr>
            <w:tcW w:w="1626" w:type="dxa"/>
            <w:vMerge w:val="restart"/>
            <w:shd w:val="clear" w:color="auto" w:fill="BDD7EE"/>
            <w:vAlign w:val="center"/>
            <w:hideMark/>
          </w:tcPr>
          <w:p w14:paraId="2F5EE3FB" w14:textId="77777777" w:rsidR="00550A54" w:rsidRPr="00BD01A2" w:rsidRDefault="00550A54">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Name</w:t>
            </w:r>
          </w:p>
        </w:tc>
        <w:tc>
          <w:tcPr>
            <w:tcW w:w="1547" w:type="dxa"/>
            <w:vMerge w:val="restart"/>
            <w:shd w:val="clear" w:color="auto" w:fill="BDD7EE"/>
            <w:vAlign w:val="center"/>
            <w:hideMark/>
          </w:tcPr>
          <w:p w14:paraId="13444EF6" w14:textId="4935FE0B" w:rsidR="00550A54" w:rsidRPr="00BD01A2" w:rsidRDefault="00550A54" w:rsidP="001B1E82">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Qualitative</w:t>
            </w:r>
            <w:r w:rsidR="001B1E82" w:rsidRPr="00BD01A2">
              <w:rPr>
                <w:rFonts w:ascii="Times New Roman" w:hAnsi="Times New Roman" w:cs="Times New Roman"/>
                <w:b/>
                <w:noProof/>
                <w:sz w:val="20"/>
                <w:szCs w:val="20"/>
                <w:lang w:val="en-GB"/>
              </w:rPr>
              <w:t xml:space="preserve"> </w:t>
            </w:r>
            <w:r w:rsidRPr="00BD01A2">
              <w:rPr>
                <w:rFonts w:ascii="Times New Roman" w:hAnsi="Times New Roman" w:cs="Times New Roman"/>
                <w:b/>
                <w:noProof/>
                <w:sz w:val="20"/>
                <w:szCs w:val="20"/>
                <w:lang w:val="en-GB"/>
              </w:rPr>
              <w:t>indicators</w:t>
            </w:r>
            <w:r w:rsidRPr="00BD01A2">
              <w:rPr>
                <w:rFonts w:ascii="Times New Roman" w:hAnsi="Times New Roman" w:cs="Times New Roman"/>
                <w:noProof/>
                <w:sz w:val="20"/>
                <w:szCs w:val="20"/>
                <w:lang w:val="en-GB"/>
              </w:rPr>
              <w:t xml:space="preserve"> </w:t>
            </w:r>
            <w:r w:rsidRPr="00BD01A2">
              <w:rPr>
                <w:rFonts w:ascii="Times New Roman" w:hAnsi="Times New Roman" w:cs="Times New Roman"/>
                <w:noProof/>
                <w:sz w:val="20"/>
                <w:szCs w:val="20"/>
                <w:lang w:val="en-GB"/>
              </w:rPr>
              <w:br/>
            </w:r>
            <w:r w:rsidRPr="00BD01A2">
              <w:rPr>
                <w:rFonts w:ascii="Times New Roman" w:hAnsi="Times New Roman" w:cs="Times New Roman"/>
                <w:b/>
                <w:noProof/>
                <w:sz w:val="20"/>
                <w:szCs w:val="20"/>
                <w:lang w:val="en-GB"/>
              </w:rPr>
              <w:t>(for milestones)</w:t>
            </w:r>
          </w:p>
        </w:tc>
        <w:tc>
          <w:tcPr>
            <w:tcW w:w="3325" w:type="dxa"/>
            <w:gridSpan w:val="3"/>
            <w:shd w:val="clear" w:color="auto" w:fill="BDD7EE"/>
            <w:vAlign w:val="center"/>
            <w:hideMark/>
          </w:tcPr>
          <w:p w14:paraId="1A945DD0" w14:textId="375FBE58" w:rsidR="00550A54" w:rsidRPr="00BD01A2" w:rsidRDefault="00550A54" w:rsidP="001B1E82">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 xml:space="preserve">Quantitative indicators </w:t>
            </w:r>
            <w:r w:rsidRPr="00BD01A2">
              <w:rPr>
                <w:rFonts w:ascii="Times New Roman" w:hAnsi="Times New Roman" w:cs="Times New Roman"/>
                <w:noProof/>
                <w:sz w:val="20"/>
                <w:szCs w:val="20"/>
                <w:lang w:val="en-GB"/>
              </w:rPr>
              <w:br/>
            </w:r>
            <w:r w:rsidRPr="00BD01A2">
              <w:rPr>
                <w:rFonts w:ascii="Times New Roman" w:hAnsi="Times New Roman" w:cs="Times New Roman"/>
                <w:b/>
                <w:noProof/>
                <w:sz w:val="20"/>
                <w:szCs w:val="20"/>
                <w:lang w:val="en-GB"/>
              </w:rPr>
              <w:t>(for targets)</w:t>
            </w:r>
          </w:p>
        </w:tc>
        <w:tc>
          <w:tcPr>
            <w:tcW w:w="1902" w:type="dxa"/>
            <w:gridSpan w:val="2"/>
            <w:shd w:val="clear" w:color="auto" w:fill="BDD7EE"/>
            <w:vAlign w:val="center"/>
            <w:hideMark/>
          </w:tcPr>
          <w:p w14:paraId="4801D083" w14:textId="6F160158" w:rsidR="00550A54" w:rsidRPr="00BD01A2" w:rsidRDefault="00550A54" w:rsidP="001B1E82">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 xml:space="preserve">Indicative timeline for completion </w:t>
            </w:r>
          </w:p>
        </w:tc>
        <w:tc>
          <w:tcPr>
            <w:tcW w:w="3168" w:type="dxa"/>
            <w:vMerge w:val="restart"/>
            <w:shd w:val="clear" w:color="auto" w:fill="BDD7EE"/>
            <w:vAlign w:val="center"/>
            <w:hideMark/>
          </w:tcPr>
          <w:p w14:paraId="08A8FF4B" w14:textId="77777777" w:rsidR="00550A54" w:rsidRPr="00BD01A2" w:rsidRDefault="00550A54">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Description of each milestone and target</w:t>
            </w:r>
          </w:p>
        </w:tc>
      </w:tr>
      <w:tr w:rsidR="00550A54" w:rsidRPr="00BD01A2" w14:paraId="78C8B863" w14:textId="77777777" w:rsidTr="001B1E82">
        <w:trPr>
          <w:trHeight w:val="593"/>
          <w:tblHeader/>
        </w:trPr>
        <w:tc>
          <w:tcPr>
            <w:tcW w:w="822" w:type="dxa"/>
            <w:vMerge/>
            <w:vAlign w:val="center"/>
          </w:tcPr>
          <w:p w14:paraId="5481B9F4" w14:textId="77777777" w:rsidR="00550A54" w:rsidRPr="00BD01A2" w:rsidRDefault="00550A54">
            <w:pPr>
              <w:spacing w:after="0" w:line="240" w:lineRule="auto"/>
              <w:jc w:val="center"/>
              <w:rPr>
                <w:rFonts w:ascii="Times New Roman" w:eastAsia="Times New Roman" w:hAnsi="Times New Roman" w:cs="Times New Roman"/>
                <w:b/>
                <w:noProof/>
                <w:sz w:val="20"/>
                <w:szCs w:val="20"/>
                <w:lang w:val="en-GB" w:eastAsia="en-GB"/>
              </w:rPr>
            </w:pPr>
          </w:p>
        </w:tc>
        <w:tc>
          <w:tcPr>
            <w:tcW w:w="2166" w:type="dxa"/>
            <w:vMerge/>
            <w:vAlign w:val="center"/>
          </w:tcPr>
          <w:p w14:paraId="0FC7A3E7" w14:textId="77777777" w:rsidR="00550A54" w:rsidRPr="00BD01A2" w:rsidRDefault="00550A54">
            <w:pPr>
              <w:spacing w:after="0" w:line="240" w:lineRule="auto"/>
              <w:jc w:val="center"/>
              <w:rPr>
                <w:rFonts w:ascii="Times New Roman" w:eastAsia="Times New Roman" w:hAnsi="Times New Roman" w:cs="Times New Roman"/>
                <w:b/>
                <w:noProof/>
                <w:sz w:val="20"/>
                <w:szCs w:val="20"/>
                <w:lang w:val="en-GB" w:eastAsia="en-GB"/>
              </w:rPr>
            </w:pPr>
          </w:p>
        </w:tc>
        <w:tc>
          <w:tcPr>
            <w:tcW w:w="1320" w:type="dxa"/>
            <w:vMerge/>
            <w:vAlign w:val="center"/>
          </w:tcPr>
          <w:p w14:paraId="78E79BB9" w14:textId="77777777" w:rsidR="00550A54" w:rsidRPr="00BD01A2" w:rsidRDefault="00550A54">
            <w:pPr>
              <w:spacing w:after="0" w:line="240" w:lineRule="auto"/>
              <w:jc w:val="center"/>
              <w:rPr>
                <w:rFonts w:ascii="Times New Roman" w:eastAsia="Times New Roman" w:hAnsi="Times New Roman" w:cs="Times New Roman"/>
                <w:b/>
                <w:noProof/>
                <w:sz w:val="20"/>
                <w:szCs w:val="20"/>
                <w:lang w:val="en-GB" w:eastAsia="en-GB"/>
              </w:rPr>
            </w:pPr>
          </w:p>
        </w:tc>
        <w:tc>
          <w:tcPr>
            <w:tcW w:w="1626" w:type="dxa"/>
            <w:vMerge/>
            <w:vAlign w:val="center"/>
          </w:tcPr>
          <w:p w14:paraId="684DFAFF" w14:textId="77777777" w:rsidR="00550A54" w:rsidRPr="00BD01A2" w:rsidRDefault="00550A54">
            <w:pPr>
              <w:spacing w:after="0" w:line="240" w:lineRule="auto"/>
              <w:jc w:val="center"/>
              <w:rPr>
                <w:rFonts w:ascii="Times New Roman" w:eastAsia="Times New Roman" w:hAnsi="Times New Roman" w:cs="Times New Roman"/>
                <w:b/>
                <w:noProof/>
                <w:sz w:val="20"/>
                <w:szCs w:val="20"/>
                <w:lang w:val="en-GB" w:eastAsia="en-GB"/>
              </w:rPr>
            </w:pPr>
          </w:p>
        </w:tc>
        <w:tc>
          <w:tcPr>
            <w:tcW w:w="1547" w:type="dxa"/>
            <w:vMerge/>
            <w:vAlign w:val="center"/>
          </w:tcPr>
          <w:p w14:paraId="12A2ECF8" w14:textId="77777777" w:rsidR="00550A54" w:rsidRPr="00BD01A2" w:rsidRDefault="00550A54">
            <w:pPr>
              <w:spacing w:after="0" w:line="240" w:lineRule="auto"/>
              <w:jc w:val="center"/>
              <w:rPr>
                <w:rFonts w:ascii="Times New Roman" w:eastAsia="Times New Roman" w:hAnsi="Times New Roman" w:cs="Times New Roman"/>
                <w:b/>
                <w:noProof/>
                <w:sz w:val="20"/>
                <w:szCs w:val="20"/>
                <w:lang w:val="en-GB" w:eastAsia="en-GB"/>
              </w:rPr>
            </w:pPr>
          </w:p>
        </w:tc>
        <w:tc>
          <w:tcPr>
            <w:tcW w:w="1344" w:type="dxa"/>
            <w:shd w:val="clear" w:color="auto" w:fill="BDD7EE"/>
            <w:vAlign w:val="center"/>
          </w:tcPr>
          <w:p w14:paraId="0F69A1E4" w14:textId="77777777" w:rsidR="00550A54" w:rsidRPr="00BD01A2" w:rsidRDefault="00550A54">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Unit of measure</w:t>
            </w:r>
          </w:p>
        </w:tc>
        <w:tc>
          <w:tcPr>
            <w:tcW w:w="1109" w:type="dxa"/>
            <w:shd w:val="clear" w:color="auto" w:fill="BDD7EE"/>
            <w:vAlign w:val="center"/>
          </w:tcPr>
          <w:p w14:paraId="6274595B" w14:textId="77777777" w:rsidR="00550A54" w:rsidRPr="00BD01A2" w:rsidRDefault="00550A54">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Baseline</w:t>
            </w:r>
          </w:p>
        </w:tc>
        <w:tc>
          <w:tcPr>
            <w:tcW w:w="872" w:type="dxa"/>
            <w:shd w:val="clear" w:color="auto" w:fill="BDD7EE"/>
            <w:vAlign w:val="center"/>
          </w:tcPr>
          <w:p w14:paraId="2494D45F" w14:textId="77777777" w:rsidR="00550A54" w:rsidRPr="00BD01A2" w:rsidRDefault="00550A54">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Goal</w:t>
            </w:r>
          </w:p>
        </w:tc>
        <w:tc>
          <w:tcPr>
            <w:tcW w:w="1082" w:type="dxa"/>
            <w:shd w:val="clear" w:color="auto" w:fill="BDD7EE"/>
            <w:vAlign w:val="center"/>
          </w:tcPr>
          <w:p w14:paraId="7CA411F5" w14:textId="77777777" w:rsidR="00550A54" w:rsidRPr="00BD01A2" w:rsidRDefault="00550A54">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Quarter</w:t>
            </w:r>
          </w:p>
        </w:tc>
        <w:tc>
          <w:tcPr>
            <w:tcW w:w="820" w:type="dxa"/>
            <w:shd w:val="clear" w:color="auto" w:fill="BDD7EE"/>
            <w:vAlign w:val="center"/>
          </w:tcPr>
          <w:p w14:paraId="3D51CEDA" w14:textId="77777777" w:rsidR="00550A54" w:rsidRPr="00BD01A2" w:rsidRDefault="00550A54">
            <w:pPr>
              <w:spacing w:after="0" w:line="240" w:lineRule="auto"/>
              <w:jc w:val="center"/>
              <w:rPr>
                <w:rFonts w:ascii="Times New Roman" w:eastAsia="Times New Roman" w:hAnsi="Times New Roman" w:cs="Times New Roman"/>
                <w:b/>
                <w:noProof/>
                <w:sz w:val="20"/>
                <w:szCs w:val="20"/>
                <w:lang w:val="en-GB"/>
              </w:rPr>
            </w:pPr>
            <w:r w:rsidRPr="00BD01A2">
              <w:rPr>
                <w:rFonts w:ascii="Times New Roman" w:hAnsi="Times New Roman" w:cs="Times New Roman"/>
                <w:b/>
                <w:noProof/>
                <w:sz w:val="20"/>
                <w:szCs w:val="20"/>
                <w:lang w:val="en-GB"/>
              </w:rPr>
              <w:t>Year</w:t>
            </w:r>
          </w:p>
        </w:tc>
        <w:tc>
          <w:tcPr>
            <w:tcW w:w="3168" w:type="dxa"/>
            <w:vMerge/>
            <w:vAlign w:val="center"/>
          </w:tcPr>
          <w:p w14:paraId="06795BF0" w14:textId="77777777" w:rsidR="00550A54" w:rsidRPr="00BD01A2" w:rsidRDefault="00550A54">
            <w:pPr>
              <w:spacing w:after="0" w:line="240" w:lineRule="auto"/>
              <w:jc w:val="center"/>
              <w:rPr>
                <w:rFonts w:ascii="Times New Roman" w:eastAsia="Times New Roman" w:hAnsi="Times New Roman" w:cs="Times New Roman"/>
                <w:b/>
                <w:noProof/>
                <w:sz w:val="20"/>
                <w:szCs w:val="20"/>
                <w:lang w:val="en-GB" w:eastAsia="en-GB"/>
              </w:rPr>
            </w:pPr>
          </w:p>
        </w:tc>
      </w:tr>
      <w:tr w:rsidR="00550A54" w:rsidRPr="00BD01A2" w14:paraId="30081881" w14:textId="77777777">
        <w:trPr>
          <w:trHeight w:val="309"/>
        </w:trPr>
        <w:tc>
          <w:tcPr>
            <w:tcW w:w="822" w:type="dxa"/>
            <w:shd w:val="clear" w:color="auto" w:fill="C6EFCE"/>
            <w:noWrap/>
          </w:tcPr>
          <w:p w14:paraId="4756A2A1"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401</w:t>
            </w:r>
          </w:p>
        </w:tc>
        <w:tc>
          <w:tcPr>
            <w:tcW w:w="2166" w:type="dxa"/>
            <w:shd w:val="clear" w:color="auto" w:fill="C6EFCE"/>
            <w:noWrap/>
          </w:tcPr>
          <w:p w14:paraId="61A9CD48"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Reform 1. Enhancing the quality of government decision-making</w:t>
            </w:r>
          </w:p>
        </w:tc>
        <w:tc>
          <w:tcPr>
            <w:tcW w:w="1320" w:type="dxa"/>
            <w:shd w:val="clear" w:color="auto" w:fill="C6EFCE"/>
            <w:noWrap/>
          </w:tcPr>
          <w:p w14:paraId="4A353858" w14:textId="77777777" w:rsidR="00550A54" w:rsidRPr="00BD01A2" w:rsidRDefault="00550A54">
            <w:pPr>
              <w:spacing w:after="0" w:line="240" w:lineRule="auto"/>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76BF651A"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Entry into force of the methodologies and procedures to improve public policy rationale and planning and administrative simplification</w:t>
            </w:r>
          </w:p>
        </w:tc>
        <w:tc>
          <w:tcPr>
            <w:tcW w:w="1547" w:type="dxa"/>
            <w:shd w:val="clear" w:color="auto" w:fill="C6EFCE"/>
            <w:noWrap/>
          </w:tcPr>
          <w:p w14:paraId="27968E2F"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Provision in the laws and the government decisions indicating the entry into force of the laws and government decisions respectively for improving public policy rationale and planning and administrative simplification</w:t>
            </w:r>
          </w:p>
        </w:tc>
        <w:tc>
          <w:tcPr>
            <w:tcW w:w="1344" w:type="dxa"/>
            <w:shd w:val="clear" w:color="auto" w:fill="C6EFCE"/>
            <w:noWrap/>
          </w:tcPr>
          <w:p w14:paraId="55D95EBD" w14:textId="77777777" w:rsidR="00550A54" w:rsidRPr="00BD01A2" w:rsidRDefault="00550A54">
            <w:pPr>
              <w:spacing w:after="0" w:line="240" w:lineRule="auto"/>
              <w:rPr>
                <w:rFonts w:ascii="Times New Roman" w:eastAsia="Times New Roman" w:hAnsi="Times New Roman" w:cs="Times New Roman"/>
                <w:noProof/>
                <w:sz w:val="20"/>
                <w:szCs w:val="20"/>
                <w:lang w:val="en-GB" w:eastAsia="en-GB"/>
              </w:rPr>
            </w:pPr>
          </w:p>
        </w:tc>
        <w:tc>
          <w:tcPr>
            <w:tcW w:w="1109" w:type="dxa"/>
            <w:shd w:val="clear" w:color="auto" w:fill="C6EFCE"/>
            <w:noWrap/>
          </w:tcPr>
          <w:p w14:paraId="0F14654F" w14:textId="77777777" w:rsidR="00550A54" w:rsidRPr="00BD01A2" w:rsidRDefault="00550A54">
            <w:pPr>
              <w:spacing w:after="0" w:line="240" w:lineRule="auto"/>
              <w:jc w:val="right"/>
              <w:rPr>
                <w:rFonts w:ascii="Times New Roman" w:eastAsia="Times New Roman" w:hAnsi="Times New Roman" w:cs="Times New Roman"/>
                <w:noProof/>
                <w:sz w:val="20"/>
                <w:szCs w:val="20"/>
                <w:lang w:val="en-GB" w:eastAsia="en-GB"/>
              </w:rPr>
            </w:pPr>
          </w:p>
        </w:tc>
        <w:tc>
          <w:tcPr>
            <w:tcW w:w="872" w:type="dxa"/>
            <w:shd w:val="clear" w:color="auto" w:fill="C6EFCE"/>
            <w:noWrap/>
          </w:tcPr>
          <w:p w14:paraId="1C7F49B7" w14:textId="77777777" w:rsidR="00550A54" w:rsidRPr="00BD01A2" w:rsidRDefault="00550A54">
            <w:pPr>
              <w:spacing w:after="0" w:line="240" w:lineRule="auto"/>
              <w:jc w:val="right"/>
              <w:rPr>
                <w:rFonts w:ascii="Times New Roman" w:eastAsia="Times New Roman" w:hAnsi="Times New Roman" w:cs="Times New Roman"/>
                <w:noProof/>
                <w:sz w:val="20"/>
                <w:szCs w:val="20"/>
                <w:lang w:val="en-GB" w:eastAsia="en-GB"/>
              </w:rPr>
            </w:pPr>
          </w:p>
        </w:tc>
        <w:tc>
          <w:tcPr>
            <w:tcW w:w="1082" w:type="dxa"/>
            <w:shd w:val="clear" w:color="auto" w:fill="C6EFCE"/>
            <w:noWrap/>
          </w:tcPr>
          <w:p w14:paraId="5A3BA5EE"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Q1</w:t>
            </w:r>
          </w:p>
        </w:tc>
        <w:tc>
          <w:tcPr>
            <w:tcW w:w="820" w:type="dxa"/>
            <w:shd w:val="clear" w:color="auto" w:fill="C6EFCE"/>
            <w:noWrap/>
          </w:tcPr>
          <w:p w14:paraId="3D597AFF"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2022 </w:t>
            </w:r>
          </w:p>
        </w:tc>
        <w:tc>
          <w:tcPr>
            <w:tcW w:w="3168" w:type="dxa"/>
            <w:shd w:val="clear" w:color="auto" w:fill="C6EFCE"/>
            <w:noWrap/>
          </w:tcPr>
          <w:p w14:paraId="2CD052D1"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Entry into force of the following legislative acts:</w:t>
            </w:r>
          </w:p>
          <w:p w14:paraId="4F05EF05" w14:textId="77777777" w:rsidR="00550A54" w:rsidRPr="00BD01A2" w:rsidRDefault="00550A54">
            <w:pPr>
              <w:spacing w:after="0" w:line="240" w:lineRule="auto"/>
              <w:ind w:left="-21"/>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(1) Government Decision laying down procedures for the development, implementation, monitoring, evaluation and updating of government strategies; </w:t>
            </w:r>
            <w:r w:rsidRPr="00BD01A2">
              <w:rPr>
                <w:rFonts w:ascii="Times New Roman" w:hAnsi="Times New Roman" w:cs="Times New Roman"/>
                <w:noProof/>
                <w:sz w:val="20"/>
                <w:szCs w:val="20"/>
                <w:lang w:val="en-GB"/>
              </w:rPr>
              <w:br/>
              <w:t>(2) Government Decision laying down the procedures for strategic planning and budgetary programming to ensure an adequate link between policy priorities and budget formulation. Ministerial budget programs shall implement the recommendations of spending reviews (which are introduced under the Tax and pensions reform component section of this document) and according to the methodology developed in cooperation with the Ministry of Finance (MoF).</w:t>
            </w:r>
          </w:p>
          <w:p w14:paraId="31AF7D84" w14:textId="77777777" w:rsidR="00550A54" w:rsidRPr="00BD01A2" w:rsidRDefault="00550A54">
            <w:pPr>
              <w:pBdr>
                <w:top w:val="nil"/>
                <w:left w:val="nil"/>
                <w:bottom w:val="nil"/>
                <w:right w:val="nil"/>
                <w:between w:val="nil"/>
              </w:pBdr>
              <w:spacing w:after="0" w:line="240" w:lineRule="auto"/>
              <w:ind w:left="-21"/>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(3) Government Decision on updating the methodology for ex-ante impact assessment of the draft regulation. The focus of the updated methodology shall be on introducing innovation and “digital by default” principles as well as specific procedures for strengthened implementation and annual reporting. </w:t>
            </w:r>
          </w:p>
          <w:p w14:paraId="346EFD9B" w14:textId="77777777" w:rsidR="00550A54" w:rsidRPr="00BD01A2" w:rsidRDefault="00550A54">
            <w:pPr>
              <w:pBdr>
                <w:top w:val="nil"/>
                <w:left w:val="nil"/>
                <w:bottom w:val="nil"/>
                <w:right w:val="nil"/>
                <w:between w:val="nil"/>
              </w:pBdr>
              <w:spacing w:after="0" w:line="240" w:lineRule="auto"/>
              <w:ind w:left="-21"/>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(4) Government Decision on approving the “One in, one out” Methodology aimed at reducing administrative burden.</w:t>
            </w:r>
          </w:p>
          <w:p w14:paraId="2103F62E" w14:textId="77777777" w:rsidR="00550A54" w:rsidRPr="00BD01A2" w:rsidRDefault="00550A54">
            <w:pPr>
              <w:spacing w:after="0" w:line="240" w:lineRule="auto"/>
              <w:ind w:left="-21"/>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(5) Government Decision on the procedural and methodological framework for ex-post assessment of regulations.</w:t>
            </w:r>
          </w:p>
        </w:tc>
      </w:tr>
      <w:tr w:rsidR="00550A54" w:rsidRPr="00BD01A2" w14:paraId="1D8ECA85" w14:textId="77777777">
        <w:trPr>
          <w:trHeight w:val="309"/>
        </w:trPr>
        <w:tc>
          <w:tcPr>
            <w:tcW w:w="822" w:type="dxa"/>
            <w:shd w:val="clear" w:color="auto" w:fill="C6EFCE"/>
            <w:noWrap/>
          </w:tcPr>
          <w:p w14:paraId="41A0E5E1"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402 </w:t>
            </w:r>
          </w:p>
        </w:tc>
        <w:tc>
          <w:tcPr>
            <w:tcW w:w="2166" w:type="dxa"/>
            <w:shd w:val="clear" w:color="auto" w:fill="C6EFCE"/>
            <w:noWrap/>
          </w:tcPr>
          <w:p w14:paraId="549FBA7C" w14:textId="246D1634"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Reform 1. Enhancing the quality of</w:t>
            </w:r>
            <w:r w:rsidR="00D23D91" w:rsidRPr="00BD01A2">
              <w:rPr>
                <w:rFonts w:ascii="Times New Roman" w:hAnsi="Times New Roman" w:cs="Times New Roman"/>
                <w:noProof/>
                <w:sz w:val="20"/>
                <w:szCs w:val="20"/>
                <w:lang w:val="en-GB"/>
              </w:rPr>
              <w:t xml:space="preserve"> </w:t>
            </w:r>
            <w:r w:rsidRPr="00BD01A2">
              <w:rPr>
                <w:rFonts w:ascii="Times New Roman" w:hAnsi="Times New Roman" w:cs="Times New Roman"/>
                <w:noProof/>
                <w:sz w:val="20"/>
                <w:szCs w:val="20"/>
                <w:lang w:val="en-GB"/>
              </w:rPr>
              <w:t>government</w:t>
            </w:r>
            <w:r w:rsidR="00D23D91" w:rsidRPr="00BD01A2">
              <w:rPr>
                <w:rFonts w:ascii="Times New Roman" w:hAnsi="Times New Roman" w:cs="Times New Roman"/>
                <w:noProof/>
                <w:sz w:val="20"/>
                <w:szCs w:val="20"/>
                <w:lang w:val="en-GB"/>
              </w:rPr>
              <w:t xml:space="preserve"> </w:t>
            </w:r>
            <w:r w:rsidRPr="00BD01A2">
              <w:rPr>
                <w:rFonts w:ascii="Times New Roman" w:hAnsi="Times New Roman" w:cs="Times New Roman"/>
                <w:noProof/>
                <w:sz w:val="20"/>
                <w:szCs w:val="20"/>
                <w:lang w:val="en-GB"/>
              </w:rPr>
              <w:t xml:space="preserve">decision-making </w:t>
            </w:r>
          </w:p>
        </w:tc>
        <w:tc>
          <w:tcPr>
            <w:tcW w:w="1320" w:type="dxa"/>
            <w:shd w:val="clear" w:color="auto" w:fill="C6EFCE"/>
            <w:noWrap/>
          </w:tcPr>
          <w:p w14:paraId="0EC20768" w14:textId="77777777" w:rsidR="00550A54" w:rsidRPr="00BD01A2" w:rsidRDefault="00550A54">
            <w:pPr>
              <w:spacing w:after="0" w:line="240" w:lineRule="auto"/>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44A2EAE3"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A new strategic management and planning system used in all ministries </w:t>
            </w:r>
          </w:p>
        </w:tc>
        <w:tc>
          <w:tcPr>
            <w:tcW w:w="1547" w:type="dxa"/>
            <w:shd w:val="clear" w:color="auto" w:fill="C6EFCE"/>
            <w:noWrap/>
          </w:tcPr>
          <w:p w14:paraId="3919D298"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A new strategic management and planning system is available for use in all line ministries</w:t>
            </w:r>
          </w:p>
        </w:tc>
        <w:tc>
          <w:tcPr>
            <w:tcW w:w="1344" w:type="dxa"/>
            <w:shd w:val="clear" w:color="auto" w:fill="C6EFCE"/>
            <w:noWrap/>
          </w:tcPr>
          <w:p w14:paraId="2EB0D9AD" w14:textId="77777777" w:rsidR="00550A54" w:rsidRPr="00BD01A2" w:rsidRDefault="00550A54">
            <w:pPr>
              <w:spacing w:after="0" w:line="240" w:lineRule="auto"/>
              <w:rPr>
                <w:rFonts w:ascii="Times New Roman" w:eastAsia="Times New Roman" w:hAnsi="Times New Roman" w:cs="Times New Roman"/>
                <w:noProof/>
                <w:sz w:val="20"/>
                <w:szCs w:val="20"/>
                <w:lang w:val="en-GB" w:eastAsia="en-GB"/>
              </w:rPr>
            </w:pPr>
          </w:p>
        </w:tc>
        <w:tc>
          <w:tcPr>
            <w:tcW w:w="1109" w:type="dxa"/>
            <w:shd w:val="clear" w:color="auto" w:fill="C6EFCE"/>
            <w:noWrap/>
          </w:tcPr>
          <w:p w14:paraId="519B8E20" w14:textId="77777777" w:rsidR="00550A54" w:rsidRPr="00BD01A2" w:rsidRDefault="00550A54">
            <w:pPr>
              <w:spacing w:after="0" w:line="240" w:lineRule="auto"/>
              <w:rPr>
                <w:rFonts w:ascii="Times New Roman" w:eastAsia="Times New Roman" w:hAnsi="Times New Roman" w:cs="Times New Roman"/>
                <w:noProof/>
                <w:sz w:val="20"/>
                <w:szCs w:val="20"/>
                <w:lang w:val="en-GB" w:eastAsia="en-GB"/>
              </w:rPr>
            </w:pPr>
          </w:p>
        </w:tc>
        <w:tc>
          <w:tcPr>
            <w:tcW w:w="872" w:type="dxa"/>
            <w:shd w:val="clear" w:color="auto" w:fill="C6EFCE"/>
            <w:noWrap/>
          </w:tcPr>
          <w:p w14:paraId="57A83804" w14:textId="77777777" w:rsidR="00550A54" w:rsidRPr="00BD01A2" w:rsidRDefault="00550A54">
            <w:pPr>
              <w:spacing w:after="0" w:line="240" w:lineRule="auto"/>
              <w:rPr>
                <w:rFonts w:ascii="Times New Roman" w:eastAsia="Times New Roman" w:hAnsi="Times New Roman" w:cs="Times New Roman"/>
                <w:noProof/>
                <w:sz w:val="20"/>
                <w:szCs w:val="20"/>
                <w:lang w:val="en-GB" w:eastAsia="en-GB"/>
              </w:rPr>
            </w:pPr>
          </w:p>
        </w:tc>
        <w:tc>
          <w:tcPr>
            <w:tcW w:w="1082" w:type="dxa"/>
            <w:shd w:val="clear" w:color="auto" w:fill="C6EFCE"/>
            <w:noWrap/>
          </w:tcPr>
          <w:p w14:paraId="6B79DBD9"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Q2</w:t>
            </w:r>
          </w:p>
        </w:tc>
        <w:tc>
          <w:tcPr>
            <w:tcW w:w="820" w:type="dxa"/>
            <w:shd w:val="clear" w:color="auto" w:fill="C6EFCE"/>
            <w:noWrap/>
          </w:tcPr>
          <w:p w14:paraId="3CF41156"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2023</w:t>
            </w:r>
          </w:p>
          <w:p w14:paraId="7A49F3AB"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eastAsia="en-GB"/>
              </w:rPr>
            </w:pPr>
          </w:p>
        </w:tc>
        <w:tc>
          <w:tcPr>
            <w:tcW w:w="3168" w:type="dxa"/>
            <w:shd w:val="clear" w:color="auto" w:fill="C6EFCE"/>
            <w:noWrap/>
          </w:tcPr>
          <w:p w14:paraId="0215E8C0"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eastAsia="Times New Roman" w:hAnsi="Times New Roman" w:cs="Times New Roman"/>
                <w:noProof/>
                <w:sz w:val="20"/>
                <w:szCs w:val="20"/>
                <w:lang w:val="en-GB"/>
              </w:rPr>
              <w:t>All ministries use the strategic management and planning system to prepare their plans, which are updated and monitored</w:t>
            </w:r>
            <w:r w:rsidRPr="00BD01A2">
              <w:rPr>
                <w:rFonts w:ascii="Times New Roman" w:hAnsi="Times New Roman" w:cs="Times New Roman"/>
                <w:noProof/>
                <w:sz w:val="20"/>
                <w:szCs w:val="20"/>
                <w:lang w:val="en-GB"/>
              </w:rPr>
              <w:t xml:space="preserve"> through the Institutional Strategic Plans (ISP) platform, as it is extended to all ministries. </w:t>
            </w:r>
          </w:p>
        </w:tc>
      </w:tr>
      <w:tr w:rsidR="00550A54" w:rsidRPr="00BD01A2" w14:paraId="1A49BF06" w14:textId="77777777">
        <w:trPr>
          <w:trHeight w:val="309"/>
        </w:trPr>
        <w:tc>
          <w:tcPr>
            <w:tcW w:w="822" w:type="dxa"/>
            <w:shd w:val="clear" w:color="auto" w:fill="C6EFCE"/>
            <w:noWrap/>
          </w:tcPr>
          <w:p w14:paraId="09FC0FB6"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403 </w:t>
            </w:r>
          </w:p>
        </w:tc>
        <w:tc>
          <w:tcPr>
            <w:tcW w:w="2166" w:type="dxa"/>
            <w:shd w:val="clear" w:color="auto" w:fill="C6EFCE"/>
            <w:noWrap/>
          </w:tcPr>
          <w:p w14:paraId="25F376DC"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Reform 1. Enhancing the quality of government decision-making</w:t>
            </w:r>
          </w:p>
        </w:tc>
        <w:tc>
          <w:tcPr>
            <w:tcW w:w="1320" w:type="dxa"/>
            <w:shd w:val="clear" w:color="auto" w:fill="C6EFCE"/>
            <w:noWrap/>
          </w:tcPr>
          <w:p w14:paraId="0823A32D" w14:textId="77777777" w:rsidR="00550A54" w:rsidRPr="00BD01A2" w:rsidRDefault="00550A54">
            <w:pPr>
              <w:spacing w:after="0" w:line="240" w:lineRule="auto"/>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Target</w:t>
            </w:r>
          </w:p>
        </w:tc>
        <w:tc>
          <w:tcPr>
            <w:tcW w:w="1626" w:type="dxa"/>
            <w:shd w:val="clear" w:color="auto" w:fill="C6EFCE"/>
            <w:noWrap/>
          </w:tcPr>
          <w:p w14:paraId="5A37B33D"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Three ministries planned and used budgets per programme </w:t>
            </w:r>
          </w:p>
        </w:tc>
        <w:tc>
          <w:tcPr>
            <w:tcW w:w="1547" w:type="dxa"/>
            <w:shd w:val="clear" w:color="auto" w:fill="C6EFCE"/>
            <w:noWrap/>
          </w:tcPr>
          <w:p w14:paraId="25E4065A"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eastAsia="en-GB"/>
              </w:rPr>
            </w:pPr>
          </w:p>
        </w:tc>
        <w:tc>
          <w:tcPr>
            <w:tcW w:w="1344" w:type="dxa"/>
            <w:shd w:val="clear" w:color="auto" w:fill="C6EFCE"/>
            <w:noWrap/>
          </w:tcPr>
          <w:p w14:paraId="37D46058" w14:textId="77777777" w:rsidR="00550A54" w:rsidRPr="00BD01A2" w:rsidRDefault="00550A54">
            <w:pPr>
              <w:spacing w:after="0" w:line="240" w:lineRule="auto"/>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Number</w:t>
            </w:r>
          </w:p>
        </w:tc>
        <w:tc>
          <w:tcPr>
            <w:tcW w:w="1109" w:type="dxa"/>
            <w:shd w:val="clear" w:color="auto" w:fill="C6EFCE"/>
            <w:noWrap/>
          </w:tcPr>
          <w:p w14:paraId="6980EBE7" w14:textId="77777777" w:rsidR="00550A54" w:rsidRPr="00BD01A2" w:rsidRDefault="00550A54">
            <w:pPr>
              <w:spacing w:after="0" w:line="240" w:lineRule="auto"/>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0</w:t>
            </w:r>
          </w:p>
        </w:tc>
        <w:tc>
          <w:tcPr>
            <w:tcW w:w="872" w:type="dxa"/>
            <w:shd w:val="clear" w:color="auto" w:fill="C6EFCE"/>
            <w:noWrap/>
          </w:tcPr>
          <w:p w14:paraId="11E6F841" w14:textId="77777777" w:rsidR="00550A54" w:rsidRPr="00BD01A2" w:rsidRDefault="00550A54">
            <w:pPr>
              <w:spacing w:after="0" w:line="240" w:lineRule="auto"/>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3 </w:t>
            </w:r>
          </w:p>
        </w:tc>
        <w:tc>
          <w:tcPr>
            <w:tcW w:w="1082" w:type="dxa"/>
            <w:shd w:val="clear" w:color="auto" w:fill="C6EFCE"/>
            <w:noWrap/>
          </w:tcPr>
          <w:p w14:paraId="64CE8856"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Q2</w:t>
            </w:r>
          </w:p>
        </w:tc>
        <w:tc>
          <w:tcPr>
            <w:tcW w:w="820" w:type="dxa"/>
            <w:shd w:val="clear" w:color="auto" w:fill="C6EFCE"/>
            <w:noWrap/>
          </w:tcPr>
          <w:p w14:paraId="62514A52"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2025</w:t>
            </w:r>
          </w:p>
        </w:tc>
        <w:tc>
          <w:tcPr>
            <w:tcW w:w="3168" w:type="dxa"/>
            <w:shd w:val="clear" w:color="auto" w:fill="C6EFCE"/>
            <w:noWrap/>
          </w:tcPr>
          <w:p w14:paraId="639D0806" w14:textId="0A3327AB"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Three ministries shall have planned and used budgets per programme by applying Institutional Strategic Planning (ISP) methodology.</w:t>
            </w:r>
            <w:r w:rsidR="00D23D91" w:rsidRPr="00BD01A2">
              <w:rPr>
                <w:rFonts w:ascii="Times New Roman" w:hAnsi="Times New Roman" w:cs="Times New Roman"/>
                <w:noProof/>
                <w:sz w:val="20"/>
                <w:szCs w:val="20"/>
                <w:lang w:val="en-GB"/>
              </w:rPr>
              <w:t xml:space="preserve"> </w:t>
            </w:r>
          </w:p>
        </w:tc>
      </w:tr>
      <w:tr w:rsidR="00550A54" w:rsidRPr="00BD01A2" w14:paraId="693EF75C" w14:textId="77777777">
        <w:trPr>
          <w:trHeight w:val="309"/>
        </w:trPr>
        <w:tc>
          <w:tcPr>
            <w:tcW w:w="822" w:type="dxa"/>
            <w:shd w:val="clear" w:color="auto" w:fill="C6EFCE"/>
            <w:noWrap/>
          </w:tcPr>
          <w:p w14:paraId="1A3211CA"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404</w:t>
            </w:r>
          </w:p>
        </w:tc>
        <w:tc>
          <w:tcPr>
            <w:tcW w:w="2166" w:type="dxa"/>
            <w:shd w:val="clear" w:color="auto" w:fill="C6EFCE"/>
            <w:noWrap/>
          </w:tcPr>
          <w:p w14:paraId="0DE1263D"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Reform 1. Enhancing the quality of government decision-making</w:t>
            </w:r>
          </w:p>
        </w:tc>
        <w:tc>
          <w:tcPr>
            <w:tcW w:w="1320" w:type="dxa"/>
            <w:shd w:val="clear" w:color="auto" w:fill="C6EFCE"/>
            <w:noWrap/>
          </w:tcPr>
          <w:p w14:paraId="118499F3" w14:textId="77777777" w:rsidR="00550A54" w:rsidRPr="00BD01A2" w:rsidRDefault="00550A54">
            <w:pPr>
              <w:spacing w:after="0" w:line="240" w:lineRule="auto"/>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2712C410"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Entry into force of a legislative act operationali-sing a structure to ensure the implementation of an effective regulatory quality control mechanism</w:t>
            </w:r>
          </w:p>
          <w:p w14:paraId="15F869EA"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eastAsia="en-GB"/>
              </w:rPr>
            </w:pPr>
          </w:p>
        </w:tc>
        <w:tc>
          <w:tcPr>
            <w:tcW w:w="1547" w:type="dxa"/>
            <w:shd w:val="clear" w:color="auto" w:fill="C6EFCE"/>
            <w:noWrap/>
          </w:tcPr>
          <w:p w14:paraId="7603F026"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Provision in a law indicating the entry into force of the law operationalising the regulatory quality control structure</w:t>
            </w:r>
          </w:p>
        </w:tc>
        <w:tc>
          <w:tcPr>
            <w:tcW w:w="1344" w:type="dxa"/>
            <w:shd w:val="clear" w:color="auto" w:fill="C6EFCE"/>
            <w:noWrap/>
          </w:tcPr>
          <w:p w14:paraId="1020E036" w14:textId="77777777" w:rsidR="00550A54" w:rsidRPr="00BD01A2" w:rsidRDefault="00550A54">
            <w:pPr>
              <w:spacing w:after="0" w:line="240" w:lineRule="auto"/>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109" w:type="dxa"/>
            <w:shd w:val="clear" w:color="auto" w:fill="C6EFCE"/>
            <w:noWrap/>
          </w:tcPr>
          <w:p w14:paraId="58463B93" w14:textId="77777777" w:rsidR="00550A54" w:rsidRPr="00BD01A2" w:rsidRDefault="00550A54">
            <w:pPr>
              <w:spacing w:after="0" w:line="240" w:lineRule="auto"/>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872" w:type="dxa"/>
            <w:shd w:val="clear" w:color="auto" w:fill="C6EFCE"/>
            <w:noWrap/>
          </w:tcPr>
          <w:p w14:paraId="19686CF1" w14:textId="77777777" w:rsidR="00550A54" w:rsidRPr="00BD01A2" w:rsidRDefault="00550A54">
            <w:pPr>
              <w:spacing w:after="0" w:line="240" w:lineRule="auto"/>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082" w:type="dxa"/>
            <w:shd w:val="clear" w:color="auto" w:fill="C6EFCE"/>
            <w:noWrap/>
          </w:tcPr>
          <w:p w14:paraId="56281AAA"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Q1</w:t>
            </w:r>
          </w:p>
        </w:tc>
        <w:tc>
          <w:tcPr>
            <w:tcW w:w="820" w:type="dxa"/>
            <w:shd w:val="clear" w:color="auto" w:fill="C6EFCE"/>
            <w:noWrap/>
          </w:tcPr>
          <w:p w14:paraId="5B93BFAD"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2022 </w:t>
            </w:r>
          </w:p>
        </w:tc>
        <w:tc>
          <w:tcPr>
            <w:tcW w:w="3168" w:type="dxa"/>
            <w:shd w:val="clear" w:color="auto" w:fill="C6EFCE"/>
            <w:noWrap/>
          </w:tcPr>
          <w:p w14:paraId="4E2D3A78"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The legislative act shall be based on the study carried out by the General Secretariat of the Government on the establishment of a quality control mechanism at the Government Centre. </w:t>
            </w:r>
          </w:p>
          <w:p w14:paraId="3828F9A4"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The new structure shall perform regulatory scrutiny of the quality of impact assessments and evaluations. It shall be composed of a board of experts supported by a technical secretariat, similar to the Regulatory Scrutiny Board that is currently active at the level of the European Commission. The legislative act shall establish the following: </w:t>
            </w:r>
          </w:p>
          <w:p w14:paraId="16FDDF93" w14:textId="77777777" w:rsidR="00550A54" w:rsidRPr="00BD01A2" w:rsidRDefault="00550A54">
            <w:pPr>
              <w:spacing w:after="0" w:line="240" w:lineRule="auto"/>
              <w:ind w:left="-21"/>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(1) selection procedure for the board experts;</w:t>
            </w:r>
          </w:p>
          <w:p w14:paraId="2476B976" w14:textId="77777777" w:rsidR="00550A54" w:rsidRPr="00BD01A2" w:rsidRDefault="00550A54">
            <w:pPr>
              <w:spacing w:after="0" w:line="240" w:lineRule="auto"/>
              <w:ind w:left="-21"/>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 rules and procedures for the board and the technical secretariat (including job descriptions);</w:t>
            </w:r>
          </w:p>
          <w:p w14:paraId="79B59A0A" w14:textId="77777777" w:rsidR="00550A54" w:rsidRPr="00BD01A2" w:rsidRDefault="00550A54">
            <w:pPr>
              <w:spacing w:after="0" w:line="240" w:lineRule="auto"/>
              <w:ind w:left="-21"/>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(3) guidelines on how to assess the quality of documents;</w:t>
            </w:r>
          </w:p>
          <w:p w14:paraId="46E357FC" w14:textId="77777777" w:rsidR="00550A54" w:rsidRPr="00BD01A2" w:rsidRDefault="00550A54">
            <w:pPr>
              <w:spacing w:after="0" w:line="240" w:lineRule="auto"/>
              <w:ind w:left="-21"/>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(4) communication strategy inside and outside Government;</w:t>
            </w:r>
          </w:p>
          <w:p w14:paraId="1AB33D2F" w14:textId="77777777" w:rsidR="00550A54" w:rsidRPr="00BD01A2" w:rsidRDefault="00550A54">
            <w:pPr>
              <w:spacing w:after="0" w:line="240" w:lineRule="auto"/>
              <w:ind w:left="-21"/>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(5) trainings.</w:t>
            </w:r>
          </w:p>
        </w:tc>
      </w:tr>
      <w:tr w:rsidR="00550A54" w:rsidRPr="00BD01A2" w14:paraId="16202870" w14:textId="77777777">
        <w:trPr>
          <w:trHeight w:val="309"/>
        </w:trPr>
        <w:tc>
          <w:tcPr>
            <w:tcW w:w="822" w:type="dxa"/>
            <w:shd w:val="clear" w:color="auto" w:fill="C6EFCE"/>
            <w:noWrap/>
          </w:tcPr>
          <w:p w14:paraId="2FA4629C"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406</w:t>
            </w:r>
          </w:p>
        </w:tc>
        <w:tc>
          <w:tcPr>
            <w:tcW w:w="2166" w:type="dxa"/>
            <w:shd w:val="clear" w:color="auto" w:fill="C6EFCE"/>
            <w:noWrap/>
          </w:tcPr>
          <w:p w14:paraId="5067BA83"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Reform 1. Enhancing the quality of government decision-making</w:t>
            </w:r>
          </w:p>
        </w:tc>
        <w:tc>
          <w:tcPr>
            <w:tcW w:w="1320" w:type="dxa"/>
            <w:shd w:val="clear" w:color="auto" w:fill="C6EFCE"/>
            <w:noWrap/>
          </w:tcPr>
          <w:p w14:paraId="366B0423"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428A96AB"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Staff of civil society organisations trained to increase the administrative capacity </w:t>
            </w:r>
          </w:p>
        </w:tc>
        <w:tc>
          <w:tcPr>
            <w:tcW w:w="1547" w:type="dxa"/>
            <w:shd w:val="clear" w:color="auto" w:fill="C6EFCE"/>
            <w:noWrap/>
          </w:tcPr>
          <w:p w14:paraId="59C303CC" w14:textId="06B58C80"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Civil society staff completed</w:t>
            </w:r>
            <w:r w:rsidR="00D23D91" w:rsidRPr="00BD01A2">
              <w:rPr>
                <w:rFonts w:ascii="Times New Roman" w:hAnsi="Times New Roman" w:cs="Times New Roman"/>
                <w:noProof/>
                <w:sz w:val="20"/>
                <w:szCs w:val="20"/>
                <w:lang w:val="en-GB"/>
              </w:rPr>
              <w:t xml:space="preserve"> </w:t>
            </w:r>
            <w:r w:rsidRPr="00BD01A2">
              <w:rPr>
                <w:rFonts w:ascii="Times New Roman" w:hAnsi="Times New Roman" w:cs="Times New Roman"/>
                <w:noProof/>
                <w:sz w:val="20"/>
                <w:szCs w:val="20"/>
                <w:lang w:val="en-GB"/>
              </w:rPr>
              <w:t xml:space="preserve">training sessions </w:t>
            </w:r>
          </w:p>
        </w:tc>
        <w:tc>
          <w:tcPr>
            <w:tcW w:w="1344" w:type="dxa"/>
            <w:shd w:val="clear" w:color="auto" w:fill="C6EFCE"/>
            <w:noWrap/>
          </w:tcPr>
          <w:p w14:paraId="2975959B" w14:textId="77777777" w:rsidR="00550A54" w:rsidRPr="00BD01A2" w:rsidRDefault="00550A54">
            <w:pPr>
              <w:spacing w:after="0" w:line="240" w:lineRule="auto"/>
              <w:rPr>
                <w:rFonts w:ascii="Times New Roman" w:eastAsia="Times New Roman" w:hAnsi="Times New Roman" w:cs="Times New Roman"/>
                <w:noProof/>
                <w:sz w:val="20"/>
                <w:szCs w:val="20"/>
                <w:lang w:val="en-GB"/>
              </w:rPr>
            </w:pPr>
          </w:p>
        </w:tc>
        <w:tc>
          <w:tcPr>
            <w:tcW w:w="1109" w:type="dxa"/>
            <w:shd w:val="clear" w:color="auto" w:fill="C6EFCE"/>
            <w:noWrap/>
          </w:tcPr>
          <w:p w14:paraId="1EF935C0" w14:textId="77777777" w:rsidR="00550A54" w:rsidRPr="00BD01A2" w:rsidRDefault="00550A54">
            <w:pPr>
              <w:spacing w:after="0" w:line="240" w:lineRule="auto"/>
              <w:rPr>
                <w:rFonts w:ascii="Times New Roman" w:eastAsia="Times New Roman" w:hAnsi="Times New Roman" w:cs="Times New Roman"/>
                <w:noProof/>
                <w:sz w:val="20"/>
                <w:szCs w:val="20"/>
                <w:lang w:val="en-GB"/>
              </w:rPr>
            </w:pPr>
          </w:p>
        </w:tc>
        <w:tc>
          <w:tcPr>
            <w:tcW w:w="872" w:type="dxa"/>
            <w:shd w:val="clear" w:color="auto" w:fill="C6EFCE"/>
            <w:noWrap/>
          </w:tcPr>
          <w:p w14:paraId="598FC371" w14:textId="77777777" w:rsidR="00550A54" w:rsidRPr="00BD01A2" w:rsidRDefault="00550A54">
            <w:pPr>
              <w:spacing w:after="0" w:line="240" w:lineRule="auto"/>
              <w:rPr>
                <w:rFonts w:ascii="Times New Roman" w:eastAsia="Times New Roman" w:hAnsi="Times New Roman" w:cs="Times New Roman"/>
                <w:noProof/>
                <w:sz w:val="20"/>
                <w:szCs w:val="20"/>
                <w:lang w:val="en-GB"/>
              </w:rPr>
            </w:pPr>
          </w:p>
        </w:tc>
        <w:tc>
          <w:tcPr>
            <w:tcW w:w="1082" w:type="dxa"/>
            <w:shd w:val="clear" w:color="auto" w:fill="C6EFCE"/>
            <w:noWrap/>
          </w:tcPr>
          <w:p w14:paraId="7B49A4D5"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Q4</w:t>
            </w:r>
          </w:p>
        </w:tc>
        <w:tc>
          <w:tcPr>
            <w:tcW w:w="820" w:type="dxa"/>
            <w:shd w:val="clear" w:color="auto" w:fill="C6EFCE"/>
            <w:noWrap/>
          </w:tcPr>
          <w:p w14:paraId="534576F7"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2025</w:t>
            </w:r>
          </w:p>
        </w:tc>
        <w:tc>
          <w:tcPr>
            <w:tcW w:w="3168" w:type="dxa"/>
            <w:shd w:val="clear" w:color="auto" w:fill="C6EFCE"/>
            <w:noWrap/>
          </w:tcPr>
          <w:p w14:paraId="2AF1B7AD"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eastAsia="en-GB"/>
              </w:rPr>
            </w:pPr>
            <w:r w:rsidRPr="00BD01A2">
              <w:rPr>
                <w:rFonts w:ascii="Times New Roman" w:eastAsia="Times New Roman" w:hAnsi="Times New Roman" w:cs="Times New Roman"/>
                <w:noProof/>
                <w:sz w:val="20"/>
                <w:szCs w:val="20"/>
                <w:lang w:val="en-GB" w:eastAsia="en-GB"/>
              </w:rPr>
              <w:t>Increased administrative capacity of civil society organizations’ staff realized through their participation at training sessions.</w:t>
            </w:r>
          </w:p>
        </w:tc>
      </w:tr>
      <w:tr w:rsidR="00550A54" w:rsidRPr="00BD01A2" w14:paraId="41C3A70D" w14:textId="77777777">
        <w:trPr>
          <w:trHeight w:val="309"/>
        </w:trPr>
        <w:tc>
          <w:tcPr>
            <w:tcW w:w="822" w:type="dxa"/>
            <w:shd w:val="clear" w:color="auto" w:fill="C6EFCE"/>
            <w:noWrap/>
          </w:tcPr>
          <w:p w14:paraId="6ABC1A31"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407</w:t>
            </w:r>
          </w:p>
        </w:tc>
        <w:tc>
          <w:tcPr>
            <w:tcW w:w="2166" w:type="dxa"/>
            <w:shd w:val="clear" w:color="auto" w:fill="C6EFCE"/>
            <w:noWrap/>
          </w:tcPr>
          <w:p w14:paraId="4D45AAE8"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Reform 1. Enhancing the quality of government decision-making</w:t>
            </w:r>
          </w:p>
        </w:tc>
        <w:tc>
          <w:tcPr>
            <w:tcW w:w="1320" w:type="dxa"/>
            <w:shd w:val="clear" w:color="auto" w:fill="C6EFCE"/>
            <w:noWrap/>
          </w:tcPr>
          <w:p w14:paraId="04BA6FB6"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p w14:paraId="7F5C3C08" w14:textId="77777777" w:rsidR="00550A54" w:rsidRPr="00BD01A2" w:rsidRDefault="00550A54">
            <w:pPr>
              <w:spacing w:after="0" w:line="240" w:lineRule="auto"/>
              <w:rPr>
                <w:rFonts w:ascii="Times New Roman" w:hAnsi="Times New Roman" w:cs="Times New Roman"/>
                <w:noProof/>
                <w:sz w:val="20"/>
                <w:szCs w:val="20"/>
                <w:lang w:val="en-GB"/>
              </w:rPr>
            </w:pPr>
          </w:p>
        </w:tc>
        <w:tc>
          <w:tcPr>
            <w:tcW w:w="1626" w:type="dxa"/>
            <w:shd w:val="clear" w:color="auto" w:fill="C6EFCE"/>
            <w:noWrap/>
          </w:tcPr>
          <w:p w14:paraId="1077F17A"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The Plan for Better Regulation 2026 – 2030</w:t>
            </w:r>
          </w:p>
          <w:p w14:paraId="64777E74" w14:textId="77777777" w:rsidR="00550A54" w:rsidRPr="00BD01A2" w:rsidRDefault="00550A54">
            <w:pPr>
              <w:spacing w:after="0" w:line="240" w:lineRule="auto"/>
              <w:rPr>
                <w:rFonts w:ascii="Times New Roman" w:hAnsi="Times New Roman" w:cs="Times New Roman"/>
                <w:noProof/>
                <w:sz w:val="20"/>
                <w:szCs w:val="20"/>
                <w:lang w:val="en-GB"/>
              </w:rPr>
            </w:pPr>
          </w:p>
        </w:tc>
        <w:tc>
          <w:tcPr>
            <w:tcW w:w="1547" w:type="dxa"/>
            <w:shd w:val="clear" w:color="auto" w:fill="C6EFCE"/>
            <w:noWrap/>
          </w:tcPr>
          <w:p w14:paraId="573B1DA1"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Adopted Plan for Better Regulation 2026–2030</w:t>
            </w:r>
          </w:p>
        </w:tc>
        <w:tc>
          <w:tcPr>
            <w:tcW w:w="1344" w:type="dxa"/>
            <w:shd w:val="clear" w:color="auto" w:fill="C6EFCE"/>
            <w:noWrap/>
          </w:tcPr>
          <w:p w14:paraId="11EC7C23" w14:textId="77777777" w:rsidR="00550A54" w:rsidRPr="00BD01A2" w:rsidRDefault="00550A54">
            <w:pPr>
              <w:spacing w:after="0" w:line="240" w:lineRule="auto"/>
              <w:rPr>
                <w:rFonts w:ascii="Times New Roman" w:eastAsia="Times New Roman" w:hAnsi="Times New Roman" w:cs="Times New Roman"/>
                <w:noProof/>
                <w:sz w:val="20"/>
                <w:szCs w:val="20"/>
                <w:lang w:val="en-GB"/>
              </w:rPr>
            </w:pPr>
          </w:p>
        </w:tc>
        <w:tc>
          <w:tcPr>
            <w:tcW w:w="1109" w:type="dxa"/>
            <w:shd w:val="clear" w:color="auto" w:fill="C6EFCE"/>
            <w:noWrap/>
          </w:tcPr>
          <w:p w14:paraId="38630B9B" w14:textId="77777777" w:rsidR="00550A54" w:rsidRPr="00BD01A2" w:rsidRDefault="00550A54">
            <w:pPr>
              <w:spacing w:after="0" w:line="240" w:lineRule="auto"/>
              <w:rPr>
                <w:rFonts w:ascii="Times New Roman" w:eastAsia="Times New Roman" w:hAnsi="Times New Roman" w:cs="Times New Roman"/>
                <w:noProof/>
                <w:sz w:val="20"/>
                <w:szCs w:val="20"/>
                <w:lang w:val="en-GB"/>
              </w:rPr>
            </w:pPr>
          </w:p>
        </w:tc>
        <w:tc>
          <w:tcPr>
            <w:tcW w:w="872" w:type="dxa"/>
            <w:shd w:val="clear" w:color="auto" w:fill="C6EFCE"/>
            <w:noWrap/>
          </w:tcPr>
          <w:p w14:paraId="4AC0F853" w14:textId="77777777" w:rsidR="00550A54" w:rsidRPr="00BD01A2" w:rsidRDefault="00550A54">
            <w:pPr>
              <w:spacing w:after="0" w:line="240" w:lineRule="auto"/>
              <w:jc w:val="both"/>
              <w:rPr>
                <w:rFonts w:ascii="Times New Roman" w:hAnsi="Times New Roman" w:cs="Times New Roman"/>
                <w:noProof/>
                <w:sz w:val="20"/>
                <w:szCs w:val="20"/>
                <w:lang w:val="en-GB"/>
              </w:rPr>
            </w:pPr>
          </w:p>
        </w:tc>
        <w:tc>
          <w:tcPr>
            <w:tcW w:w="1082" w:type="dxa"/>
            <w:shd w:val="clear" w:color="auto" w:fill="C6EFCE"/>
            <w:noWrap/>
          </w:tcPr>
          <w:p w14:paraId="680358C6"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Q2</w:t>
            </w:r>
          </w:p>
          <w:p w14:paraId="63718EDA" w14:textId="77777777" w:rsidR="00550A54" w:rsidRPr="00BD01A2" w:rsidRDefault="00550A54">
            <w:pPr>
              <w:spacing w:after="0" w:line="240" w:lineRule="auto"/>
              <w:jc w:val="center"/>
              <w:rPr>
                <w:rFonts w:ascii="Times New Roman" w:hAnsi="Times New Roman" w:cs="Times New Roman"/>
                <w:noProof/>
                <w:sz w:val="20"/>
                <w:szCs w:val="20"/>
                <w:lang w:val="en-GB"/>
              </w:rPr>
            </w:pPr>
          </w:p>
        </w:tc>
        <w:tc>
          <w:tcPr>
            <w:tcW w:w="820" w:type="dxa"/>
            <w:shd w:val="clear" w:color="auto" w:fill="C6EFCE"/>
            <w:noWrap/>
          </w:tcPr>
          <w:p w14:paraId="168222C1"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2026</w:t>
            </w:r>
          </w:p>
          <w:p w14:paraId="197C0CA0" w14:textId="77777777" w:rsidR="00550A54" w:rsidRPr="00BD01A2" w:rsidRDefault="00550A54">
            <w:pPr>
              <w:spacing w:after="0" w:line="240" w:lineRule="auto"/>
              <w:jc w:val="center"/>
              <w:rPr>
                <w:rFonts w:ascii="Times New Roman" w:hAnsi="Times New Roman" w:cs="Times New Roman"/>
                <w:noProof/>
                <w:sz w:val="20"/>
                <w:szCs w:val="20"/>
                <w:lang w:val="en-GB"/>
              </w:rPr>
            </w:pPr>
          </w:p>
        </w:tc>
        <w:tc>
          <w:tcPr>
            <w:tcW w:w="3168" w:type="dxa"/>
            <w:shd w:val="clear" w:color="auto" w:fill="C6EFCE"/>
            <w:noWrap/>
          </w:tcPr>
          <w:p w14:paraId="46FD06AE" w14:textId="77777777" w:rsidR="00550A54" w:rsidRPr="00BD01A2" w:rsidRDefault="00550A54">
            <w:pPr>
              <w:spacing w:after="0" w:line="240" w:lineRule="auto"/>
              <w:rPr>
                <w:rFonts w:ascii="Times New Roman" w:eastAsia="Times New Roman" w:hAnsi="Times New Roman" w:cs="Times New Roman"/>
                <w:noProof/>
                <w:sz w:val="20"/>
                <w:szCs w:val="20"/>
              </w:rPr>
            </w:pPr>
            <w:r w:rsidRPr="00BD01A2">
              <w:rPr>
                <w:rFonts w:ascii="Times New Roman" w:eastAsia="Times New Roman" w:hAnsi="Times New Roman" w:cs="Times New Roman"/>
                <w:noProof/>
                <w:sz w:val="20"/>
                <w:szCs w:val="20"/>
              </w:rPr>
              <w:t xml:space="preserve">Adopted Plan for Better Regulation 2026 – 2030 for public policy planning. At a minimum, the adopted Better Regulation Plan 2026-2030 must integrate the framework for the functioning of the Government Annual Work Plan (PALG), including the way in which planned legislative initiatives, with related deadlines, are published and accessible through the existing IT platform </w:t>
            </w:r>
            <w:hyperlink r:id="rId328">
              <w:r w:rsidRPr="00BD01A2">
                <w:rPr>
                  <w:rFonts w:ascii="Times New Roman" w:eastAsia="Times New Roman" w:hAnsi="Times New Roman" w:cs="Times New Roman"/>
                  <w:noProof/>
                  <w:sz w:val="20"/>
                  <w:szCs w:val="20"/>
                </w:rPr>
                <w:t>www.e-consultare.gov.ro</w:t>
              </w:r>
            </w:hyperlink>
            <w:r w:rsidRPr="00BD01A2">
              <w:rPr>
                <w:rFonts w:ascii="Times New Roman" w:eastAsia="Times New Roman" w:hAnsi="Times New Roman" w:cs="Times New Roman"/>
                <w:noProof/>
                <w:sz w:val="20"/>
                <w:szCs w:val="20"/>
              </w:rPr>
              <w:t>.</w:t>
            </w:r>
          </w:p>
          <w:p w14:paraId="73F60FA8"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eastAsia="Segoe UI" w:hAnsi="Times New Roman" w:cs="Times New Roman"/>
                <w:noProof/>
                <w:sz w:val="20"/>
                <w:szCs w:val="20"/>
                <w:lang w:val="en-GB"/>
              </w:rPr>
              <w:t xml:space="preserve"> </w:t>
            </w:r>
          </w:p>
        </w:tc>
      </w:tr>
      <w:tr w:rsidR="00550A54" w:rsidRPr="00BD01A2" w14:paraId="465BCDCE" w14:textId="77777777">
        <w:trPr>
          <w:trHeight w:val="309"/>
        </w:trPr>
        <w:tc>
          <w:tcPr>
            <w:tcW w:w="822" w:type="dxa"/>
            <w:shd w:val="clear" w:color="auto" w:fill="C6EFCE"/>
            <w:noWrap/>
          </w:tcPr>
          <w:p w14:paraId="09EC83DB"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410</w:t>
            </w:r>
          </w:p>
        </w:tc>
        <w:tc>
          <w:tcPr>
            <w:tcW w:w="2166" w:type="dxa"/>
            <w:shd w:val="clear" w:color="auto" w:fill="C6EFCE"/>
            <w:noWrap/>
          </w:tcPr>
          <w:p w14:paraId="518B0BC6"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Reform 1. Enhancing the quality of government decision-making</w:t>
            </w:r>
          </w:p>
        </w:tc>
        <w:tc>
          <w:tcPr>
            <w:tcW w:w="1320" w:type="dxa"/>
            <w:shd w:val="clear" w:color="auto" w:fill="C6EFCE"/>
            <w:noWrap/>
          </w:tcPr>
          <w:p w14:paraId="5E4F9301"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2DC772AB" w14:textId="77777777" w:rsidR="00550A54" w:rsidRPr="00BD01A2" w:rsidRDefault="00550A54">
            <w:pPr>
              <w:spacing w:after="0" w:line="240" w:lineRule="auto"/>
              <w:jc w:val="both"/>
              <w:rPr>
                <w:rFonts w:ascii="Times New Roman" w:hAnsi="Times New Roman" w:cs="Times New Roman"/>
                <w:noProof/>
                <w:sz w:val="20"/>
                <w:szCs w:val="20"/>
                <w:lang w:val="en-GB"/>
              </w:rPr>
            </w:pPr>
            <w:bookmarkStart w:id="28" w:name="_Hlk80360690"/>
            <w:r w:rsidRPr="00BD01A2">
              <w:rPr>
                <w:rFonts w:ascii="Times New Roman" w:hAnsi="Times New Roman" w:cs="Times New Roman"/>
                <w:noProof/>
                <w:sz w:val="20"/>
                <w:szCs w:val="20"/>
                <w:lang w:val="en-GB"/>
              </w:rPr>
              <w:t>Entry into force of guidelines for appropriate use and enforcement of the Single Register of Interest Transparency (RUTI)</w:t>
            </w:r>
            <w:bookmarkEnd w:id="28"/>
          </w:p>
        </w:tc>
        <w:tc>
          <w:tcPr>
            <w:tcW w:w="1547" w:type="dxa"/>
            <w:shd w:val="clear" w:color="auto" w:fill="C6EFCE"/>
            <w:noWrap/>
          </w:tcPr>
          <w:p w14:paraId="5786D3C6"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Provision in the guidelines indicating the entry into force of the guidelines for the use and enforcement of RUTI</w:t>
            </w:r>
          </w:p>
        </w:tc>
        <w:tc>
          <w:tcPr>
            <w:tcW w:w="1344" w:type="dxa"/>
            <w:shd w:val="clear" w:color="auto" w:fill="C6EFCE"/>
            <w:noWrap/>
          </w:tcPr>
          <w:p w14:paraId="6A7741F9" w14:textId="77777777" w:rsidR="00550A54" w:rsidRPr="00BD01A2" w:rsidRDefault="00550A54">
            <w:pPr>
              <w:spacing w:after="0" w:line="240" w:lineRule="auto"/>
              <w:rPr>
                <w:rFonts w:ascii="Times New Roman" w:hAnsi="Times New Roman" w:cs="Times New Roman"/>
                <w:noProof/>
                <w:sz w:val="20"/>
                <w:szCs w:val="20"/>
                <w:lang w:val="en-GB"/>
              </w:rPr>
            </w:pPr>
          </w:p>
        </w:tc>
        <w:tc>
          <w:tcPr>
            <w:tcW w:w="1109" w:type="dxa"/>
            <w:shd w:val="clear" w:color="auto" w:fill="C6EFCE"/>
            <w:noWrap/>
          </w:tcPr>
          <w:p w14:paraId="7C2ACEA3" w14:textId="77777777" w:rsidR="00550A54" w:rsidRPr="00BD01A2" w:rsidRDefault="00550A54">
            <w:pPr>
              <w:spacing w:after="0" w:line="240" w:lineRule="auto"/>
              <w:rPr>
                <w:rFonts w:ascii="Times New Roman" w:hAnsi="Times New Roman" w:cs="Times New Roman"/>
                <w:noProof/>
                <w:sz w:val="20"/>
                <w:szCs w:val="20"/>
                <w:lang w:val="en-GB"/>
              </w:rPr>
            </w:pPr>
          </w:p>
        </w:tc>
        <w:tc>
          <w:tcPr>
            <w:tcW w:w="872" w:type="dxa"/>
            <w:shd w:val="clear" w:color="auto" w:fill="C6EFCE"/>
            <w:noWrap/>
          </w:tcPr>
          <w:p w14:paraId="1146339C"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4D36ACD5"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Q3</w:t>
            </w:r>
          </w:p>
        </w:tc>
        <w:tc>
          <w:tcPr>
            <w:tcW w:w="820" w:type="dxa"/>
            <w:shd w:val="clear" w:color="auto" w:fill="C6EFCE"/>
            <w:noWrap/>
          </w:tcPr>
          <w:p w14:paraId="459133F5"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2022</w:t>
            </w:r>
          </w:p>
        </w:tc>
        <w:tc>
          <w:tcPr>
            <w:tcW w:w="3168" w:type="dxa"/>
            <w:shd w:val="clear" w:color="auto" w:fill="C6EFCE"/>
            <w:noWrap/>
          </w:tcPr>
          <w:p w14:paraId="6E8309E7"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The guidelines and associated procedures shall properly implement the public register created by the Government in 2016 that lists meetings of (government) decision-makers with interest representatives, and also serves as a voluntary register for interest groups. </w:t>
            </w:r>
          </w:p>
          <w:p w14:paraId="341FE332" w14:textId="77777777" w:rsidR="00550A54" w:rsidRPr="00BD01A2" w:rsidRDefault="00550A54">
            <w:pPr>
              <w:spacing w:after="0" w:line="240" w:lineRule="auto"/>
              <w:rPr>
                <w:rFonts w:ascii="Times New Roman" w:hAnsi="Times New Roman" w:cs="Times New Roman"/>
                <w:noProof/>
                <w:sz w:val="20"/>
                <w:szCs w:val="20"/>
                <w:lang w:val="en-GB"/>
              </w:rPr>
            </w:pPr>
          </w:p>
        </w:tc>
      </w:tr>
      <w:tr w:rsidR="00550A54" w:rsidRPr="00BD01A2" w14:paraId="64AAD51E" w14:textId="77777777">
        <w:trPr>
          <w:trHeight w:val="309"/>
        </w:trPr>
        <w:tc>
          <w:tcPr>
            <w:tcW w:w="822" w:type="dxa"/>
            <w:shd w:val="clear" w:color="auto" w:fill="C6EFCE"/>
            <w:noWrap/>
          </w:tcPr>
          <w:p w14:paraId="4AF32D1B"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411</w:t>
            </w:r>
          </w:p>
        </w:tc>
        <w:tc>
          <w:tcPr>
            <w:tcW w:w="2166" w:type="dxa"/>
            <w:shd w:val="clear" w:color="auto" w:fill="C6EFCE"/>
            <w:noWrap/>
          </w:tcPr>
          <w:p w14:paraId="6E163368"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Reform 1. Enhancing the quality of government decision-making</w:t>
            </w:r>
          </w:p>
          <w:p w14:paraId="64BF0B60" w14:textId="77777777" w:rsidR="00550A54" w:rsidRPr="00BD01A2" w:rsidRDefault="00550A54">
            <w:pPr>
              <w:spacing w:after="0" w:line="240" w:lineRule="auto"/>
              <w:jc w:val="both"/>
              <w:rPr>
                <w:rFonts w:ascii="Times New Roman" w:hAnsi="Times New Roman" w:cs="Times New Roman"/>
                <w:noProof/>
                <w:sz w:val="20"/>
                <w:szCs w:val="20"/>
                <w:lang w:val="en-GB"/>
              </w:rPr>
            </w:pPr>
          </w:p>
          <w:p w14:paraId="10243F9D" w14:textId="77777777" w:rsidR="00550A54" w:rsidRPr="00BD01A2" w:rsidRDefault="00550A54">
            <w:pPr>
              <w:spacing w:after="0" w:line="240" w:lineRule="auto"/>
              <w:jc w:val="both"/>
              <w:rPr>
                <w:rFonts w:ascii="Times New Roman" w:hAnsi="Times New Roman" w:cs="Times New Roman"/>
                <w:noProof/>
                <w:sz w:val="20"/>
                <w:szCs w:val="20"/>
                <w:lang w:val="en-GB"/>
              </w:rPr>
            </w:pPr>
          </w:p>
        </w:tc>
        <w:tc>
          <w:tcPr>
            <w:tcW w:w="1320" w:type="dxa"/>
            <w:shd w:val="clear" w:color="auto" w:fill="C6EFCE"/>
            <w:noWrap/>
          </w:tcPr>
          <w:p w14:paraId="59A9266D"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49340CDF" w14:textId="77777777" w:rsidR="00550A54" w:rsidRPr="00BD01A2" w:rsidRDefault="00550A54">
            <w:pPr>
              <w:spacing w:after="0" w:line="240" w:lineRule="auto"/>
              <w:jc w:val="both"/>
              <w:rPr>
                <w:rFonts w:ascii="Times New Roman" w:hAnsi="Times New Roman" w:cs="Times New Roman"/>
                <w:noProof/>
                <w:sz w:val="20"/>
                <w:szCs w:val="20"/>
                <w:lang w:val="en-GB"/>
              </w:rPr>
            </w:pPr>
            <w:bookmarkStart w:id="29" w:name="_Hlk80360706"/>
            <w:r w:rsidRPr="00BD01A2">
              <w:rPr>
                <w:rFonts w:ascii="Times New Roman" w:hAnsi="Times New Roman" w:cs="Times New Roman"/>
                <w:noProof/>
                <w:sz w:val="20"/>
                <w:szCs w:val="20"/>
                <w:lang w:val="en-GB"/>
              </w:rPr>
              <w:t>Entry into force of the Methodology for the use of Emergency Ordinances</w:t>
            </w:r>
            <w:bookmarkEnd w:id="29"/>
          </w:p>
        </w:tc>
        <w:tc>
          <w:tcPr>
            <w:tcW w:w="1547" w:type="dxa"/>
            <w:shd w:val="clear" w:color="auto" w:fill="C6EFCE"/>
            <w:noWrap/>
          </w:tcPr>
          <w:p w14:paraId="6CDEA8B7"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Provision in the Government Decision indicating entry into force of the methodology for the use of Emergency Ordinances </w:t>
            </w:r>
          </w:p>
        </w:tc>
        <w:tc>
          <w:tcPr>
            <w:tcW w:w="1344" w:type="dxa"/>
            <w:shd w:val="clear" w:color="auto" w:fill="C6EFCE"/>
            <w:noWrap/>
          </w:tcPr>
          <w:p w14:paraId="34FB6F4A" w14:textId="77777777" w:rsidR="00550A54" w:rsidRPr="00BD01A2" w:rsidRDefault="00550A54">
            <w:pPr>
              <w:spacing w:after="0" w:line="240" w:lineRule="auto"/>
              <w:rPr>
                <w:rFonts w:ascii="Times New Roman" w:hAnsi="Times New Roman" w:cs="Times New Roman"/>
                <w:noProof/>
                <w:sz w:val="20"/>
                <w:szCs w:val="20"/>
                <w:lang w:val="en-GB"/>
              </w:rPr>
            </w:pPr>
          </w:p>
        </w:tc>
        <w:tc>
          <w:tcPr>
            <w:tcW w:w="1109" w:type="dxa"/>
            <w:shd w:val="clear" w:color="auto" w:fill="C6EFCE"/>
            <w:noWrap/>
          </w:tcPr>
          <w:p w14:paraId="2CE938A2" w14:textId="77777777" w:rsidR="00550A54" w:rsidRPr="00BD01A2" w:rsidRDefault="00550A54">
            <w:pPr>
              <w:spacing w:after="0" w:line="240" w:lineRule="auto"/>
              <w:rPr>
                <w:rFonts w:ascii="Times New Roman" w:hAnsi="Times New Roman" w:cs="Times New Roman"/>
                <w:noProof/>
                <w:sz w:val="20"/>
                <w:szCs w:val="20"/>
                <w:lang w:val="en-GB"/>
              </w:rPr>
            </w:pPr>
          </w:p>
        </w:tc>
        <w:tc>
          <w:tcPr>
            <w:tcW w:w="872" w:type="dxa"/>
            <w:shd w:val="clear" w:color="auto" w:fill="C6EFCE"/>
            <w:noWrap/>
          </w:tcPr>
          <w:p w14:paraId="0A2E7506"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334C1650"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Q3</w:t>
            </w:r>
          </w:p>
        </w:tc>
        <w:tc>
          <w:tcPr>
            <w:tcW w:w="820" w:type="dxa"/>
            <w:shd w:val="clear" w:color="auto" w:fill="C6EFCE"/>
            <w:noWrap/>
          </w:tcPr>
          <w:p w14:paraId="0900B835"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2022</w:t>
            </w:r>
          </w:p>
        </w:tc>
        <w:tc>
          <w:tcPr>
            <w:tcW w:w="3168" w:type="dxa"/>
            <w:shd w:val="clear" w:color="auto" w:fill="C6EFCE"/>
            <w:noWrap/>
          </w:tcPr>
          <w:p w14:paraId="7BA7851E"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The Government Decision on the Methodology for the use of Emergency Ordinances (Eos) shall specify the circumstances under which these ordonnances may be used and how their impact shall be assessed (ex post, ex ante) as well as the associated procedures for their preparation and approval and the role of Government Secretariat General and Ministry of Justice for ensuring gatekeeping and overall quality control. </w:t>
            </w:r>
          </w:p>
        </w:tc>
      </w:tr>
      <w:tr w:rsidR="00550A54" w:rsidRPr="00BD01A2" w14:paraId="0C564257" w14:textId="77777777">
        <w:trPr>
          <w:trHeight w:val="309"/>
        </w:trPr>
        <w:tc>
          <w:tcPr>
            <w:tcW w:w="822" w:type="dxa"/>
            <w:shd w:val="clear" w:color="auto" w:fill="C6EFCE"/>
            <w:noWrap/>
          </w:tcPr>
          <w:p w14:paraId="08BEDE9B"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412</w:t>
            </w:r>
          </w:p>
        </w:tc>
        <w:tc>
          <w:tcPr>
            <w:tcW w:w="2166" w:type="dxa"/>
            <w:shd w:val="clear" w:color="auto" w:fill="C6EFCE"/>
            <w:noWrap/>
          </w:tcPr>
          <w:p w14:paraId="1D6E99B5"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Reform 1. Enhancing the quality of government decision-making</w:t>
            </w:r>
          </w:p>
        </w:tc>
        <w:tc>
          <w:tcPr>
            <w:tcW w:w="1320" w:type="dxa"/>
            <w:shd w:val="clear" w:color="auto" w:fill="C6EFCE"/>
            <w:noWrap/>
          </w:tcPr>
          <w:p w14:paraId="370B6D7A"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4C73A80D" w14:textId="77777777" w:rsidR="00550A54" w:rsidRPr="00BD01A2" w:rsidRDefault="00550A54">
            <w:pPr>
              <w:spacing w:after="0" w:line="240" w:lineRule="auto"/>
              <w:jc w:val="both"/>
              <w:rPr>
                <w:rFonts w:ascii="Times New Roman" w:hAnsi="Times New Roman" w:cs="Times New Roman"/>
                <w:noProof/>
                <w:sz w:val="20"/>
                <w:szCs w:val="20"/>
                <w:lang w:val="en-GB"/>
              </w:rPr>
            </w:pPr>
            <w:bookmarkStart w:id="30" w:name="_Hlk80360715"/>
            <w:r w:rsidRPr="00BD01A2">
              <w:rPr>
                <w:rFonts w:ascii="Times New Roman" w:hAnsi="Times New Roman" w:cs="Times New Roman"/>
                <w:noProof/>
                <w:sz w:val="20"/>
                <w:szCs w:val="20"/>
                <w:lang w:val="en-GB"/>
              </w:rPr>
              <w:t>Entry into force of the legislative amendments to ensure publication of the full text of the laws after amendments</w:t>
            </w:r>
            <w:bookmarkEnd w:id="30"/>
          </w:p>
        </w:tc>
        <w:tc>
          <w:tcPr>
            <w:tcW w:w="1547" w:type="dxa"/>
            <w:shd w:val="clear" w:color="auto" w:fill="C6EFCE"/>
            <w:noWrap/>
          </w:tcPr>
          <w:p w14:paraId="0C02E68C"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Provision in the law indicating the entry into force of the law for the publication of the full text of the laws after amendments</w:t>
            </w:r>
          </w:p>
        </w:tc>
        <w:tc>
          <w:tcPr>
            <w:tcW w:w="1344" w:type="dxa"/>
            <w:shd w:val="clear" w:color="auto" w:fill="C6EFCE"/>
            <w:noWrap/>
          </w:tcPr>
          <w:p w14:paraId="66534AF2" w14:textId="77777777" w:rsidR="00550A54" w:rsidRPr="00BD01A2" w:rsidRDefault="00550A54">
            <w:pPr>
              <w:spacing w:after="0" w:line="240" w:lineRule="auto"/>
              <w:rPr>
                <w:rFonts w:ascii="Times New Roman" w:hAnsi="Times New Roman" w:cs="Times New Roman"/>
                <w:noProof/>
                <w:sz w:val="20"/>
                <w:szCs w:val="20"/>
                <w:lang w:val="en-GB"/>
              </w:rPr>
            </w:pPr>
          </w:p>
        </w:tc>
        <w:tc>
          <w:tcPr>
            <w:tcW w:w="1109" w:type="dxa"/>
            <w:shd w:val="clear" w:color="auto" w:fill="C6EFCE"/>
            <w:noWrap/>
          </w:tcPr>
          <w:p w14:paraId="246F07B3" w14:textId="77777777" w:rsidR="00550A54" w:rsidRPr="00BD01A2" w:rsidRDefault="00550A54">
            <w:pPr>
              <w:spacing w:after="0" w:line="240" w:lineRule="auto"/>
              <w:rPr>
                <w:rFonts w:ascii="Times New Roman" w:hAnsi="Times New Roman" w:cs="Times New Roman"/>
                <w:noProof/>
                <w:sz w:val="20"/>
                <w:szCs w:val="20"/>
                <w:lang w:val="en-GB"/>
              </w:rPr>
            </w:pPr>
          </w:p>
        </w:tc>
        <w:tc>
          <w:tcPr>
            <w:tcW w:w="872" w:type="dxa"/>
            <w:shd w:val="clear" w:color="auto" w:fill="C6EFCE"/>
            <w:noWrap/>
          </w:tcPr>
          <w:p w14:paraId="52871313"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22F3B0D2"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Q3</w:t>
            </w:r>
          </w:p>
        </w:tc>
        <w:tc>
          <w:tcPr>
            <w:tcW w:w="820" w:type="dxa"/>
            <w:shd w:val="clear" w:color="auto" w:fill="C6EFCE"/>
            <w:noWrap/>
          </w:tcPr>
          <w:p w14:paraId="79D337DC"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2022</w:t>
            </w:r>
          </w:p>
        </w:tc>
        <w:tc>
          <w:tcPr>
            <w:tcW w:w="3168" w:type="dxa"/>
            <w:shd w:val="clear" w:color="auto" w:fill="C6EFCE"/>
            <w:noWrap/>
          </w:tcPr>
          <w:p w14:paraId="3712EF61"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The amendments to Law 24/2000 on legislative technique shall ensure publication of the full text of the law after amendments have been made to it, which currently in not being done systematically. </w:t>
            </w:r>
          </w:p>
          <w:p w14:paraId="6C762AD6" w14:textId="77777777" w:rsidR="00550A54" w:rsidRPr="00BD01A2" w:rsidRDefault="00550A54">
            <w:pPr>
              <w:spacing w:after="0" w:line="240" w:lineRule="auto"/>
              <w:rPr>
                <w:rFonts w:ascii="Times New Roman" w:hAnsi="Times New Roman" w:cs="Times New Roman"/>
                <w:noProof/>
                <w:sz w:val="20"/>
                <w:szCs w:val="20"/>
                <w:lang w:val="en-GB"/>
              </w:rPr>
            </w:pPr>
          </w:p>
        </w:tc>
      </w:tr>
      <w:tr w:rsidR="00550A54" w:rsidRPr="00BD01A2" w14:paraId="0A30124B" w14:textId="77777777">
        <w:trPr>
          <w:trHeight w:val="309"/>
        </w:trPr>
        <w:tc>
          <w:tcPr>
            <w:tcW w:w="822" w:type="dxa"/>
            <w:shd w:val="clear" w:color="auto" w:fill="C6EFCE"/>
            <w:noWrap/>
          </w:tcPr>
          <w:p w14:paraId="643BBAFA"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413</w:t>
            </w:r>
          </w:p>
        </w:tc>
        <w:tc>
          <w:tcPr>
            <w:tcW w:w="2166" w:type="dxa"/>
            <w:shd w:val="clear" w:color="auto" w:fill="C6EFCE"/>
            <w:noWrap/>
          </w:tcPr>
          <w:p w14:paraId="6280EB93"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Reform 2. Strengthening strategic governance for climate and sustainable development and environmental policies</w:t>
            </w:r>
          </w:p>
        </w:tc>
        <w:tc>
          <w:tcPr>
            <w:tcW w:w="1320" w:type="dxa"/>
            <w:shd w:val="clear" w:color="auto" w:fill="C6EFCE"/>
            <w:noWrap/>
          </w:tcPr>
          <w:p w14:paraId="06DA4FAE"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Milestone </w:t>
            </w:r>
          </w:p>
        </w:tc>
        <w:tc>
          <w:tcPr>
            <w:tcW w:w="1626" w:type="dxa"/>
            <w:shd w:val="clear" w:color="auto" w:fill="C6EFCE"/>
            <w:noWrap/>
          </w:tcPr>
          <w:p w14:paraId="002F818F"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Operationali-sation of an Inter-Institutional Climate Committee </w:t>
            </w:r>
          </w:p>
        </w:tc>
        <w:tc>
          <w:tcPr>
            <w:tcW w:w="1547" w:type="dxa"/>
            <w:shd w:val="clear" w:color="auto" w:fill="C6EFCE"/>
            <w:noWrap/>
          </w:tcPr>
          <w:p w14:paraId="3989F908"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Inter-Institutional Climate Committee operationa-lised</w:t>
            </w:r>
          </w:p>
        </w:tc>
        <w:tc>
          <w:tcPr>
            <w:tcW w:w="1344" w:type="dxa"/>
            <w:shd w:val="clear" w:color="auto" w:fill="C6EFCE"/>
            <w:noWrap/>
          </w:tcPr>
          <w:p w14:paraId="7D237694"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109" w:type="dxa"/>
            <w:shd w:val="clear" w:color="auto" w:fill="C6EFCE"/>
            <w:noWrap/>
          </w:tcPr>
          <w:p w14:paraId="54890FB7" w14:textId="77777777" w:rsidR="00550A54" w:rsidRPr="00BD01A2" w:rsidRDefault="00550A54">
            <w:pPr>
              <w:spacing w:after="0" w:line="240" w:lineRule="auto"/>
              <w:rPr>
                <w:rFonts w:ascii="Times New Roman" w:hAnsi="Times New Roman" w:cs="Times New Roman"/>
                <w:noProof/>
                <w:sz w:val="20"/>
                <w:szCs w:val="20"/>
                <w:lang w:val="en-GB"/>
              </w:rPr>
            </w:pPr>
          </w:p>
        </w:tc>
        <w:tc>
          <w:tcPr>
            <w:tcW w:w="872" w:type="dxa"/>
            <w:shd w:val="clear" w:color="auto" w:fill="C6EFCE"/>
            <w:noWrap/>
          </w:tcPr>
          <w:p w14:paraId="292CB460"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331098FF"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Q2</w:t>
            </w:r>
          </w:p>
        </w:tc>
        <w:tc>
          <w:tcPr>
            <w:tcW w:w="820" w:type="dxa"/>
            <w:shd w:val="clear" w:color="auto" w:fill="C6EFCE"/>
            <w:noWrap/>
          </w:tcPr>
          <w:p w14:paraId="1ECA4B7A"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2022</w:t>
            </w:r>
          </w:p>
        </w:tc>
        <w:tc>
          <w:tcPr>
            <w:tcW w:w="3168" w:type="dxa"/>
            <w:shd w:val="clear" w:color="auto" w:fill="C6EFCE"/>
            <w:noWrap/>
          </w:tcPr>
          <w:p w14:paraId="51BE3CD2"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The Climate Change Committee shall focus, according to its proposed mandate, on (i) establishing annual priority policies in the field of climate change in line with the objectives of the European Green Deal and the timetable assumed by Romania through the National Integrated Plan in Energy and Climate Change (PNIESC), (ii) coordination, monitoring and evaluation of the authorities’ responsible for the implementation of policies and measures in PNIESC activities, (iii) approval of the indicators for measuring Romania’s climate commitments. The priorities for the Committee shall be set and decided in its meetings, and these may be of legislative, financial or fiscal nature, related to development of public policies for green investments, or setting the methodological or administrative framework. The priorities shall be formally approved annually by the Government and an Action Plan shall be adopted on the steps to achieve each proposed priority, clear deadlines for delivery for each step and the responsible institutions. </w:t>
            </w:r>
          </w:p>
        </w:tc>
      </w:tr>
      <w:tr w:rsidR="00550A54" w:rsidRPr="00BD01A2" w14:paraId="1E602EFC" w14:textId="77777777">
        <w:trPr>
          <w:trHeight w:val="309"/>
        </w:trPr>
        <w:tc>
          <w:tcPr>
            <w:tcW w:w="822" w:type="dxa"/>
            <w:shd w:val="clear" w:color="auto" w:fill="C6EFCE"/>
            <w:noWrap/>
          </w:tcPr>
          <w:p w14:paraId="713A7E17"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415</w:t>
            </w:r>
          </w:p>
        </w:tc>
        <w:tc>
          <w:tcPr>
            <w:tcW w:w="2166" w:type="dxa"/>
            <w:shd w:val="clear" w:color="auto" w:fill="C6EFCE"/>
            <w:noWrap/>
          </w:tcPr>
          <w:p w14:paraId="6C04370F"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Reform 2. Strengthening strategic governance for climate and sustainable development and environmental policies </w:t>
            </w:r>
          </w:p>
        </w:tc>
        <w:tc>
          <w:tcPr>
            <w:tcW w:w="1320" w:type="dxa"/>
            <w:shd w:val="clear" w:color="auto" w:fill="C6EFCE"/>
            <w:noWrap/>
          </w:tcPr>
          <w:p w14:paraId="78C11A48"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231A2249" w14:textId="77777777" w:rsidR="00550A54" w:rsidRPr="00BD01A2" w:rsidRDefault="00550A54">
            <w:pPr>
              <w:spacing w:after="180" w:line="240" w:lineRule="auto"/>
              <w:rPr>
                <w:rFonts w:ascii="Times New Roman" w:hAnsi="Times New Roman" w:cs="Times New Roman"/>
                <w:noProof/>
                <w:sz w:val="20"/>
                <w:szCs w:val="20"/>
                <w:lang w:val="en-GB"/>
              </w:rPr>
            </w:pPr>
            <w:r w:rsidRPr="00BD01A2">
              <w:rPr>
                <w:rFonts w:ascii="Times New Roman" w:eastAsia="Times New Roman" w:hAnsi="Times New Roman" w:cs="Times New Roman"/>
                <w:noProof/>
                <w:sz w:val="20"/>
                <w:szCs w:val="20"/>
                <w:lang w:val="en-GB"/>
              </w:rPr>
              <w:t>Sustainable development expert role established and training programme prepared</w:t>
            </w:r>
            <w:r w:rsidRPr="00BD01A2">
              <w:rPr>
                <w:rFonts w:ascii="Times New Roman" w:hAnsi="Times New Roman" w:cs="Times New Roman"/>
                <w:noProof/>
                <w:sz w:val="20"/>
                <w:szCs w:val="20"/>
                <w:lang w:val="en-GB"/>
              </w:rPr>
              <w:t xml:space="preserve"> </w:t>
            </w:r>
          </w:p>
          <w:p w14:paraId="3CA2142D" w14:textId="77777777" w:rsidR="00550A54" w:rsidRPr="00BD01A2" w:rsidRDefault="00550A54">
            <w:pPr>
              <w:spacing w:after="0" w:line="240" w:lineRule="auto"/>
              <w:jc w:val="both"/>
              <w:rPr>
                <w:rFonts w:ascii="Times New Roman" w:hAnsi="Times New Roman" w:cs="Times New Roman"/>
                <w:noProof/>
                <w:sz w:val="20"/>
                <w:szCs w:val="20"/>
                <w:lang w:val="en-GB"/>
              </w:rPr>
            </w:pPr>
          </w:p>
        </w:tc>
        <w:tc>
          <w:tcPr>
            <w:tcW w:w="1547" w:type="dxa"/>
            <w:shd w:val="clear" w:color="auto" w:fill="C6EFCE"/>
            <w:noWrap/>
          </w:tcPr>
          <w:p w14:paraId="30ECCB08" w14:textId="7219B13B"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eastAsia="Times New Roman" w:hAnsi="Times New Roman" w:cs="Times New Roman"/>
                <w:noProof/>
                <w:sz w:val="20"/>
                <w:szCs w:val="20"/>
                <w:lang w:val="en-GB"/>
              </w:rPr>
              <w:t>Provision in the legal act indicating</w:t>
            </w:r>
            <w:r w:rsidR="00D23D91" w:rsidRPr="00BD01A2">
              <w:rPr>
                <w:rFonts w:ascii="Times New Roman" w:eastAsia="Times New Roman" w:hAnsi="Times New Roman" w:cs="Times New Roman"/>
                <w:noProof/>
                <w:sz w:val="20"/>
                <w:szCs w:val="20"/>
                <w:lang w:val="en-GB"/>
              </w:rPr>
              <w:t xml:space="preserve"> </w:t>
            </w:r>
            <w:r w:rsidRPr="00BD01A2">
              <w:rPr>
                <w:rFonts w:ascii="Times New Roman" w:eastAsia="Times New Roman" w:hAnsi="Times New Roman" w:cs="Times New Roman"/>
                <w:noProof/>
                <w:sz w:val="20"/>
                <w:szCs w:val="20"/>
                <w:lang w:val="en-GB"/>
              </w:rPr>
              <w:t xml:space="preserve">entry into force of the role of sustainable development experts and confirming accreditation of training programme for sustainable development experts. </w:t>
            </w:r>
          </w:p>
        </w:tc>
        <w:tc>
          <w:tcPr>
            <w:tcW w:w="1344" w:type="dxa"/>
            <w:shd w:val="clear" w:color="auto" w:fill="C6EFCE"/>
            <w:noWrap/>
          </w:tcPr>
          <w:p w14:paraId="0735ACBB" w14:textId="77777777" w:rsidR="00550A54" w:rsidRPr="00BD01A2" w:rsidRDefault="00550A54">
            <w:pPr>
              <w:spacing w:after="0" w:line="240" w:lineRule="auto"/>
              <w:rPr>
                <w:rFonts w:ascii="Times New Roman" w:hAnsi="Times New Roman" w:cs="Times New Roman"/>
                <w:noProof/>
                <w:sz w:val="20"/>
                <w:szCs w:val="20"/>
                <w:lang w:val="en-GB"/>
              </w:rPr>
            </w:pPr>
          </w:p>
        </w:tc>
        <w:tc>
          <w:tcPr>
            <w:tcW w:w="1109" w:type="dxa"/>
            <w:shd w:val="clear" w:color="auto" w:fill="C6EFCE"/>
            <w:noWrap/>
          </w:tcPr>
          <w:p w14:paraId="3130259A" w14:textId="77777777" w:rsidR="00550A54" w:rsidRPr="00BD01A2" w:rsidRDefault="00550A54">
            <w:pPr>
              <w:spacing w:after="0" w:line="240" w:lineRule="auto"/>
              <w:rPr>
                <w:rFonts w:ascii="Times New Roman" w:hAnsi="Times New Roman" w:cs="Times New Roman"/>
                <w:noProof/>
                <w:sz w:val="20"/>
                <w:szCs w:val="20"/>
                <w:lang w:val="en-GB"/>
              </w:rPr>
            </w:pPr>
          </w:p>
        </w:tc>
        <w:tc>
          <w:tcPr>
            <w:tcW w:w="872" w:type="dxa"/>
            <w:shd w:val="clear" w:color="auto" w:fill="C6EFCE"/>
            <w:noWrap/>
          </w:tcPr>
          <w:p w14:paraId="1F1F4A1B"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0E6ABA63"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Q1</w:t>
            </w:r>
          </w:p>
        </w:tc>
        <w:tc>
          <w:tcPr>
            <w:tcW w:w="820" w:type="dxa"/>
            <w:shd w:val="clear" w:color="auto" w:fill="C6EFCE"/>
            <w:noWrap/>
          </w:tcPr>
          <w:p w14:paraId="2F7D33DE"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2026</w:t>
            </w:r>
          </w:p>
        </w:tc>
        <w:tc>
          <w:tcPr>
            <w:tcW w:w="3168" w:type="dxa"/>
            <w:shd w:val="clear" w:color="auto" w:fill="C6EFCE"/>
            <w:noWrap/>
          </w:tcPr>
          <w:p w14:paraId="713BA58F" w14:textId="4B89E1F7" w:rsidR="00550A54" w:rsidRPr="00BD01A2" w:rsidRDefault="00550A54">
            <w:pPr>
              <w:spacing w:after="18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The milestone requires the entry into force of legal acts</w:t>
            </w:r>
            <w:r w:rsidRPr="00BD01A2">
              <w:rPr>
                <w:rFonts w:ascii="Times New Roman" w:eastAsia="Times New Roman" w:hAnsi="Times New Roman" w:cs="Times New Roman"/>
                <w:noProof/>
                <w:sz w:val="20"/>
                <w:szCs w:val="20"/>
                <w:lang w:val="en-GB"/>
              </w:rPr>
              <w:t xml:space="preserve"> setting out the role of the “sustainable development expert” in the public administration.</w:t>
            </w:r>
            <w:r w:rsidR="00D23D91" w:rsidRPr="00BD01A2">
              <w:rPr>
                <w:rFonts w:ascii="Times New Roman" w:eastAsia="Times New Roman" w:hAnsi="Times New Roman" w:cs="Times New Roman"/>
                <w:noProof/>
                <w:sz w:val="20"/>
                <w:szCs w:val="20"/>
                <w:lang w:val="en-GB"/>
              </w:rPr>
              <w:t xml:space="preserve"> </w:t>
            </w:r>
            <w:r w:rsidRPr="00BD01A2">
              <w:rPr>
                <w:rFonts w:ascii="Times New Roman" w:eastAsia="Times New Roman" w:hAnsi="Times New Roman" w:cs="Times New Roman"/>
                <w:noProof/>
                <w:sz w:val="20"/>
                <w:szCs w:val="20"/>
                <w:lang w:val="en-GB"/>
              </w:rPr>
              <w:t xml:space="preserve">Sustainable development experts have completed an accredited training programme. </w:t>
            </w:r>
          </w:p>
          <w:p w14:paraId="184B5DF5" w14:textId="4C9F9124" w:rsidR="00550A54" w:rsidRPr="00BD01A2" w:rsidRDefault="00D23D91">
            <w:pPr>
              <w:spacing w:after="0" w:line="240" w:lineRule="auto"/>
              <w:ind w:left="-21"/>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r>
      <w:tr w:rsidR="00550A54" w:rsidRPr="00BD01A2" w14:paraId="7362FE76" w14:textId="77777777">
        <w:trPr>
          <w:trHeight w:val="3075"/>
        </w:trPr>
        <w:tc>
          <w:tcPr>
            <w:tcW w:w="822" w:type="dxa"/>
            <w:shd w:val="clear" w:color="auto" w:fill="C6EFCE"/>
            <w:noWrap/>
          </w:tcPr>
          <w:p w14:paraId="6AF74F1D"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416</w:t>
            </w:r>
          </w:p>
          <w:p w14:paraId="2CA2F603" w14:textId="77777777" w:rsidR="00550A54" w:rsidRPr="00BD01A2" w:rsidRDefault="00550A54">
            <w:pPr>
              <w:spacing w:after="0" w:line="240" w:lineRule="auto"/>
              <w:jc w:val="center"/>
              <w:rPr>
                <w:rFonts w:ascii="Times New Roman" w:hAnsi="Times New Roman" w:cs="Times New Roman"/>
                <w:noProof/>
                <w:sz w:val="20"/>
                <w:szCs w:val="20"/>
                <w:lang w:val="en-GB"/>
              </w:rPr>
            </w:pPr>
          </w:p>
        </w:tc>
        <w:tc>
          <w:tcPr>
            <w:tcW w:w="2166" w:type="dxa"/>
            <w:shd w:val="clear" w:color="auto" w:fill="C6EFCE"/>
            <w:noWrap/>
          </w:tcPr>
          <w:p w14:paraId="02C488EA" w14:textId="20571A22"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Reform 3.</w:t>
            </w:r>
            <w:r w:rsidR="00D23D91" w:rsidRPr="00BD01A2">
              <w:rPr>
                <w:rFonts w:ascii="Times New Roman" w:hAnsi="Times New Roman" w:cs="Times New Roman"/>
                <w:noProof/>
                <w:sz w:val="20"/>
                <w:szCs w:val="20"/>
                <w:lang w:val="en-GB"/>
              </w:rPr>
              <w:t xml:space="preserve"> </w:t>
            </w:r>
            <w:r w:rsidRPr="00BD01A2">
              <w:rPr>
                <w:rFonts w:ascii="Times New Roman" w:hAnsi="Times New Roman" w:cs="Times New Roman"/>
                <w:noProof/>
                <w:sz w:val="20"/>
                <w:szCs w:val="20"/>
                <w:lang w:val="en-GB"/>
              </w:rPr>
              <w:t>Modernising human resources management in the public sector</w:t>
            </w:r>
            <w:r w:rsidRPr="00BD01A2" w:rsidDel="00F704F7">
              <w:rPr>
                <w:rFonts w:ascii="Times New Roman" w:hAnsi="Times New Roman" w:cs="Times New Roman"/>
                <w:noProof/>
                <w:sz w:val="20"/>
                <w:szCs w:val="20"/>
                <w:lang w:val="en-GB"/>
              </w:rPr>
              <w:t xml:space="preserve"> </w:t>
            </w:r>
          </w:p>
        </w:tc>
        <w:tc>
          <w:tcPr>
            <w:tcW w:w="1320" w:type="dxa"/>
            <w:shd w:val="clear" w:color="auto" w:fill="C6EFCE"/>
            <w:noWrap/>
          </w:tcPr>
          <w:p w14:paraId="48C538D9"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5122AD62"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Pilot competition and organization of national civil servant recruitment competition</w:t>
            </w:r>
          </w:p>
        </w:tc>
        <w:tc>
          <w:tcPr>
            <w:tcW w:w="1547" w:type="dxa"/>
            <w:shd w:val="clear" w:color="auto" w:fill="C6EFCE"/>
            <w:noWrap/>
          </w:tcPr>
          <w:p w14:paraId="3A625D32"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Ex-post analysis report on the pilot competition published.</w:t>
            </w:r>
          </w:p>
          <w:p w14:paraId="6A9E23C6"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Realization of national civil servant recruitment competition</w:t>
            </w:r>
          </w:p>
        </w:tc>
        <w:tc>
          <w:tcPr>
            <w:tcW w:w="1344" w:type="dxa"/>
            <w:shd w:val="clear" w:color="auto" w:fill="C6EFCE"/>
            <w:noWrap/>
          </w:tcPr>
          <w:p w14:paraId="4FCF5040"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109" w:type="dxa"/>
            <w:shd w:val="clear" w:color="auto" w:fill="C6EFCE"/>
            <w:noWrap/>
          </w:tcPr>
          <w:p w14:paraId="5F46819D"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872" w:type="dxa"/>
            <w:shd w:val="clear" w:color="auto" w:fill="C6EFCE"/>
            <w:noWrap/>
          </w:tcPr>
          <w:p w14:paraId="2EE74020"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082" w:type="dxa"/>
            <w:shd w:val="clear" w:color="auto" w:fill="C6EFCE"/>
            <w:noWrap/>
          </w:tcPr>
          <w:p w14:paraId="7893C82A"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Q1</w:t>
            </w:r>
          </w:p>
        </w:tc>
        <w:tc>
          <w:tcPr>
            <w:tcW w:w="820" w:type="dxa"/>
            <w:shd w:val="clear" w:color="auto" w:fill="C6EFCE"/>
            <w:noWrap/>
          </w:tcPr>
          <w:p w14:paraId="5872EA78"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2026</w:t>
            </w:r>
          </w:p>
        </w:tc>
        <w:tc>
          <w:tcPr>
            <w:tcW w:w="3168" w:type="dxa"/>
            <w:shd w:val="clear" w:color="auto" w:fill="C6EFCE"/>
            <w:noWrap/>
          </w:tcPr>
          <w:p w14:paraId="4B99D722"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eastAsia="Times New Roman" w:hAnsi="Times New Roman" w:cs="Times New Roman"/>
                <w:noProof/>
                <w:sz w:val="20"/>
                <w:szCs w:val="20"/>
                <w:lang w:val="en-GB"/>
              </w:rPr>
              <w:t xml:space="preserve">Following the execution of a pilot competition and the publishing of the accompanying ex post analysis, </w:t>
            </w:r>
            <w:r w:rsidRPr="00BD01A2">
              <w:rPr>
                <w:rFonts w:ascii="Times New Roman" w:hAnsi="Times New Roman" w:cs="Times New Roman"/>
                <w:noProof/>
                <w:sz w:val="20"/>
                <w:szCs w:val="20"/>
                <w:lang w:val="en-GB"/>
              </w:rPr>
              <w:t xml:space="preserve">a </w:t>
            </w:r>
            <w:r w:rsidRPr="00BD01A2">
              <w:rPr>
                <w:rFonts w:ascii="Times New Roman" w:eastAsia="Times New Roman" w:hAnsi="Times New Roman" w:cs="Times New Roman"/>
                <w:noProof/>
                <w:sz w:val="20"/>
                <w:szCs w:val="20"/>
                <w:lang w:val="en-GB"/>
              </w:rPr>
              <w:t>new procedure for national civil service recruitment is introduced and used.</w:t>
            </w:r>
          </w:p>
          <w:p w14:paraId="67DF0F83" w14:textId="77777777" w:rsidR="00550A54" w:rsidRPr="00BD01A2" w:rsidRDefault="00550A54">
            <w:pPr>
              <w:spacing w:after="0" w:line="240" w:lineRule="auto"/>
              <w:jc w:val="both"/>
              <w:rPr>
                <w:rFonts w:ascii="Times New Roman" w:hAnsi="Times New Roman" w:cs="Times New Roman"/>
                <w:noProof/>
                <w:sz w:val="20"/>
                <w:szCs w:val="20"/>
                <w:highlight w:val="yellow"/>
                <w:lang w:val="en-GB"/>
              </w:rPr>
            </w:pPr>
          </w:p>
        </w:tc>
      </w:tr>
      <w:tr w:rsidR="00550A54" w:rsidRPr="00BD01A2" w14:paraId="550BC7F0" w14:textId="77777777">
        <w:trPr>
          <w:trHeight w:val="3180"/>
        </w:trPr>
        <w:tc>
          <w:tcPr>
            <w:tcW w:w="822" w:type="dxa"/>
            <w:shd w:val="clear" w:color="auto" w:fill="C6EFCE"/>
            <w:noWrap/>
          </w:tcPr>
          <w:p w14:paraId="37C8E7F5"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418</w:t>
            </w:r>
          </w:p>
          <w:p w14:paraId="31777BD8" w14:textId="77777777" w:rsidR="00550A54" w:rsidRPr="00BD01A2" w:rsidRDefault="00550A54">
            <w:pPr>
              <w:spacing w:after="0" w:line="240" w:lineRule="auto"/>
              <w:jc w:val="center"/>
              <w:rPr>
                <w:rFonts w:ascii="Times New Roman" w:hAnsi="Times New Roman" w:cs="Times New Roman"/>
                <w:noProof/>
                <w:sz w:val="20"/>
                <w:szCs w:val="20"/>
                <w:lang w:val="en-GB"/>
              </w:rPr>
            </w:pPr>
          </w:p>
        </w:tc>
        <w:tc>
          <w:tcPr>
            <w:tcW w:w="2166" w:type="dxa"/>
            <w:shd w:val="clear" w:color="auto" w:fill="C6EFCE"/>
            <w:noWrap/>
          </w:tcPr>
          <w:p w14:paraId="4FD6DF24"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Reform 3. Modernising human resources management in the public secto</w:t>
            </w:r>
          </w:p>
        </w:tc>
        <w:tc>
          <w:tcPr>
            <w:tcW w:w="1320" w:type="dxa"/>
            <w:shd w:val="clear" w:color="auto" w:fill="C6EFCE"/>
            <w:noWrap/>
          </w:tcPr>
          <w:p w14:paraId="013B4179"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594B66D1"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Entry into force of legal acts for the adoption of merit-based human resources management and competence frameworks in central public administration</w:t>
            </w:r>
            <w:r w:rsidRPr="00BD01A2">
              <w:rPr>
                <w:rFonts w:ascii="Times New Roman" w:hAnsi="Times New Roman" w:cs="Times New Roman"/>
                <w:noProof/>
                <w:sz w:val="20"/>
                <w:szCs w:val="20"/>
                <w:lang w:val="en-GB"/>
              </w:rPr>
              <w:br/>
            </w:r>
          </w:p>
        </w:tc>
        <w:tc>
          <w:tcPr>
            <w:tcW w:w="1547" w:type="dxa"/>
            <w:shd w:val="clear" w:color="auto" w:fill="C6EFCE"/>
            <w:noWrap/>
          </w:tcPr>
          <w:p w14:paraId="3CB4520B"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Copies of the legal acts adopting merit-based human resources management and competence frameworks in central public administration</w:t>
            </w:r>
          </w:p>
        </w:tc>
        <w:tc>
          <w:tcPr>
            <w:tcW w:w="1344" w:type="dxa"/>
            <w:shd w:val="clear" w:color="auto" w:fill="C6EFCE"/>
            <w:noWrap/>
          </w:tcPr>
          <w:p w14:paraId="6CBC476F"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109" w:type="dxa"/>
            <w:shd w:val="clear" w:color="auto" w:fill="C6EFCE"/>
            <w:noWrap/>
          </w:tcPr>
          <w:p w14:paraId="0E0D6C8E"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872" w:type="dxa"/>
            <w:shd w:val="clear" w:color="auto" w:fill="C6EFCE"/>
            <w:noWrap/>
          </w:tcPr>
          <w:p w14:paraId="340A478C"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082" w:type="dxa"/>
            <w:shd w:val="clear" w:color="auto" w:fill="C6EFCE"/>
            <w:noWrap/>
          </w:tcPr>
          <w:p w14:paraId="09679609"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Q2</w:t>
            </w:r>
          </w:p>
        </w:tc>
        <w:tc>
          <w:tcPr>
            <w:tcW w:w="820" w:type="dxa"/>
            <w:shd w:val="clear" w:color="auto" w:fill="C6EFCE"/>
            <w:noWrap/>
          </w:tcPr>
          <w:p w14:paraId="65F39861"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2026</w:t>
            </w:r>
          </w:p>
        </w:tc>
        <w:tc>
          <w:tcPr>
            <w:tcW w:w="3168" w:type="dxa"/>
            <w:shd w:val="clear" w:color="auto" w:fill="C6EFCE"/>
            <w:noWrap/>
          </w:tcPr>
          <w:p w14:paraId="4D29BB85"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Legal acts shall enter into force to support merit-based career development for civil servants and contract staff management. A competence framework is adopted for the recrutiment and performance evaluation procedures in central public administration.</w:t>
            </w:r>
          </w:p>
        </w:tc>
      </w:tr>
      <w:tr w:rsidR="00550A54" w:rsidRPr="00BD01A2" w14:paraId="4915E462" w14:textId="77777777">
        <w:trPr>
          <w:trHeight w:val="309"/>
        </w:trPr>
        <w:tc>
          <w:tcPr>
            <w:tcW w:w="822" w:type="dxa"/>
            <w:shd w:val="clear" w:color="auto" w:fill="C6EFCE"/>
            <w:noWrap/>
          </w:tcPr>
          <w:p w14:paraId="40022E3C"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420</w:t>
            </w:r>
          </w:p>
        </w:tc>
        <w:tc>
          <w:tcPr>
            <w:tcW w:w="2166" w:type="dxa"/>
            <w:shd w:val="clear" w:color="auto" w:fill="C6EFCE"/>
            <w:noWrap/>
          </w:tcPr>
          <w:p w14:paraId="2EB48ACA"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Reform 4. Developing of a fair unitary pay system in the public sector</w:t>
            </w:r>
          </w:p>
        </w:tc>
        <w:tc>
          <w:tcPr>
            <w:tcW w:w="1320" w:type="dxa"/>
            <w:shd w:val="clear" w:color="auto" w:fill="C6EFCE"/>
            <w:noWrap/>
          </w:tcPr>
          <w:p w14:paraId="5F3D3CCD"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4B526102"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eastAsia="Times New Roman" w:hAnsi="Times New Roman" w:cs="Times New Roman"/>
                <w:noProof/>
                <w:sz w:val="20"/>
                <w:szCs w:val="20"/>
                <w:lang w:val="en-GB"/>
              </w:rPr>
              <w:t>Publication in the Official Journal of the legal acts on remuneration of public sector employees</w:t>
            </w:r>
          </w:p>
        </w:tc>
        <w:tc>
          <w:tcPr>
            <w:tcW w:w="1547" w:type="dxa"/>
            <w:shd w:val="clear" w:color="auto" w:fill="C6EFCE"/>
            <w:noWrap/>
          </w:tcPr>
          <w:p w14:paraId="32607014"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Legal acts published in the Official Journal</w:t>
            </w:r>
          </w:p>
        </w:tc>
        <w:tc>
          <w:tcPr>
            <w:tcW w:w="1344" w:type="dxa"/>
            <w:shd w:val="clear" w:color="auto" w:fill="C6EFCE"/>
            <w:noWrap/>
          </w:tcPr>
          <w:p w14:paraId="38B88DC0"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109" w:type="dxa"/>
            <w:shd w:val="clear" w:color="auto" w:fill="C6EFCE"/>
            <w:noWrap/>
          </w:tcPr>
          <w:p w14:paraId="1B22DA77"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872" w:type="dxa"/>
            <w:shd w:val="clear" w:color="auto" w:fill="C6EFCE"/>
            <w:noWrap/>
          </w:tcPr>
          <w:p w14:paraId="2323C74C"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082" w:type="dxa"/>
            <w:shd w:val="clear" w:color="auto" w:fill="C6EFCE"/>
            <w:noWrap/>
          </w:tcPr>
          <w:p w14:paraId="2EA16DB3"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Q2</w:t>
            </w:r>
          </w:p>
        </w:tc>
        <w:tc>
          <w:tcPr>
            <w:tcW w:w="820" w:type="dxa"/>
            <w:shd w:val="clear" w:color="auto" w:fill="C6EFCE"/>
            <w:noWrap/>
          </w:tcPr>
          <w:p w14:paraId="01FA439F"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2026</w:t>
            </w:r>
          </w:p>
        </w:tc>
        <w:tc>
          <w:tcPr>
            <w:tcW w:w="3168" w:type="dxa"/>
            <w:shd w:val="clear" w:color="auto" w:fill="C6EFCE"/>
            <w:noWrap/>
          </w:tcPr>
          <w:p w14:paraId="7900EB32"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Publication in the Official Journal of the legal acts </w:t>
            </w:r>
            <w:r w:rsidRPr="00BD01A2">
              <w:rPr>
                <w:rFonts w:ascii="Times New Roman" w:eastAsia="Times New Roman" w:hAnsi="Times New Roman" w:cs="Times New Roman"/>
                <w:noProof/>
                <w:sz w:val="20"/>
                <w:szCs w:val="20"/>
                <w:lang w:val="en-GB"/>
              </w:rPr>
              <w:t>on remuneration of public sector employees.</w:t>
            </w:r>
            <w:r w:rsidRPr="00BD01A2">
              <w:rPr>
                <w:rFonts w:ascii="Times New Roman" w:hAnsi="Times New Roman" w:cs="Times New Roman"/>
                <w:noProof/>
                <w:sz w:val="20"/>
                <w:szCs w:val="20"/>
                <w:lang w:val="en-GB"/>
              </w:rPr>
              <w:t xml:space="preserve"> The new legal acts shall enter into force after a reasonable period and no later than 31 December 2026. Such entry into force shall be automatic and shall not entail any further legal implementing measures.</w:t>
            </w:r>
          </w:p>
          <w:p w14:paraId="334BE576" w14:textId="2D40E0DA"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The new legal acts on the remuneration of</w:t>
            </w:r>
            <w:r w:rsidR="00D23D91" w:rsidRPr="00BD01A2">
              <w:rPr>
                <w:rFonts w:ascii="Times New Roman" w:hAnsi="Times New Roman" w:cs="Times New Roman"/>
                <w:noProof/>
                <w:sz w:val="20"/>
                <w:szCs w:val="20"/>
                <w:lang w:val="en-GB"/>
              </w:rPr>
              <w:t xml:space="preserve"> </w:t>
            </w:r>
            <w:r w:rsidRPr="00BD01A2">
              <w:rPr>
                <w:rFonts w:ascii="Times New Roman" w:hAnsi="Times New Roman" w:cs="Times New Roman"/>
                <w:noProof/>
                <w:sz w:val="20"/>
                <w:szCs w:val="20"/>
                <w:lang w:val="en-GB"/>
              </w:rPr>
              <w:t xml:space="preserve">public sector employees shall establish a unified calculation methodology to </w:t>
            </w:r>
            <w:r w:rsidRPr="00BD01A2">
              <w:rPr>
                <w:rFonts w:ascii="Times New Roman" w:eastAsia="Times New Roman" w:hAnsi="Times New Roman" w:cs="Times New Roman"/>
                <w:noProof/>
                <w:sz w:val="20"/>
                <w:szCs w:val="20"/>
                <w:lang w:val="en-GB"/>
              </w:rPr>
              <w:t>ensure a fiscally sustainable, fair and performance-linked wage system</w:t>
            </w:r>
            <w:r w:rsidRPr="00BD01A2">
              <w:rPr>
                <w:rFonts w:ascii="Times New Roman" w:hAnsi="Times New Roman" w:cs="Times New Roman"/>
                <w:noProof/>
                <w:sz w:val="20"/>
                <w:szCs w:val="20"/>
                <w:lang w:val="en-GB"/>
              </w:rPr>
              <w:t xml:space="preserve">. </w:t>
            </w:r>
          </w:p>
          <w:p w14:paraId="01AEB9DC"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eastAsia="Times New Roman" w:hAnsi="Times New Roman" w:cs="Times New Roman"/>
                <w:noProof/>
                <w:sz w:val="20"/>
                <w:szCs w:val="20"/>
                <w:lang w:val="en-GB"/>
              </w:rPr>
              <w:t>The public sector base wage levels in place in August 2025 shall remain unchanged and it shall be the starting point for the design of the reform.</w:t>
            </w:r>
          </w:p>
          <w:p w14:paraId="271CE62B" w14:textId="77777777" w:rsidR="00550A54" w:rsidRPr="00BD01A2" w:rsidRDefault="00550A54">
            <w:pPr>
              <w:spacing w:after="0" w:line="240" w:lineRule="auto"/>
              <w:jc w:val="both"/>
              <w:rPr>
                <w:rFonts w:ascii="Times New Roman" w:eastAsia="Times New Roman" w:hAnsi="Times New Roman" w:cs="Times New Roman"/>
                <w:noProof/>
                <w:sz w:val="20"/>
                <w:szCs w:val="20"/>
              </w:rPr>
            </w:pPr>
            <w:r w:rsidRPr="00BD01A2">
              <w:rPr>
                <w:rFonts w:ascii="Times New Roman" w:eastAsia="Times New Roman" w:hAnsi="Times New Roman" w:cs="Times New Roman"/>
                <w:noProof/>
                <w:sz w:val="20"/>
                <w:szCs w:val="20"/>
              </w:rPr>
              <w:t>In 2027, the nominal increase in the total wage bill shall not exceed the nominal GDP growth for 2027, as projected by the European Commission in its Spring 2026 forecast. It shall also be consistent with the MTFSP objective of reducing the public wage bill, as a share of GDP, by at least 1.5 pps between 2024 and 2031. The reform shall support the 2027 government deficit target of 5.3% of GDP implicit in the revised Council Recommendation under Article 126(7) TFEU.</w:t>
            </w:r>
          </w:p>
          <w:p w14:paraId="1AB6D0C6" w14:textId="77777777" w:rsidR="00550A54" w:rsidRPr="00BD01A2" w:rsidRDefault="00550A54">
            <w:pPr>
              <w:spacing w:after="0" w:line="240" w:lineRule="auto"/>
              <w:ind w:left="37" w:hanging="37"/>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The proposed methodology for the recalculation of salaries shall be based on:</w:t>
            </w:r>
          </w:p>
          <w:p w14:paraId="7273FB8B" w14:textId="77777777" w:rsidR="00550A54" w:rsidRPr="00BD01A2" w:rsidRDefault="00550A54" w:rsidP="00550A54">
            <w:pPr>
              <w:pStyle w:val="ListParagraph"/>
              <w:numPr>
                <w:ilvl w:val="0"/>
                <w:numId w:val="63"/>
              </w:numPr>
              <w:spacing w:after="0" w:line="240" w:lineRule="auto"/>
              <w:ind w:left="179" w:hanging="142"/>
              <w:jc w:val="both"/>
              <w:rPr>
                <w:rFonts w:ascii="Times New Roman" w:hAnsi="Times New Roman" w:cs="Times New Roman"/>
                <w:noProof/>
                <w:sz w:val="20"/>
                <w:szCs w:val="20"/>
                <w:lang w:val="en-GB"/>
              </w:rPr>
            </w:pPr>
            <w:r w:rsidRPr="00BD01A2">
              <w:rPr>
                <w:rFonts w:ascii="Times New Roman" w:eastAsia="Times New Roman" w:hAnsi="Times New Roman" w:cs="Times New Roman"/>
                <w:noProof/>
                <w:sz w:val="20"/>
                <w:szCs w:val="20"/>
                <w:lang w:val="en-US"/>
              </w:rPr>
              <w:t xml:space="preserve">a single grading structure for all occupational job families, and a </w:t>
            </w:r>
            <w:r w:rsidRPr="00BD01A2">
              <w:rPr>
                <w:rFonts w:ascii="Times New Roman" w:hAnsi="Times New Roman" w:cs="Times New Roman"/>
                <w:noProof/>
                <w:sz w:val="20"/>
                <w:szCs w:val="20"/>
                <w:lang w:val="en-GB"/>
              </w:rPr>
              <w:t xml:space="preserve">revised public sector job ranking, </w:t>
            </w:r>
            <w:r w:rsidRPr="00BD01A2">
              <w:rPr>
                <w:rFonts w:ascii="Times New Roman" w:eastAsia="Times New Roman" w:hAnsi="Times New Roman" w:cs="Times New Roman"/>
                <w:noProof/>
                <w:sz w:val="20"/>
                <w:szCs w:val="20"/>
                <w:lang w:val="en-US"/>
              </w:rPr>
              <w:t>designed based on an analytical job evaluation methodology</w:t>
            </w:r>
            <w:r w:rsidRPr="00BD01A2">
              <w:rPr>
                <w:rFonts w:ascii="Times New Roman" w:hAnsi="Times New Roman" w:cs="Times New Roman"/>
                <w:noProof/>
                <w:sz w:val="20"/>
                <w:szCs w:val="20"/>
                <w:lang w:val="en-GB"/>
              </w:rPr>
              <w:t>;</w:t>
            </w:r>
          </w:p>
          <w:p w14:paraId="6685E580" w14:textId="77777777" w:rsidR="00550A54" w:rsidRPr="00BD01A2" w:rsidRDefault="00550A54" w:rsidP="00550A54">
            <w:pPr>
              <w:pStyle w:val="ListParagraph"/>
              <w:numPr>
                <w:ilvl w:val="0"/>
                <w:numId w:val="63"/>
              </w:numPr>
              <w:spacing w:after="0" w:line="240" w:lineRule="auto"/>
              <w:ind w:left="179" w:hanging="142"/>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a single pay scale for the public sector, </w:t>
            </w:r>
            <w:r w:rsidRPr="00BD01A2">
              <w:rPr>
                <w:rFonts w:ascii="Times New Roman" w:eastAsia="Times New Roman" w:hAnsi="Times New Roman" w:cs="Times New Roman"/>
                <w:noProof/>
                <w:sz w:val="20"/>
                <w:szCs w:val="20"/>
                <w:lang w:val="en-US"/>
              </w:rPr>
              <w:t>corresponding to all public sector jobs covered in the current Pay Law (Framework Law no. 153/2017)</w:t>
            </w:r>
            <w:r w:rsidRPr="00BD01A2">
              <w:rPr>
                <w:rFonts w:ascii="Times New Roman" w:hAnsi="Times New Roman" w:cs="Times New Roman"/>
                <w:noProof/>
                <w:sz w:val="20"/>
                <w:szCs w:val="20"/>
                <w:lang w:val="en-GB"/>
              </w:rPr>
              <w:t>;</w:t>
            </w:r>
          </w:p>
          <w:p w14:paraId="39C24FD1" w14:textId="77777777" w:rsidR="00550A54" w:rsidRPr="00BD01A2" w:rsidRDefault="00550A54" w:rsidP="00550A54">
            <w:pPr>
              <w:pStyle w:val="ListParagraph"/>
              <w:numPr>
                <w:ilvl w:val="0"/>
                <w:numId w:val="63"/>
              </w:numPr>
              <w:spacing w:after="0" w:line="240" w:lineRule="auto"/>
              <w:ind w:left="179" w:hanging="142"/>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the revision of the system of variable pay,</w:t>
            </w:r>
            <w:r w:rsidRPr="00BD01A2">
              <w:rPr>
                <w:rFonts w:ascii="Times New Roman" w:eastAsia="Times New Roman" w:hAnsi="Times New Roman" w:cs="Times New Roman"/>
                <w:noProof/>
                <w:sz w:val="20"/>
                <w:szCs w:val="20"/>
                <w:lang w:val="en-GB"/>
              </w:rPr>
              <w:t xml:space="preserve"> </w:t>
            </w:r>
            <w:r w:rsidRPr="00BD01A2">
              <w:rPr>
                <w:rFonts w:ascii="Times New Roman" w:eastAsia="Times New Roman" w:hAnsi="Times New Roman" w:cs="Times New Roman"/>
                <w:noProof/>
                <w:sz w:val="20"/>
                <w:szCs w:val="20"/>
                <w:lang w:val="en-US"/>
              </w:rPr>
              <w:t>which covers all salary rights outside of base salary,</w:t>
            </w:r>
            <w:r w:rsidRPr="00BD01A2">
              <w:rPr>
                <w:rFonts w:ascii="Times New Roman" w:hAnsi="Times New Roman" w:cs="Times New Roman"/>
                <w:noProof/>
                <w:sz w:val="20"/>
                <w:szCs w:val="20"/>
                <w:lang w:val="en-GB"/>
              </w:rPr>
              <w:t xml:space="preserve"> and capping the amount of bonuses at 20% of base salary, </w:t>
            </w:r>
            <w:r w:rsidRPr="00BD01A2">
              <w:rPr>
                <w:rFonts w:ascii="Times New Roman" w:eastAsia="Times New Roman" w:hAnsi="Times New Roman" w:cs="Times New Roman"/>
                <w:noProof/>
                <w:sz w:val="20"/>
                <w:szCs w:val="20"/>
                <w:lang w:val="en-US"/>
              </w:rPr>
              <w:t>at the level of each main credit authorising officer</w:t>
            </w:r>
            <w:r w:rsidRPr="00BD01A2">
              <w:rPr>
                <w:rFonts w:ascii="Times New Roman" w:hAnsi="Times New Roman" w:cs="Times New Roman"/>
                <w:noProof/>
                <w:sz w:val="20"/>
                <w:szCs w:val="20"/>
                <w:lang w:val="en-GB"/>
              </w:rPr>
              <w:t>.</w:t>
            </w:r>
          </w:p>
          <w:p w14:paraId="6E7CE97A"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The new legal acts shall </w:t>
            </w:r>
            <w:r w:rsidRPr="00BD01A2">
              <w:rPr>
                <w:rFonts w:ascii="Times New Roman" w:eastAsia="Times New Roman" w:hAnsi="Times New Roman" w:cs="Times New Roman"/>
                <w:noProof/>
                <w:sz w:val="20"/>
                <w:szCs w:val="20"/>
                <w:lang w:val="en-GB"/>
              </w:rPr>
              <w:t>include institutional mechanisms to prevent ad hoc increases in the base and variable components of wages. Among these, the</w:t>
            </w:r>
            <w:r w:rsidRPr="00BD01A2">
              <w:rPr>
                <w:rFonts w:ascii="Times New Roman" w:hAnsi="Times New Roman" w:cs="Times New Roman"/>
                <w:noProof/>
                <w:sz w:val="20"/>
                <w:szCs w:val="20"/>
                <w:lang w:val="en-GB"/>
              </w:rPr>
              <w:t xml:space="preserve"> </w:t>
            </w:r>
            <w:r w:rsidRPr="00BD01A2">
              <w:rPr>
                <w:rFonts w:ascii="Times New Roman" w:eastAsia="Times New Roman" w:hAnsi="Times New Roman" w:cs="Times New Roman"/>
                <w:noProof/>
                <w:sz w:val="20"/>
                <w:szCs w:val="20"/>
              </w:rPr>
              <w:t>legal acts</w:t>
            </w:r>
            <w:r w:rsidRPr="00BD01A2">
              <w:rPr>
                <w:rFonts w:ascii="Times New Roman" w:hAnsi="Times New Roman" w:cs="Times New Roman"/>
                <w:noProof/>
                <w:sz w:val="20"/>
                <w:szCs w:val="20"/>
                <w:lang w:val="en-GB"/>
              </w:rPr>
              <w:t xml:space="preserve"> </w:t>
            </w:r>
            <w:r w:rsidRPr="00BD01A2">
              <w:rPr>
                <w:rFonts w:ascii="Times New Roman" w:eastAsia="Times New Roman" w:hAnsi="Times New Roman" w:cs="Times New Roman"/>
                <w:noProof/>
                <w:sz w:val="20"/>
                <w:szCs w:val="20"/>
                <w:lang w:val="en-GB"/>
              </w:rPr>
              <w:t xml:space="preserve">shall clearly establish the joint institutional mandate and responsibility of the Ministry of Labor and the Ministry of Finance for designing, enforcing, monitoring, managing, and revising the public sector wage policy. The </w:t>
            </w:r>
            <w:r w:rsidRPr="00BD01A2">
              <w:rPr>
                <w:rFonts w:ascii="Times New Roman" w:eastAsia="Times New Roman" w:hAnsi="Times New Roman" w:cs="Times New Roman"/>
                <w:noProof/>
                <w:sz w:val="20"/>
                <w:szCs w:val="20"/>
              </w:rPr>
              <w:t>legal acts</w:t>
            </w:r>
            <w:r w:rsidRPr="00BD01A2">
              <w:rPr>
                <w:rFonts w:ascii="Times New Roman" w:eastAsia="Times New Roman" w:hAnsi="Times New Roman" w:cs="Times New Roman"/>
                <w:noProof/>
                <w:sz w:val="20"/>
                <w:szCs w:val="20"/>
                <w:lang w:val="en-GB"/>
              </w:rPr>
              <w:t xml:space="preserve"> shall define a roadmap on the evolution of base wage levels for each job family for the next five years.</w:t>
            </w:r>
            <w:r w:rsidRPr="00BD01A2">
              <w:rPr>
                <w:rFonts w:ascii="Times New Roman" w:hAnsi="Times New Roman" w:cs="Times New Roman"/>
                <w:noProof/>
                <w:sz w:val="20"/>
                <w:szCs w:val="20"/>
                <w:lang w:val="en-GB"/>
              </w:rPr>
              <w:t xml:space="preserve"> </w:t>
            </w:r>
          </w:p>
        </w:tc>
      </w:tr>
      <w:tr w:rsidR="00550A54" w:rsidRPr="00BD01A2" w14:paraId="52E6CB15" w14:textId="77777777">
        <w:trPr>
          <w:trHeight w:val="309"/>
        </w:trPr>
        <w:tc>
          <w:tcPr>
            <w:tcW w:w="822" w:type="dxa"/>
            <w:shd w:val="clear" w:color="auto" w:fill="C6EFCE"/>
            <w:noWrap/>
          </w:tcPr>
          <w:p w14:paraId="67E74F34"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421</w:t>
            </w:r>
          </w:p>
        </w:tc>
        <w:tc>
          <w:tcPr>
            <w:tcW w:w="2166" w:type="dxa"/>
            <w:shd w:val="clear" w:color="auto" w:fill="C6EFCE"/>
            <w:noWrap/>
          </w:tcPr>
          <w:p w14:paraId="2FD6624C"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Reform 5. Ensuring the independence of the judiciary, enhancing its quality and efficiency</w:t>
            </w:r>
          </w:p>
        </w:tc>
        <w:tc>
          <w:tcPr>
            <w:tcW w:w="1320" w:type="dxa"/>
            <w:shd w:val="clear" w:color="auto" w:fill="C6EFCE"/>
            <w:noWrap/>
          </w:tcPr>
          <w:p w14:paraId="4E85C05F"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7C31D047"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Entry into force of the government decision approving the strategy for the development of the judiciary 2022-2025 </w:t>
            </w:r>
          </w:p>
        </w:tc>
        <w:tc>
          <w:tcPr>
            <w:tcW w:w="1547" w:type="dxa"/>
            <w:shd w:val="clear" w:color="auto" w:fill="C6EFCE"/>
            <w:noWrap/>
          </w:tcPr>
          <w:p w14:paraId="1E1036D8"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Provision in the government decision indicating the adoption of the strategy for the development of the judiciary</w:t>
            </w:r>
          </w:p>
        </w:tc>
        <w:tc>
          <w:tcPr>
            <w:tcW w:w="1344" w:type="dxa"/>
            <w:shd w:val="clear" w:color="auto" w:fill="C6EFCE"/>
            <w:noWrap/>
          </w:tcPr>
          <w:p w14:paraId="6F14CA77"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109" w:type="dxa"/>
            <w:shd w:val="clear" w:color="auto" w:fill="C6EFCE"/>
            <w:noWrap/>
          </w:tcPr>
          <w:p w14:paraId="0BA83ACF"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872" w:type="dxa"/>
            <w:shd w:val="clear" w:color="auto" w:fill="C6EFCE"/>
            <w:noWrap/>
          </w:tcPr>
          <w:p w14:paraId="4FE4C92D"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082" w:type="dxa"/>
            <w:shd w:val="clear" w:color="auto" w:fill="C6EFCE"/>
            <w:noWrap/>
          </w:tcPr>
          <w:p w14:paraId="1706A31C"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Q1</w:t>
            </w:r>
          </w:p>
        </w:tc>
        <w:tc>
          <w:tcPr>
            <w:tcW w:w="820" w:type="dxa"/>
            <w:shd w:val="clear" w:color="auto" w:fill="C6EFCE"/>
            <w:noWrap/>
          </w:tcPr>
          <w:p w14:paraId="74AC21E4"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2022</w:t>
            </w:r>
          </w:p>
        </w:tc>
        <w:tc>
          <w:tcPr>
            <w:tcW w:w="3168" w:type="dxa"/>
            <w:shd w:val="clear" w:color="auto" w:fill="C6EFCE"/>
            <w:noWrap/>
          </w:tcPr>
          <w:p w14:paraId="7B470215" w14:textId="77777777" w:rsid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The Ministry of Justice shall prepare the new strategy on the basis of internal analyses and proposals received during the public consultation process, after which the strategy shall be approved and enter into force.</w:t>
            </w:r>
          </w:p>
          <w:p w14:paraId="0A9D14ED" w14:textId="324424DD"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br/>
              <w:t xml:space="preserve">The strategy shall comprise two pillars: </w:t>
            </w:r>
          </w:p>
          <w:p w14:paraId="47388D8E"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(1) the first pillar concerns policies to strengthen the independence of the judiciary and strengthen the rule of law. The results of the policies concerning strengthening the rule of law shall be objectively assessed through dedicated achievement indicators, which shall be developed in the framework of the strategy. The measures and indicators shall be prepared considering the findings of the Rule of Law Report. </w:t>
            </w:r>
          </w:p>
          <w:p w14:paraId="5F9B6909"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 the second pillar shall include policies to strengthen institutional capacity concerning resources, processes and management, and shall include policies on the quality and efficiency of services in the judiciary, such as: a) efficient use of human resources (e.g. workload); b) the policy of optimisation of the court infrastructure, including physical infrastructure; c) digital transformation – through the following measures:</w:t>
            </w:r>
          </w:p>
          <w:p w14:paraId="6819600D" w14:textId="77777777" w:rsidR="00550A54" w:rsidRPr="00BD01A2" w:rsidRDefault="00550A54" w:rsidP="00550A54">
            <w:pPr>
              <w:numPr>
                <w:ilvl w:val="0"/>
                <w:numId w:val="41"/>
              </w:numPr>
              <w:spacing w:after="0" w:line="240" w:lineRule="auto"/>
              <w:ind w:left="179" w:hanging="179"/>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digital interaction of the litigant and any interested entity with the judiciary, </w:t>
            </w:r>
          </w:p>
          <w:p w14:paraId="3086AE23" w14:textId="77777777" w:rsidR="00550A54" w:rsidRPr="00BD01A2" w:rsidRDefault="00550A54" w:rsidP="00550A54">
            <w:pPr>
              <w:numPr>
                <w:ilvl w:val="0"/>
                <w:numId w:val="41"/>
              </w:numPr>
              <w:spacing w:after="0" w:line="240" w:lineRule="auto"/>
              <w:ind w:left="179" w:hanging="179"/>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electronic signature and electronic seal. </w:t>
            </w:r>
          </w:p>
          <w:p w14:paraId="39D33F45" w14:textId="77777777" w:rsidR="00550A54" w:rsidRPr="00BD01A2" w:rsidRDefault="00550A54" w:rsidP="00550A54">
            <w:pPr>
              <w:numPr>
                <w:ilvl w:val="0"/>
                <w:numId w:val="64"/>
              </w:numPr>
              <w:spacing w:after="0" w:line="240" w:lineRule="auto"/>
              <w:ind w:left="179" w:hanging="179"/>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availability of improved data communication for e-file (which is an option for litigants to electronically access the judicial files). </w:t>
            </w:r>
          </w:p>
          <w:p w14:paraId="782F09A3" w14:textId="77777777" w:rsidR="00550A54" w:rsidRPr="00BD01A2" w:rsidRDefault="00550A54" w:rsidP="00550A54">
            <w:pPr>
              <w:numPr>
                <w:ilvl w:val="0"/>
                <w:numId w:val="64"/>
              </w:numPr>
              <w:spacing w:after="0" w:line="240" w:lineRule="auto"/>
              <w:ind w:left="179" w:hanging="179"/>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elaboration of a cross-judicial sector strategy for the digitisation of the physical archive.</w:t>
            </w:r>
          </w:p>
          <w:p w14:paraId="3F91AEAC"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The progress in implementing the strategy shall be monitored and assessed using a set of indicators developed based on objective resources such as the EU Justice Scoreboard, EC Rule of Law Report.</w:t>
            </w:r>
          </w:p>
        </w:tc>
      </w:tr>
      <w:tr w:rsidR="00550A54" w:rsidRPr="00BD01A2" w14:paraId="6C29003D" w14:textId="77777777">
        <w:trPr>
          <w:trHeight w:val="309"/>
        </w:trPr>
        <w:tc>
          <w:tcPr>
            <w:tcW w:w="822" w:type="dxa"/>
            <w:shd w:val="clear" w:color="auto" w:fill="C6EFCE"/>
            <w:noWrap/>
          </w:tcPr>
          <w:p w14:paraId="7B09D338"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422</w:t>
            </w:r>
          </w:p>
        </w:tc>
        <w:tc>
          <w:tcPr>
            <w:tcW w:w="2166" w:type="dxa"/>
            <w:shd w:val="clear" w:color="auto" w:fill="C6EFCE"/>
            <w:noWrap/>
          </w:tcPr>
          <w:p w14:paraId="42F90F71"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Reform 5. Ensuring the independence of the judiciary, enhancing its quality and efficiency</w:t>
            </w:r>
          </w:p>
        </w:tc>
        <w:tc>
          <w:tcPr>
            <w:tcW w:w="1320" w:type="dxa"/>
            <w:shd w:val="clear" w:color="auto" w:fill="C6EFCE"/>
            <w:noWrap/>
          </w:tcPr>
          <w:p w14:paraId="67D244E1"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08A95BFC"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Entry into force of the law amending the powers of the National Agency for the Management of Seized Assets</w:t>
            </w:r>
          </w:p>
        </w:tc>
        <w:tc>
          <w:tcPr>
            <w:tcW w:w="1547" w:type="dxa"/>
            <w:shd w:val="clear" w:color="auto" w:fill="C6EFCE"/>
            <w:noWrap/>
          </w:tcPr>
          <w:p w14:paraId="643A89C4"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Provision in the law indicating entry into force of the law for amending the powers of the National Agency for the Management of Seized Assets</w:t>
            </w:r>
          </w:p>
        </w:tc>
        <w:tc>
          <w:tcPr>
            <w:tcW w:w="1344" w:type="dxa"/>
            <w:shd w:val="clear" w:color="auto" w:fill="C6EFCE"/>
            <w:noWrap/>
          </w:tcPr>
          <w:p w14:paraId="34C41F63"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109" w:type="dxa"/>
            <w:shd w:val="clear" w:color="auto" w:fill="C6EFCE"/>
            <w:noWrap/>
          </w:tcPr>
          <w:p w14:paraId="62F4E41E"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872" w:type="dxa"/>
            <w:shd w:val="clear" w:color="auto" w:fill="C6EFCE"/>
            <w:noWrap/>
          </w:tcPr>
          <w:p w14:paraId="67E033DB"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082" w:type="dxa"/>
            <w:shd w:val="clear" w:color="auto" w:fill="C6EFCE"/>
            <w:noWrap/>
          </w:tcPr>
          <w:p w14:paraId="1F32340C"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Q2</w:t>
            </w:r>
          </w:p>
        </w:tc>
        <w:tc>
          <w:tcPr>
            <w:tcW w:w="820" w:type="dxa"/>
            <w:shd w:val="clear" w:color="auto" w:fill="C6EFCE"/>
            <w:noWrap/>
          </w:tcPr>
          <w:p w14:paraId="640381E1"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2022</w:t>
            </w:r>
          </w:p>
        </w:tc>
        <w:tc>
          <w:tcPr>
            <w:tcW w:w="3168" w:type="dxa"/>
            <w:shd w:val="clear" w:color="auto" w:fill="C6EFCE"/>
            <w:noWrap/>
          </w:tcPr>
          <w:p w14:paraId="759A868D"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The legislative act shall transpose the Directive (EU) 2019/1153 as well as introduce several changes related to the extension of the institutional mandate, addressing issues such as: administration and valorisation of seized property and collaboration with other relevant bodies in the process of recovering damages. </w:t>
            </w:r>
          </w:p>
          <w:p w14:paraId="4428CC0E" w14:textId="77777777" w:rsidR="00550A54" w:rsidRPr="00BD01A2" w:rsidRDefault="00550A54">
            <w:pPr>
              <w:spacing w:after="0" w:line="240" w:lineRule="auto"/>
              <w:rPr>
                <w:rFonts w:ascii="Times New Roman" w:hAnsi="Times New Roman" w:cs="Times New Roman"/>
                <w:noProof/>
                <w:sz w:val="20"/>
                <w:szCs w:val="20"/>
                <w:lang w:val="en-GB"/>
              </w:rPr>
            </w:pPr>
          </w:p>
        </w:tc>
      </w:tr>
      <w:tr w:rsidR="00550A54" w:rsidRPr="00BD01A2" w14:paraId="44A599E5" w14:textId="77777777">
        <w:trPr>
          <w:trHeight w:val="309"/>
        </w:trPr>
        <w:tc>
          <w:tcPr>
            <w:tcW w:w="822" w:type="dxa"/>
            <w:shd w:val="clear" w:color="auto" w:fill="C6EFCE"/>
            <w:noWrap/>
          </w:tcPr>
          <w:p w14:paraId="7BFB051D" w14:textId="77777777" w:rsidR="00550A54" w:rsidRPr="00BD01A2" w:rsidRDefault="00550A54">
            <w:pPr>
              <w:spacing w:after="0" w:line="240" w:lineRule="auto"/>
              <w:jc w:val="center"/>
              <w:rPr>
                <w:rFonts w:ascii="Times New Roman" w:eastAsia="Times New Roman" w:hAnsi="Times New Roman" w:cs="Times New Roman"/>
                <w:noProof/>
                <w:color w:val="000000" w:themeColor="text1"/>
                <w:sz w:val="20"/>
                <w:szCs w:val="20"/>
              </w:rPr>
            </w:pPr>
            <w:r w:rsidRPr="00BD01A2">
              <w:rPr>
                <w:rFonts w:ascii="Times New Roman" w:eastAsia="Times New Roman" w:hAnsi="Times New Roman" w:cs="Times New Roman"/>
                <w:noProof/>
                <w:color w:val="000000" w:themeColor="text1"/>
                <w:sz w:val="20"/>
                <w:szCs w:val="20"/>
                <w:lang w:val="en-GB"/>
              </w:rPr>
              <w:t>423</w:t>
            </w:r>
          </w:p>
        </w:tc>
        <w:tc>
          <w:tcPr>
            <w:tcW w:w="2166" w:type="dxa"/>
            <w:shd w:val="clear" w:color="auto" w:fill="C6EFCE"/>
            <w:noWrap/>
          </w:tcPr>
          <w:p w14:paraId="68002B89" w14:textId="77777777" w:rsidR="00550A54" w:rsidRPr="00BD01A2" w:rsidRDefault="00550A54">
            <w:pPr>
              <w:spacing w:after="0" w:line="240" w:lineRule="auto"/>
              <w:jc w:val="both"/>
              <w:rPr>
                <w:rFonts w:ascii="Times New Roman" w:eastAsia="Times New Roman" w:hAnsi="Times New Roman" w:cs="Times New Roman"/>
                <w:noProof/>
                <w:color w:val="000000" w:themeColor="text1"/>
                <w:sz w:val="20"/>
                <w:szCs w:val="20"/>
                <w:lang w:val="en-GB"/>
              </w:rPr>
            </w:pPr>
            <w:r w:rsidRPr="00BD01A2">
              <w:rPr>
                <w:rFonts w:ascii="Times New Roman" w:eastAsia="Times New Roman" w:hAnsi="Times New Roman" w:cs="Times New Roman"/>
                <w:noProof/>
                <w:color w:val="000000" w:themeColor="text1"/>
                <w:sz w:val="20"/>
                <w:szCs w:val="20"/>
                <w:lang w:val="en-GB"/>
              </w:rPr>
              <w:t>Reform 5. Ensuring the independence of the judiciary, enhancing its quality and efficiency</w:t>
            </w:r>
          </w:p>
        </w:tc>
        <w:tc>
          <w:tcPr>
            <w:tcW w:w="1320" w:type="dxa"/>
            <w:shd w:val="clear" w:color="auto" w:fill="C6EFCE"/>
            <w:noWrap/>
          </w:tcPr>
          <w:p w14:paraId="6993064D" w14:textId="77777777" w:rsidR="00550A54" w:rsidRPr="00BD01A2" w:rsidRDefault="00550A54">
            <w:pPr>
              <w:spacing w:after="0" w:line="240" w:lineRule="auto"/>
              <w:rPr>
                <w:rFonts w:ascii="Times New Roman" w:eastAsia="Times New Roman" w:hAnsi="Times New Roman" w:cs="Times New Roman"/>
                <w:noProof/>
                <w:color w:val="000000" w:themeColor="text1"/>
                <w:sz w:val="20"/>
                <w:szCs w:val="20"/>
              </w:rPr>
            </w:pPr>
            <w:r w:rsidRPr="00BD01A2">
              <w:rPr>
                <w:rFonts w:ascii="Times New Roman" w:eastAsia="Times New Roman" w:hAnsi="Times New Roman" w:cs="Times New Roman"/>
                <w:noProof/>
                <w:color w:val="000000" w:themeColor="text1"/>
                <w:sz w:val="20"/>
                <w:szCs w:val="20"/>
                <w:lang w:val="en-GB"/>
              </w:rPr>
              <w:t>Milestone</w:t>
            </w:r>
          </w:p>
        </w:tc>
        <w:tc>
          <w:tcPr>
            <w:tcW w:w="1626" w:type="dxa"/>
            <w:shd w:val="clear" w:color="auto" w:fill="C6EFCE"/>
            <w:noWrap/>
          </w:tcPr>
          <w:p w14:paraId="4865A884" w14:textId="77777777" w:rsidR="00550A54" w:rsidRPr="00BD01A2" w:rsidRDefault="00550A54">
            <w:pPr>
              <w:spacing w:after="0" w:line="240" w:lineRule="auto"/>
              <w:jc w:val="both"/>
              <w:rPr>
                <w:rFonts w:ascii="Times New Roman" w:eastAsia="Times New Roman" w:hAnsi="Times New Roman" w:cs="Times New Roman"/>
                <w:noProof/>
                <w:color w:val="000000" w:themeColor="text1"/>
                <w:sz w:val="20"/>
                <w:szCs w:val="20"/>
                <w:lang w:val="en-GB"/>
              </w:rPr>
            </w:pPr>
            <w:r w:rsidRPr="00BD01A2">
              <w:rPr>
                <w:rFonts w:ascii="Times New Roman" w:eastAsia="Times New Roman" w:hAnsi="Times New Roman" w:cs="Times New Roman"/>
                <w:noProof/>
                <w:color w:val="000000" w:themeColor="text1"/>
                <w:sz w:val="20"/>
                <w:szCs w:val="20"/>
                <w:lang w:val="en-GB"/>
              </w:rPr>
              <w:t>Entry into force of the “Justice laws” (laws on the status of magistrates, judicial organisation, Superior Council of Magistracy)</w:t>
            </w:r>
          </w:p>
        </w:tc>
        <w:tc>
          <w:tcPr>
            <w:tcW w:w="1547" w:type="dxa"/>
            <w:shd w:val="clear" w:color="auto" w:fill="C6EFCE"/>
            <w:noWrap/>
          </w:tcPr>
          <w:p w14:paraId="7EFEA30C" w14:textId="77777777" w:rsidR="00550A54" w:rsidRPr="00BD01A2" w:rsidRDefault="00550A54">
            <w:pPr>
              <w:spacing w:after="0" w:line="240" w:lineRule="auto"/>
              <w:jc w:val="both"/>
              <w:rPr>
                <w:rFonts w:ascii="Times New Roman" w:eastAsia="Times New Roman" w:hAnsi="Times New Roman" w:cs="Times New Roman"/>
                <w:noProof/>
                <w:color w:val="000000" w:themeColor="text1"/>
                <w:sz w:val="20"/>
                <w:szCs w:val="20"/>
                <w:lang w:val="en-GB"/>
              </w:rPr>
            </w:pPr>
            <w:r w:rsidRPr="00BD01A2">
              <w:rPr>
                <w:rFonts w:ascii="Times New Roman" w:eastAsia="Times New Roman" w:hAnsi="Times New Roman" w:cs="Times New Roman"/>
                <w:noProof/>
                <w:color w:val="000000" w:themeColor="text1"/>
                <w:sz w:val="20"/>
                <w:szCs w:val="20"/>
                <w:lang w:val="en-GB"/>
              </w:rPr>
              <w:t xml:space="preserve">Provision in each law indicating its entry into force </w:t>
            </w:r>
          </w:p>
        </w:tc>
        <w:tc>
          <w:tcPr>
            <w:tcW w:w="1344" w:type="dxa"/>
            <w:shd w:val="clear" w:color="auto" w:fill="C6EFCE"/>
            <w:noWrap/>
          </w:tcPr>
          <w:p w14:paraId="09C1EE10" w14:textId="77777777" w:rsidR="00550A54" w:rsidRPr="00BD01A2" w:rsidRDefault="00550A54">
            <w:pPr>
              <w:spacing w:after="0" w:line="240" w:lineRule="auto"/>
              <w:rPr>
                <w:rFonts w:ascii="Times New Roman" w:eastAsia="Times New Roman" w:hAnsi="Times New Roman" w:cs="Times New Roman"/>
                <w:noProof/>
                <w:color w:val="000000" w:themeColor="text1"/>
                <w:sz w:val="20"/>
                <w:szCs w:val="20"/>
                <w:lang w:val="en-GB"/>
              </w:rPr>
            </w:pPr>
            <w:r w:rsidRPr="00BD01A2">
              <w:rPr>
                <w:rFonts w:ascii="Times New Roman" w:eastAsia="Times New Roman" w:hAnsi="Times New Roman" w:cs="Times New Roman"/>
                <w:noProof/>
                <w:color w:val="000000" w:themeColor="text1"/>
                <w:sz w:val="20"/>
                <w:szCs w:val="20"/>
                <w:lang w:val="en-GB"/>
              </w:rPr>
              <w:t xml:space="preserve"> </w:t>
            </w:r>
          </w:p>
        </w:tc>
        <w:tc>
          <w:tcPr>
            <w:tcW w:w="1109" w:type="dxa"/>
            <w:shd w:val="clear" w:color="auto" w:fill="C6EFCE"/>
            <w:noWrap/>
          </w:tcPr>
          <w:p w14:paraId="6FD68219" w14:textId="77777777" w:rsidR="00550A54" w:rsidRPr="00BD01A2" w:rsidRDefault="00550A54">
            <w:pPr>
              <w:spacing w:after="0" w:line="240" w:lineRule="auto"/>
              <w:rPr>
                <w:rFonts w:ascii="Times New Roman" w:eastAsia="Times New Roman" w:hAnsi="Times New Roman" w:cs="Times New Roman"/>
                <w:noProof/>
                <w:color w:val="000000" w:themeColor="text1"/>
                <w:sz w:val="20"/>
                <w:szCs w:val="20"/>
                <w:lang w:val="en-GB"/>
              </w:rPr>
            </w:pPr>
            <w:r w:rsidRPr="00BD01A2">
              <w:rPr>
                <w:rFonts w:ascii="Times New Roman" w:eastAsia="Times New Roman" w:hAnsi="Times New Roman" w:cs="Times New Roman"/>
                <w:noProof/>
                <w:color w:val="000000" w:themeColor="text1"/>
                <w:sz w:val="20"/>
                <w:szCs w:val="20"/>
                <w:lang w:val="en-GB"/>
              </w:rPr>
              <w:t xml:space="preserve"> </w:t>
            </w:r>
          </w:p>
        </w:tc>
        <w:tc>
          <w:tcPr>
            <w:tcW w:w="872" w:type="dxa"/>
            <w:shd w:val="clear" w:color="auto" w:fill="C6EFCE"/>
            <w:noWrap/>
          </w:tcPr>
          <w:p w14:paraId="1349F252" w14:textId="77777777" w:rsidR="00550A54" w:rsidRPr="00BD01A2" w:rsidRDefault="00550A54">
            <w:pPr>
              <w:spacing w:after="0" w:line="240" w:lineRule="auto"/>
              <w:rPr>
                <w:rFonts w:ascii="Times New Roman" w:eastAsia="Times New Roman" w:hAnsi="Times New Roman" w:cs="Times New Roman"/>
                <w:noProof/>
                <w:color w:val="000000" w:themeColor="text1"/>
                <w:sz w:val="20"/>
                <w:szCs w:val="20"/>
                <w:lang w:val="en-GB"/>
              </w:rPr>
            </w:pPr>
            <w:r w:rsidRPr="00BD01A2">
              <w:rPr>
                <w:rFonts w:ascii="Times New Roman" w:eastAsia="Times New Roman" w:hAnsi="Times New Roman" w:cs="Times New Roman"/>
                <w:noProof/>
                <w:color w:val="000000" w:themeColor="text1"/>
                <w:sz w:val="20"/>
                <w:szCs w:val="20"/>
                <w:lang w:val="en-GB"/>
              </w:rPr>
              <w:t xml:space="preserve"> </w:t>
            </w:r>
          </w:p>
        </w:tc>
        <w:tc>
          <w:tcPr>
            <w:tcW w:w="1082" w:type="dxa"/>
            <w:shd w:val="clear" w:color="auto" w:fill="C6EFCE"/>
            <w:noWrap/>
          </w:tcPr>
          <w:p w14:paraId="16E1E35F" w14:textId="77777777" w:rsidR="00550A54" w:rsidRPr="00BD01A2" w:rsidRDefault="00550A54">
            <w:pPr>
              <w:spacing w:after="0" w:line="240" w:lineRule="auto"/>
              <w:jc w:val="center"/>
              <w:rPr>
                <w:rFonts w:ascii="Times New Roman" w:eastAsia="Times New Roman" w:hAnsi="Times New Roman" w:cs="Times New Roman"/>
                <w:noProof/>
                <w:color w:val="000000" w:themeColor="text1"/>
                <w:sz w:val="20"/>
                <w:szCs w:val="20"/>
              </w:rPr>
            </w:pPr>
            <w:r w:rsidRPr="00BD01A2">
              <w:rPr>
                <w:rFonts w:ascii="Times New Roman" w:eastAsia="Times New Roman" w:hAnsi="Times New Roman" w:cs="Times New Roman"/>
                <w:noProof/>
                <w:color w:val="000000" w:themeColor="text1"/>
                <w:sz w:val="20"/>
                <w:szCs w:val="20"/>
                <w:lang w:val="en-GB"/>
              </w:rPr>
              <w:t>Q2</w:t>
            </w:r>
          </w:p>
        </w:tc>
        <w:tc>
          <w:tcPr>
            <w:tcW w:w="820" w:type="dxa"/>
            <w:shd w:val="clear" w:color="auto" w:fill="C6EFCE"/>
            <w:noWrap/>
          </w:tcPr>
          <w:p w14:paraId="72DC7419" w14:textId="77777777" w:rsidR="00550A54" w:rsidRPr="00BD01A2" w:rsidRDefault="00550A54">
            <w:pPr>
              <w:spacing w:after="0" w:line="240" w:lineRule="auto"/>
              <w:rPr>
                <w:rFonts w:ascii="Times New Roman" w:eastAsia="Times New Roman" w:hAnsi="Times New Roman" w:cs="Times New Roman"/>
                <w:noProof/>
                <w:color w:val="000000" w:themeColor="text1"/>
                <w:sz w:val="20"/>
                <w:szCs w:val="20"/>
              </w:rPr>
            </w:pPr>
            <w:r w:rsidRPr="00BD01A2">
              <w:rPr>
                <w:rFonts w:ascii="Times New Roman" w:eastAsia="Times New Roman" w:hAnsi="Times New Roman" w:cs="Times New Roman"/>
                <w:noProof/>
                <w:color w:val="000000" w:themeColor="text1"/>
                <w:sz w:val="20"/>
                <w:szCs w:val="20"/>
                <w:lang w:val="en-GB"/>
              </w:rPr>
              <w:t>2023</w:t>
            </w:r>
          </w:p>
        </w:tc>
        <w:tc>
          <w:tcPr>
            <w:tcW w:w="3168" w:type="dxa"/>
            <w:shd w:val="clear" w:color="auto" w:fill="C6EFCE"/>
            <w:noWrap/>
          </w:tcPr>
          <w:p w14:paraId="0E5ED2F4" w14:textId="77777777" w:rsidR="00550A54" w:rsidRPr="00BD01A2" w:rsidRDefault="00550A54">
            <w:pPr>
              <w:spacing w:after="0" w:line="240" w:lineRule="auto"/>
              <w:jc w:val="both"/>
              <w:rPr>
                <w:rFonts w:ascii="Times New Roman" w:eastAsia="Times New Roman" w:hAnsi="Times New Roman" w:cs="Times New Roman"/>
                <w:noProof/>
                <w:color w:val="000000" w:themeColor="text1"/>
                <w:sz w:val="20"/>
                <w:szCs w:val="20"/>
                <w:lang w:val="en-GB"/>
              </w:rPr>
            </w:pPr>
            <w:r w:rsidRPr="00BD01A2">
              <w:rPr>
                <w:rFonts w:ascii="Times New Roman" w:eastAsia="Times New Roman" w:hAnsi="Times New Roman" w:cs="Times New Roman"/>
                <w:noProof/>
                <w:color w:val="000000" w:themeColor="text1"/>
                <w:sz w:val="20"/>
                <w:szCs w:val="20"/>
                <w:lang w:val="en-GB"/>
              </w:rPr>
              <w:t xml:space="preserve">The new justice laws shall provide for </w:t>
            </w:r>
            <w:r w:rsidRPr="00BD01A2">
              <w:rPr>
                <w:rFonts w:ascii="Times New Roman" w:eastAsia="Times New Roman" w:hAnsi="Times New Roman" w:cs="Times New Roman"/>
                <w:noProof/>
                <w:sz w:val="20"/>
                <w:szCs w:val="20"/>
                <w:lang w:val="en-GB"/>
              </w:rPr>
              <w:t>increased</w:t>
            </w:r>
            <w:r w:rsidRPr="00BD01A2">
              <w:rPr>
                <w:rFonts w:ascii="Times New Roman" w:eastAsia="Times New Roman" w:hAnsi="Times New Roman" w:cs="Times New Roman"/>
                <w:noProof/>
                <w:color w:val="D13438"/>
                <w:sz w:val="20"/>
                <w:szCs w:val="20"/>
                <w:u w:val="single"/>
                <w:lang w:val="en-GB"/>
              </w:rPr>
              <w:t xml:space="preserve"> </w:t>
            </w:r>
            <w:r w:rsidRPr="00BD01A2">
              <w:rPr>
                <w:rFonts w:ascii="Times New Roman" w:eastAsia="Times New Roman" w:hAnsi="Times New Roman" w:cs="Times New Roman"/>
                <w:noProof/>
                <w:color w:val="000000" w:themeColor="text1"/>
                <w:sz w:val="20"/>
                <w:szCs w:val="20"/>
                <w:lang w:val="en-GB"/>
              </w:rPr>
              <w:t>independence of judges and prosecutors, admission to the profession of magistrate</w:t>
            </w:r>
          </w:p>
          <w:p w14:paraId="66CF9575"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eastAsia="Times New Roman" w:hAnsi="Times New Roman" w:cs="Times New Roman"/>
                <w:noProof/>
                <w:color w:val="000000" w:themeColor="text1"/>
                <w:sz w:val="20"/>
                <w:szCs w:val="20"/>
                <w:lang w:val="en-GB"/>
              </w:rPr>
              <w:t>and career advancement on meritocratic grounds, the accountability of magistrates, as well as their protection against any interference and abuse.</w:t>
            </w:r>
          </w:p>
        </w:tc>
      </w:tr>
      <w:tr w:rsidR="00550A54" w:rsidRPr="00BD01A2" w14:paraId="232A7AC1" w14:textId="77777777">
        <w:trPr>
          <w:trHeight w:val="309"/>
        </w:trPr>
        <w:tc>
          <w:tcPr>
            <w:tcW w:w="822" w:type="dxa"/>
            <w:shd w:val="clear" w:color="auto" w:fill="C6EFCE"/>
            <w:noWrap/>
          </w:tcPr>
          <w:p w14:paraId="200DD1B7"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424</w:t>
            </w:r>
          </w:p>
        </w:tc>
        <w:tc>
          <w:tcPr>
            <w:tcW w:w="2166" w:type="dxa"/>
            <w:shd w:val="clear" w:color="auto" w:fill="C6EFCE"/>
            <w:noWrap/>
          </w:tcPr>
          <w:p w14:paraId="4D33260F"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Reform 5. Ensuring the independence of the judiciary, enhancing its quality and efficiency</w:t>
            </w:r>
          </w:p>
        </w:tc>
        <w:tc>
          <w:tcPr>
            <w:tcW w:w="1320" w:type="dxa"/>
            <w:shd w:val="clear" w:color="auto" w:fill="C6EFCE"/>
            <w:noWrap/>
          </w:tcPr>
          <w:p w14:paraId="3E47D95A"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656A2B9B" w14:textId="77777777" w:rsidR="00550A54" w:rsidRPr="00BD01A2" w:rsidRDefault="00550A54">
            <w:pPr>
              <w:spacing w:after="0" w:line="240" w:lineRule="auto"/>
              <w:jc w:val="both"/>
              <w:rPr>
                <w:rFonts w:ascii="Times New Roman" w:hAnsi="Times New Roman" w:cs="Times New Roman"/>
                <w:noProof/>
                <w:sz w:val="20"/>
                <w:szCs w:val="20"/>
                <w:lang w:val="en-GB"/>
              </w:rPr>
            </w:pPr>
            <w:bookmarkStart w:id="31" w:name="_Hlk80360815"/>
            <w:r w:rsidRPr="00BD01A2">
              <w:rPr>
                <w:rFonts w:ascii="Times New Roman" w:hAnsi="Times New Roman" w:cs="Times New Roman"/>
                <w:noProof/>
                <w:sz w:val="20"/>
                <w:szCs w:val="20"/>
                <w:lang w:val="en-GB"/>
              </w:rPr>
              <w:t xml:space="preserve">Amendment of the Criminal Code and Criminal Procedure Code </w:t>
            </w:r>
            <w:bookmarkEnd w:id="31"/>
          </w:p>
        </w:tc>
        <w:tc>
          <w:tcPr>
            <w:tcW w:w="1547" w:type="dxa"/>
            <w:shd w:val="clear" w:color="auto" w:fill="C6EFCE"/>
            <w:noWrap/>
          </w:tcPr>
          <w:p w14:paraId="3517D850"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Provision in the law indicating entry into force of the law </w:t>
            </w:r>
          </w:p>
        </w:tc>
        <w:tc>
          <w:tcPr>
            <w:tcW w:w="1344" w:type="dxa"/>
            <w:shd w:val="clear" w:color="auto" w:fill="C6EFCE"/>
            <w:noWrap/>
          </w:tcPr>
          <w:p w14:paraId="6ED24A54" w14:textId="77777777" w:rsidR="00550A54" w:rsidRPr="00BD01A2" w:rsidRDefault="00550A54">
            <w:pPr>
              <w:spacing w:after="0" w:line="240" w:lineRule="auto"/>
              <w:rPr>
                <w:rFonts w:ascii="Times New Roman" w:hAnsi="Times New Roman" w:cs="Times New Roman"/>
                <w:noProof/>
                <w:sz w:val="20"/>
                <w:szCs w:val="20"/>
                <w:lang w:val="en-GB"/>
              </w:rPr>
            </w:pPr>
          </w:p>
        </w:tc>
        <w:tc>
          <w:tcPr>
            <w:tcW w:w="1109" w:type="dxa"/>
            <w:shd w:val="clear" w:color="auto" w:fill="C6EFCE"/>
            <w:noWrap/>
          </w:tcPr>
          <w:p w14:paraId="147A6D7B" w14:textId="77777777" w:rsidR="00550A54" w:rsidRPr="00BD01A2" w:rsidRDefault="00550A54">
            <w:pPr>
              <w:spacing w:after="0" w:line="240" w:lineRule="auto"/>
              <w:rPr>
                <w:rFonts w:ascii="Times New Roman" w:hAnsi="Times New Roman" w:cs="Times New Roman"/>
                <w:noProof/>
                <w:sz w:val="20"/>
                <w:szCs w:val="20"/>
                <w:lang w:val="en-GB"/>
              </w:rPr>
            </w:pPr>
          </w:p>
        </w:tc>
        <w:tc>
          <w:tcPr>
            <w:tcW w:w="872" w:type="dxa"/>
            <w:shd w:val="clear" w:color="auto" w:fill="C6EFCE"/>
            <w:noWrap/>
          </w:tcPr>
          <w:p w14:paraId="37C6CFFD"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6126019D"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Q4</w:t>
            </w:r>
          </w:p>
        </w:tc>
        <w:tc>
          <w:tcPr>
            <w:tcW w:w="820" w:type="dxa"/>
            <w:shd w:val="clear" w:color="auto" w:fill="C6EFCE"/>
            <w:noWrap/>
          </w:tcPr>
          <w:p w14:paraId="0A18C2AC"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2022</w:t>
            </w:r>
          </w:p>
        </w:tc>
        <w:tc>
          <w:tcPr>
            <w:tcW w:w="3168" w:type="dxa"/>
            <w:shd w:val="clear" w:color="auto" w:fill="C6EFCE"/>
            <w:noWrap/>
          </w:tcPr>
          <w:p w14:paraId="72F103C4"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The necessary amendments of the Criminal Code and Criminal Procedure Code shall be adopted and enter into force in order to bring the provisions of the Criminal Code and the Criminal Procedure Code that entered into force in 2014 in line with the Constitutional provisions, in accordance with the relevant national Constitutional Court decisions on the constitutionality aspects of the recent changes made to the Criminal Code and Criminal procedure. </w:t>
            </w:r>
          </w:p>
        </w:tc>
      </w:tr>
      <w:tr w:rsidR="00550A54" w:rsidRPr="00BD01A2" w14:paraId="2FFF31C6" w14:textId="77777777">
        <w:trPr>
          <w:trHeight w:val="309"/>
        </w:trPr>
        <w:tc>
          <w:tcPr>
            <w:tcW w:w="822" w:type="dxa"/>
            <w:shd w:val="clear" w:color="auto" w:fill="C6EFCE"/>
            <w:noWrap/>
          </w:tcPr>
          <w:p w14:paraId="2FB3FE07"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426</w:t>
            </w:r>
          </w:p>
        </w:tc>
        <w:tc>
          <w:tcPr>
            <w:tcW w:w="2166" w:type="dxa"/>
            <w:shd w:val="clear" w:color="auto" w:fill="C6EFCE"/>
            <w:noWrap/>
          </w:tcPr>
          <w:p w14:paraId="27252A10"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Reform 6. Stepping up the fight against corruption </w:t>
            </w:r>
          </w:p>
        </w:tc>
        <w:tc>
          <w:tcPr>
            <w:tcW w:w="1320" w:type="dxa"/>
            <w:shd w:val="clear" w:color="auto" w:fill="C6EFCE"/>
            <w:noWrap/>
          </w:tcPr>
          <w:p w14:paraId="57CB6148"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305FED36"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Entry into force of the government decision approving new National Anti-Corruption Strategy </w:t>
            </w:r>
          </w:p>
        </w:tc>
        <w:tc>
          <w:tcPr>
            <w:tcW w:w="1547" w:type="dxa"/>
            <w:shd w:val="clear" w:color="auto" w:fill="C6EFCE"/>
            <w:noWrap/>
          </w:tcPr>
          <w:p w14:paraId="6B1BF33A"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Provision in the government decision indicating the adoption of the Anti-Corruption Strategy</w:t>
            </w:r>
          </w:p>
        </w:tc>
        <w:tc>
          <w:tcPr>
            <w:tcW w:w="1344" w:type="dxa"/>
            <w:shd w:val="clear" w:color="auto" w:fill="C6EFCE"/>
            <w:noWrap/>
          </w:tcPr>
          <w:p w14:paraId="2A4EE445"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109" w:type="dxa"/>
            <w:shd w:val="clear" w:color="auto" w:fill="C6EFCE"/>
            <w:noWrap/>
          </w:tcPr>
          <w:p w14:paraId="2F97E9A2"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872" w:type="dxa"/>
            <w:shd w:val="clear" w:color="auto" w:fill="C6EFCE"/>
            <w:noWrap/>
          </w:tcPr>
          <w:p w14:paraId="71EAB906"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082" w:type="dxa"/>
            <w:shd w:val="clear" w:color="auto" w:fill="C6EFCE"/>
            <w:noWrap/>
          </w:tcPr>
          <w:p w14:paraId="54C91ED4"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Q4</w:t>
            </w:r>
          </w:p>
        </w:tc>
        <w:tc>
          <w:tcPr>
            <w:tcW w:w="820" w:type="dxa"/>
            <w:shd w:val="clear" w:color="auto" w:fill="C6EFCE"/>
            <w:noWrap/>
          </w:tcPr>
          <w:p w14:paraId="42B08A66"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2021</w:t>
            </w:r>
          </w:p>
        </w:tc>
        <w:tc>
          <w:tcPr>
            <w:tcW w:w="3168" w:type="dxa"/>
            <w:shd w:val="clear" w:color="auto" w:fill="C6EFCE"/>
            <w:noWrap/>
          </w:tcPr>
          <w:p w14:paraId="09BA4DAA"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The general objectives of the new anti-corruption strategy shall be: </w:t>
            </w:r>
            <w:r w:rsidRPr="00BD01A2">
              <w:rPr>
                <w:rFonts w:ascii="Times New Roman" w:hAnsi="Times New Roman" w:cs="Times New Roman"/>
                <w:noProof/>
                <w:sz w:val="20"/>
                <w:szCs w:val="20"/>
                <w:lang w:val="en-GB"/>
              </w:rPr>
              <w:br/>
              <w:t>(1) Reducing the impact of corruption on citizens;</w:t>
            </w:r>
          </w:p>
          <w:p w14:paraId="4B4227BB" w14:textId="77777777" w:rsidR="00550A54" w:rsidRPr="00BD01A2" w:rsidRDefault="00550A54">
            <w:pPr>
              <w:spacing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(2) Strengthening integrity management and administrative capacity to prevent and fight corruption; </w:t>
            </w:r>
            <w:r w:rsidRPr="00BD01A2">
              <w:rPr>
                <w:rFonts w:ascii="Times New Roman" w:hAnsi="Times New Roman" w:cs="Times New Roman"/>
                <w:noProof/>
                <w:sz w:val="20"/>
                <w:szCs w:val="20"/>
                <w:lang w:val="en-GB"/>
              </w:rPr>
              <w:br/>
              <w:t xml:space="preserve">(3) Strengthening integrity in priority areas; </w:t>
            </w:r>
            <w:r w:rsidRPr="00BD01A2">
              <w:rPr>
                <w:rFonts w:ascii="Times New Roman" w:hAnsi="Times New Roman" w:cs="Times New Roman"/>
                <w:noProof/>
                <w:sz w:val="20"/>
                <w:szCs w:val="20"/>
                <w:lang w:val="en-GB"/>
              </w:rPr>
              <w:br/>
              <w:t xml:space="preserve">(4) Improve the performance of the fight against corruption by criminal and administrative means; </w:t>
            </w:r>
            <w:r w:rsidRPr="00BD01A2">
              <w:rPr>
                <w:rFonts w:ascii="Times New Roman" w:hAnsi="Times New Roman" w:cs="Times New Roman"/>
                <w:noProof/>
                <w:sz w:val="20"/>
                <w:szCs w:val="20"/>
                <w:lang w:val="en-GB"/>
              </w:rPr>
              <w:br/>
              <w:t>(5) Increase implementation of anti-corruption measures.</w:t>
            </w:r>
          </w:p>
          <w:p w14:paraId="43FB1AE2"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Specific objectives of the new anti-corruption strategy shall be:</w:t>
            </w:r>
          </w:p>
          <w:p w14:paraId="134323CD"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(1) training of practitioners involved in preventing and combating environmental crime; </w:t>
            </w:r>
          </w:p>
          <w:p w14:paraId="11C11ED5"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(2) allocating the necessary resources to the optimal functioning of DNA (National Anti-Corruption Directorate), the European Public Prosecutor Office support structure, the Technical Service and the reinforcement of judicial police officers; </w:t>
            </w:r>
          </w:p>
          <w:p w14:paraId="38C87D10"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(3) promoting the unification of judicial practice in corruption. In this regard, NAD shall conduct an analysis of judicial practice concerning corruption cases. </w:t>
            </w:r>
            <w:r w:rsidRPr="00BD01A2">
              <w:rPr>
                <w:rFonts w:ascii="Times New Roman" w:hAnsi="Times New Roman" w:cs="Times New Roman"/>
                <w:noProof/>
                <w:sz w:val="20"/>
                <w:szCs w:val="20"/>
                <w:lang w:val="en-GB"/>
              </w:rPr>
              <w:br/>
              <w:t>The new strategy shall set out new priority areas: environmental corruption, the link between corruption and organised crime, and integrity in the protection of cultural assets. It shall also review the integrity legislation and thus possible improvements shall be made regarding specific legislation concerning:</w:t>
            </w:r>
          </w:p>
          <w:p w14:paraId="7E72A4AD"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conflicts of interest, incompatibilities;</w:t>
            </w:r>
          </w:p>
          <w:p w14:paraId="0F248733"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declaration of assets;</w:t>
            </w:r>
          </w:p>
          <w:p w14:paraId="076356DE"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revolving door (pantouflage);</w:t>
            </w:r>
          </w:p>
          <w:p w14:paraId="090843FD"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the ethics adviser;</w:t>
            </w:r>
          </w:p>
          <w:p w14:paraId="1D250360"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the general standard for the ex officio publication of public interest information’s at the level of central and local public authorities (in order to ensure the consistency in the application).</w:t>
            </w:r>
          </w:p>
        </w:tc>
      </w:tr>
      <w:tr w:rsidR="00550A54" w:rsidRPr="00BD01A2" w14:paraId="5B687CF5" w14:textId="77777777">
        <w:trPr>
          <w:trHeight w:val="309"/>
        </w:trPr>
        <w:tc>
          <w:tcPr>
            <w:tcW w:w="822" w:type="dxa"/>
            <w:shd w:val="clear" w:color="auto" w:fill="C6EFCE"/>
            <w:noWrap/>
          </w:tcPr>
          <w:p w14:paraId="6C253FBC"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427</w:t>
            </w:r>
          </w:p>
        </w:tc>
        <w:tc>
          <w:tcPr>
            <w:tcW w:w="2166" w:type="dxa"/>
            <w:shd w:val="clear" w:color="auto" w:fill="C6EFCE"/>
            <w:noWrap/>
          </w:tcPr>
          <w:p w14:paraId="6C0B0216"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Reform 6. Stepping up the fight against corruption </w:t>
            </w:r>
          </w:p>
        </w:tc>
        <w:tc>
          <w:tcPr>
            <w:tcW w:w="1320" w:type="dxa"/>
            <w:shd w:val="clear" w:color="auto" w:fill="C6EFCE"/>
            <w:noWrap/>
          </w:tcPr>
          <w:p w14:paraId="7D5BEA51"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Target</w:t>
            </w:r>
          </w:p>
        </w:tc>
        <w:tc>
          <w:tcPr>
            <w:tcW w:w="1626" w:type="dxa"/>
            <w:shd w:val="clear" w:color="auto" w:fill="C6EFCE"/>
            <w:noWrap/>
          </w:tcPr>
          <w:p w14:paraId="4A392E05"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An increase of the value of seized assets managed by the National Agency for the Management of Seized Assets</w:t>
            </w:r>
          </w:p>
        </w:tc>
        <w:tc>
          <w:tcPr>
            <w:tcW w:w="1547" w:type="dxa"/>
            <w:shd w:val="clear" w:color="auto" w:fill="C6EFCE"/>
            <w:noWrap/>
          </w:tcPr>
          <w:p w14:paraId="0EA754C1"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344" w:type="dxa"/>
            <w:shd w:val="clear" w:color="auto" w:fill="C6EFCE"/>
            <w:noWrap/>
          </w:tcPr>
          <w:p w14:paraId="446B28E9"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Percentage (%)</w:t>
            </w:r>
          </w:p>
        </w:tc>
        <w:tc>
          <w:tcPr>
            <w:tcW w:w="1109" w:type="dxa"/>
            <w:shd w:val="clear" w:color="auto" w:fill="C6EFCE"/>
            <w:noWrap/>
          </w:tcPr>
          <w:p w14:paraId="5E0D4058"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0</w:t>
            </w:r>
          </w:p>
        </w:tc>
        <w:tc>
          <w:tcPr>
            <w:tcW w:w="872" w:type="dxa"/>
            <w:shd w:val="clear" w:color="auto" w:fill="C6EFCE"/>
            <w:noWrap/>
          </w:tcPr>
          <w:p w14:paraId="3D6A57AC"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50</w:t>
            </w:r>
          </w:p>
        </w:tc>
        <w:tc>
          <w:tcPr>
            <w:tcW w:w="1082" w:type="dxa"/>
            <w:shd w:val="clear" w:color="auto" w:fill="C6EFCE"/>
            <w:noWrap/>
          </w:tcPr>
          <w:p w14:paraId="33B223F2"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Q4</w:t>
            </w:r>
          </w:p>
        </w:tc>
        <w:tc>
          <w:tcPr>
            <w:tcW w:w="820" w:type="dxa"/>
            <w:shd w:val="clear" w:color="auto" w:fill="C6EFCE"/>
            <w:noWrap/>
          </w:tcPr>
          <w:p w14:paraId="5419D92C"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2025</w:t>
            </w:r>
          </w:p>
        </w:tc>
        <w:tc>
          <w:tcPr>
            <w:tcW w:w="3168" w:type="dxa"/>
            <w:shd w:val="clear" w:color="auto" w:fill="C6EFCE"/>
            <w:noWrap/>
          </w:tcPr>
          <w:p w14:paraId="7EAD5A27" w14:textId="2979775C"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An</w:t>
            </w:r>
            <w:r w:rsidR="00D23D91" w:rsidRPr="00BD01A2">
              <w:rPr>
                <w:rFonts w:ascii="Times New Roman" w:hAnsi="Times New Roman" w:cs="Times New Roman"/>
                <w:noProof/>
                <w:sz w:val="20"/>
                <w:szCs w:val="20"/>
                <w:lang w:val="en-GB"/>
              </w:rPr>
              <w:t xml:space="preserve"> </w:t>
            </w:r>
            <w:r w:rsidRPr="00BD01A2">
              <w:rPr>
                <w:rFonts w:ascii="Times New Roman" w:hAnsi="Times New Roman" w:cs="Times New Roman"/>
                <w:noProof/>
                <w:sz w:val="20"/>
                <w:szCs w:val="20"/>
                <w:lang w:val="en-GB"/>
              </w:rPr>
              <w:t>increase in the value of seized assets managed by the National Agency for the Management of Seized Assets shall be attained. The baseline for this target shall be the value of the seized assets, managed by the Agency, in June 2021 (approximately 45 million Euro).</w:t>
            </w:r>
            <w:r w:rsidR="00D23D91" w:rsidRPr="00BD01A2">
              <w:rPr>
                <w:rFonts w:ascii="Times New Roman" w:hAnsi="Times New Roman" w:cs="Times New Roman"/>
                <w:noProof/>
                <w:sz w:val="20"/>
                <w:szCs w:val="20"/>
                <w:lang w:val="en-GB"/>
              </w:rPr>
              <w:t xml:space="preserve"> </w:t>
            </w:r>
          </w:p>
        </w:tc>
      </w:tr>
      <w:tr w:rsidR="00550A54" w:rsidRPr="00BD01A2" w14:paraId="4A637226" w14:textId="77777777">
        <w:trPr>
          <w:trHeight w:val="309"/>
        </w:trPr>
        <w:tc>
          <w:tcPr>
            <w:tcW w:w="822" w:type="dxa"/>
            <w:shd w:val="clear" w:color="auto" w:fill="C6EFCE"/>
            <w:noWrap/>
          </w:tcPr>
          <w:p w14:paraId="528EA755"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429</w:t>
            </w:r>
          </w:p>
        </w:tc>
        <w:tc>
          <w:tcPr>
            <w:tcW w:w="2166" w:type="dxa"/>
            <w:shd w:val="clear" w:color="auto" w:fill="C6EFCE"/>
            <w:noWrap/>
          </w:tcPr>
          <w:p w14:paraId="45B64A09"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Reform 6. Stepping up the fight against corruption </w:t>
            </w:r>
          </w:p>
        </w:tc>
        <w:tc>
          <w:tcPr>
            <w:tcW w:w="1320" w:type="dxa"/>
            <w:shd w:val="clear" w:color="auto" w:fill="C6EFCE"/>
            <w:noWrap/>
          </w:tcPr>
          <w:p w14:paraId="7D431328" w14:textId="77777777" w:rsidR="00550A54" w:rsidRPr="00BD01A2" w:rsidRDefault="00550A54">
            <w:pPr>
              <w:spacing w:after="0" w:line="240" w:lineRule="auto"/>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Target </w:t>
            </w:r>
          </w:p>
        </w:tc>
        <w:tc>
          <w:tcPr>
            <w:tcW w:w="1626" w:type="dxa"/>
            <w:shd w:val="clear" w:color="auto" w:fill="C6EFCE"/>
            <w:noWrap/>
          </w:tcPr>
          <w:p w14:paraId="1142E836"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Occupation rate of 85% of National Anti-Corruption Directorate prosecutor positions attained </w:t>
            </w:r>
          </w:p>
        </w:tc>
        <w:tc>
          <w:tcPr>
            <w:tcW w:w="1547" w:type="dxa"/>
            <w:shd w:val="clear" w:color="auto" w:fill="C6EFCE"/>
            <w:noWrap/>
          </w:tcPr>
          <w:p w14:paraId="4ED30AB3"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eastAsia="en-GB"/>
              </w:rPr>
            </w:pPr>
          </w:p>
        </w:tc>
        <w:tc>
          <w:tcPr>
            <w:tcW w:w="1344" w:type="dxa"/>
            <w:shd w:val="clear" w:color="auto" w:fill="C6EFCE"/>
            <w:noWrap/>
          </w:tcPr>
          <w:p w14:paraId="114E5FE1" w14:textId="77777777" w:rsidR="00550A54" w:rsidRPr="00BD01A2" w:rsidRDefault="00550A54">
            <w:pPr>
              <w:spacing w:after="0" w:line="240" w:lineRule="auto"/>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Percentage (%)</w:t>
            </w:r>
          </w:p>
          <w:p w14:paraId="06C0EEF8" w14:textId="77777777" w:rsidR="00550A54" w:rsidRPr="00BD01A2" w:rsidRDefault="00550A54">
            <w:pPr>
              <w:spacing w:after="0" w:line="240" w:lineRule="auto"/>
              <w:rPr>
                <w:rFonts w:ascii="Times New Roman" w:eastAsia="Times New Roman" w:hAnsi="Times New Roman" w:cs="Times New Roman"/>
                <w:noProof/>
                <w:sz w:val="20"/>
                <w:szCs w:val="20"/>
                <w:lang w:val="en-GB" w:eastAsia="en-GB"/>
              </w:rPr>
            </w:pPr>
          </w:p>
        </w:tc>
        <w:tc>
          <w:tcPr>
            <w:tcW w:w="1109" w:type="dxa"/>
            <w:shd w:val="clear" w:color="auto" w:fill="C6EFCE"/>
            <w:noWrap/>
          </w:tcPr>
          <w:p w14:paraId="329C445C" w14:textId="77777777" w:rsidR="00550A54" w:rsidRPr="00BD01A2" w:rsidRDefault="00550A54">
            <w:pPr>
              <w:spacing w:after="0" w:line="240" w:lineRule="auto"/>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0</w:t>
            </w:r>
          </w:p>
        </w:tc>
        <w:tc>
          <w:tcPr>
            <w:tcW w:w="872" w:type="dxa"/>
            <w:shd w:val="clear" w:color="auto" w:fill="C6EFCE"/>
          </w:tcPr>
          <w:p w14:paraId="2FF753F7" w14:textId="77777777" w:rsidR="00550A54" w:rsidRPr="00BD01A2" w:rsidRDefault="00550A54">
            <w:pPr>
              <w:spacing w:after="0" w:line="240" w:lineRule="auto"/>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85</w:t>
            </w:r>
          </w:p>
        </w:tc>
        <w:tc>
          <w:tcPr>
            <w:tcW w:w="1082" w:type="dxa"/>
            <w:shd w:val="clear" w:color="auto" w:fill="C6EFCE"/>
            <w:noWrap/>
          </w:tcPr>
          <w:p w14:paraId="3E5CFCB4" w14:textId="77777777" w:rsidR="00550A54" w:rsidRPr="00BD01A2" w:rsidRDefault="00550A54">
            <w:pPr>
              <w:spacing w:after="0" w:line="240" w:lineRule="auto"/>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Q2</w:t>
            </w:r>
          </w:p>
        </w:tc>
        <w:tc>
          <w:tcPr>
            <w:tcW w:w="820" w:type="dxa"/>
            <w:shd w:val="clear" w:color="auto" w:fill="C6EFCE"/>
            <w:noWrap/>
          </w:tcPr>
          <w:p w14:paraId="1057544B"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2023</w:t>
            </w:r>
          </w:p>
        </w:tc>
        <w:tc>
          <w:tcPr>
            <w:tcW w:w="3168" w:type="dxa"/>
            <w:shd w:val="clear" w:color="auto" w:fill="C6EFCE"/>
            <w:noWrap/>
          </w:tcPr>
          <w:p w14:paraId="01497EFE"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Occupation rate of 85% of National Anti-Corruption Directorate prosecutor positions attained. </w:t>
            </w:r>
          </w:p>
          <w:p w14:paraId="7B997D28" w14:textId="77777777" w:rsidR="00550A54" w:rsidRPr="00BD01A2" w:rsidRDefault="00550A54">
            <w:pPr>
              <w:spacing w:after="0" w:line="240" w:lineRule="auto"/>
              <w:rPr>
                <w:rFonts w:ascii="Times New Roman" w:eastAsia="Times New Roman" w:hAnsi="Times New Roman" w:cs="Times New Roman"/>
                <w:noProof/>
                <w:sz w:val="20"/>
                <w:szCs w:val="20"/>
                <w:lang w:val="en-GB" w:eastAsia="en-GB"/>
              </w:rPr>
            </w:pPr>
          </w:p>
        </w:tc>
      </w:tr>
      <w:tr w:rsidR="00550A54" w:rsidRPr="00BD01A2" w14:paraId="3BC17567" w14:textId="77777777">
        <w:trPr>
          <w:trHeight w:val="309"/>
        </w:trPr>
        <w:tc>
          <w:tcPr>
            <w:tcW w:w="822" w:type="dxa"/>
            <w:shd w:val="clear" w:color="auto" w:fill="C6EFCE"/>
            <w:noWrap/>
          </w:tcPr>
          <w:p w14:paraId="641F0288"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430</w:t>
            </w:r>
          </w:p>
        </w:tc>
        <w:tc>
          <w:tcPr>
            <w:tcW w:w="2166" w:type="dxa"/>
            <w:shd w:val="clear" w:color="auto" w:fill="C6EFCE"/>
            <w:noWrap/>
          </w:tcPr>
          <w:p w14:paraId="14B0F65F"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Reform 6. Stepping up the fight against corruption </w:t>
            </w:r>
          </w:p>
        </w:tc>
        <w:tc>
          <w:tcPr>
            <w:tcW w:w="1320" w:type="dxa"/>
            <w:shd w:val="clear" w:color="auto" w:fill="C6EFCE"/>
            <w:noWrap/>
          </w:tcPr>
          <w:p w14:paraId="63E8619E"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Milestone </w:t>
            </w:r>
          </w:p>
          <w:p w14:paraId="64F5D2B2" w14:textId="77777777" w:rsidR="00550A54" w:rsidRPr="00BD01A2" w:rsidRDefault="00550A54">
            <w:pPr>
              <w:spacing w:after="0" w:line="240" w:lineRule="auto"/>
              <w:jc w:val="both"/>
              <w:rPr>
                <w:rFonts w:ascii="Times New Roman" w:hAnsi="Times New Roman" w:cs="Times New Roman"/>
                <w:noProof/>
                <w:sz w:val="20"/>
                <w:szCs w:val="20"/>
                <w:lang w:val="en-GB"/>
              </w:rPr>
            </w:pPr>
          </w:p>
          <w:p w14:paraId="45A0F0DF" w14:textId="77777777" w:rsidR="00550A54" w:rsidRPr="00BD01A2" w:rsidRDefault="00550A54">
            <w:pPr>
              <w:spacing w:after="0" w:line="240" w:lineRule="auto"/>
              <w:rPr>
                <w:rFonts w:ascii="Times New Roman" w:hAnsi="Times New Roman" w:cs="Times New Roman"/>
                <w:noProof/>
                <w:sz w:val="20"/>
                <w:szCs w:val="20"/>
                <w:lang w:val="en-GB"/>
              </w:rPr>
            </w:pPr>
          </w:p>
        </w:tc>
        <w:tc>
          <w:tcPr>
            <w:tcW w:w="1626" w:type="dxa"/>
            <w:shd w:val="clear" w:color="auto" w:fill="C6EFCE"/>
            <w:noWrap/>
          </w:tcPr>
          <w:p w14:paraId="4A457EAB"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Entry into force of the law on whistle-blowers’ protection</w:t>
            </w:r>
          </w:p>
          <w:p w14:paraId="67192FEC" w14:textId="77777777" w:rsidR="00550A54" w:rsidRPr="00BD01A2" w:rsidRDefault="00550A54">
            <w:pPr>
              <w:spacing w:after="0" w:line="240" w:lineRule="auto"/>
              <w:jc w:val="both"/>
              <w:rPr>
                <w:rFonts w:ascii="Times New Roman" w:hAnsi="Times New Roman" w:cs="Times New Roman"/>
                <w:strike/>
                <w:noProof/>
                <w:sz w:val="20"/>
                <w:szCs w:val="20"/>
                <w:lang w:val="en-GB"/>
              </w:rPr>
            </w:pPr>
          </w:p>
        </w:tc>
        <w:tc>
          <w:tcPr>
            <w:tcW w:w="1547" w:type="dxa"/>
            <w:shd w:val="clear" w:color="auto" w:fill="C6EFCE"/>
            <w:noWrap/>
          </w:tcPr>
          <w:p w14:paraId="4C506DB7"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Provision in the law indicating entry into force of the law</w:t>
            </w:r>
          </w:p>
        </w:tc>
        <w:tc>
          <w:tcPr>
            <w:tcW w:w="1344" w:type="dxa"/>
            <w:shd w:val="clear" w:color="auto" w:fill="C6EFCE"/>
            <w:noWrap/>
          </w:tcPr>
          <w:p w14:paraId="448DDE6C" w14:textId="77777777" w:rsidR="00550A54" w:rsidRPr="00BD01A2" w:rsidRDefault="00550A54">
            <w:pPr>
              <w:spacing w:after="0" w:line="240" w:lineRule="auto"/>
              <w:rPr>
                <w:rFonts w:ascii="Times New Roman" w:hAnsi="Times New Roman" w:cs="Times New Roman"/>
                <w:noProof/>
                <w:sz w:val="20"/>
                <w:szCs w:val="20"/>
                <w:lang w:val="en-GB"/>
              </w:rPr>
            </w:pPr>
          </w:p>
        </w:tc>
        <w:tc>
          <w:tcPr>
            <w:tcW w:w="1109" w:type="dxa"/>
            <w:shd w:val="clear" w:color="auto" w:fill="C6EFCE"/>
            <w:noWrap/>
          </w:tcPr>
          <w:p w14:paraId="119AA004" w14:textId="77777777" w:rsidR="00550A54" w:rsidRPr="00BD01A2" w:rsidRDefault="00550A54">
            <w:pPr>
              <w:spacing w:after="0" w:line="240" w:lineRule="auto"/>
              <w:rPr>
                <w:rFonts w:ascii="Times New Roman" w:hAnsi="Times New Roman" w:cs="Times New Roman"/>
                <w:noProof/>
                <w:sz w:val="20"/>
                <w:szCs w:val="20"/>
                <w:lang w:val="en-GB"/>
              </w:rPr>
            </w:pPr>
          </w:p>
        </w:tc>
        <w:tc>
          <w:tcPr>
            <w:tcW w:w="872" w:type="dxa"/>
            <w:shd w:val="clear" w:color="auto" w:fill="C6EFCE"/>
          </w:tcPr>
          <w:p w14:paraId="73F97791"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446CE5C5"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Q1</w:t>
            </w:r>
          </w:p>
        </w:tc>
        <w:tc>
          <w:tcPr>
            <w:tcW w:w="820" w:type="dxa"/>
            <w:shd w:val="clear" w:color="auto" w:fill="C6EFCE"/>
            <w:noWrap/>
          </w:tcPr>
          <w:p w14:paraId="20B78638"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2022</w:t>
            </w:r>
          </w:p>
        </w:tc>
        <w:tc>
          <w:tcPr>
            <w:tcW w:w="3168" w:type="dxa"/>
            <w:shd w:val="clear" w:color="auto" w:fill="C6EFCE"/>
            <w:noWrap/>
          </w:tcPr>
          <w:p w14:paraId="3BA4C90B"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Entry into force of the law on the whistle-blowers’ protection. The law shall transpose Directive (EU) 2019/1937 on the protection of persons who report breaches of Union law, and shall include additional provisions, specific to the national context, in order to efficiently address integrity policy issues. </w:t>
            </w:r>
          </w:p>
        </w:tc>
      </w:tr>
      <w:tr w:rsidR="00550A54" w:rsidRPr="00BD01A2" w14:paraId="535857A4" w14:textId="77777777">
        <w:trPr>
          <w:trHeight w:val="309"/>
        </w:trPr>
        <w:tc>
          <w:tcPr>
            <w:tcW w:w="822" w:type="dxa"/>
            <w:shd w:val="clear" w:color="auto" w:fill="C6EFCE"/>
            <w:noWrap/>
          </w:tcPr>
          <w:p w14:paraId="07C1B20F"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431</w:t>
            </w:r>
          </w:p>
        </w:tc>
        <w:tc>
          <w:tcPr>
            <w:tcW w:w="2166" w:type="dxa"/>
            <w:shd w:val="clear" w:color="auto" w:fill="C6EFCE"/>
            <w:noWrap/>
          </w:tcPr>
          <w:p w14:paraId="2CD8A16C"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Reform 7. Updating the integrity legal framework for the civil service</w:t>
            </w:r>
          </w:p>
        </w:tc>
        <w:tc>
          <w:tcPr>
            <w:tcW w:w="1320" w:type="dxa"/>
            <w:shd w:val="clear" w:color="auto" w:fill="C6EFCE"/>
            <w:noWrap/>
          </w:tcPr>
          <w:p w14:paraId="0DB57A03"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06168D66" w14:textId="77777777" w:rsidR="00550A54" w:rsidRPr="00BD01A2" w:rsidRDefault="00550A54">
            <w:pPr>
              <w:spacing w:after="0" w:line="240" w:lineRule="auto"/>
              <w:jc w:val="both"/>
              <w:rPr>
                <w:rFonts w:ascii="Times New Roman" w:eastAsia="Times New Roman" w:hAnsi="Times New Roman" w:cs="Times New Roman"/>
                <w:noProof/>
                <w:color w:val="242424"/>
                <w:sz w:val="20"/>
                <w:szCs w:val="20"/>
                <w:lang w:val="en-GB"/>
              </w:rPr>
            </w:pPr>
            <w:r w:rsidRPr="00BD01A2">
              <w:rPr>
                <w:rFonts w:ascii="Times New Roman" w:eastAsia="Times New Roman" w:hAnsi="Times New Roman" w:cs="Times New Roman"/>
                <w:noProof/>
                <w:color w:val="242424"/>
                <w:sz w:val="20"/>
                <w:szCs w:val="20"/>
                <w:lang w:val="en-GB"/>
              </w:rPr>
              <w:t>Entry into force of the legal act for updating the legislative framework on integrity</w:t>
            </w:r>
          </w:p>
        </w:tc>
        <w:tc>
          <w:tcPr>
            <w:tcW w:w="1547" w:type="dxa"/>
            <w:shd w:val="clear" w:color="auto" w:fill="C6EFCE"/>
            <w:noWrap/>
          </w:tcPr>
          <w:p w14:paraId="2A3B4066" w14:textId="4DD5D6F9"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Provision in the legal act</w:t>
            </w:r>
            <w:r w:rsidR="00D23D91" w:rsidRPr="00BD01A2">
              <w:rPr>
                <w:rFonts w:ascii="Times New Roman" w:hAnsi="Times New Roman" w:cs="Times New Roman"/>
                <w:noProof/>
                <w:sz w:val="20"/>
                <w:szCs w:val="20"/>
                <w:lang w:val="en-GB"/>
              </w:rPr>
              <w:t xml:space="preserve"> </w:t>
            </w:r>
            <w:r w:rsidRPr="00BD01A2">
              <w:rPr>
                <w:rFonts w:ascii="Times New Roman" w:hAnsi="Times New Roman" w:cs="Times New Roman"/>
                <w:noProof/>
                <w:sz w:val="20"/>
                <w:szCs w:val="20"/>
                <w:lang w:val="en-GB"/>
              </w:rPr>
              <w:t>indicating its entry into force</w:t>
            </w:r>
          </w:p>
        </w:tc>
        <w:tc>
          <w:tcPr>
            <w:tcW w:w="1344" w:type="dxa"/>
            <w:shd w:val="clear" w:color="auto" w:fill="C6EFCE"/>
            <w:noWrap/>
          </w:tcPr>
          <w:p w14:paraId="3E224154" w14:textId="77777777" w:rsidR="00550A54" w:rsidRPr="00BD01A2" w:rsidRDefault="00550A54">
            <w:pPr>
              <w:spacing w:after="0" w:line="240" w:lineRule="auto"/>
              <w:rPr>
                <w:rFonts w:ascii="Times New Roman" w:hAnsi="Times New Roman" w:cs="Times New Roman"/>
                <w:noProof/>
                <w:sz w:val="20"/>
                <w:szCs w:val="20"/>
                <w:lang w:val="en-GB"/>
              </w:rPr>
            </w:pPr>
          </w:p>
        </w:tc>
        <w:tc>
          <w:tcPr>
            <w:tcW w:w="1109" w:type="dxa"/>
            <w:shd w:val="clear" w:color="auto" w:fill="C6EFCE"/>
            <w:noWrap/>
          </w:tcPr>
          <w:p w14:paraId="4330F6CD" w14:textId="77777777" w:rsidR="00550A54" w:rsidRPr="00BD01A2" w:rsidRDefault="00550A54">
            <w:pPr>
              <w:spacing w:after="0" w:line="240" w:lineRule="auto"/>
              <w:rPr>
                <w:rFonts w:ascii="Times New Roman" w:hAnsi="Times New Roman" w:cs="Times New Roman"/>
                <w:noProof/>
                <w:sz w:val="20"/>
                <w:szCs w:val="20"/>
                <w:lang w:val="en-GB"/>
              </w:rPr>
            </w:pPr>
          </w:p>
        </w:tc>
        <w:tc>
          <w:tcPr>
            <w:tcW w:w="872" w:type="dxa"/>
            <w:shd w:val="clear" w:color="auto" w:fill="C6EFCE"/>
          </w:tcPr>
          <w:p w14:paraId="4878F4A8"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634EB73B"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Q2</w:t>
            </w:r>
          </w:p>
          <w:p w14:paraId="5DD84958" w14:textId="77777777" w:rsidR="00550A54" w:rsidRPr="00BD01A2" w:rsidRDefault="00550A54">
            <w:pPr>
              <w:spacing w:after="0" w:line="240" w:lineRule="auto"/>
              <w:rPr>
                <w:rFonts w:ascii="Times New Roman" w:hAnsi="Times New Roman" w:cs="Times New Roman"/>
                <w:noProof/>
                <w:sz w:val="20"/>
                <w:szCs w:val="20"/>
                <w:lang w:val="en-GB"/>
              </w:rPr>
            </w:pPr>
          </w:p>
        </w:tc>
        <w:tc>
          <w:tcPr>
            <w:tcW w:w="820" w:type="dxa"/>
            <w:shd w:val="clear" w:color="auto" w:fill="C6EFCE"/>
            <w:noWrap/>
          </w:tcPr>
          <w:p w14:paraId="4D8298EC"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2026</w:t>
            </w:r>
          </w:p>
        </w:tc>
        <w:tc>
          <w:tcPr>
            <w:tcW w:w="3168" w:type="dxa"/>
            <w:shd w:val="clear" w:color="auto" w:fill="C6EFCE"/>
            <w:noWrap/>
          </w:tcPr>
          <w:p w14:paraId="26317B6A"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eastAsia="Times New Roman" w:hAnsi="Times New Roman" w:cs="Times New Roman"/>
                <w:noProof/>
                <w:color w:val="242424"/>
                <w:sz w:val="20"/>
                <w:szCs w:val="20"/>
                <w:lang w:val="en-GB"/>
              </w:rPr>
              <w:t>The legal act for updating the legislative framework on integrity shall enter into force, following a prior evaluation and analysis of the existing integrity laws.</w:t>
            </w:r>
          </w:p>
        </w:tc>
      </w:tr>
      <w:tr w:rsidR="00550A54" w:rsidRPr="00BD01A2" w14:paraId="655E49E7" w14:textId="77777777">
        <w:trPr>
          <w:trHeight w:val="309"/>
        </w:trPr>
        <w:tc>
          <w:tcPr>
            <w:tcW w:w="822" w:type="dxa"/>
            <w:shd w:val="clear" w:color="auto" w:fill="C6EFCE"/>
            <w:noWrap/>
          </w:tcPr>
          <w:p w14:paraId="7F270903"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432</w:t>
            </w:r>
          </w:p>
        </w:tc>
        <w:tc>
          <w:tcPr>
            <w:tcW w:w="2166" w:type="dxa"/>
            <w:shd w:val="clear" w:color="auto" w:fill="C6EFCE"/>
            <w:noWrap/>
          </w:tcPr>
          <w:p w14:paraId="1791C183"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Reform 7. Updating the integrity legal framework for the civil service</w:t>
            </w:r>
          </w:p>
        </w:tc>
        <w:tc>
          <w:tcPr>
            <w:tcW w:w="1320" w:type="dxa"/>
            <w:shd w:val="clear" w:color="auto" w:fill="C6EFCE"/>
            <w:noWrap/>
          </w:tcPr>
          <w:p w14:paraId="4DB97729"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Milestone </w:t>
            </w:r>
          </w:p>
        </w:tc>
        <w:tc>
          <w:tcPr>
            <w:tcW w:w="1626" w:type="dxa"/>
            <w:shd w:val="clear" w:color="auto" w:fill="C6EFCE"/>
            <w:noWrap/>
          </w:tcPr>
          <w:p w14:paraId="5F1D3F0D"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Approved revised ethics and conduct legal acts for the Government </w:t>
            </w:r>
          </w:p>
        </w:tc>
        <w:tc>
          <w:tcPr>
            <w:tcW w:w="1547" w:type="dxa"/>
            <w:shd w:val="clear" w:color="auto" w:fill="C6EFCE"/>
            <w:noWrap/>
          </w:tcPr>
          <w:p w14:paraId="0008C9CA" w14:textId="2D5B661E"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Provision in each revised ethics and conduct legal acts for the Government</w:t>
            </w:r>
            <w:r w:rsidR="00D23D91" w:rsidRPr="00BD01A2">
              <w:rPr>
                <w:rFonts w:ascii="Times New Roman" w:hAnsi="Times New Roman" w:cs="Times New Roman"/>
                <w:noProof/>
                <w:sz w:val="20"/>
                <w:szCs w:val="20"/>
                <w:lang w:val="en-GB"/>
              </w:rPr>
              <w:t xml:space="preserve"> </w:t>
            </w:r>
            <w:r w:rsidRPr="00BD01A2">
              <w:rPr>
                <w:rFonts w:ascii="Times New Roman" w:hAnsi="Times New Roman" w:cs="Times New Roman"/>
                <w:noProof/>
                <w:sz w:val="20"/>
                <w:szCs w:val="20"/>
                <w:lang w:val="en-GB"/>
              </w:rPr>
              <w:t xml:space="preserve">indicating its entry into force </w:t>
            </w:r>
          </w:p>
        </w:tc>
        <w:tc>
          <w:tcPr>
            <w:tcW w:w="1344" w:type="dxa"/>
            <w:shd w:val="clear" w:color="auto" w:fill="C6EFCE"/>
            <w:noWrap/>
          </w:tcPr>
          <w:p w14:paraId="6C320BB8" w14:textId="77777777" w:rsidR="00550A54" w:rsidRPr="00BD01A2" w:rsidRDefault="00550A54">
            <w:pPr>
              <w:spacing w:after="0" w:line="240" w:lineRule="auto"/>
              <w:rPr>
                <w:rFonts w:ascii="Times New Roman" w:hAnsi="Times New Roman" w:cs="Times New Roman"/>
                <w:noProof/>
                <w:sz w:val="20"/>
                <w:szCs w:val="20"/>
                <w:lang w:val="en-GB"/>
              </w:rPr>
            </w:pPr>
          </w:p>
        </w:tc>
        <w:tc>
          <w:tcPr>
            <w:tcW w:w="1109" w:type="dxa"/>
            <w:shd w:val="clear" w:color="auto" w:fill="C6EFCE"/>
            <w:noWrap/>
          </w:tcPr>
          <w:p w14:paraId="56F87AAB" w14:textId="77777777" w:rsidR="00550A54" w:rsidRPr="00BD01A2" w:rsidRDefault="00550A54">
            <w:pPr>
              <w:spacing w:after="0" w:line="240" w:lineRule="auto"/>
              <w:rPr>
                <w:rFonts w:ascii="Times New Roman" w:hAnsi="Times New Roman" w:cs="Times New Roman"/>
                <w:noProof/>
                <w:sz w:val="20"/>
                <w:szCs w:val="20"/>
                <w:lang w:val="en-GB"/>
              </w:rPr>
            </w:pPr>
          </w:p>
        </w:tc>
        <w:tc>
          <w:tcPr>
            <w:tcW w:w="872" w:type="dxa"/>
            <w:shd w:val="clear" w:color="auto" w:fill="C6EFCE"/>
          </w:tcPr>
          <w:p w14:paraId="1586DE18"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72030EBD"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Q1</w:t>
            </w:r>
          </w:p>
        </w:tc>
        <w:tc>
          <w:tcPr>
            <w:tcW w:w="820" w:type="dxa"/>
            <w:shd w:val="clear" w:color="auto" w:fill="C6EFCE"/>
            <w:noWrap/>
          </w:tcPr>
          <w:p w14:paraId="7A59688F"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2026</w:t>
            </w:r>
          </w:p>
        </w:tc>
        <w:tc>
          <w:tcPr>
            <w:tcW w:w="3168" w:type="dxa"/>
            <w:shd w:val="clear" w:color="auto" w:fill="C6EFCE"/>
            <w:noWrap/>
          </w:tcPr>
          <w:p w14:paraId="530D388C"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The revised code of ethics and conduct shall:</w:t>
            </w:r>
          </w:p>
          <w:p w14:paraId="3D3F43C7" w14:textId="77777777" w:rsidR="00550A54" w:rsidRPr="00BD01A2" w:rsidRDefault="00550A54" w:rsidP="00550A54">
            <w:pPr>
              <w:pStyle w:val="ListParagraph"/>
              <w:numPr>
                <w:ilvl w:val="0"/>
                <w:numId w:val="65"/>
              </w:num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clarify the implications for members of Government of the current provisions on conflicts of interest; </w:t>
            </w:r>
          </w:p>
          <w:p w14:paraId="3F17F8DE" w14:textId="77777777" w:rsidR="00550A54" w:rsidRPr="00BD01A2" w:rsidRDefault="00550A54" w:rsidP="00550A54">
            <w:pPr>
              <w:pStyle w:val="ListParagraph"/>
              <w:numPr>
                <w:ilvl w:val="0"/>
                <w:numId w:val="65"/>
              </w:num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extend the definition of conflict of interest beyond the personal financial interests;</w:t>
            </w:r>
          </w:p>
          <w:p w14:paraId="15B332BE" w14:textId="77777777" w:rsidR="00550A54" w:rsidRPr="00BD01A2" w:rsidRDefault="00550A54" w:rsidP="00550A54">
            <w:pPr>
              <w:pStyle w:val="ListParagraph"/>
              <w:numPr>
                <w:ilvl w:val="0"/>
                <w:numId w:val="65"/>
              </w:num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introduce a requirement of </w:t>
            </w:r>
            <w:r w:rsidRPr="00BD01A2">
              <w:rPr>
                <w:rFonts w:ascii="Times New Roman" w:hAnsi="Times New Roman" w:cs="Times New Roman"/>
                <w:i/>
                <w:iCs/>
                <w:noProof/>
                <w:sz w:val="20"/>
                <w:szCs w:val="20"/>
                <w:lang w:val="en-GB"/>
              </w:rPr>
              <w:t>ad hoc</w:t>
            </w:r>
            <w:r w:rsidRPr="00BD01A2">
              <w:rPr>
                <w:rFonts w:ascii="Times New Roman" w:hAnsi="Times New Roman" w:cs="Times New Roman"/>
                <w:noProof/>
                <w:sz w:val="20"/>
                <w:szCs w:val="20"/>
                <w:lang w:val="en-GB"/>
              </w:rPr>
              <w:t xml:space="preserve"> disclosure when a conflict of interest occurs;</w:t>
            </w:r>
          </w:p>
          <w:p w14:paraId="16AE718D" w14:textId="77777777" w:rsidR="00550A54" w:rsidRPr="00BD01A2" w:rsidRDefault="00550A54" w:rsidP="00550A54">
            <w:pPr>
              <w:pStyle w:val="ListParagraph"/>
              <w:numPr>
                <w:ilvl w:val="0"/>
                <w:numId w:val="65"/>
              </w:num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establish a set of restrictions concerning gifts, hospitality, favours and other benefits for Government members;</w:t>
            </w:r>
          </w:p>
          <w:p w14:paraId="3D46EF7C" w14:textId="77777777" w:rsidR="00550A54" w:rsidRPr="00BD01A2" w:rsidRDefault="00550A54" w:rsidP="00550A54">
            <w:pPr>
              <w:pStyle w:val="ListParagraph"/>
              <w:numPr>
                <w:ilvl w:val="0"/>
                <w:numId w:val="65"/>
              </w:num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introduce rules on how members of Government engage with lobbyists and other third parties.</w:t>
            </w:r>
          </w:p>
        </w:tc>
      </w:tr>
      <w:tr w:rsidR="00550A54" w:rsidRPr="00BD01A2" w14:paraId="08BBB7B5" w14:textId="77777777">
        <w:trPr>
          <w:trHeight w:val="1466"/>
        </w:trPr>
        <w:tc>
          <w:tcPr>
            <w:tcW w:w="822" w:type="dxa"/>
            <w:tcBorders>
              <w:top w:val="single" w:sz="4" w:space="0" w:color="auto"/>
              <w:left w:val="single" w:sz="4" w:space="0" w:color="auto"/>
              <w:bottom w:val="single" w:sz="4" w:space="0" w:color="auto"/>
              <w:right w:val="single" w:sz="4" w:space="0" w:color="auto"/>
            </w:tcBorders>
            <w:shd w:val="clear" w:color="auto" w:fill="C6EFCE"/>
            <w:noWrap/>
          </w:tcPr>
          <w:p w14:paraId="6D46054C"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433</w:t>
            </w:r>
          </w:p>
        </w:tc>
        <w:tc>
          <w:tcPr>
            <w:tcW w:w="2166" w:type="dxa"/>
            <w:tcBorders>
              <w:top w:val="single" w:sz="4" w:space="0" w:color="auto"/>
              <w:left w:val="single" w:sz="4" w:space="0" w:color="auto"/>
              <w:bottom w:val="single" w:sz="4" w:space="0" w:color="auto"/>
              <w:right w:val="single" w:sz="4" w:space="0" w:color="auto"/>
            </w:tcBorders>
            <w:shd w:val="clear" w:color="auto" w:fill="C6EFCE"/>
            <w:noWrap/>
          </w:tcPr>
          <w:p w14:paraId="32462168" w14:textId="34B1112B"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Reform 8.</w:t>
            </w:r>
            <w:r w:rsidR="00D23D91" w:rsidRPr="00BD01A2">
              <w:rPr>
                <w:rFonts w:ascii="Times New Roman" w:hAnsi="Times New Roman" w:cs="Times New Roman"/>
                <w:noProof/>
                <w:sz w:val="20"/>
                <w:szCs w:val="20"/>
                <w:lang w:val="en-GB"/>
              </w:rPr>
              <w:t xml:space="preserve"> </w:t>
            </w:r>
            <w:r w:rsidRPr="00BD01A2">
              <w:rPr>
                <w:rFonts w:ascii="Times New Roman" w:hAnsi="Times New Roman" w:cs="Times New Roman"/>
                <w:noProof/>
                <w:sz w:val="20"/>
                <w:szCs w:val="20"/>
                <w:lang w:val="en-GB"/>
              </w:rPr>
              <w:t>Modernising and streamlining the national public procurement system</w:t>
            </w:r>
          </w:p>
        </w:tc>
        <w:tc>
          <w:tcPr>
            <w:tcW w:w="1320" w:type="dxa"/>
            <w:tcBorders>
              <w:top w:val="single" w:sz="4" w:space="0" w:color="auto"/>
              <w:left w:val="single" w:sz="4" w:space="0" w:color="auto"/>
              <w:bottom w:val="single" w:sz="4" w:space="0" w:color="auto"/>
              <w:right w:val="single" w:sz="4" w:space="0" w:color="auto"/>
            </w:tcBorders>
            <w:shd w:val="clear" w:color="auto" w:fill="C6EFCE"/>
            <w:noWrap/>
          </w:tcPr>
          <w:p w14:paraId="477C62BB"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tcBorders>
              <w:top w:val="single" w:sz="4" w:space="0" w:color="auto"/>
              <w:left w:val="single" w:sz="4" w:space="0" w:color="auto"/>
              <w:bottom w:val="single" w:sz="4" w:space="0" w:color="auto"/>
              <w:right w:val="single" w:sz="4" w:space="0" w:color="auto"/>
            </w:tcBorders>
            <w:shd w:val="clear" w:color="auto" w:fill="C6EFCE"/>
            <w:noWrap/>
          </w:tcPr>
          <w:p w14:paraId="09E47282"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Entry into force of the amendment of national legislation on remedies (Law No. 101/2016) </w:t>
            </w:r>
          </w:p>
        </w:tc>
        <w:tc>
          <w:tcPr>
            <w:tcW w:w="1547" w:type="dxa"/>
            <w:tcBorders>
              <w:top w:val="single" w:sz="4" w:space="0" w:color="auto"/>
              <w:left w:val="single" w:sz="4" w:space="0" w:color="auto"/>
              <w:bottom w:val="single" w:sz="4" w:space="0" w:color="auto"/>
              <w:right w:val="single" w:sz="4" w:space="0" w:color="auto"/>
            </w:tcBorders>
            <w:shd w:val="clear" w:color="auto" w:fill="C6EFCE"/>
            <w:noWrap/>
          </w:tcPr>
          <w:p w14:paraId="1C099F26"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Provision in the law indicating entry into force of the law on remedies</w:t>
            </w:r>
          </w:p>
        </w:tc>
        <w:tc>
          <w:tcPr>
            <w:tcW w:w="1344" w:type="dxa"/>
            <w:tcBorders>
              <w:top w:val="single" w:sz="4" w:space="0" w:color="auto"/>
              <w:left w:val="single" w:sz="4" w:space="0" w:color="auto"/>
              <w:bottom w:val="single" w:sz="4" w:space="0" w:color="auto"/>
              <w:right w:val="single" w:sz="4" w:space="0" w:color="auto"/>
            </w:tcBorders>
            <w:shd w:val="clear" w:color="auto" w:fill="C6EFCE"/>
            <w:noWrap/>
          </w:tcPr>
          <w:p w14:paraId="382B37F1"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109" w:type="dxa"/>
            <w:tcBorders>
              <w:top w:val="single" w:sz="4" w:space="0" w:color="auto"/>
              <w:left w:val="single" w:sz="4" w:space="0" w:color="auto"/>
              <w:bottom w:val="single" w:sz="4" w:space="0" w:color="auto"/>
              <w:right w:val="single" w:sz="4" w:space="0" w:color="auto"/>
            </w:tcBorders>
            <w:shd w:val="clear" w:color="auto" w:fill="C6EFCE"/>
            <w:noWrap/>
          </w:tcPr>
          <w:p w14:paraId="6D0DE8CC"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872" w:type="dxa"/>
            <w:tcBorders>
              <w:top w:val="single" w:sz="4" w:space="0" w:color="auto"/>
              <w:left w:val="single" w:sz="4" w:space="0" w:color="auto"/>
              <w:bottom w:val="single" w:sz="4" w:space="0" w:color="auto"/>
              <w:right w:val="single" w:sz="4" w:space="0" w:color="auto"/>
            </w:tcBorders>
            <w:shd w:val="clear" w:color="auto" w:fill="C6EFCE"/>
          </w:tcPr>
          <w:p w14:paraId="49A8C88E"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6B22BF88"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Q1</w:t>
            </w:r>
          </w:p>
        </w:tc>
        <w:tc>
          <w:tcPr>
            <w:tcW w:w="820" w:type="dxa"/>
            <w:tcBorders>
              <w:top w:val="single" w:sz="4" w:space="0" w:color="auto"/>
              <w:left w:val="single" w:sz="4" w:space="0" w:color="auto"/>
              <w:bottom w:val="single" w:sz="4" w:space="0" w:color="auto"/>
              <w:right w:val="single" w:sz="4" w:space="0" w:color="auto"/>
            </w:tcBorders>
            <w:shd w:val="clear" w:color="auto" w:fill="C6EFCE"/>
            <w:noWrap/>
          </w:tcPr>
          <w:p w14:paraId="2F1ABD58"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2022</w:t>
            </w:r>
          </w:p>
        </w:tc>
        <w:tc>
          <w:tcPr>
            <w:tcW w:w="3168" w:type="dxa"/>
            <w:tcBorders>
              <w:top w:val="single" w:sz="4" w:space="0" w:color="auto"/>
              <w:left w:val="single" w:sz="4" w:space="0" w:color="auto"/>
              <w:bottom w:val="single" w:sz="4" w:space="0" w:color="auto"/>
              <w:right w:val="single" w:sz="4" w:space="0" w:color="auto"/>
            </w:tcBorders>
            <w:shd w:val="clear" w:color="auto" w:fill="C6EFCE"/>
            <w:noWrap/>
          </w:tcPr>
          <w:p w14:paraId="2FDE930A"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The legislative amendment to the national legislation on remedies (Law No. 101/2016) shall introduce the obligation for the contract to be signed with the winning bidder immediately after the adoption of the National Council for Dispute Resolution (CNSC) decision, prior to a court resolution in case of a complaint against a Council’s Decision. </w:t>
            </w:r>
          </w:p>
        </w:tc>
      </w:tr>
      <w:tr w:rsidR="00550A54" w:rsidRPr="00BD01A2" w14:paraId="32AAB5A8" w14:textId="77777777">
        <w:trPr>
          <w:trHeight w:val="300"/>
        </w:trPr>
        <w:tc>
          <w:tcPr>
            <w:tcW w:w="822" w:type="dxa"/>
            <w:tcBorders>
              <w:top w:val="single" w:sz="4" w:space="0" w:color="auto"/>
              <w:left w:val="single" w:sz="4" w:space="0" w:color="auto"/>
              <w:bottom w:val="single" w:sz="4" w:space="0" w:color="auto"/>
              <w:right w:val="single" w:sz="4" w:space="0" w:color="auto"/>
            </w:tcBorders>
            <w:shd w:val="clear" w:color="auto" w:fill="C6EFCE"/>
            <w:noWrap/>
          </w:tcPr>
          <w:p w14:paraId="248362C3"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435</w:t>
            </w:r>
          </w:p>
        </w:tc>
        <w:tc>
          <w:tcPr>
            <w:tcW w:w="2166" w:type="dxa"/>
            <w:tcBorders>
              <w:top w:val="single" w:sz="4" w:space="0" w:color="auto"/>
              <w:left w:val="single" w:sz="4" w:space="0" w:color="auto"/>
              <w:bottom w:val="single" w:sz="4" w:space="0" w:color="auto"/>
              <w:right w:val="single" w:sz="4" w:space="0" w:color="auto"/>
            </w:tcBorders>
            <w:shd w:val="clear" w:color="auto" w:fill="C6EFCE"/>
            <w:noWrap/>
          </w:tcPr>
          <w:p w14:paraId="5F709BAB" w14:textId="31713823"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Reform 8.</w:t>
            </w:r>
            <w:r w:rsidR="00D23D91" w:rsidRPr="00BD01A2">
              <w:rPr>
                <w:rFonts w:ascii="Times New Roman" w:hAnsi="Times New Roman" w:cs="Times New Roman"/>
                <w:noProof/>
                <w:sz w:val="20"/>
                <w:szCs w:val="20"/>
                <w:lang w:val="en-GB"/>
              </w:rPr>
              <w:t xml:space="preserve"> </w:t>
            </w:r>
            <w:r w:rsidRPr="00BD01A2">
              <w:rPr>
                <w:rFonts w:ascii="Times New Roman" w:hAnsi="Times New Roman" w:cs="Times New Roman"/>
                <w:noProof/>
                <w:sz w:val="20"/>
                <w:szCs w:val="20"/>
                <w:lang w:val="en-GB"/>
              </w:rPr>
              <w:t>Modernising and streamlining the national public procurement system</w:t>
            </w:r>
            <w:r w:rsidR="00D23D91" w:rsidRPr="00BD01A2">
              <w:rPr>
                <w:rFonts w:ascii="Times New Roman" w:hAnsi="Times New Roman" w:cs="Times New Roman"/>
                <w:noProof/>
                <w:sz w:val="20"/>
                <w:szCs w:val="20"/>
                <w:lang w:val="en-GB"/>
              </w:rPr>
              <w:t xml:space="preserve"> </w:t>
            </w:r>
          </w:p>
        </w:tc>
        <w:tc>
          <w:tcPr>
            <w:tcW w:w="1320" w:type="dxa"/>
            <w:tcBorders>
              <w:top w:val="single" w:sz="4" w:space="0" w:color="auto"/>
              <w:left w:val="single" w:sz="4" w:space="0" w:color="auto"/>
              <w:bottom w:val="single" w:sz="4" w:space="0" w:color="auto"/>
              <w:right w:val="single" w:sz="4" w:space="0" w:color="auto"/>
            </w:tcBorders>
            <w:shd w:val="clear" w:color="auto" w:fill="C6EFCE"/>
            <w:noWrap/>
          </w:tcPr>
          <w:p w14:paraId="7E10DE3C"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Target</w:t>
            </w:r>
          </w:p>
        </w:tc>
        <w:tc>
          <w:tcPr>
            <w:tcW w:w="1626" w:type="dxa"/>
            <w:tcBorders>
              <w:top w:val="single" w:sz="4" w:space="0" w:color="auto"/>
              <w:left w:val="single" w:sz="4" w:space="0" w:color="auto"/>
              <w:bottom w:val="single" w:sz="4" w:space="0" w:color="auto"/>
              <w:right w:val="single" w:sz="4" w:space="0" w:color="auto"/>
            </w:tcBorders>
            <w:shd w:val="clear" w:color="auto" w:fill="C6EFCE"/>
            <w:noWrap/>
          </w:tcPr>
          <w:p w14:paraId="682AB24F"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Centralised procurement bodies (CPBs) are used by local authorities</w:t>
            </w:r>
          </w:p>
        </w:tc>
        <w:tc>
          <w:tcPr>
            <w:tcW w:w="1547" w:type="dxa"/>
            <w:tcBorders>
              <w:top w:val="single" w:sz="4" w:space="0" w:color="auto"/>
              <w:left w:val="single" w:sz="4" w:space="0" w:color="auto"/>
              <w:bottom w:val="single" w:sz="4" w:space="0" w:color="auto"/>
              <w:right w:val="single" w:sz="4" w:space="0" w:color="auto"/>
            </w:tcBorders>
            <w:shd w:val="clear" w:color="auto" w:fill="C6EFCE"/>
            <w:noWrap/>
          </w:tcPr>
          <w:p w14:paraId="49076D1F" w14:textId="77777777" w:rsidR="00550A54" w:rsidRPr="00BD01A2" w:rsidRDefault="00550A54">
            <w:pPr>
              <w:spacing w:after="0" w:line="240" w:lineRule="auto"/>
              <w:jc w:val="both"/>
              <w:rPr>
                <w:rFonts w:ascii="Times New Roman" w:hAnsi="Times New Roman" w:cs="Times New Roman"/>
                <w:noProof/>
                <w:sz w:val="20"/>
                <w:szCs w:val="20"/>
                <w:lang w:val="en-GB"/>
              </w:rPr>
            </w:pPr>
          </w:p>
        </w:tc>
        <w:tc>
          <w:tcPr>
            <w:tcW w:w="1344" w:type="dxa"/>
            <w:tcBorders>
              <w:top w:val="single" w:sz="4" w:space="0" w:color="auto"/>
              <w:left w:val="single" w:sz="4" w:space="0" w:color="auto"/>
              <w:bottom w:val="single" w:sz="4" w:space="0" w:color="auto"/>
              <w:right w:val="single" w:sz="4" w:space="0" w:color="auto"/>
            </w:tcBorders>
            <w:shd w:val="clear" w:color="auto" w:fill="C6EFCE"/>
            <w:noWrap/>
          </w:tcPr>
          <w:p w14:paraId="3CF211BB"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Number of centralised procurement bodies (CPBs) for local authorities</w:t>
            </w:r>
          </w:p>
        </w:tc>
        <w:tc>
          <w:tcPr>
            <w:tcW w:w="1109" w:type="dxa"/>
            <w:tcBorders>
              <w:top w:val="single" w:sz="4" w:space="0" w:color="auto"/>
              <w:left w:val="single" w:sz="4" w:space="0" w:color="auto"/>
              <w:bottom w:val="single" w:sz="4" w:space="0" w:color="auto"/>
              <w:right w:val="single" w:sz="4" w:space="0" w:color="auto"/>
            </w:tcBorders>
            <w:shd w:val="clear" w:color="auto" w:fill="C6EFCE"/>
            <w:noWrap/>
          </w:tcPr>
          <w:p w14:paraId="2D9F1A1C"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3</w:t>
            </w:r>
          </w:p>
        </w:tc>
        <w:tc>
          <w:tcPr>
            <w:tcW w:w="872" w:type="dxa"/>
            <w:tcBorders>
              <w:top w:val="single" w:sz="4" w:space="0" w:color="auto"/>
              <w:left w:val="single" w:sz="4" w:space="0" w:color="auto"/>
              <w:bottom w:val="single" w:sz="4" w:space="0" w:color="auto"/>
              <w:right w:val="single" w:sz="4" w:space="0" w:color="auto"/>
            </w:tcBorders>
            <w:shd w:val="clear" w:color="auto" w:fill="C6EFCE"/>
          </w:tcPr>
          <w:p w14:paraId="4BB98295"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7</w:t>
            </w: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26D362E0"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Q4</w:t>
            </w:r>
          </w:p>
        </w:tc>
        <w:tc>
          <w:tcPr>
            <w:tcW w:w="820" w:type="dxa"/>
            <w:tcBorders>
              <w:top w:val="single" w:sz="4" w:space="0" w:color="auto"/>
              <w:left w:val="single" w:sz="4" w:space="0" w:color="auto"/>
              <w:bottom w:val="single" w:sz="4" w:space="0" w:color="auto"/>
              <w:right w:val="single" w:sz="4" w:space="0" w:color="auto"/>
            </w:tcBorders>
            <w:shd w:val="clear" w:color="auto" w:fill="C6EFCE"/>
            <w:noWrap/>
          </w:tcPr>
          <w:p w14:paraId="1684EF90"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2025</w:t>
            </w:r>
          </w:p>
        </w:tc>
        <w:tc>
          <w:tcPr>
            <w:tcW w:w="3168" w:type="dxa"/>
            <w:tcBorders>
              <w:top w:val="single" w:sz="4" w:space="0" w:color="auto"/>
              <w:left w:val="single" w:sz="4" w:space="0" w:color="auto"/>
              <w:bottom w:val="single" w:sz="4" w:space="0" w:color="auto"/>
              <w:right w:val="single" w:sz="4" w:space="0" w:color="auto"/>
            </w:tcBorders>
            <w:shd w:val="clear" w:color="auto" w:fill="C6EFCE"/>
            <w:noWrap/>
          </w:tcPr>
          <w:p w14:paraId="04E72608"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Four additional centralised procurement bodies (CPBs) for local authorities shall be configured and provided with resources (such as office supplies, IT equipment and communication services) and know-how.</w:t>
            </w:r>
          </w:p>
        </w:tc>
      </w:tr>
      <w:tr w:rsidR="00550A54" w:rsidRPr="00BD01A2" w14:paraId="5B907FA5" w14:textId="77777777">
        <w:trPr>
          <w:trHeight w:val="309"/>
        </w:trPr>
        <w:tc>
          <w:tcPr>
            <w:tcW w:w="822" w:type="dxa"/>
            <w:shd w:val="clear" w:color="auto" w:fill="C6EFCE"/>
            <w:noWrap/>
          </w:tcPr>
          <w:p w14:paraId="5A07C313"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437</w:t>
            </w:r>
          </w:p>
          <w:p w14:paraId="76D38FF5" w14:textId="77777777" w:rsidR="00550A54" w:rsidRPr="00BD01A2" w:rsidRDefault="00550A54">
            <w:pPr>
              <w:spacing w:after="0" w:line="240" w:lineRule="auto"/>
              <w:jc w:val="center"/>
              <w:rPr>
                <w:rFonts w:ascii="Times New Roman" w:hAnsi="Times New Roman" w:cs="Times New Roman"/>
                <w:noProof/>
                <w:sz w:val="20"/>
                <w:szCs w:val="20"/>
                <w:lang w:val="en-GB"/>
              </w:rPr>
            </w:pPr>
          </w:p>
        </w:tc>
        <w:tc>
          <w:tcPr>
            <w:tcW w:w="2166" w:type="dxa"/>
            <w:shd w:val="clear" w:color="auto" w:fill="C6EFCE"/>
            <w:noWrap/>
          </w:tcPr>
          <w:p w14:paraId="2D46A4F6" w14:textId="4E570238"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Reform 8.</w:t>
            </w:r>
            <w:r w:rsidR="00D23D91" w:rsidRPr="00BD01A2">
              <w:rPr>
                <w:rFonts w:ascii="Times New Roman" w:hAnsi="Times New Roman" w:cs="Times New Roman"/>
                <w:noProof/>
                <w:sz w:val="20"/>
                <w:szCs w:val="20"/>
                <w:lang w:val="en-GB"/>
              </w:rPr>
              <w:t xml:space="preserve"> </w:t>
            </w:r>
            <w:r w:rsidRPr="00BD01A2">
              <w:rPr>
                <w:rFonts w:ascii="Times New Roman" w:hAnsi="Times New Roman" w:cs="Times New Roman"/>
                <w:noProof/>
                <w:sz w:val="20"/>
                <w:szCs w:val="20"/>
                <w:lang w:val="en-GB"/>
              </w:rPr>
              <w:t>Modernising and streamlining the national public procurement system</w:t>
            </w:r>
          </w:p>
        </w:tc>
        <w:tc>
          <w:tcPr>
            <w:tcW w:w="1320" w:type="dxa"/>
            <w:shd w:val="clear" w:color="auto" w:fill="C6EFCE"/>
            <w:noWrap/>
          </w:tcPr>
          <w:p w14:paraId="0A334E0F"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6D463D02"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The Public Procurement Electronic System (SEAP) system is interconnected and interoperable with other databases </w:t>
            </w:r>
          </w:p>
        </w:tc>
        <w:tc>
          <w:tcPr>
            <w:tcW w:w="1547" w:type="dxa"/>
            <w:shd w:val="clear" w:color="auto" w:fill="C6EFCE"/>
            <w:noWrap/>
          </w:tcPr>
          <w:p w14:paraId="3A9F7255"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SEAP system interconnected and interoperable </w:t>
            </w:r>
          </w:p>
        </w:tc>
        <w:tc>
          <w:tcPr>
            <w:tcW w:w="1344" w:type="dxa"/>
            <w:shd w:val="clear" w:color="auto" w:fill="C6EFCE"/>
            <w:noWrap/>
          </w:tcPr>
          <w:p w14:paraId="11F2036B"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109" w:type="dxa"/>
            <w:shd w:val="clear" w:color="auto" w:fill="C6EFCE"/>
            <w:noWrap/>
          </w:tcPr>
          <w:p w14:paraId="0C79DFDD"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872" w:type="dxa"/>
            <w:shd w:val="clear" w:color="auto" w:fill="C6EFCE"/>
          </w:tcPr>
          <w:p w14:paraId="3A8DD968"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6EDA467E"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Q2</w:t>
            </w:r>
          </w:p>
        </w:tc>
        <w:tc>
          <w:tcPr>
            <w:tcW w:w="820" w:type="dxa"/>
            <w:shd w:val="clear" w:color="auto" w:fill="C6EFCE"/>
            <w:noWrap/>
          </w:tcPr>
          <w:p w14:paraId="46CF3633"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2026</w:t>
            </w:r>
          </w:p>
        </w:tc>
        <w:tc>
          <w:tcPr>
            <w:tcW w:w="3168" w:type="dxa"/>
            <w:shd w:val="clear" w:color="auto" w:fill="C6EFCE"/>
            <w:noWrap/>
          </w:tcPr>
          <w:p w14:paraId="165F280F" w14:textId="542EE73D"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The Public Procurement Electronic System (SEAP) system shall be interconnected and interoperable with other</w:t>
            </w:r>
            <w:r w:rsidR="00D23D91" w:rsidRPr="00BD01A2">
              <w:rPr>
                <w:rFonts w:ascii="Times New Roman" w:hAnsi="Times New Roman" w:cs="Times New Roman"/>
                <w:noProof/>
                <w:sz w:val="20"/>
                <w:szCs w:val="20"/>
                <w:lang w:val="en-GB"/>
              </w:rPr>
              <w:t xml:space="preserve"> </w:t>
            </w:r>
            <w:r w:rsidRPr="00BD01A2">
              <w:rPr>
                <w:rFonts w:ascii="Times New Roman" w:hAnsi="Times New Roman" w:cs="Times New Roman"/>
                <w:noProof/>
                <w:sz w:val="20"/>
                <w:szCs w:val="20"/>
                <w:lang w:val="en-GB"/>
              </w:rPr>
              <w:t>databases, for example: National Trade Register Office, National Integrity Agency, National Agency for Fiscal Administration, National Agency for Public Procurement, National Board for Complaints, Ministry of Interior, Ministry of Justice. SEAP shall include functionalities for the use of standard EU e-forms, electronic tender evaluation, dynamic purchasing procedures with automated qualification assessement, and tools for e-contracts, e-invoicing, e-payments and contract management.</w:t>
            </w:r>
          </w:p>
        </w:tc>
      </w:tr>
      <w:tr w:rsidR="00550A54" w:rsidRPr="00BD01A2" w14:paraId="52112C76" w14:textId="77777777">
        <w:trPr>
          <w:trHeight w:val="309"/>
        </w:trPr>
        <w:tc>
          <w:tcPr>
            <w:tcW w:w="822" w:type="dxa"/>
            <w:shd w:val="clear" w:color="auto" w:fill="C6EFCE"/>
            <w:noWrap/>
          </w:tcPr>
          <w:p w14:paraId="517DBF9F"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439</w:t>
            </w:r>
          </w:p>
        </w:tc>
        <w:tc>
          <w:tcPr>
            <w:tcW w:w="2166" w:type="dxa"/>
            <w:shd w:val="clear" w:color="auto" w:fill="C6EFCE"/>
            <w:noWrap/>
          </w:tcPr>
          <w:p w14:paraId="602D1911"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Reform 9. Improve the procedural framework for the implementation of corporate governance principles in state-owned enterprises</w:t>
            </w:r>
          </w:p>
        </w:tc>
        <w:tc>
          <w:tcPr>
            <w:tcW w:w="1320" w:type="dxa"/>
            <w:shd w:val="clear" w:color="auto" w:fill="C6EFCE"/>
            <w:noWrap/>
          </w:tcPr>
          <w:p w14:paraId="3D278701"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3073056F"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Entry into force of updated legislation for state-owned companies </w:t>
            </w:r>
          </w:p>
        </w:tc>
        <w:tc>
          <w:tcPr>
            <w:tcW w:w="1547" w:type="dxa"/>
            <w:shd w:val="clear" w:color="auto" w:fill="C6EFCE"/>
            <w:noWrap/>
          </w:tcPr>
          <w:p w14:paraId="47A44585"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Provision in the law indicating the entry into force of the law on state-owned enterprises</w:t>
            </w:r>
          </w:p>
        </w:tc>
        <w:tc>
          <w:tcPr>
            <w:tcW w:w="1344" w:type="dxa"/>
            <w:shd w:val="clear" w:color="auto" w:fill="C6EFCE"/>
            <w:noWrap/>
          </w:tcPr>
          <w:p w14:paraId="040BE320"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109" w:type="dxa"/>
            <w:shd w:val="clear" w:color="auto" w:fill="C6EFCE"/>
            <w:noWrap/>
          </w:tcPr>
          <w:p w14:paraId="5714F400"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872" w:type="dxa"/>
            <w:shd w:val="clear" w:color="auto" w:fill="C6EFCE"/>
          </w:tcPr>
          <w:p w14:paraId="59E198BD"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3EAD645A"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Q4</w:t>
            </w:r>
          </w:p>
        </w:tc>
        <w:tc>
          <w:tcPr>
            <w:tcW w:w="820" w:type="dxa"/>
            <w:shd w:val="clear" w:color="auto" w:fill="C6EFCE"/>
            <w:noWrap/>
          </w:tcPr>
          <w:p w14:paraId="1CEF946F"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2022</w:t>
            </w:r>
          </w:p>
        </w:tc>
        <w:tc>
          <w:tcPr>
            <w:tcW w:w="3168" w:type="dxa"/>
            <w:shd w:val="clear" w:color="auto" w:fill="C6EFCE"/>
            <w:noWrap/>
          </w:tcPr>
          <w:p w14:paraId="2E1E2198"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Entry into force of the amended Law 111/2016, removing all exceptions, including for state-owned companies at local level. These amendments shall (i) separate the regulatory and ownership functions (ii) remove any direct or indirect advantage that might derive from State ownership, be it in terms of market rules/regulations, financing, taxation, or public procurement (iii) ensure that any state-owned enterprise pursue obtaining profitability. </w:t>
            </w:r>
          </w:p>
          <w:p w14:paraId="54FB91B2" w14:textId="77777777" w:rsidR="00550A54" w:rsidRPr="00BD01A2" w:rsidRDefault="00550A54">
            <w:pPr>
              <w:spacing w:after="0" w:line="240" w:lineRule="auto"/>
              <w:jc w:val="both"/>
              <w:rPr>
                <w:rFonts w:ascii="Times New Roman" w:hAnsi="Times New Roman" w:cs="Times New Roman"/>
                <w:noProof/>
                <w:sz w:val="20"/>
                <w:szCs w:val="20"/>
                <w:lang w:val="en-GB"/>
              </w:rPr>
            </w:pPr>
          </w:p>
        </w:tc>
      </w:tr>
      <w:tr w:rsidR="00550A54" w:rsidRPr="00BD01A2" w14:paraId="275034EE" w14:textId="77777777">
        <w:trPr>
          <w:trHeight w:val="309"/>
        </w:trPr>
        <w:tc>
          <w:tcPr>
            <w:tcW w:w="822" w:type="dxa"/>
            <w:shd w:val="clear" w:color="auto" w:fill="C6EFCE"/>
            <w:noWrap/>
          </w:tcPr>
          <w:p w14:paraId="77E379B0"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440</w:t>
            </w:r>
          </w:p>
        </w:tc>
        <w:tc>
          <w:tcPr>
            <w:tcW w:w="2166" w:type="dxa"/>
            <w:shd w:val="clear" w:color="auto" w:fill="C6EFCE"/>
            <w:noWrap/>
          </w:tcPr>
          <w:p w14:paraId="6CC0586F"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Reform 9. Improve the procedural framework for the implementation of corporate governance principles in state-owned enterprises </w:t>
            </w:r>
          </w:p>
        </w:tc>
        <w:tc>
          <w:tcPr>
            <w:tcW w:w="1320" w:type="dxa"/>
            <w:shd w:val="clear" w:color="auto" w:fill="C6EFCE"/>
            <w:noWrap/>
          </w:tcPr>
          <w:p w14:paraId="2A0D9223"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65AC0D46"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Operationali-sation of the task force at the Centre of the Government for Corporate Governance Policy Coordination and Monitoring</w:t>
            </w:r>
          </w:p>
        </w:tc>
        <w:tc>
          <w:tcPr>
            <w:tcW w:w="1547" w:type="dxa"/>
            <w:shd w:val="clear" w:color="auto" w:fill="C6EFCE"/>
            <w:noWrap/>
          </w:tcPr>
          <w:p w14:paraId="148617FD"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Provision in the Decision of the Prime Minister indicating the entry into force of the Prime Minister Decision on the organisation and functioning of the Task force at the General Secretariat of the Government </w:t>
            </w:r>
          </w:p>
        </w:tc>
        <w:tc>
          <w:tcPr>
            <w:tcW w:w="1344" w:type="dxa"/>
            <w:shd w:val="clear" w:color="auto" w:fill="C6EFCE"/>
            <w:noWrap/>
          </w:tcPr>
          <w:p w14:paraId="77530B6A"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109" w:type="dxa"/>
            <w:shd w:val="clear" w:color="auto" w:fill="C6EFCE"/>
            <w:noWrap/>
          </w:tcPr>
          <w:p w14:paraId="47E9DECA"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872" w:type="dxa"/>
            <w:shd w:val="clear" w:color="auto" w:fill="C6EFCE"/>
          </w:tcPr>
          <w:p w14:paraId="7214B9D4"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202A010A"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Q4</w:t>
            </w:r>
          </w:p>
        </w:tc>
        <w:tc>
          <w:tcPr>
            <w:tcW w:w="820" w:type="dxa"/>
            <w:shd w:val="clear" w:color="auto" w:fill="C6EFCE"/>
            <w:noWrap/>
          </w:tcPr>
          <w:p w14:paraId="06769C67"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2022</w:t>
            </w:r>
          </w:p>
        </w:tc>
        <w:tc>
          <w:tcPr>
            <w:tcW w:w="3168" w:type="dxa"/>
            <w:shd w:val="clear" w:color="auto" w:fill="C6EFCE"/>
            <w:noWrap/>
          </w:tcPr>
          <w:p w14:paraId="0F5ABEA3"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On the basis of the recommendations of an independent expert panel, a permanent taskforce is established in compliance with the OECD corporate governance standards, and becomes operational (i.e. legally mandated and resourced) to ensure the monitoring of the application of corporate governance standards, has the ultimate responsibility of ensuring a transparent and competitive selection procedure for approving the appointment of administration board members, monitors, evaluates, controls, and publishes regular reporting of performance indicators and enforces sanctions for state owned enterprises non-compliant with key performance indicators.</w:t>
            </w:r>
          </w:p>
        </w:tc>
      </w:tr>
      <w:tr w:rsidR="00550A54" w:rsidRPr="00BD01A2" w14:paraId="2C12E60D" w14:textId="77777777">
        <w:trPr>
          <w:trHeight w:val="309"/>
        </w:trPr>
        <w:tc>
          <w:tcPr>
            <w:tcW w:w="822" w:type="dxa"/>
            <w:shd w:val="clear" w:color="auto" w:fill="C6EFCE"/>
            <w:noWrap/>
          </w:tcPr>
          <w:p w14:paraId="4B0B4D66"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441</w:t>
            </w:r>
          </w:p>
        </w:tc>
        <w:tc>
          <w:tcPr>
            <w:tcW w:w="2166" w:type="dxa"/>
            <w:shd w:val="clear" w:color="auto" w:fill="C6EFCE"/>
            <w:noWrap/>
          </w:tcPr>
          <w:p w14:paraId="0BA53213"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Reform 9. Improve the procedural framework for the implementation of corporate governance principles in state-owned enterprises </w:t>
            </w:r>
          </w:p>
        </w:tc>
        <w:tc>
          <w:tcPr>
            <w:tcW w:w="1320" w:type="dxa"/>
            <w:shd w:val="clear" w:color="auto" w:fill="C6EFCE"/>
            <w:noWrap/>
          </w:tcPr>
          <w:p w14:paraId="5B7ECB95"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2A54F450" w14:textId="30EF2D19"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Publication of the Monitoring Dashboard listing the financial and non-financial key performance indicators (KPIs) for</w:t>
            </w:r>
            <w:r w:rsidR="00D23D91" w:rsidRPr="00BD01A2">
              <w:rPr>
                <w:rFonts w:ascii="Times New Roman" w:hAnsi="Times New Roman" w:cs="Times New Roman"/>
                <w:noProof/>
                <w:sz w:val="20"/>
                <w:szCs w:val="20"/>
                <w:lang w:val="en-GB"/>
              </w:rPr>
              <w:t xml:space="preserve"> </w:t>
            </w:r>
            <w:r w:rsidRPr="00BD01A2">
              <w:rPr>
                <w:rFonts w:ascii="Times New Roman" w:hAnsi="Times New Roman" w:cs="Times New Roman"/>
                <w:noProof/>
                <w:sz w:val="20"/>
                <w:szCs w:val="20"/>
                <w:lang w:val="en-GB"/>
              </w:rPr>
              <w:t>all state-owned enterprises (SOEs)</w:t>
            </w:r>
            <w:r w:rsidR="00D23D91" w:rsidRPr="00BD01A2">
              <w:rPr>
                <w:rFonts w:ascii="Times New Roman" w:hAnsi="Times New Roman" w:cs="Times New Roman"/>
                <w:noProof/>
                <w:sz w:val="20"/>
                <w:szCs w:val="20"/>
                <w:lang w:val="en-GB"/>
              </w:rPr>
              <w:t xml:space="preserve"> </w:t>
            </w:r>
          </w:p>
        </w:tc>
        <w:tc>
          <w:tcPr>
            <w:tcW w:w="1547" w:type="dxa"/>
            <w:shd w:val="clear" w:color="auto" w:fill="C6EFCE"/>
            <w:noWrap/>
          </w:tcPr>
          <w:p w14:paraId="182D6B18"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Monitoring Dashboard published</w:t>
            </w:r>
          </w:p>
        </w:tc>
        <w:tc>
          <w:tcPr>
            <w:tcW w:w="1344" w:type="dxa"/>
            <w:shd w:val="clear" w:color="auto" w:fill="C6EFCE"/>
            <w:noWrap/>
          </w:tcPr>
          <w:p w14:paraId="21723CE1"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109" w:type="dxa"/>
            <w:shd w:val="clear" w:color="auto" w:fill="C6EFCE"/>
            <w:noWrap/>
          </w:tcPr>
          <w:p w14:paraId="36965051"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872" w:type="dxa"/>
            <w:shd w:val="clear" w:color="auto" w:fill="C6EFCE"/>
          </w:tcPr>
          <w:p w14:paraId="3F93FF54"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2BB7136E"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Q2</w:t>
            </w:r>
          </w:p>
        </w:tc>
        <w:tc>
          <w:tcPr>
            <w:tcW w:w="820" w:type="dxa"/>
            <w:shd w:val="clear" w:color="auto" w:fill="C6EFCE"/>
            <w:noWrap/>
          </w:tcPr>
          <w:p w14:paraId="29713B9A"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2023</w:t>
            </w:r>
          </w:p>
        </w:tc>
        <w:tc>
          <w:tcPr>
            <w:tcW w:w="3168" w:type="dxa"/>
            <w:shd w:val="clear" w:color="auto" w:fill="C6EFCE"/>
            <w:noWrap/>
          </w:tcPr>
          <w:p w14:paraId="78085836" w14:textId="77777777" w:rsidR="00550A54" w:rsidRPr="00BD01A2" w:rsidRDefault="00550A54">
            <w:pPr>
              <w:spacing w:after="12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The task force shall:</w:t>
            </w:r>
          </w:p>
          <w:p w14:paraId="732D0494"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identify standard financial and non-financial key performance indicators (KPIs) for monitoring performance of all state-owned enterprises (SOEs);</w:t>
            </w:r>
          </w:p>
          <w:p w14:paraId="21159070"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endorse the financial and non-financial KPIs for all SOEs;</w:t>
            </w:r>
          </w:p>
          <w:p w14:paraId="5352D71A"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publish a Monitoring Dashboard for reporting and monitoring yearly progress in achieving KPIs for all SOEs.</w:t>
            </w:r>
          </w:p>
        </w:tc>
      </w:tr>
      <w:tr w:rsidR="00550A54" w:rsidRPr="00BD01A2" w14:paraId="22DBA7C6" w14:textId="77777777">
        <w:trPr>
          <w:trHeight w:val="300"/>
        </w:trPr>
        <w:tc>
          <w:tcPr>
            <w:tcW w:w="822" w:type="dxa"/>
            <w:shd w:val="clear" w:color="auto" w:fill="C6EFCE"/>
            <w:noWrap/>
          </w:tcPr>
          <w:p w14:paraId="6C103FE3" w14:textId="77777777" w:rsidR="00550A54" w:rsidRPr="00BD01A2" w:rsidRDefault="00550A54">
            <w:pPr>
              <w:spacing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441a</w:t>
            </w:r>
          </w:p>
        </w:tc>
        <w:tc>
          <w:tcPr>
            <w:tcW w:w="2166" w:type="dxa"/>
            <w:shd w:val="clear" w:color="auto" w:fill="C6EFCE"/>
            <w:noWrap/>
          </w:tcPr>
          <w:p w14:paraId="466FC606"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Reform 9. Improve the procedural framework for the implementation of corporate governance principles in state-owned enterprises</w:t>
            </w:r>
          </w:p>
          <w:p w14:paraId="490CB703" w14:textId="77777777" w:rsidR="00550A54" w:rsidRPr="00BD01A2" w:rsidRDefault="00550A54">
            <w:pPr>
              <w:spacing w:line="240" w:lineRule="auto"/>
              <w:jc w:val="both"/>
              <w:rPr>
                <w:rFonts w:ascii="Times New Roman" w:hAnsi="Times New Roman" w:cs="Times New Roman"/>
                <w:noProof/>
                <w:sz w:val="20"/>
                <w:szCs w:val="20"/>
                <w:lang w:val="en-GB"/>
              </w:rPr>
            </w:pPr>
          </w:p>
        </w:tc>
        <w:tc>
          <w:tcPr>
            <w:tcW w:w="1320" w:type="dxa"/>
            <w:shd w:val="clear" w:color="auto" w:fill="C6EFCE"/>
            <w:noWrap/>
          </w:tcPr>
          <w:p w14:paraId="07D5B7F9" w14:textId="77777777" w:rsidR="00550A54" w:rsidRPr="00BD01A2" w:rsidRDefault="00550A54">
            <w:pPr>
              <w:spacing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2CFF82AE" w14:textId="77777777" w:rsidR="00550A54" w:rsidRPr="00BD01A2" w:rsidRDefault="00550A54">
            <w:pPr>
              <w:spacing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Publication of an evaluation of all SOEs based on progress in achieving financial and non-financial KPIs reported on the dashboard</w:t>
            </w:r>
          </w:p>
        </w:tc>
        <w:tc>
          <w:tcPr>
            <w:tcW w:w="1547" w:type="dxa"/>
            <w:shd w:val="clear" w:color="auto" w:fill="C6EFCE"/>
            <w:noWrap/>
          </w:tcPr>
          <w:p w14:paraId="61452207" w14:textId="77777777" w:rsidR="00550A54" w:rsidRPr="00BD01A2" w:rsidRDefault="00550A54">
            <w:pPr>
              <w:spacing w:line="240" w:lineRule="auto"/>
              <w:jc w:val="both"/>
              <w:rPr>
                <w:rFonts w:ascii="Times New Roman" w:eastAsia="Times New Roman" w:hAnsi="Times New Roman" w:cs="Times New Roman"/>
                <w:noProof/>
                <w:sz w:val="20"/>
                <w:szCs w:val="20"/>
                <w:lang w:val="en-GB"/>
              </w:rPr>
            </w:pPr>
            <w:r w:rsidRPr="00BD01A2">
              <w:rPr>
                <w:rFonts w:ascii="Times New Roman" w:eastAsia="Times New Roman" w:hAnsi="Times New Roman" w:cs="Times New Roman"/>
                <w:noProof/>
                <w:sz w:val="20"/>
                <w:szCs w:val="20"/>
                <w:lang w:val="en-GB"/>
              </w:rPr>
              <w:t xml:space="preserve">Evaluation of all SOEs published </w:t>
            </w:r>
          </w:p>
        </w:tc>
        <w:tc>
          <w:tcPr>
            <w:tcW w:w="1344" w:type="dxa"/>
            <w:shd w:val="clear" w:color="auto" w:fill="C6EFCE"/>
            <w:noWrap/>
          </w:tcPr>
          <w:p w14:paraId="3437580F" w14:textId="77777777" w:rsidR="00550A54" w:rsidRPr="00BD01A2" w:rsidRDefault="00550A54">
            <w:pPr>
              <w:spacing w:line="240" w:lineRule="auto"/>
              <w:rPr>
                <w:rFonts w:ascii="Times New Roman" w:hAnsi="Times New Roman" w:cs="Times New Roman"/>
                <w:noProof/>
                <w:sz w:val="20"/>
                <w:szCs w:val="20"/>
                <w:lang w:val="en-GB"/>
              </w:rPr>
            </w:pPr>
          </w:p>
        </w:tc>
        <w:tc>
          <w:tcPr>
            <w:tcW w:w="1109" w:type="dxa"/>
            <w:shd w:val="clear" w:color="auto" w:fill="C6EFCE"/>
            <w:noWrap/>
          </w:tcPr>
          <w:p w14:paraId="4A3A1868" w14:textId="77777777" w:rsidR="00550A54" w:rsidRPr="00BD01A2" w:rsidRDefault="00550A54">
            <w:pPr>
              <w:spacing w:line="240" w:lineRule="auto"/>
              <w:rPr>
                <w:rFonts w:ascii="Times New Roman" w:hAnsi="Times New Roman" w:cs="Times New Roman"/>
                <w:noProof/>
                <w:sz w:val="20"/>
                <w:szCs w:val="20"/>
                <w:lang w:val="en-GB"/>
              </w:rPr>
            </w:pPr>
          </w:p>
        </w:tc>
        <w:tc>
          <w:tcPr>
            <w:tcW w:w="872" w:type="dxa"/>
            <w:shd w:val="clear" w:color="auto" w:fill="C6EFCE"/>
          </w:tcPr>
          <w:p w14:paraId="31C72945" w14:textId="77777777" w:rsidR="00550A54" w:rsidRPr="00BD01A2" w:rsidRDefault="00550A54">
            <w:pPr>
              <w:spacing w:line="240" w:lineRule="auto"/>
              <w:rPr>
                <w:rFonts w:ascii="Times New Roman" w:hAnsi="Times New Roman" w:cs="Times New Roman"/>
                <w:noProof/>
                <w:sz w:val="20"/>
                <w:szCs w:val="20"/>
                <w:lang w:val="en-GB"/>
              </w:rPr>
            </w:pPr>
          </w:p>
        </w:tc>
        <w:tc>
          <w:tcPr>
            <w:tcW w:w="1082" w:type="dxa"/>
            <w:shd w:val="clear" w:color="auto" w:fill="C6EFCE"/>
            <w:noWrap/>
          </w:tcPr>
          <w:p w14:paraId="40870D97" w14:textId="77777777" w:rsidR="00550A54" w:rsidRPr="00BD01A2" w:rsidRDefault="00550A54">
            <w:pPr>
              <w:spacing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Q2</w:t>
            </w:r>
          </w:p>
        </w:tc>
        <w:tc>
          <w:tcPr>
            <w:tcW w:w="820" w:type="dxa"/>
            <w:shd w:val="clear" w:color="auto" w:fill="C6EFCE"/>
            <w:noWrap/>
          </w:tcPr>
          <w:p w14:paraId="18212550" w14:textId="77777777" w:rsidR="00550A54" w:rsidRPr="00BD01A2" w:rsidRDefault="00550A54">
            <w:pPr>
              <w:spacing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2023</w:t>
            </w:r>
          </w:p>
        </w:tc>
        <w:tc>
          <w:tcPr>
            <w:tcW w:w="3168" w:type="dxa"/>
            <w:shd w:val="clear" w:color="auto" w:fill="C6EFCE"/>
            <w:noWrap/>
          </w:tcPr>
          <w:p w14:paraId="4AA11E2B"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The task force shall conduct and publish an evaluation of all SOEs, based on the KPIs reported on the dashboard.</w:t>
            </w:r>
          </w:p>
          <w:p w14:paraId="220F22A0"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The evaluation shall consist of:</w:t>
            </w:r>
          </w:p>
          <w:p w14:paraId="39B02725"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an evaluation based on financial KPIs for all SOEs; and </w:t>
            </w:r>
          </w:p>
          <w:p w14:paraId="35DA9A2C"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r w:rsidRPr="00BD01A2">
              <w:rPr>
                <w:rFonts w:ascii="Times New Roman" w:eastAsia="Times New Roman" w:hAnsi="Times New Roman" w:cs="Times New Roman"/>
                <w:noProof/>
                <w:sz w:val="20"/>
                <w:szCs w:val="20"/>
                <w:lang w:val="en-GB"/>
              </w:rPr>
              <w:t>an evaluation based on both financial and non-financial KPIs for SOEs under the remit of public authorities at central level.</w:t>
            </w:r>
          </w:p>
          <w:p w14:paraId="1E595AC2" w14:textId="7A6BB529"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The evaluation shall be based on a methodology</w:t>
            </w:r>
            <w:r w:rsidR="00D23D91" w:rsidRPr="00BD01A2">
              <w:rPr>
                <w:rFonts w:ascii="Times New Roman" w:hAnsi="Times New Roman" w:cs="Times New Roman"/>
                <w:noProof/>
                <w:sz w:val="20"/>
                <w:szCs w:val="20"/>
                <w:lang w:val="en-GB"/>
              </w:rPr>
              <w:t xml:space="preserve"> </w:t>
            </w:r>
            <w:r w:rsidRPr="00BD01A2">
              <w:rPr>
                <w:rFonts w:ascii="Times New Roman" w:hAnsi="Times New Roman" w:cs="Times New Roman"/>
                <w:noProof/>
                <w:sz w:val="20"/>
                <w:szCs w:val="20"/>
                <w:lang w:val="en-GB"/>
              </w:rPr>
              <w:t>for assessing progress in achieving financial and non-financial KPIs prepared by the task force.</w:t>
            </w:r>
          </w:p>
          <w:p w14:paraId="64FB96F8"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Recommendations for selling or listing SOEs shall be put forward by the task force based on the evaluation of all SOEs.</w:t>
            </w:r>
          </w:p>
        </w:tc>
      </w:tr>
      <w:tr w:rsidR="00550A54" w:rsidRPr="00BD01A2" w14:paraId="37FD9495" w14:textId="77777777">
        <w:trPr>
          <w:trHeight w:val="309"/>
        </w:trPr>
        <w:tc>
          <w:tcPr>
            <w:tcW w:w="822" w:type="dxa"/>
            <w:shd w:val="clear" w:color="auto" w:fill="C6EFCE"/>
            <w:noWrap/>
          </w:tcPr>
          <w:p w14:paraId="5FC01E2F"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442</w:t>
            </w:r>
          </w:p>
        </w:tc>
        <w:tc>
          <w:tcPr>
            <w:tcW w:w="2166" w:type="dxa"/>
            <w:shd w:val="clear" w:color="auto" w:fill="C6EFCE"/>
            <w:noWrap/>
          </w:tcPr>
          <w:p w14:paraId="6852E74F"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Reform 9. Improve the procedural framework for the implementation of corporate governance principles in state-owned enterprises</w:t>
            </w:r>
          </w:p>
        </w:tc>
        <w:tc>
          <w:tcPr>
            <w:tcW w:w="1320" w:type="dxa"/>
            <w:shd w:val="clear" w:color="auto" w:fill="C6EFCE"/>
            <w:noWrap/>
          </w:tcPr>
          <w:p w14:paraId="4F80B3AA"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Target</w:t>
            </w:r>
          </w:p>
        </w:tc>
        <w:tc>
          <w:tcPr>
            <w:tcW w:w="1626" w:type="dxa"/>
            <w:shd w:val="clear" w:color="auto" w:fill="C6EFCE"/>
            <w:noWrap/>
          </w:tcPr>
          <w:p w14:paraId="1779652A"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Reduction in the number of interim mandates on management/supervisory boards of SOEs under the remit of public authorities at central level. Increase in the share of permanent mandates on management/supervisory boards of SOEs under the remit of local public authorities</w:t>
            </w:r>
          </w:p>
        </w:tc>
        <w:tc>
          <w:tcPr>
            <w:tcW w:w="1547" w:type="dxa"/>
            <w:shd w:val="clear" w:color="auto" w:fill="C6EFCE"/>
            <w:noWrap/>
          </w:tcPr>
          <w:p w14:paraId="272ABF05" w14:textId="77777777" w:rsidR="00550A54" w:rsidRPr="00BD01A2" w:rsidRDefault="00550A54">
            <w:pPr>
              <w:spacing w:before="120"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w:t>
            </w:r>
          </w:p>
        </w:tc>
        <w:tc>
          <w:tcPr>
            <w:tcW w:w="1344" w:type="dxa"/>
            <w:shd w:val="clear" w:color="auto" w:fill="C6EFCE"/>
            <w:noWrap/>
          </w:tcPr>
          <w:p w14:paraId="2DEEF696" w14:textId="77777777" w:rsidR="00550A54" w:rsidRPr="00BD01A2" w:rsidRDefault="00550A54">
            <w:pPr>
              <w:spacing w:after="0" w:line="240" w:lineRule="auto"/>
              <w:rPr>
                <w:rFonts w:ascii="Times New Roman" w:eastAsia="Times New Roman" w:hAnsi="Times New Roman" w:cs="Times New Roman"/>
                <w:noProof/>
                <w:sz w:val="20"/>
                <w:szCs w:val="20"/>
                <w:lang w:val="en-GB"/>
              </w:rPr>
            </w:pPr>
            <w:r w:rsidRPr="00BD01A2">
              <w:rPr>
                <w:rFonts w:ascii="Times New Roman" w:hAnsi="Times New Roman" w:cs="Times New Roman"/>
                <w:noProof/>
                <w:sz w:val="20"/>
                <w:szCs w:val="20"/>
                <w:lang w:val="en-GB"/>
              </w:rPr>
              <w:t>Percentage (%)</w:t>
            </w:r>
          </w:p>
          <w:p w14:paraId="4376B52E" w14:textId="77777777" w:rsidR="00550A54" w:rsidRPr="00BD01A2" w:rsidRDefault="00550A54">
            <w:pPr>
              <w:spacing w:after="0" w:line="240" w:lineRule="auto"/>
              <w:rPr>
                <w:rFonts w:ascii="Times New Roman" w:hAnsi="Times New Roman" w:cs="Times New Roman"/>
                <w:noProof/>
                <w:sz w:val="20"/>
                <w:szCs w:val="20"/>
                <w:lang w:val="en-GB"/>
              </w:rPr>
            </w:pPr>
          </w:p>
        </w:tc>
        <w:tc>
          <w:tcPr>
            <w:tcW w:w="1109" w:type="dxa"/>
            <w:shd w:val="clear" w:color="auto" w:fill="C6EFCE"/>
            <w:noWrap/>
          </w:tcPr>
          <w:p w14:paraId="3C1173A3"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0</w:t>
            </w:r>
          </w:p>
        </w:tc>
        <w:tc>
          <w:tcPr>
            <w:tcW w:w="872" w:type="dxa"/>
            <w:shd w:val="clear" w:color="auto" w:fill="C6EFCE"/>
          </w:tcPr>
          <w:p w14:paraId="048E0A76"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 50% for central SOEs; 80% for local SOEs</w:t>
            </w:r>
          </w:p>
        </w:tc>
        <w:tc>
          <w:tcPr>
            <w:tcW w:w="1082" w:type="dxa"/>
            <w:shd w:val="clear" w:color="auto" w:fill="C6EFCE"/>
            <w:noWrap/>
          </w:tcPr>
          <w:p w14:paraId="583406F7"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Q3</w:t>
            </w:r>
          </w:p>
        </w:tc>
        <w:tc>
          <w:tcPr>
            <w:tcW w:w="820" w:type="dxa"/>
            <w:shd w:val="clear" w:color="auto" w:fill="C6EFCE"/>
            <w:noWrap/>
          </w:tcPr>
          <w:p w14:paraId="5EFC111D"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2026</w:t>
            </w:r>
          </w:p>
        </w:tc>
        <w:tc>
          <w:tcPr>
            <w:tcW w:w="3168" w:type="dxa"/>
            <w:shd w:val="clear" w:color="auto" w:fill="C6EFCE"/>
            <w:noWrap/>
          </w:tcPr>
          <w:p w14:paraId="07296825" w14:textId="768CE0A3" w:rsidR="00550A54" w:rsidRPr="00BD01A2" w:rsidRDefault="00550A54">
            <w:pPr>
              <w:spacing w:after="12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The number of interim mandates on the management/supervisory boards of SOEs under the remit of public authorities at central level shall be reduced by 50%.</w:t>
            </w:r>
            <w:r w:rsidR="00D23D91" w:rsidRPr="00BD01A2">
              <w:rPr>
                <w:rFonts w:ascii="Times New Roman" w:hAnsi="Times New Roman" w:cs="Times New Roman"/>
                <w:noProof/>
                <w:sz w:val="20"/>
                <w:szCs w:val="20"/>
                <w:lang w:val="en-GB"/>
              </w:rPr>
              <w:t xml:space="preserve"> </w:t>
            </w:r>
          </w:p>
          <w:p w14:paraId="5A8D086A" w14:textId="39FF4924" w:rsidR="00550A54" w:rsidRPr="00BD01A2" w:rsidRDefault="00550A54">
            <w:pPr>
              <w:spacing w:after="12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The reduction in the number of interim mandates shall be calculated by reference to the baseline level in 2020, as demonstrated based on official data from the National Trade Register Office. For the purpose of the fulfilment of this target, only SOEs under the remit of public authorities at central level active both in 2020 and 2026 shall be taken into account.</w:t>
            </w:r>
            <w:r w:rsidR="00D23D91" w:rsidRPr="00BD01A2">
              <w:rPr>
                <w:rFonts w:ascii="Times New Roman" w:hAnsi="Times New Roman" w:cs="Times New Roman"/>
                <w:noProof/>
                <w:sz w:val="20"/>
                <w:szCs w:val="20"/>
                <w:lang w:val="en-GB"/>
              </w:rPr>
              <w:t xml:space="preserve"> </w:t>
            </w:r>
          </w:p>
          <w:p w14:paraId="6F88B474" w14:textId="1EEF84D5" w:rsidR="00550A54" w:rsidRPr="00BD01A2" w:rsidRDefault="00550A54">
            <w:pPr>
              <w:spacing w:after="12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The share of permanent mandates in the total number of filled seats on management/supervisory boards of SOEs under the remit of local public authorities shall be at least 80%, as demonstrated based on official data from the National Trade Register Office. A permanent mandate shall mean a mandate whose duration complies with Articles 8(1) and 28(8) of GEO No. 109/2011. For the purpose of the fulfilment of this target, only SOEs under the remit of local public authorities active in 2026 shall be taken into account.</w:t>
            </w:r>
            <w:r w:rsidR="00D23D91" w:rsidRPr="00BD01A2">
              <w:rPr>
                <w:rFonts w:ascii="Times New Roman" w:hAnsi="Times New Roman" w:cs="Times New Roman"/>
                <w:noProof/>
                <w:sz w:val="20"/>
                <w:szCs w:val="20"/>
                <w:lang w:val="en-GB"/>
              </w:rPr>
              <w:t xml:space="preserve"> </w:t>
            </w:r>
          </w:p>
          <w:p w14:paraId="6A7FC032" w14:textId="77777777" w:rsidR="00550A54" w:rsidRPr="00BD01A2" w:rsidRDefault="00550A54">
            <w:pPr>
              <w:spacing w:after="12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SOEs exempt from the application of GEO No. 109/2011 pursuant to Article 1(7) thereof shall be excluded from the calculations for the fulfilment of this target. </w:t>
            </w:r>
          </w:p>
          <w:p w14:paraId="41FD3A52" w14:textId="34230FB0" w:rsidR="00550A54" w:rsidRPr="00BD01A2" w:rsidRDefault="00550A54">
            <w:pPr>
              <w:spacing w:after="12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The lists of permanent and interim board members of the SOEs taken into account for the purpose of this target, as demonstrated based on official data from the National Trade Register Office, shall be provided as evidence.</w:t>
            </w:r>
            <w:r w:rsidR="00D23D91" w:rsidRPr="00BD01A2">
              <w:rPr>
                <w:rFonts w:ascii="Times New Roman" w:hAnsi="Times New Roman" w:cs="Times New Roman"/>
                <w:noProof/>
                <w:sz w:val="20"/>
                <w:szCs w:val="20"/>
                <w:lang w:val="en-GB"/>
              </w:rPr>
              <w:t xml:space="preserve"> </w:t>
            </w:r>
          </w:p>
          <w:p w14:paraId="2AB334CE" w14:textId="77777777" w:rsidR="00550A54" w:rsidRPr="00BD01A2" w:rsidRDefault="00550A54">
            <w:pPr>
              <w:spacing w:after="12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Furthermore, for the purpose of the fulfilment of this target, the active SOEs shall be those identified in the list published by the Ministry of Finance in accordance with Order No. 2873/2016.</w:t>
            </w:r>
          </w:p>
        </w:tc>
      </w:tr>
      <w:tr w:rsidR="00550A54" w:rsidRPr="00BD01A2" w14:paraId="69702EA4" w14:textId="77777777">
        <w:trPr>
          <w:trHeight w:val="309"/>
        </w:trPr>
        <w:tc>
          <w:tcPr>
            <w:tcW w:w="822" w:type="dxa"/>
            <w:shd w:val="clear" w:color="auto" w:fill="C6EFCE"/>
            <w:noWrap/>
          </w:tcPr>
          <w:p w14:paraId="1639F87D"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443</w:t>
            </w:r>
          </w:p>
        </w:tc>
        <w:tc>
          <w:tcPr>
            <w:tcW w:w="2166" w:type="dxa"/>
            <w:shd w:val="clear" w:color="auto" w:fill="C6EFCE"/>
            <w:noWrap/>
          </w:tcPr>
          <w:p w14:paraId="48FE9D84"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eastAsia="Times New Roman" w:hAnsi="Times New Roman" w:cs="Times New Roman"/>
                <w:noProof/>
                <w:sz w:val="20"/>
                <w:szCs w:val="20"/>
                <w:lang w:val="en-GB"/>
              </w:rPr>
              <w:t>Reform 9. Improve the procedural framework for the implementation of corporate governance principles in state-owned enterprises</w:t>
            </w:r>
          </w:p>
        </w:tc>
        <w:tc>
          <w:tcPr>
            <w:tcW w:w="1320" w:type="dxa"/>
            <w:shd w:val="clear" w:color="auto" w:fill="C6EFCE"/>
            <w:noWrap/>
          </w:tcPr>
          <w:p w14:paraId="6AED9D14"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Target</w:t>
            </w:r>
          </w:p>
        </w:tc>
        <w:tc>
          <w:tcPr>
            <w:tcW w:w="1626" w:type="dxa"/>
            <w:shd w:val="clear" w:color="auto" w:fill="C6EFCE"/>
            <w:noWrap/>
          </w:tcPr>
          <w:p w14:paraId="38AFF716" w14:textId="4DA53E06"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eastAsia="Times New Roman" w:hAnsi="Times New Roman" w:cs="Times New Roman"/>
                <w:noProof/>
                <w:sz w:val="20"/>
                <w:szCs w:val="20"/>
                <w:lang w:val="en-GB"/>
              </w:rPr>
              <w:t>Central state -owned companies listed or</w:t>
            </w:r>
            <w:r w:rsidR="00D23D91" w:rsidRPr="00BD01A2">
              <w:rPr>
                <w:rFonts w:ascii="Times New Roman" w:eastAsia="Times New Roman" w:hAnsi="Times New Roman" w:cs="Times New Roman"/>
                <w:noProof/>
                <w:sz w:val="20"/>
                <w:szCs w:val="20"/>
                <w:lang w:val="en-GB"/>
              </w:rPr>
              <w:t xml:space="preserve"> </w:t>
            </w:r>
            <w:r w:rsidRPr="00BD01A2">
              <w:rPr>
                <w:rFonts w:ascii="Times New Roman" w:eastAsia="Times New Roman" w:hAnsi="Times New Roman" w:cs="Times New Roman"/>
                <w:noProof/>
                <w:sz w:val="20"/>
                <w:szCs w:val="20"/>
                <w:lang w:val="en-GB"/>
              </w:rPr>
              <w:t>restructured under the remit of the Ministry of Energy or of the Ministry of Transport</w:t>
            </w:r>
          </w:p>
        </w:tc>
        <w:tc>
          <w:tcPr>
            <w:tcW w:w="1547" w:type="dxa"/>
            <w:shd w:val="clear" w:color="auto" w:fill="C6EFCE"/>
            <w:noWrap/>
          </w:tcPr>
          <w:p w14:paraId="51A6D358" w14:textId="77777777" w:rsidR="00550A54" w:rsidRPr="00BD01A2" w:rsidRDefault="00550A54">
            <w:pPr>
              <w:spacing w:before="120" w:after="0" w:line="240" w:lineRule="auto"/>
              <w:jc w:val="both"/>
              <w:rPr>
                <w:rFonts w:ascii="Times New Roman" w:hAnsi="Times New Roman" w:cs="Times New Roman"/>
                <w:noProof/>
                <w:sz w:val="20"/>
                <w:szCs w:val="20"/>
                <w:lang w:val="en-GB"/>
              </w:rPr>
            </w:pPr>
          </w:p>
        </w:tc>
        <w:tc>
          <w:tcPr>
            <w:tcW w:w="1344" w:type="dxa"/>
            <w:shd w:val="clear" w:color="auto" w:fill="C6EFCE"/>
            <w:noWrap/>
          </w:tcPr>
          <w:p w14:paraId="0806B455"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Number</w:t>
            </w:r>
          </w:p>
        </w:tc>
        <w:tc>
          <w:tcPr>
            <w:tcW w:w="1109" w:type="dxa"/>
            <w:shd w:val="clear" w:color="auto" w:fill="C6EFCE"/>
            <w:noWrap/>
          </w:tcPr>
          <w:p w14:paraId="0440E0CC"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0</w:t>
            </w:r>
          </w:p>
        </w:tc>
        <w:tc>
          <w:tcPr>
            <w:tcW w:w="872" w:type="dxa"/>
            <w:shd w:val="clear" w:color="auto" w:fill="C6EFCE"/>
          </w:tcPr>
          <w:p w14:paraId="47FCA343"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3</w:t>
            </w:r>
          </w:p>
        </w:tc>
        <w:tc>
          <w:tcPr>
            <w:tcW w:w="1082" w:type="dxa"/>
            <w:shd w:val="clear" w:color="auto" w:fill="C6EFCE"/>
            <w:noWrap/>
          </w:tcPr>
          <w:p w14:paraId="4210212C"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Q2</w:t>
            </w:r>
          </w:p>
        </w:tc>
        <w:tc>
          <w:tcPr>
            <w:tcW w:w="820" w:type="dxa"/>
            <w:shd w:val="clear" w:color="auto" w:fill="C6EFCE"/>
            <w:noWrap/>
          </w:tcPr>
          <w:p w14:paraId="7FD57B08"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2026</w:t>
            </w:r>
          </w:p>
        </w:tc>
        <w:tc>
          <w:tcPr>
            <w:tcW w:w="3168" w:type="dxa"/>
            <w:shd w:val="clear" w:color="auto" w:fill="C6EFCE"/>
            <w:noWrap/>
          </w:tcPr>
          <w:p w14:paraId="3BDDF13F"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eastAsia="Times New Roman" w:hAnsi="Times New Roman" w:cs="Times New Roman"/>
                <w:noProof/>
                <w:sz w:val="20"/>
                <w:szCs w:val="20"/>
                <w:lang w:val="en-GB"/>
              </w:rPr>
              <w:t>At least three SOEs under the remit of the Ministry of Energy or of the Ministry of Transport shall be listed or restructured. This shall be in addition to the listing of at least 15 % shares of Hidroelectrica required under target 122.</w:t>
            </w:r>
          </w:p>
          <w:p w14:paraId="4C7CC3CB"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rPr>
            </w:pPr>
            <w:r w:rsidRPr="00BD01A2">
              <w:rPr>
                <w:rFonts w:ascii="Times New Roman" w:eastAsia="Times New Roman" w:hAnsi="Times New Roman" w:cs="Times New Roman"/>
                <w:noProof/>
                <w:sz w:val="20"/>
                <w:szCs w:val="20"/>
                <w:lang w:val="en-GB"/>
              </w:rPr>
              <w:t>For the purposes of the fulfilment of this target, the restructuring may take the form of dissolution, merger, division, or liquidation, in accordance with the provisions of Law No. 31/1990 or Law 85/2014.</w:t>
            </w:r>
          </w:p>
        </w:tc>
      </w:tr>
      <w:tr w:rsidR="00550A54" w:rsidRPr="00BD01A2" w14:paraId="1038D6E5" w14:textId="77777777">
        <w:trPr>
          <w:trHeight w:val="309"/>
        </w:trPr>
        <w:tc>
          <w:tcPr>
            <w:tcW w:w="822" w:type="dxa"/>
            <w:shd w:val="clear" w:color="auto" w:fill="C6EFCE"/>
            <w:noWrap/>
          </w:tcPr>
          <w:p w14:paraId="0FBA3900"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449</w:t>
            </w:r>
          </w:p>
        </w:tc>
        <w:tc>
          <w:tcPr>
            <w:tcW w:w="2166" w:type="dxa"/>
            <w:shd w:val="clear" w:color="auto" w:fill="C6EFCE"/>
            <w:noWrap/>
          </w:tcPr>
          <w:p w14:paraId="76296C4B" w14:textId="333AC688"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Investment 4.</w:t>
            </w:r>
            <w:r w:rsidR="00D23D91" w:rsidRPr="00BD01A2">
              <w:rPr>
                <w:rFonts w:ascii="Times New Roman" w:hAnsi="Times New Roman" w:cs="Times New Roman"/>
                <w:noProof/>
                <w:sz w:val="20"/>
                <w:szCs w:val="20"/>
                <w:lang w:val="en-GB"/>
              </w:rPr>
              <w:t xml:space="preserve"> </w:t>
            </w:r>
            <w:r w:rsidRPr="00BD01A2">
              <w:rPr>
                <w:rFonts w:ascii="Times New Roman" w:hAnsi="Times New Roman" w:cs="Times New Roman"/>
                <w:noProof/>
                <w:sz w:val="20"/>
                <w:szCs w:val="20"/>
                <w:lang w:val="en-GB"/>
              </w:rPr>
              <w:t xml:space="preserve">Increasing the capacity of civil society organisations to foster active citizenship, to engage professionally in the planning and implementation of public policies on social rights addressed by the national recovery and resilience plan and to monitor related reforms </w:t>
            </w:r>
          </w:p>
        </w:tc>
        <w:tc>
          <w:tcPr>
            <w:tcW w:w="1320" w:type="dxa"/>
            <w:shd w:val="clear" w:color="auto" w:fill="C6EFCE"/>
            <w:noWrap/>
          </w:tcPr>
          <w:p w14:paraId="2E2C7B66"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Milestone </w:t>
            </w:r>
          </w:p>
        </w:tc>
        <w:tc>
          <w:tcPr>
            <w:tcW w:w="1626" w:type="dxa"/>
            <w:shd w:val="clear" w:color="auto" w:fill="C6EFCE"/>
            <w:noWrap/>
          </w:tcPr>
          <w:p w14:paraId="7B86BF29"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Entry into force of social dialogue legislation, providing for meaningful and timely social dialogue and collective bargaining, in line with the ILO Recommendations</w:t>
            </w:r>
          </w:p>
        </w:tc>
        <w:tc>
          <w:tcPr>
            <w:tcW w:w="1547" w:type="dxa"/>
            <w:shd w:val="clear" w:color="auto" w:fill="C6EFCE"/>
            <w:noWrap/>
          </w:tcPr>
          <w:p w14:paraId="7B607031"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Provision in the law indicating the entry into force of the law for the social dialogue</w:t>
            </w:r>
          </w:p>
        </w:tc>
        <w:tc>
          <w:tcPr>
            <w:tcW w:w="1344" w:type="dxa"/>
            <w:shd w:val="clear" w:color="auto" w:fill="C6EFCE"/>
            <w:noWrap/>
          </w:tcPr>
          <w:p w14:paraId="3DBD0202" w14:textId="77777777" w:rsidR="00550A54" w:rsidRPr="00BD01A2" w:rsidRDefault="00550A54">
            <w:pPr>
              <w:spacing w:after="0" w:line="240" w:lineRule="auto"/>
              <w:rPr>
                <w:rFonts w:ascii="Times New Roman" w:hAnsi="Times New Roman" w:cs="Times New Roman"/>
                <w:noProof/>
                <w:sz w:val="20"/>
                <w:szCs w:val="20"/>
                <w:lang w:val="en-GB"/>
              </w:rPr>
            </w:pPr>
          </w:p>
        </w:tc>
        <w:tc>
          <w:tcPr>
            <w:tcW w:w="1109" w:type="dxa"/>
            <w:shd w:val="clear" w:color="auto" w:fill="C6EFCE"/>
            <w:noWrap/>
          </w:tcPr>
          <w:p w14:paraId="1702EA75" w14:textId="77777777" w:rsidR="00550A54" w:rsidRPr="00BD01A2" w:rsidRDefault="00550A54">
            <w:pPr>
              <w:spacing w:after="0" w:line="240" w:lineRule="auto"/>
              <w:rPr>
                <w:rFonts w:ascii="Times New Roman" w:hAnsi="Times New Roman" w:cs="Times New Roman"/>
                <w:noProof/>
                <w:sz w:val="20"/>
                <w:szCs w:val="20"/>
                <w:lang w:val="en-GB"/>
              </w:rPr>
            </w:pPr>
          </w:p>
        </w:tc>
        <w:tc>
          <w:tcPr>
            <w:tcW w:w="872" w:type="dxa"/>
            <w:shd w:val="clear" w:color="auto" w:fill="C6EFCE"/>
          </w:tcPr>
          <w:p w14:paraId="65E95B46"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445F854A"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Q4</w:t>
            </w:r>
          </w:p>
        </w:tc>
        <w:tc>
          <w:tcPr>
            <w:tcW w:w="820" w:type="dxa"/>
            <w:shd w:val="clear" w:color="auto" w:fill="C6EFCE"/>
            <w:noWrap/>
          </w:tcPr>
          <w:p w14:paraId="1F894133"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2022</w:t>
            </w:r>
          </w:p>
        </w:tc>
        <w:tc>
          <w:tcPr>
            <w:tcW w:w="3168" w:type="dxa"/>
            <w:shd w:val="clear" w:color="auto" w:fill="C6EFCE"/>
            <w:noWrap/>
          </w:tcPr>
          <w:p w14:paraId="6F9708C8"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Entry into force of a new law on social dialogue, negotiated with the social partners. The law shall address deficiencies in the social dialogue process as highlighted in the relevant Country Specific Recommendation and be in line with the International Labour Organisation recommendations issued in April 2018 and referred to in recital 25 of the 2020 Country Specific Recommendations. Also, the Law shall foresee a Revision of the definition of the economic sectors as a basis for sector level collective agreement. </w:t>
            </w:r>
          </w:p>
        </w:tc>
      </w:tr>
      <w:tr w:rsidR="00550A54" w:rsidRPr="00BD01A2" w14:paraId="579A4194" w14:textId="77777777">
        <w:trPr>
          <w:trHeight w:val="309"/>
        </w:trPr>
        <w:tc>
          <w:tcPr>
            <w:tcW w:w="822" w:type="dxa"/>
            <w:shd w:val="clear" w:color="auto" w:fill="C6EFCE"/>
            <w:noWrap/>
          </w:tcPr>
          <w:p w14:paraId="6F98DAF1"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450</w:t>
            </w:r>
          </w:p>
        </w:tc>
        <w:tc>
          <w:tcPr>
            <w:tcW w:w="2166" w:type="dxa"/>
            <w:shd w:val="clear" w:color="auto" w:fill="C6EFCE"/>
            <w:noWrap/>
          </w:tcPr>
          <w:p w14:paraId="561441E4" w14:textId="37F6F8D5"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Investment 5.</w:t>
            </w:r>
            <w:r w:rsidR="00D23D91" w:rsidRPr="00BD01A2">
              <w:rPr>
                <w:rFonts w:ascii="Times New Roman" w:hAnsi="Times New Roman" w:cs="Times New Roman"/>
                <w:noProof/>
                <w:sz w:val="20"/>
                <w:szCs w:val="20"/>
                <w:lang w:val="en-GB"/>
              </w:rPr>
              <w:t xml:space="preserve"> </w:t>
            </w:r>
            <w:r w:rsidRPr="00BD01A2">
              <w:rPr>
                <w:rFonts w:ascii="Times New Roman" w:hAnsi="Times New Roman" w:cs="Times New Roman"/>
                <w:noProof/>
                <w:sz w:val="20"/>
                <w:szCs w:val="20"/>
                <w:lang w:val="en-GB"/>
              </w:rPr>
              <w:t>Monitoring and implementation of the plan</w:t>
            </w:r>
          </w:p>
          <w:p w14:paraId="6230A8DC" w14:textId="77777777" w:rsidR="00550A54" w:rsidRPr="00BD01A2" w:rsidRDefault="00550A54">
            <w:pPr>
              <w:spacing w:after="0" w:line="240" w:lineRule="auto"/>
              <w:jc w:val="both"/>
              <w:rPr>
                <w:rFonts w:ascii="Times New Roman" w:hAnsi="Times New Roman" w:cs="Times New Roman"/>
                <w:noProof/>
                <w:sz w:val="20"/>
                <w:szCs w:val="20"/>
                <w:lang w:val="en-GB"/>
              </w:rPr>
            </w:pPr>
          </w:p>
        </w:tc>
        <w:tc>
          <w:tcPr>
            <w:tcW w:w="1320" w:type="dxa"/>
            <w:shd w:val="clear" w:color="auto" w:fill="C6EFCE"/>
            <w:noWrap/>
          </w:tcPr>
          <w:p w14:paraId="7FCAE260"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255B70A4"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Audit and Controls: information for monitoring implementation of the recovery and resilience plan</w:t>
            </w:r>
          </w:p>
        </w:tc>
        <w:tc>
          <w:tcPr>
            <w:tcW w:w="1547" w:type="dxa"/>
            <w:shd w:val="clear" w:color="auto" w:fill="C6EFCE"/>
            <w:noWrap/>
          </w:tcPr>
          <w:p w14:paraId="3FFD0F7B"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Audit report confirming repository system functionalities </w:t>
            </w:r>
          </w:p>
        </w:tc>
        <w:tc>
          <w:tcPr>
            <w:tcW w:w="1344" w:type="dxa"/>
            <w:shd w:val="clear" w:color="auto" w:fill="C6EFCE"/>
            <w:noWrap/>
          </w:tcPr>
          <w:p w14:paraId="6A47BB98" w14:textId="77777777" w:rsidR="00550A54" w:rsidRPr="00BD01A2" w:rsidRDefault="00550A54">
            <w:pPr>
              <w:spacing w:after="0" w:line="240" w:lineRule="auto"/>
              <w:rPr>
                <w:rFonts w:ascii="Times New Roman" w:hAnsi="Times New Roman" w:cs="Times New Roman"/>
                <w:noProof/>
                <w:sz w:val="20"/>
                <w:szCs w:val="20"/>
                <w:lang w:val="en-GB"/>
              </w:rPr>
            </w:pPr>
          </w:p>
        </w:tc>
        <w:tc>
          <w:tcPr>
            <w:tcW w:w="1109" w:type="dxa"/>
            <w:shd w:val="clear" w:color="auto" w:fill="C6EFCE"/>
            <w:noWrap/>
          </w:tcPr>
          <w:p w14:paraId="5CF4B539" w14:textId="77777777" w:rsidR="00550A54" w:rsidRPr="00BD01A2" w:rsidRDefault="00550A54">
            <w:pPr>
              <w:spacing w:after="0" w:line="240" w:lineRule="auto"/>
              <w:rPr>
                <w:rFonts w:ascii="Times New Roman" w:hAnsi="Times New Roman" w:cs="Times New Roman"/>
                <w:noProof/>
                <w:sz w:val="20"/>
                <w:szCs w:val="20"/>
                <w:lang w:val="en-GB"/>
              </w:rPr>
            </w:pPr>
          </w:p>
        </w:tc>
        <w:tc>
          <w:tcPr>
            <w:tcW w:w="872" w:type="dxa"/>
            <w:shd w:val="clear" w:color="auto" w:fill="C6EFCE"/>
          </w:tcPr>
          <w:p w14:paraId="32D920FA"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4ED2E56B"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Q4</w:t>
            </w:r>
          </w:p>
        </w:tc>
        <w:tc>
          <w:tcPr>
            <w:tcW w:w="820" w:type="dxa"/>
            <w:shd w:val="clear" w:color="auto" w:fill="C6EFCE"/>
            <w:noWrap/>
          </w:tcPr>
          <w:p w14:paraId="0BB82878"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2021</w:t>
            </w:r>
          </w:p>
        </w:tc>
        <w:tc>
          <w:tcPr>
            <w:tcW w:w="3168" w:type="dxa"/>
            <w:shd w:val="clear" w:color="auto" w:fill="C6EFCE"/>
            <w:noWrap/>
          </w:tcPr>
          <w:p w14:paraId="32F53AF8" w14:textId="77777777" w:rsidR="00550A54" w:rsidRPr="00BD01A2" w:rsidRDefault="00550A54">
            <w:pPr>
              <w:spacing w:after="0"/>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A repository system for monitoring the implementation of the recovery and resilience plan shall be in place and operational before the first payment request (except for prefinancing). </w:t>
            </w:r>
          </w:p>
          <w:p w14:paraId="04E3F87D" w14:textId="77777777" w:rsidR="00550A54" w:rsidRPr="00BD01A2" w:rsidRDefault="00550A54">
            <w:pPr>
              <w:spacing w:after="0"/>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The system shall include, as a minimum, the following functionalities:</w:t>
            </w:r>
          </w:p>
          <w:p w14:paraId="38C09652" w14:textId="77777777" w:rsidR="00550A54" w:rsidRPr="00BD01A2" w:rsidRDefault="00550A54">
            <w:pPr>
              <w:spacing w:after="0"/>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(a) collection of data and monitoring of the achievement of milestones and targets;</w:t>
            </w:r>
          </w:p>
          <w:p w14:paraId="4F53A97F"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(b) collect, store and ensure access to the data required by Article 22(2)(d)(i) to (iii) of the RRF Regulation.</w:t>
            </w:r>
          </w:p>
        </w:tc>
      </w:tr>
      <w:tr w:rsidR="00550A54" w:rsidRPr="00BD01A2" w14:paraId="78D05CCA" w14:textId="77777777">
        <w:trPr>
          <w:trHeight w:val="309"/>
        </w:trPr>
        <w:tc>
          <w:tcPr>
            <w:tcW w:w="822" w:type="dxa"/>
            <w:shd w:val="clear" w:color="auto" w:fill="C6EFCE"/>
            <w:noWrap/>
          </w:tcPr>
          <w:p w14:paraId="53D2BFCD"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451</w:t>
            </w:r>
          </w:p>
        </w:tc>
        <w:tc>
          <w:tcPr>
            <w:tcW w:w="2166" w:type="dxa"/>
            <w:shd w:val="clear" w:color="auto" w:fill="C6EFCE"/>
            <w:noWrap/>
          </w:tcPr>
          <w:p w14:paraId="57151109"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 xml:space="preserve">Investment 5. Monitoring and implementation of the plan </w:t>
            </w:r>
          </w:p>
        </w:tc>
        <w:tc>
          <w:tcPr>
            <w:tcW w:w="1320" w:type="dxa"/>
            <w:shd w:val="clear" w:color="auto" w:fill="C6EFCE"/>
            <w:noWrap/>
          </w:tcPr>
          <w:p w14:paraId="5E3B5FE2"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Milestone</w:t>
            </w:r>
          </w:p>
        </w:tc>
        <w:tc>
          <w:tcPr>
            <w:tcW w:w="1626" w:type="dxa"/>
            <w:shd w:val="clear" w:color="auto" w:fill="C6EFCE"/>
            <w:noWrap/>
          </w:tcPr>
          <w:p w14:paraId="26DA443C"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Entry into force of a Government Ordinance enacting the legal mandate of the Ministry of Investments and European Project (MIPE), Ministry of Finance (MoF) and the Audit Authority (AA)</w:t>
            </w:r>
          </w:p>
        </w:tc>
        <w:tc>
          <w:tcPr>
            <w:tcW w:w="1547" w:type="dxa"/>
            <w:shd w:val="clear" w:color="auto" w:fill="C6EFCE"/>
            <w:noWrap/>
          </w:tcPr>
          <w:p w14:paraId="1E787130"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Provision in the law indicating the entry into force of the Government Emergency Ordinance on the financial, implemen-tation, control and audit mechanism, including clear mandate to three institutions</w:t>
            </w:r>
          </w:p>
        </w:tc>
        <w:tc>
          <w:tcPr>
            <w:tcW w:w="1344" w:type="dxa"/>
            <w:shd w:val="clear" w:color="auto" w:fill="C6EFCE"/>
            <w:noWrap/>
          </w:tcPr>
          <w:p w14:paraId="0D9B0B8B" w14:textId="77777777" w:rsidR="00550A54" w:rsidRPr="00BD01A2" w:rsidRDefault="00550A54">
            <w:pPr>
              <w:spacing w:after="0" w:line="240" w:lineRule="auto"/>
              <w:rPr>
                <w:rFonts w:ascii="Times New Roman" w:hAnsi="Times New Roman" w:cs="Times New Roman"/>
                <w:noProof/>
                <w:sz w:val="20"/>
                <w:szCs w:val="20"/>
                <w:lang w:val="en-GB"/>
              </w:rPr>
            </w:pPr>
          </w:p>
        </w:tc>
        <w:tc>
          <w:tcPr>
            <w:tcW w:w="1109" w:type="dxa"/>
            <w:shd w:val="clear" w:color="auto" w:fill="C6EFCE"/>
            <w:noWrap/>
          </w:tcPr>
          <w:p w14:paraId="10168374" w14:textId="77777777" w:rsidR="00550A54" w:rsidRPr="00BD01A2" w:rsidRDefault="00550A54">
            <w:pPr>
              <w:spacing w:after="0" w:line="240" w:lineRule="auto"/>
              <w:rPr>
                <w:rFonts w:ascii="Times New Roman" w:hAnsi="Times New Roman" w:cs="Times New Roman"/>
                <w:noProof/>
                <w:sz w:val="20"/>
                <w:szCs w:val="20"/>
                <w:lang w:val="en-GB"/>
              </w:rPr>
            </w:pPr>
          </w:p>
        </w:tc>
        <w:tc>
          <w:tcPr>
            <w:tcW w:w="872" w:type="dxa"/>
            <w:shd w:val="clear" w:color="auto" w:fill="C6EFCE"/>
          </w:tcPr>
          <w:p w14:paraId="4ABDB635"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6B03EA84" w14:textId="77777777" w:rsidR="00550A54" w:rsidRPr="00BD01A2" w:rsidRDefault="00550A54">
            <w:pPr>
              <w:spacing w:after="0" w:line="240" w:lineRule="auto"/>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Q4</w:t>
            </w:r>
          </w:p>
        </w:tc>
        <w:tc>
          <w:tcPr>
            <w:tcW w:w="820" w:type="dxa"/>
            <w:shd w:val="clear" w:color="auto" w:fill="C6EFCE"/>
            <w:noWrap/>
          </w:tcPr>
          <w:p w14:paraId="1048ACF0" w14:textId="77777777" w:rsidR="00550A54" w:rsidRPr="00BD01A2" w:rsidRDefault="00550A54">
            <w:pPr>
              <w:spacing w:after="0" w:line="240" w:lineRule="auto"/>
              <w:jc w:val="center"/>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2021</w:t>
            </w:r>
          </w:p>
        </w:tc>
        <w:tc>
          <w:tcPr>
            <w:tcW w:w="3168" w:type="dxa"/>
            <w:shd w:val="clear" w:color="auto" w:fill="C6EFCE"/>
            <w:noWrap/>
          </w:tcPr>
          <w:p w14:paraId="4F1F24B7" w14:textId="77777777" w:rsidR="00550A54" w:rsidRPr="00BD01A2" w:rsidRDefault="00550A54">
            <w:pPr>
              <w:spacing w:after="0" w:line="240" w:lineRule="auto"/>
              <w:jc w:val="both"/>
              <w:rPr>
                <w:rFonts w:ascii="Times New Roman" w:hAnsi="Times New Roman" w:cs="Times New Roman"/>
                <w:noProof/>
                <w:sz w:val="20"/>
                <w:szCs w:val="20"/>
                <w:lang w:val="en-GB"/>
              </w:rPr>
            </w:pPr>
            <w:r w:rsidRPr="00BD01A2">
              <w:rPr>
                <w:rFonts w:ascii="Times New Roman" w:hAnsi="Times New Roman" w:cs="Times New Roman"/>
                <w:noProof/>
                <w:sz w:val="20"/>
                <w:szCs w:val="20"/>
                <w:lang w:val="en-GB"/>
              </w:rPr>
              <w:t>Entry into force of a Government Ordinance enacting the institutional framework for the national recovery and resilience plan and the activities carried out by the constituent institutions entrusting MIPE the power and mandate to exercise all the tasks of monitoring, verification, control and recovery, drawing up and signing payment applications submitted to the European Commission, the management declaration and the audit summary. The same framework shall also entrust MoF with the duties in relation to the signing of the loan agreement and the financing agreement together with MIPE, and also to specify the activities that the audit authority shall perform as part of its mandate for national recovery and resilience plan.</w:t>
            </w:r>
          </w:p>
        </w:tc>
      </w:tr>
    </w:tbl>
    <w:p w14:paraId="6C84A931" w14:textId="77777777" w:rsidR="00550A54" w:rsidRPr="00291374" w:rsidRDefault="00550A54" w:rsidP="00550A54">
      <w:pPr>
        <w:rPr>
          <w:rFonts w:ascii="Times New Roman" w:hAnsi="Times New Roman" w:cs="Times New Roman"/>
          <w:noProof/>
          <w:lang w:val="en-GB"/>
        </w:rPr>
        <w:sectPr w:rsidR="00550A54" w:rsidRPr="00291374" w:rsidSect="00550A54">
          <w:headerReference w:type="even" r:id="rId329"/>
          <w:headerReference w:type="default" r:id="rId330"/>
          <w:footerReference w:type="even" r:id="rId331"/>
          <w:footerReference w:type="default" r:id="rId332"/>
          <w:headerReference w:type="first" r:id="rId333"/>
          <w:footerReference w:type="first" r:id="rId334"/>
          <w:pgSz w:w="16839" w:h="11907" w:orient="landscape"/>
          <w:pgMar w:top="1134" w:right="1134" w:bottom="1134" w:left="1134" w:header="567" w:footer="567" w:gutter="0"/>
          <w:cols w:space="720"/>
          <w:docGrid w:linePitch="360"/>
        </w:sectPr>
      </w:pPr>
    </w:p>
    <w:p w14:paraId="7D01D72C" w14:textId="77777777" w:rsidR="00B803E9" w:rsidRPr="00291374" w:rsidRDefault="00B803E9" w:rsidP="00B803E9">
      <w:pPr>
        <w:keepNext/>
        <w:numPr>
          <w:ilvl w:val="0"/>
          <w:numId w:val="62"/>
        </w:numPr>
        <w:tabs>
          <w:tab w:val="left" w:pos="850"/>
        </w:tabs>
        <w:spacing w:before="360" w:after="120" w:line="240" w:lineRule="auto"/>
        <w:ind w:left="1271"/>
        <w:jc w:val="both"/>
        <w:outlineLvl w:val="0"/>
        <w:rPr>
          <w:rFonts w:ascii="Times New Roman" w:hAnsi="Times New Roman" w:cs="Times New Roman"/>
          <w:b/>
          <w:bCs/>
          <w:smallCaps/>
          <w:noProof/>
          <w:lang w:val="en-GB"/>
        </w:rPr>
      </w:pPr>
      <w:r w:rsidRPr="00291374">
        <w:rPr>
          <w:rFonts w:ascii="Times New Roman" w:hAnsi="Times New Roman" w:cs="Times New Roman"/>
          <w:b/>
          <w:smallCaps/>
          <w:noProof/>
          <w:lang w:val="en-GB"/>
        </w:rPr>
        <w:t>COMPONENT 15: Education</w:t>
      </w:r>
    </w:p>
    <w:p w14:paraId="4AA8A001"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component of the Romanian Recovery and Resilience Plan consists of 6 sub-components addressing key challenges in the education system. The sub-components are stemming from the ‘Educated Romania’ project, which is the overarching strategy for reforming the education system in Romania. The sub-components are the following:</w:t>
      </w:r>
    </w:p>
    <w:p w14:paraId="420F2B4B" w14:textId="77777777" w:rsidR="00B803E9" w:rsidRPr="00291374" w:rsidRDefault="00B803E9" w:rsidP="00B803E9">
      <w:pPr>
        <w:numPr>
          <w:ilvl w:val="5"/>
          <w:numId w:val="66"/>
        </w:numPr>
        <w:spacing w:before="120" w:after="120" w:line="240" w:lineRule="auto"/>
        <w:ind w:left="425"/>
        <w:jc w:val="both"/>
        <w:rPr>
          <w:rFonts w:ascii="Times New Roman" w:hAnsi="Times New Roman" w:cs="Times New Roman"/>
          <w:noProof/>
          <w:lang w:val="en-GB"/>
        </w:rPr>
      </w:pPr>
      <w:r w:rsidRPr="00291374">
        <w:rPr>
          <w:rFonts w:ascii="Times New Roman" w:hAnsi="Times New Roman" w:cs="Times New Roman"/>
          <w:noProof/>
          <w:lang w:val="en-GB"/>
        </w:rPr>
        <w:t xml:space="preserve">Early childhood education and care: the development of a unitary, inclusive and quality early-childhood education and care system, improving access of 0 to 6 year-olds, based on an effective inter-institutional cooperation and cross-sectoral coordination mechanism; </w:t>
      </w:r>
    </w:p>
    <w:p w14:paraId="5AFCA96C" w14:textId="77777777" w:rsidR="00B803E9" w:rsidRPr="00291374" w:rsidRDefault="00B803E9" w:rsidP="00B803E9">
      <w:pPr>
        <w:numPr>
          <w:ilvl w:val="5"/>
          <w:numId w:val="66"/>
        </w:numPr>
        <w:spacing w:before="120" w:after="120" w:line="240" w:lineRule="auto"/>
        <w:ind w:left="425"/>
        <w:jc w:val="both"/>
        <w:rPr>
          <w:rFonts w:ascii="Times New Roman" w:hAnsi="Times New Roman" w:cs="Times New Roman"/>
          <w:noProof/>
          <w:lang w:val="en-GB"/>
        </w:rPr>
      </w:pPr>
      <w:r w:rsidRPr="00291374">
        <w:rPr>
          <w:rFonts w:ascii="Times New Roman" w:hAnsi="Times New Roman" w:cs="Times New Roman"/>
          <w:noProof/>
          <w:lang w:val="en-GB"/>
        </w:rPr>
        <w:t xml:space="preserve">Early school leaving: the reform of compulsory education by increasing the autonomy of schools to prevent and reduce early school leaving, through social-inclusion programmes and the provision of equal opportunities; </w:t>
      </w:r>
    </w:p>
    <w:p w14:paraId="29FC7186" w14:textId="77777777" w:rsidR="00B803E9" w:rsidRPr="00291374" w:rsidRDefault="00B803E9" w:rsidP="00B803E9">
      <w:pPr>
        <w:numPr>
          <w:ilvl w:val="5"/>
          <w:numId w:val="66"/>
        </w:numPr>
        <w:spacing w:before="120" w:after="120" w:line="240" w:lineRule="auto"/>
        <w:ind w:left="425"/>
        <w:jc w:val="both"/>
        <w:rPr>
          <w:rFonts w:ascii="Times New Roman" w:hAnsi="Times New Roman" w:cs="Times New Roman"/>
          <w:noProof/>
          <w:lang w:val="en-GB"/>
        </w:rPr>
      </w:pPr>
      <w:r w:rsidRPr="00291374">
        <w:rPr>
          <w:rFonts w:ascii="Times New Roman" w:hAnsi="Times New Roman" w:cs="Times New Roman"/>
          <w:noProof/>
          <w:lang w:val="en-GB"/>
        </w:rPr>
        <w:t xml:space="preserve">Vocational education and training (VET) and dual education: the creation of a full professional route for higher technical education; </w:t>
      </w:r>
    </w:p>
    <w:p w14:paraId="549BDAA0" w14:textId="77777777" w:rsidR="00B803E9" w:rsidRPr="00291374" w:rsidRDefault="00B803E9" w:rsidP="00B803E9">
      <w:pPr>
        <w:numPr>
          <w:ilvl w:val="5"/>
          <w:numId w:val="66"/>
        </w:numPr>
        <w:spacing w:before="120" w:after="120" w:line="240" w:lineRule="auto"/>
        <w:ind w:left="425"/>
        <w:jc w:val="both"/>
        <w:rPr>
          <w:rFonts w:ascii="Times New Roman" w:hAnsi="Times New Roman" w:cs="Times New Roman"/>
          <w:noProof/>
          <w:lang w:val="en-GB"/>
        </w:rPr>
      </w:pPr>
      <w:r w:rsidRPr="00291374">
        <w:rPr>
          <w:rFonts w:ascii="Times New Roman" w:hAnsi="Times New Roman" w:cs="Times New Roman"/>
          <w:noProof/>
          <w:lang w:val="en-GB"/>
        </w:rPr>
        <w:t xml:space="preserve">Digitalisation of education: the digitalisation of the educational process, also through changes in the legal framework, to enable integrated approaches and improving digital skills for both students and teachers; </w:t>
      </w:r>
    </w:p>
    <w:p w14:paraId="7A1F07C2" w14:textId="77777777" w:rsidR="00B803E9" w:rsidRPr="00291374" w:rsidRDefault="00B803E9" w:rsidP="00B803E9">
      <w:pPr>
        <w:numPr>
          <w:ilvl w:val="5"/>
          <w:numId w:val="66"/>
        </w:numPr>
        <w:spacing w:before="120" w:after="120" w:line="240" w:lineRule="auto"/>
        <w:ind w:left="425"/>
        <w:jc w:val="both"/>
        <w:rPr>
          <w:rFonts w:ascii="Times New Roman" w:hAnsi="Times New Roman" w:cs="Times New Roman"/>
          <w:noProof/>
          <w:lang w:val="en-GB"/>
        </w:rPr>
      </w:pPr>
      <w:r w:rsidRPr="00291374">
        <w:rPr>
          <w:rFonts w:ascii="Times New Roman" w:hAnsi="Times New Roman" w:cs="Times New Roman"/>
          <w:noProof/>
          <w:lang w:val="en-GB"/>
        </w:rPr>
        <w:t xml:space="preserve">Infrastructure: upgrading schools and universities infrastructure in urban and rural areas, including by amending and streamlining the regulatory framework to ensure environmentally-friendly safety and quality standards; </w:t>
      </w:r>
    </w:p>
    <w:p w14:paraId="1379A34D" w14:textId="77777777" w:rsidR="00B803E9" w:rsidRPr="00291374" w:rsidRDefault="00B803E9" w:rsidP="00B803E9">
      <w:pPr>
        <w:numPr>
          <w:ilvl w:val="5"/>
          <w:numId w:val="66"/>
        </w:numPr>
        <w:spacing w:before="120" w:after="120" w:line="240" w:lineRule="auto"/>
        <w:ind w:left="425"/>
        <w:jc w:val="both"/>
        <w:rPr>
          <w:rFonts w:ascii="Times New Roman" w:hAnsi="Times New Roman" w:cs="Times New Roman"/>
          <w:noProof/>
          <w:lang w:val="en-GB"/>
        </w:rPr>
      </w:pPr>
      <w:r w:rsidRPr="00291374">
        <w:rPr>
          <w:rFonts w:ascii="Times New Roman" w:hAnsi="Times New Roman" w:cs="Times New Roman"/>
          <w:noProof/>
          <w:lang w:val="en-GB"/>
        </w:rPr>
        <w:t>School governance: the reform of the governance of pre-university education and professionalisation of its management, with increased school autonomy, to ensure stability, consistency and competence.</w:t>
      </w:r>
    </w:p>
    <w:p w14:paraId="3C7A8455" w14:textId="72503368"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component includes </w:t>
      </w:r>
      <w:r w:rsidR="002879A0">
        <w:rPr>
          <w:rFonts w:ascii="Times New Roman" w:hAnsi="Times New Roman" w:cs="Times New Roman"/>
          <w:noProof/>
          <w:lang w:val="en-GB"/>
        </w:rPr>
        <w:t>7</w:t>
      </w:r>
      <w:r w:rsidRPr="00291374">
        <w:rPr>
          <w:rFonts w:ascii="Times New Roman" w:hAnsi="Times New Roman" w:cs="Times New Roman"/>
          <w:noProof/>
          <w:lang w:val="en-GB"/>
        </w:rPr>
        <w:t xml:space="preserve"> reforms and 18 investments, as well as an overarching reform for adopting the legislation on the implementation of the “Educated Romania” project.</w:t>
      </w:r>
    </w:p>
    <w:p w14:paraId="43339608"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Component shall contribute to addressing the country-specific recommendation addressed to Romania on improving the quality and inclusiveness of education, in particular for Roma and other disadvantaged groups, and on improving skills, including digital, notably by increasing the labour market relevance of vocational education and training and higher education (country-specific recommendation 3, 2019). It also shall address the recommendation on strengthening skills and digital learning and ensuring equal access to education (country-specific recommendation 2, 2020).</w:t>
      </w:r>
    </w:p>
    <w:p w14:paraId="2D0F92FD"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4986C4D5" w14:textId="77777777" w:rsidR="00B803E9" w:rsidRPr="00291374" w:rsidRDefault="00B803E9" w:rsidP="00B803E9">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O.1. </w:t>
      </w:r>
      <w:r w:rsidRPr="00291374">
        <w:rPr>
          <w:rFonts w:ascii="Times New Roman" w:hAnsi="Times New Roman" w:cs="Times New Roman"/>
          <w:noProof/>
          <w:lang w:val="en-GB"/>
        </w:rPr>
        <w:tab/>
      </w:r>
      <w:r w:rsidRPr="00291374">
        <w:rPr>
          <w:rFonts w:ascii="Times New Roman" w:hAnsi="Times New Roman" w:cs="Times New Roman"/>
          <w:b/>
          <w:noProof/>
          <w:lang w:val="en-GB"/>
        </w:rPr>
        <w:t>Description of the reforms and investments for non-repayable financial support</w:t>
      </w:r>
    </w:p>
    <w:p w14:paraId="5239FFD0" w14:textId="77777777" w:rsidR="00B803E9" w:rsidRPr="00291374" w:rsidRDefault="00B803E9" w:rsidP="00B803E9">
      <w:pPr>
        <w:pStyle w:val="Standard"/>
        <w:spacing w:before="240"/>
        <w:jc w:val="both"/>
        <w:rPr>
          <w:rFonts w:ascii="Times New Roman" w:eastAsiaTheme="majorEastAsia" w:hAnsi="Times New Roman" w:cs="Times New Roman"/>
          <w:bCs/>
          <w:noProof/>
          <w:u w:val="single"/>
          <w:lang w:val="en-GB"/>
        </w:rPr>
      </w:pPr>
      <w:r w:rsidRPr="00291374">
        <w:rPr>
          <w:rFonts w:ascii="Times New Roman" w:hAnsi="Times New Roman" w:cs="Times New Roman"/>
          <w:noProof/>
          <w:u w:val="single"/>
          <w:lang w:val="en-GB"/>
        </w:rPr>
        <w:t>Reform 1. Elaboration and adoption of the package of legal acts for the application of the "Educated Romania” project</w:t>
      </w:r>
    </w:p>
    <w:p w14:paraId="16179FA3"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this reform is the adoption and entry into force of the package of legal acts for the “Educated Romania” project, which is the overarching strategy for reforming the education system of Romania. All the subsequent reforms and investments are integral parts of this strategy.</w:t>
      </w:r>
    </w:p>
    <w:p w14:paraId="2353F839" w14:textId="77777777" w:rsidR="00B803E9" w:rsidRPr="00291374" w:rsidRDefault="00B803E9" w:rsidP="00B803E9">
      <w:pPr>
        <w:numPr>
          <w:ilvl w:val="0"/>
          <w:numId w:val="67"/>
        </w:numPr>
        <w:spacing w:before="120" w:after="120" w:line="240" w:lineRule="auto"/>
        <w:ind w:left="567"/>
        <w:jc w:val="both"/>
        <w:rPr>
          <w:rFonts w:ascii="Times New Roman" w:hAnsi="Times New Roman" w:cs="Times New Roman"/>
          <w:noProof/>
          <w:lang w:val="en-GB"/>
        </w:rPr>
      </w:pPr>
      <w:r w:rsidRPr="00291374">
        <w:rPr>
          <w:rFonts w:ascii="Times New Roman" w:hAnsi="Times New Roman" w:cs="Times New Roman"/>
          <w:noProof/>
          <w:lang w:val="en-GB"/>
        </w:rPr>
        <w:t xml:space="preserve">Early childhood education and care: </w:t>
      </w:r>
    </w:p>
    <w:p w14:paraId="67666B89" w14:textId="77777777" w:rsidR="00B803E9" w:rsidRPr="00291374" w:rsidRDefault="00B803E9" w:rsidP="00B803E9">
      <w:pPr>
        <w:pStyle w:val="Standard"/>
        <w:spacing w:before="240"/>
        <w:jc w:val="both"/>
        <w:rPr>
          <w:rFonts w:ascii="Times New Roman" w:eastAsiaTheme="majorEastAsia" w:hAnsi="Times New Roman" w:cs="Times New Roman"/>
          <w:bCs/>
          <w:noProof/>
          <w:u w:val="single"/>
          <w:lang w:val="en-GB"/>
        </w:rPr>
      </w:pPr>
      <w:r w:rsidRPr="00291374">
        <w:rPr>
          <w:rFonts w:ascii="Times New Roman" w:hAnsi="Times New Roman" w:cs="Times New Roman"/>
          <w:noProof/>
          <w:u w:val="single"/>
          <w:lang w:val="en-GB"/>
        </w:rPr>
        <w:t xml:space="preserve">Reform 2. Unitary, inclusive and quality early-childhood education system </w:t>
      </w:r>
    </w:p>
    <w:p w14:paraId="5F3855E3"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the reform is to increase access to early childhood education and care for children from birth until the start of primary education. </w:t>
      </w:r>
    </w:p>
    <w:p w14:paraId="0F43CD9E" w14:textId="7B1BF3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consists in the adoption of an Inter-sectoral Framework Programme for early-childhood education services, setting out responsibilities for the ministries involved</w:t>
      </w:r>
      <w:r w:rsidR="00D23D91">
        <w:rPr>
          <w:rFonts w:ascii="Times New Roman" w:hAnsi="Times New Roman" w:cs="Times New Roman"/>
          <w:noProof/>
          <w:lang w:val="en-GB"/>
        </w:rPr>
        <w:t xml:space="preserve"> </w:t>
      </w:r>
      <w:r w:rsidRPr="00291374">
        <w:rPr>
          <w:rFonts w:ascii="Times New Roman" w:hAnsi="Times New Roman" w:cs="Times New Roman"/>
          <w:noProof/>
          <w:lang w:val="en-GB"/>
        </w:rPr>
        <w:t>as well as the adoption of</w:t>
      </w:r>
      <w:r w:rsidR="00D23D91">
        <w:rPr>
          <w:rFonts w:ascii="Times New Roman" w:hAnsi="Times New Roman" w:cs="Times New Roman"/>
          <w:noProof/>
          <w:lang w:val="en-GB"/>
        </w:rPr>
        <w:t xml:space="preserve"> </w:t>
      </w:r>
      <w:r w:rsidRPr="00291374">
        <w:rPr>
          <w:rFonts w:ascii="Times New Roman" w:hAnsi="Times New Roman" w:cs="Times New Roman"/>
          <w:noProof/>
          <w:lang w:val="en-GB"/>
        </w:rPr>
        <w:t>annual operational implementation plans</w:t>
      </w:r>
      <w:r w:rsidR="00D23D91">
        <w:rPr>
          <w:rFonts w:ascii="Times New Roman" w:hAnsi="Times New Roman" w:cs="Times New Roman"/>
          <w:noProof/>
          <w:lang w:val="en-GB"/>
        </w:rPr>
        <w:t xml:space="preserve"> </w:t>
      </w:r>
      <w:r w:rsidRPr="00291374">
        <w:rPr>
          <w:rFonts w:ascii="Times New Roman" w:hAnsi="Times New Roman" w:cs="Times New Roman"/>
          <w:noProof/>
          <w:lang w:val="en-GB"/>
        </w:rPr>
        <w:t>and of</w:t>
      </w:r>
      <w:r w:rsidR="00D23D91">
        <w:rPr>
          <w:rFonts w:ascii="Times New Roman" w:hAnsi="Times New Roman" w:cs="Times New Roman"/>
          <w:noProof/>
          <w:lang w:val="en-GB"/>
        </w:rPr>
        <w:t xml:space="preserve"> </w:t>
      </w:r>
      <w:r w:rsidRPr="00291374">
        <w:rPr>
          <w:rFonts w:ascii="Times New Roman" w:hAnsi="Times New Roman" w:cs="Times New Roman"/>
          <w:noProof/>
          <w:lang w:val="en-GB"/>
        </w:rPr>
        <w:t xml:space="preserve">updated legal acts for early childhood education services. </w:t>
      </w:r>
    </w:p>
    <w:p w14:paraId="3733EC4F" w14:textId="77777777" w:rsidR="00B803E9" w:rsidRPr="00291374" w:rsidRDefault="00B803E9" w:rsidP="00B803E9">
      <w:pPr>
        <w:pStyle w:val="Standard"/>
        <w:spacing w:before="240"/>
        <w:jc w:val="both"/>
        <w:rPr>
          <w:rFonts w:ascii="Times New Roman" w:eastAsiaTheme="majorEastAsia" w:hAnsi="Times New Roman" w:cs="Times New Roman"/>
          <w:bCs/>
          <w:noProof/>
          <w:u w:val="single"/>
          <w:lang w:val="en-GB"/>
        </w:rPr>
      </w:pPr>
      <w:bookmarkStart w:id="32" w:name="_Hlk202428178"/>
      <w:r w:rsidRPr="00291374">
        <w:rPr>
          <w:rFonts w:ascii="Times New Roman" w:hAnsi="Times New Roman" w:cs="Times New Roman"/>
          <w:noProof/>
          <w:u w:val="single"/>
          <w:lang w:val="en-GB"/>
        </w:rPr>
        <w:t xml:space="preserve">Investment 1. </w:t>
      </w:r>
      <w:bookmarkStart w:id="33" w:name="_Hlk202385764"/>
      <w:r w:rsidRPr="00291374">
        <w:rPr>
          <w:rFonts w:ascii="Times New Roman" w:hAnsi="Times New Roman" w:cs="Times New Roman"/>
          <w:noProof/>
          <w:u w:val="single"/>
          <w:lang w:val="en-GB"/>
        </w:rPr>
        <w:t>Construction and equipping of crèches</w:t>
      </w:r>
      <w:bookmarkEnd w:id="33"/>
    </w:p>
    <w:p w14:paraId="5DFD583B"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increase the capacity of the early-childhood education system by constructing crèches. </w:t>
      </w:r>
    </w:p>
    <w:p w14:paraId="5B2EBEDA"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the construction and equipping of crèches. </w:t>
      </w:r>
    </w:p>
    <w:bookmarkEnd w:id="32"/>
    <w:p w14:paraId="2B5C8EDB"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complements investment 1a in the loan compartment.</w:t>
      </w:r>
    </w:p>
    <w:p w14:paraId="18E14359" w14:textId="77777777" w:rsidR="00B803E9" w:rsidRPr="00291374" w:rsidRDefault="00B803E9" w:rsidP="00B803E9">
      <w:pPr>
        <w:pStyle w:val="Standard"/>
        <w:spacing w:before="240"/>
        <w:jc w:val="both"/>
        <w:rPr>
          <w:rFonts w:ascii="Times New Roman" w:eastAsiaTheme="majorEastAsia" w:hAnsi="Times New Roman" w:cs="Times New Roman"/>
          <w:bCs/>
          <w:noProof/>
          <w:u w:val="single"/>
          <w:lang w:val="en-GB"/>
        </w:rPr>
      </w:pPr>
      <w:r w:rsidRPr="00291374">
        <w:rPr>
          <w:rFonts w:ascii="Times New Roman" w:hAnsi="Times New Roman" w:cs="Times New Roman"/>
          <w:noProof/>
          <w:u w:val="single"/>
          <w:lang w:val="en-GB"/>
        </w:rPr>
        <w:t xml:space="preserve">Investment 2. Setting up, equipping and approving complementary services </w:t>
      </w:r>
    </w:p>
    <w:p w14:paraId="14E1745E"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this investment is to increase the capacity of the early-childhood education system and its quality, by providing services to children from disadvantaged localities.</w:t>
      </w:r>
    </w:p>
    <w:p w14:paraId="2839F51E" w14:textId="77777777" w:rsidR="00B803E9" w:rsidRPr="00291374" w:rsidDel="00C669B8"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setting-up, equipping and approving complementary services for children 0-6 years old. </w:t>
      </w:r>
    </w:p>
    <w:p w14:paraId="527D57DD" w14:textId="77777777" w:rsidR="00B803E9" w:rsidRPr="00291374" w:rsidRDefault="00B803E9" w:rsidP="00B803E9">
      <w:pPr>
        <w:pStyle w:val="Standard"/>
        <w:spacing w:before="240"/>
        <w:jc w:val="both"/>
        <w:rPr>
          <w:rFonts w:ascii="Times New Roman" w:eastAsiaTheme="majorEastAsia" w:hAnsi="Times New Roman" w:cs="Times New Roman"/>
          <w:bCs/>
          <w:noProof/>
          <w:u w:val="single"/>
          <w:lang w:val="en-GB"/>
        </w:rPr>
      </w:pPr>
      <w:r w:rsidRPr="00291374">
        <w:rPr>
          <w:rFonts w:ascii="Times New Roman" w:hAnsi="Times New Roman" w:cs="Times New Roman"/>
          <w:noProof/>
          <w:u w:val="single"/>
          <w:lang w:val="en-GB"/>
        </w:rPr>
        <w:t>Investment 3. Framework programme for the continuous training of professionals in early-childhood education services</w:t>
      </w:r>
    </w:p>
    <w:p w14:paraId="2DA09C91" w14:textId="21811D7D"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this investment is the professionalization of staff working in early-childhood education services.</w:t>
      </w:r>
      <w:r w:rsidR="00D23D91">
        <w:rPr>
          <w:rFonts w:ascii="Times New Roman" w:hAnsi="Times New Roman" w:cs="Times New Roman"/>
          <w:noProof/>
          <w:lang w:val="en-GB"/>
        </w:rPr>
        <w:t xml:space="preserve"> </w:t>
      </w:r>
    </w:p>
    <w:p w14:paraId="05A33401" w14:textId="63D90F95" w:rsidR="00B803E9" w:rsidRPr="00291374" w:rsidRDefault="00B803E9" w:rsidP="00B803E9">
      <w:pPr>
        <w:spacing w:before="120" w:after="120" w:line="240" w:lineRule="auto"/>
        <w:jc w:val="both"/>
        <w:rPr>
          <w:rFonts w:ascii="Times New Roman" w:hAnsi="Times New Roman" w:cs="Times New Roman"/>
          <w:noProof/>
          <w:lang w:val="en-GB"/>
        </w:rPr>
      </w:pPr>
      <w:r w:rsidRPr="00291374" w:rsidDel="003F64A7">
        <w:rPr>
          <w:rFonts w:ascii="Times New Roman" w:hAnsi="Times New Roman" w:cs="Times New Roman"/>
          <w:noProof/>
          <w:lang w:val="en-GB"/>
        </w:rPr>
        <w:t xml:space="preserve">The investment </w:t>
      </w:r>
      <w:r w:rsidRPr="00291374">
        <w:rPr>
          <w:rFonts w:ascii="Times New Roman" w:hAnsi="Times New Roman" w:cs="Times New Roman"/>
          <w:noProof/>
          <w:lang w:val="en-GB"/>
        </w:rPr>
        <w:t>consists in</w:t>
      </w:r>
      <w:r w:rsidRPr="00291374" w:rsidDel="003F64A7">
        <w:rPr>
          <w:rFonts w:ascii="Times New Roman" w:hAnsi="Times New Roman" w:cs="Times New Roman"/>
          <w:noProof/>
          <w:lang w:val="en-GB"/>
        </w:rPr>
        <w:t xml:space="preserve"> training programmes, </w:t>
      </w:r>
      <w:r w:rsidRPr="00291374">
        <w:rPr>
          <w:rFonts w:ascii="Times New Roman" w:hAnsi="Times New Roman" w:cs="Times New Roman"/>
          <w:noProof/>
          <w:lang w:val="en-GB"/>
        </w:rPr>
        <w:t xml:space="preserve">both </w:t>
      </w:r>
      <w:r w:rsidRPr="00291374" w:rsidDel="003F64A7">
        <w:rPr>
          <w:rFonts w:ascii="Times New Roman" w:hAnsi="Times New Roman" w:cs="Times New Roman"/>
          <w:noProof/>
          <w:lang w:val="en-GB"/>
        </w:rPr>
        <w:t xml:space="preserve">for trainers </w:t>
      </w:r>
      <w:r w:rsidRPr="00291374">
        <w:rPr>
          <w:rFonts w:ascii="Times New Roman" w:hAnsi="Times New Roman" w:cs="Times New Roman"/>
          <w:noProof/>
          <w:lang w:val="en-GB"/>
        </w:rPr>
        <w:t xml:space="preserve">and for staff working </w:t>
      </w:r>
      <w:r w:rsidRPr="00291374" w:rsidDel="003F64A7">
        <w:rPr>
          <w:rFonts w:ascii="Times New Roman" w:hAnsi="Times New Roman" w:cs="Times New Roman"/>
          <w:noProof/>
          <w:lang w:val="en-GB"/>
        </w:rPr>
        <w:t xml:space="preserve">in </w:t>
      </w:r>
      <w:r w:rsidRPr="00291374">
        <w:rPr>
          <w:rFonts w:ascii="Times New Roman" w:hAnsi="Times New Roman" w:cs="Times New Roman"/>
          <w:noProof/>
          <w:lang w:val="en-GB"/>
        </w:rPr>
        <w:t xml:space="preserve">standard and complementary </w:t>
      </w:r>
      <w:r w:rsidRPr="00291374" w:rsidDel="003F64A7">
        <w:rPr>
          <w:rFonts w:ascii="Times New Roman" w:hAnsi="Times New Roman" w:cs="Times New Roman"/>
          <w:noProof/>
          <w:lang w:val="en-GB"/>
        </w:rPr>
        <w:t>early-childhood education</w:t>
      </w:r>
      <w:r w:rsidRPr="00291374">
        <w:rPr>
          <w:rFonts w:ascii="Times New Roman" w:hAnsi="Times New Roman" w:cs="Times New Roman"/>
          <w:noProof/>
          <w:lang w:val="en-GB"/>
        </w:rPr>
        <w:t xml:space="preserve"> services.</w:t>
      </w:r>
      <w:r w:rsidR="00D23D91">
        <w:rPr>
          <w:rFonts w:ascii="Times New Roman" w:hAnsi="Times New Roman" w:cs="Times New Roman"/>
          <w:noProof/>
          <w:lang w:val="en-GB"/>
        </w:rPr>
        <w:t xml:space="preserve"> </w:t>
      </w:r>
    </w:p>
    <w:p w14:paraId="610ECF38" w14:textId="77777777" w:rsidR="00B803E9" w:rsidRPr="00291374" w:rsidRDefault="00B803E9" w:rsidP="00B803E9">
      <w:pPr>
        <w:numPr>
          <w:ilvl w:val="0"/>
          <w:numId w:val="67"/>
        </w:numPr>
        <w:spacing w:before="120" w:after="120" w:line="240" w:lineRule="auto"/>
        <w:ind w:left="567"/>
        <w:jc w:val="both"/>
        <w:rPr>
          <w:rFonts w:ascii="Times New Roman" w:hAnsi="Times New Roman" w:cs="Times New Roman"/>
          <w:noProof/>
          <w:lang w:val="en-GB"/>
        </w:rPr>
      </w:pPr>
      <w:r w:rsidRPr="00291374">
        <w:rPr>
          <w:rFonts w:ascii="Times New Roman" w:hAnsi="Times New Roman" w:cs="Times New Roman"/>
          <w:noProof/>
          <w:lang w:val="en-GB"/>
        </w:rPr>
        <w:t xml:space="preserve">Early school leaving: </w:t>
      </w:r>
    </w:p>
    <w:p w14:paraId="103094C7" w14:textId="77777777" w:rsidR="00B803E9" w:rsidRPr="00291374" w:rsidRDefault="00B803E9" w:rsidP="00B803E9">
      <w:pPr>
        <w:pStyle w:val="Standard"/>
        <w:spacing w:before="240"/>
        <w:jc w:val="both"/>
        <w:rPr>
          <w:rFonts w:ascii="Times New Roman" w:eastAsiaTheme="majorEastAsia" w:hAnsi="Times New Roman" w:cs="Times New Roman"/>
          <w:bCs/>
          <w:noProof/>
          <w:u w:val="single"/>
          <w:lang w:val="en-GB"/>
        </w:rPr>
      </w:pPr>
      <w:r w:rsidRPr="00291374">
        <w:rPr>
          <w:rFonts w:ascii="Times New Roman" w:hAnsi="Times New Roman" w:cs="Times New Roman"/>
          <w:noProof/>
          <w:u w:val="single"/>
          <w:lang w:val="en-GB"/>
        </w:rPr>
        <w:t>Reform 3. Reform of the compulsory education system to prevent and reduce early school leaving</w:t>
      </w:r>
    </w:p>
    <w:p w14:paraId="32C84C51"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objectives of this reform are (a) to implement the Early Warning Mechanism in Education to reduce absenteeism, improve evaluation outcomes, achieve a higher participation rate in national examinations and a higher percentage of pupils completing compulsory education, by using a decentralised approach and increasing the schools’ autonomy in the use of resources; and (b) to monitor, through the Early Warning Mechanism in Education IT tool, pupils at risk of early-school leaving and support schools in relevant data collection, carrying out individualised work plans and training. </w:t>
      </w:r>
    </w:p>
    <w:p w14:paraId="492497D7"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These objectives shall be achieved through the entry into force of a Government Decision for the implementation of the National Programme for Early School Leaving, by 31 December 2021, and through the scaling-up of the Early Warning Mechanism in Education IT tool at national level, through a ministerial order that shall enter into force on 31 December 2022.</w:t>
      </w:r>
    </w:p>
    <w:p w14:paraId="1BE1F9D6"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implementation of the reform shall be completed by 31 December 2022.</w:t>
      </w:r>
    </w:p>
    <w:p w14:paraId="473A3B57"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reform shall be complemented by 2 related investments:</w:t>
      </w:r>
    </w:p>
    <w:p w14:paraId="20036614" w14:textId="77777777" w:rsidR="00B803E9" w:rsidRPr="00291374" w:rsidRDefault="00B803E9" w:rsidP="00B803E9">
      <w:pPr>
        <w:pStyle w:val="Standard"/>
        <w:spacing w:before="240"/>
        <w:jc w:val="both"/>
        <w:rPr>
          <w:rFonts w:ascii="Times New Roman" w:eastAsiaTheme="majorEastAsia" w:hAnsi="Times New Roman" w:cs="Times New Roman"/>
          <w:noProof/>
          <w:u w:val="single"/>
          <w:lang w:val="en-GB"/>
        </w:rPr>
      </w:pPr>
      <w:r w:rsidRPr="00291374">
        <w:rPr>
          <w:rFonts w:ascii="Times New Roman" w:hAnsi="Times New Roman" w:cs="Times New Roman"/>
          <w:noProof/>
          <w:u w:val="single"/>
          <w:lang w:val="en-GB"/>
        </w:rPr>
        <w:t>Investment 4. Supporting educational establishments with medium and high risk of drop-outs</w:t>
      </w:r>
    </w:p>
    <w:p w14:paraId="3D6FCF34"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reduce early school leaving. </w:t>
      </w:r>
    </w:p>
    <w:p w14:paraId="056CD1BD"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providing grants to reduce </w:t>
      </w:r>
      <w:r w:rsidRPr="00291374">
        <w:rPr>
          <w:rFonts w:ascii="Times New Roman" w:hAnsi="Times New Roman" w:cs="Times New Roman"/>
          <w:noProof/>
        </w:rPr>
        <w:t>the number of schools with medium and high risk of drop-outs</w:t>
      </w:r>
      <w:r w:rsidRPr="00291374">
        <w:rPr>
          <w:rFonts w:ascii="Times New Roman" w:hAnsi="Times New Roman" w:cs="Times New Roman"/>
          <w:noProof/>
          <w:lang w:val="en-GB"/>
        </w:rPr>
        <w:t>.</w:t>
      </w:r>
    </w:p>
    <w:p w14:paraId="3AB6FCF4" w14:textId="77777777" w:rsidR="00B803E9" w:rsidRPr="00291374" w:rsidRDefault="00B803E9" w:rsidP="00B803E9">
      <w:pPr>
        <w:pStyle w:val="ListParagraph"/>
        <w:numPr>
          <w:ilvl w:val="0"/>
          <w:numId w:val="67"/>
        </w:numPr>
        <w:spacing w:before="120" w:after="120" w:line="240" w:lineRule="auto"/>
        <w:ind w:left="567"/>
        <w:jc w:val="both"/>
        <w:rPr>
          <w:rFonts w:ascii="Times New Roman" w:hAnsi="Times New Roman" w:cs="Times New Roman"/>
          <w:noProof/>
          <w:sz w:val="24"/>
          <w:lang w:val="en-GB"/>
        </w:rPr>
      </w:pPr>
      <w:r w:rsidRPr="00291374">
        <w:rPr>
          <w:rFonts w:ascii="Times New Roman" w:hAnsi="Times New Roman" w:cs="Times New Roman"/>
          <w:noProof/>
          <w:sz w:val="24"/>
          <w:lang w:val="en-GB"/>
        </w:rPr>
        <w:t xml:space="preserve">Vocational education and training (VET) and dual education: </w:t>
      </w:r>
    </w:p>
    <w:p w14:paraId="1912E673" w14:textId="77777777" w:rsidR="00B803E9" w:rsidRPr="00291374" w:rsidRDefault="00B803E9" w:rsidP="00B803E9">
      <w:pPr>
        <w:pStyle w:val="Standard"/>
        <w:spacing w:before="240"/>
        <w:jc w:val="both"/>
        <w:rPr>
          <w:rFonts w:ascii="Times New Roman" w:eastAsiaTheme="majorEastAsia" w:hAnsi="Times New Roman" w:cs="Times New Roman"/>
          <w:noProof/>
          <w:u w:val="single"/>
          <w:lang w:val="en-GB"/>
        </w:rPr>
      </w:pPr>
      <w:r w:rsidRPr="00291374">
        <w:rPr>
          <w:rFonts w:ascii="Times New Roman" w:hAnsi="Times New Roman" w:cs="Times New Roman"/>
          <w:noProof/>
          <w:u w:val="single"/>
          <w:lang w:val="en-GB"/>
        </w:rPr>
        <w:t>Investment 5. Trainings for users of the Romanian Integrated Education Information System (SIIR) and the Early Warning Mechanism (MATE) IT tool to reduce early school leaving</w:t>
      </w:r>
    </w:p>
    <w:p w14:paraId="051F7A09" w14:textId="77777777" w:rsidR="00B803E9" w:rsidRPr="00291374" w:rsidRDefault="00B803E9" w:rsidP="00B803E9">
      <w:pPr>
        <w:pStyle w:val="Standard"/>
        <w:spacing w:before="240"/>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which consist of training modules, is to prepare and deliver a training for the Romanian Integrated Education Information System (SIIR) and the Early Warning Mechanism IT tool (MATE IT tool) users in schools, to reduce early school leaving. </w:t>
      </w:r>
    </w:p>
    <w:p w14:paraId="23995DD9" w14:textId="77777777" w:rsidR="00B803E9" w:rsidRPr="00291374" w:rsidRDefault="00B803E9" w:rsidP="00B803E9">
      <w:pPr>
        <w:pStyle w:val="Standard"/>
        <w:spacing w:before="240"/>
        <w:jc w:val="both"/>
        <w:rPr>
          <w:rFonts w:ascii="Times New Roman" w:eastAsiaTheme="majorEastAsia" w:hAnsi="Times New Roman" w:cs="Times New Roman"/>
          <w:noProof/>
          <w:u w:val="single"/>
          <w:lang w:val="en-GB"/>
        </w:rPr>
      </w:pPr>
      <w:r w:rsidRPr="00291374">
        <w:rPr>
          <w:rFonts w:ascii="Times New Roman" w:hAnsi="Times New Roman" w:cs="Times New Roman"/>
          <w:noProof/>
          <w:u w:val="single"/>
          <w:lang w:val="en-GB"/>
        </w:rPr>
        <w:t>Reform 4. Creation of a full professional route for higher technical education</w:t>
      </w:r>
    </w:p>
    <w:p w14:paraId="4DB2189C" w14:textId="0A31ED36"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this reform is to create</w:t>
      </w:r>
      <w:r w:rsidR="00D23D91">
        <w:rPr>
          <w:rFonts w:ascii="Times New Roman" w:hAnsi="Times New Roman" w:cs="Times New Roman"/>
          <w:noProof/>
          <w:lang w:val="en-GB"/>
        </w:rPr>
        <w:t xml:space="preserve"> </w:t>
      </w:r>
      <w:r w:rsidRPr="00291374">
        <w:rPr>
          <w:rFonts w:ascii="Times New Roman" w:hAnsi="Times New Roman" w:cs="Times New Roman"/>
          <w:noProof/>
          <w:lang w:val="en-GB"/>
        </w:rPr>
        <w:t>dual education focused on students’ needs and aligned with labour market needs, both by increasing the number of fields, qualifications and graduates and making available a complete educational pathway for students registered under dual secondary, so that they may go up to the third level education programmes (qualification 3-7).</w:t>
      </w:r>
    </w:p>
    <w:p w14:paraId="4466FD27" w14:textId="77777777" w:rsidR="00B803E9" w:rsidRPr="00291374" w:rsidRDefault="00B803E9" w:rsidP="00B803E9">
      <w:pPr>
        <w:spacing w:before="120" w:after="120" w:line="240" w:lineRule="auto"/>
        <w:jc w:val="both"/>
        <w:rPr>
          <w:rFonts w:ascii="Times New Roman" w:hAnsi="Times New Roman" w:cs="Times New Roman"/>
          <w:noProof/>
          <w:bdr w:val="none" w:sz="0" w:space="0" w:color="auto" w:frame="1"/>
          <w:lang w:val="en-GB"/>
        </w:rPr>
      </w:pPr>
      <w:r w:rsidRPr="00291374">
        <w:rPr>
          <w:rFonts w:ascii="Times New Roman" w:hAnsi="Times New Roman" w:cs="Times New Roman"/>
          <w:noProof/>
          <w:lang w:val="en-GB"/>
        </w:rPr>
        <w:t>The reform consists in the e</w:t>
      </w:r>
      <w:r w:rsidRPr="00291374">
        <w:rPr>
          <w:rFonts w:ascii="Times New Roman" w:hAnsi="Times New Roman" w:cs="Times New Roman"/>
          <w:noProof/>
          <w:bdr w:val="none" w:sz="0" w:space="0" w:color="auto" w:frame="1"/>
          <w:lang w:val="en-GB"/>
        </w:rPr>
        <w:t xml:space="preserve">ntry into force of legal acts for the methodology for organizing the complete dual route with a duration of four years, with access to </w:t>
      </w:r>
      <w:r w:rsidRPr="00291374">
        <w:rPr>
          <w:rFonts w:ascii="Times New Roman" w:hAnsi="Times New Roman" w:cs="Times New Roman"/>
          <w:noProof/>
          <w:lang w:val="en-GB"/>
        </w:rPr>
        <w:t>tertiary education</w:t>
      </w:r>
      <w:r w:rsidRPr="00291374">
        <w:rPr>
          <w:rFonts w:ascii="Times New Roman" w:hAnsi="Times New Roman" w:cs="Times New Roman"/>
          <w:noProof/>
          <w:bdr w:val="none" w:sz="0" w:space="0" w:color="auto" w:frame="1"/>
          <w:lang w:val="en-GB"/>
        </w:rPr>
        <w:t>.</w:t>
      </w:r>
    </w:p>
    <w:p w14:paraId="3E0A8AE6"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reform is complemented by three related investments</w:t>
      </w:r>
      <w:r w:rsidRPr="00291374">
        <w:rPr>
          <w:rStyle w:val="FootnoteReference"/>
          <w:rFonts w:ascii="Times New Roman" w:hAnsi="Times New Roman" w:cs="Times New Roman"/>
          <w:noProof/>
          <w:lang w:val="en-GB"/>
        </w:rPr>
        <w:footnoteReference w:id="34"/>
      </w:r>
      <w:r w:rsidRPr="00291374">
        <w:rPr>
          <w:rFonts w:ascii="Times New Roman" w:hAnsi="Times New Roman" w:cs="Times New Roman"/>
          <w:noProof/>
          <w:lang w:val="en-GB"/>
        </w:rPr>
        <w:t>:</w:t>
      </w:r>
    </w:p>
    <w:p w14:paraId="357F6934" w14:textId="39BDE971" w:rsidR="00B803E9" w:rsidRPr="00291374" w:rsidRDefault="00B803E9" w:rsidP="00B803E9">
      <w:pPr>
        <w:pStyle w:val="Standard"/>
        <w:spacing w:before="240"/>
        <w:jc w:val="both"/>
        <w:rPr>
          <w:rFonts w:ascii="Times New Roman" w:eastAsiaTheme="majorEastAsia" w:hAnsi="Times New Roman" w:cs="Times New Roman"/>
          <w:bCs/>
          <w:noProof/>
          <w:u w:val="single"/>
          <w:lang w:val="en-GB"/>
        </w:rPr>
      </w:pPr>
      <w:r w:rsidRPr="00291374">
        <w:rPr>
          <w:rFonts w:ascii="Times New Roman" w:hAnsi="Times New Roman" w:cs="Times New Roman"/>
          <w:noProof/>
          <w:u w:val="single"/>
          <w:lang w:val="en-GB"/>
        </w:rPr>
        <w:t>Investment 6. Building and equipping vocational campuses</w:t>
      </w:r>
      <w:r w:rsidRPr="00291374">
        <w:rPr>
          <w:rFonts w:ascii="Times New Roman" w:eastAsiaTheme="majorEastAsia" w:hAnsi="Times New Roman" w:cs="Times New Roman"/>
          <w:bCs/>
          <w:noProof/>
          <w:u w:val="single"/>
          <w:lang w:val="en-GB"/>
        </w:rPr>
        <w:t xml:space="preserve"> within</w:t>
      </w:r>
      <w:r w:rsidRPr="00291374" w:rsidDel="003F4752">
        <w:rPr>
          <w:rFonts w:ascii="Times New Roman" w:eastAsiaTheme="majorEastAsia" w:hAnsi="Times New Roman" w:cs="Times New Roman"/>
          <w:bCs/>
          <w:noProof/>
          <w:u w:val="single"/>
          <w:lang w:val="en-GB"/>
        </w:rPr>
        <w:t xml:space="preserve"> </w:t>
      </w:r>
      <w:r w:rsidRPr="00291374">
        <w:rPr>
          <w:rFonts w:ascii="Times New Roman" w:hAnsi="Times New Roman" w:cs="Times New Roman"/>
          <w:noProof/>
          <w:u w:val="single"/>
          <w:lang w:val="en-GB"/>
        </w:rPr>
        <w:t>regional consortia</w:t>
      </w:r>
      <w:r w:rsidR="00D23D91">
        <w:rPr>
          <w:rFonts w:ascii="Times New Roman" w:hAnsi="Times New Roman" w:cs="Times New Roman"/>
          <w:noProof/>
          <w:u w:val="single"/>
          <w:lang w:val="en-GB"/>
        </w:rPr>
        <w:t xml:space="preserve"> </w:t>
      </w:r>
    </w:p>
    <w:p w14:paraId="73F3CCF3"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objective of this investment is to ensure equal access to vocational education and training, thorough partnerships with economic operators or other partners to adapt VET to labour market needs.</w:t>
      </w:r>
    </w:p>
    <w:p w14:paraId="6B0A770B"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investment consists in constructing and equiping, within regional consortia, integrated vocational campuses.</w:t>
      </w:r>
    </w:p>
    <w:p w14:paraId="0B85C913" w14:textId="77777777" w:rsidR="00B803E9" w:rsidRPr="00291374" w:rsidRDefault="00B803E9" w:rsidP="00B803E9">
      <w:pPr>
        <w:pStyle w:val="Standard"/>
        <w:spacing w:before="240"/>
        <w:jc w:val="both"/>
        <w:rPr>
          <w:rFonts w:ascii="Times New Roman" w:eastAsiaTheme="majorEastAsia" w:hAnsi="Times New Roman" w:cs="Times New Roman"/>
          <w:bCs/>
          <w:noProof/>
          <w:u w:val="single"/>
          <w:lang w:val="en-GB"/>
        </w:rPr>
      </w:pPr>
      <w:r w:rsidRPr="00291374">
        <w:rPr>
          <w:rFonts w:ascii="Times New Roman" w:hAnsi="Times New Roman" w:cs="Times New Roman"/>
          <w:noProof/>
          <w:u w:val="single"/>
          <w:lang w:val="en-GB"/>
        </w:rPr>
        <w:t>Investment 14. Equipping of practice workshops in VET schools</w:t>
      </w:r>
    </w:p>
    <w:p w14:paraId="267F9CEB"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equip practice workshops in VET schools. </w:t>
      </w:r>
    </w:p>
    <w:p w14:paraId="08B3B3FF"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granting support to VET schools. </w:t>
      </w:r>
    </w:p>
    <w:p w14:paraId="710D0232" w14:textId="77777777" w:rsidR="00B803E9" w:rsidRPr="00291374" w:rsidRDefault="00B803E9" w:rsidP="00B803E9">
      <w:pPr>
        <w:spacing w:before="120" w:after="120" w:line="240" w:lineRule="auto"/>
        <w:jc w:val="both"/>
        <w:rPr>
          <w:rFonts w:ascii="Times New Roman" w:hAnsi="Times New Roman" w:cs="Times New Roman"/>
          <w:noProof/>
          <w:lang w:val="en-GB"/>
        </w:rPr>
      </w:pPr>
    </w:p>
    <w:p w14:paraId="1B1A19B9" w14:textId="77777777" w:rsidR="00B803E9" w:rsidRPr="00291374" w:rsidRDefault="00B803E9" w:rsidP="00B803E9">
      <w:pPr>
        <w:numPr>
          <w:ilvl w:val="0"/>
          <w:numId w:val="67"/>
        </w:numPr>
        <w:spacing w:before="120" w:after="120" w:line="240" w:lineRule="auto"/>
        <w:ind w:left="567"/>
        <w:jc w:val="both"/>
        <w:rPr>
          <w:rFonts w:ascii="Times New Roman" w:hAnsi="Times New Roman" w:cs="Times New Roman"/>
          <w:noProof/>
          <w:lang w:val="en-GB"/>
        </w:rPr>
      </w:pPr>
      <w:r w:rsidRPr="00291374">
        <w:rPr>
          <w:rFonts w:ascii="Times New Roman" w:hAnsi="Times New Roman" w:cs="Times New Roman"/>
          <w:noProof/>
          <w:lang w:val="en-GB"/>
        </w:rPr>
        <w:t xml:space="preserve">Digitalisation of education: </w:t>
      </w:r>
    </w:p>
    <w:p w14:paraId="535994DD" w14:textId="77777777" w:rsidR="00B803E9" w:rsidRPr="00291374" w:rsidRDefault="00B803E9" w:rsidP="00B803E9">
      <w:pPr>
        <w:pStyle w:val="Standard"/>
        <w:spacing w:before="240"/>
        <w:jc w:val="both"/>
        <w:rPr>
          <w:rFonts w:ascii="Times New Roman" w:eastAsiaTheme="majorEastAsia" w:hAnsi="Times New Roman" w:cs="Times New Roman"/>
          <w:bCs/>
          <w:noProof/>
          <w:u w:val="single"/>
          <w:lang w:val="en-GB"/>
        </w:rPr>
      </w:pPr>
      <w:r w:rsidRPr="00291374">
        <w:rPr>
          <w:rFonts w:ascii="Times New Roman" w:hAnsi="Times New Roman" w:cs="Times New Roman"/>
          <w:noProof/>
          <w:u w:val="single"/>
          <w:lang w:val="en-GB"/>
        </w:rPr>
        <w:t>Reform 5. Adoption of the legal framework for the digitalisation of education</w:t>
      </w:r>
    </w:p>
    <w:p w14:paraId="2EB0C724"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reform aims to ensure the necessary legal framework for the development of digital competences for pupils by defining the competency profile for education professionals. </w:t>
      </w:r>
    </w:p>
    <w:p w14:paraId="4ED47649"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reform consists in the entry into force of legal acts for digitalisation of educational processes and content and for conducting online assessments. and in setting the minimum and optimal standards for quality of online educational activities and the National Reference Framework for increasing the digital skills of pre-university pupils. </w:t>
      </w:r>
    </w:p>
    <w:p w14:paraId="47CAAFED"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reform shall be complemented by four related investments</w:t>
      </w:r>
      <w:r w:rsidRPr="00291374">
        <w:rPr>
          <w:rFonts w:ascii="Times New Roman" w:hAnsi="Times New Roman" w:cs="Times New Roman"/>
          <w:noProof/>
          <w:vertAlign w:val="superscript"/>
          <w:lang w:val="en-GB"/>
        </w:rPr>
        <w:footnoteReference w:id="35"/>
      </w:r>
      <w:r w:rsidRPr="00291374">
        <w:rPr>
          <w:rFonts w:ascii="Times New Roman" w:hAnsi="Times New Roman" w:cs="Times New Roman"/>
          <w:noProof/>
          <w:lang w:val="en-GB"/>
        </w:rPr>
        <w:t>:</w:t>
      </w:r>
    </w:p>
    <w:p w14:paraId="45CBF608" w14:textId="77777777" w:rsidR="00B803E9" w:rsidRPr="00291374" w:rsidRDefault="00B803E9" w:rsidP="00B803E9">
      <w:pPr>
        <w:pStyle w:val="Standard"/>
        <w:spacing w:before="240"/>
        <w:jc w:val="both"/>
        <w:rPr>
          <w:rFonts w:ascii="Times New Roman" w:eastAsiaTheme="majorEastAsia" w:hAnsi="Times New Roman" w:cs="Times New Roman"/>
          <w:noProof/>
          <w:u w:val="single"/>
          <w:lang w:val="en-GB"/>
        </w:rPr>
      </w:pPr>
      <w:r w:rsidRPr="00291374">
        <w:rPr>
          <w:rFonts w:ascii="Times New Roman" w:hAnsi="Times New Roman" w:cs="Times New Roman"/>
          <w:noProof/>
          <w:u w:val="single"/>
          <w:lang w:val="en-GB"/>
        </w:rPr>
        <w:t>Investment 8. Digital pedagogy training programme(s) for teaching staff</w:t>
      </w:r>
    </w:p>
    <w:p w14:paraId="3CAA7011"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support digital pedagogy skills for teachers. </w:t>
      </w:r>
    </w:p>
    <w:p w14:paraId="719A09E0"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training programme(s) for teachers in digital pedagogy and skills. </w:t>
      </w:r>
    </w:p>
    <w:p w14:paraId="3D79BE14" w14:textId="77777777" w:rsidR="00B803E9" w:rsidRPr="00291374" w:rsidRDefault="00B803E9" w:rsidP="00B803E9">
      <w:pPr>
        <w:spacing w:before="120" w:after="120" w:line="240" w:lineRule="auto"/>
        <w:jc w:val="both"/>
        <w:rPr>
          <w:rFonts w:ascii="Times New Roman" w:eastAsia="Times New Roman" w:hAnsi="Times New Roman" w:cs="Times New Roman"/>
          <w:noProof/>
          <w:lang w:val="en-GB"/>
        </w:rPr>
      </w:pPr>
    </w:p>
    <w:p w14:paraId="027DC7BB" w14:textId="77777777" w:rsidR="00B803E9" w:rsidRPr="00291374" w:rsidRDefault="00B803E9" w:rsidP="00B803E9">
      <w:pPr>
        <w:pStyle w:val="Standard"/>
        <w:spacing w:before="240"/>
        <w:jc w:val="both"/>
        <w:rPr>
          <w:rFonts w:ascii="Times New Roman" w:eastAsiaTheme="majorEastAsia" w:hAnsi="Times New Roman" w:cs="Times New Roman"/>
          <w:bCs/>
          <w:noProof/>
          <w:u w:val="single"/>
          <w:lang w:val="en-GB"/>
        </w:rPr>
      </w:pPr>
      <w:r w:rsidRPr="00291374">
        <w:rPr>
          <w:rFonts w:ascii="Times New Roman" w:hAnsi="Times New Roman" w:cs="Times New Roman"/>
          <w:noProof/>
          <w:u w:val="single"/>
          <w:lang w:val="en-GB"/>
        </w:rPr>
        <w:t>Investment 9. Digital equipment and technological resources for schools and extracurricular educational establishments</w:t>
      </w:r>
    </w:p>
    <w:p w14:paraId="2E6408D5"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make available the digital equipment and technological resources for pre-university schools and extracurricular educational establishments. </w:t>
      </w:r>
    </w:p>
    <w:p w14:paraId="4EB39A30"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w:t>
      </w:r>
      <w:r w:rsidRPr="00291374">
        <w:rPr>
          <w:rFonts w:ascii="Times New Roman" w:hAnsi="Times New Roman" w:cs="Times New Roman"/>
          <w:noProof/>
        </w:rPr>
        <w:t>ensuring the technological resources and digital equipment</w:t>
      </w:r>
      <w:r w:rsidRPr="00291374">
        <w:rPr>
          <w:rFonts w:ascii="Times New Roman" w:hAnsi="Times New Roman" w:cs="Times New Roman"/>
          <w:noProof/>
          <w:lang w:val="en-GB"/>
        </w:rPr>
        <w:t xml:space="preserve"> for pre-university schools and extracurricular educational establishments.</w:t>
      </w:r>
    </w:p>
    <w:p w14:paraId="5B2F06DE" w14:textId="77777777" w:rsidR="00B803E9" w:rsidRPr="00291374" w:rsidRDefault="00B803E9" w:rsidP="00B803E9">
      <w:pPr>
        <w:pStyle w:val="Standard"/>
        <w:spacing w:before="240"/>
        <w:jc w:val="both"/>
        <w:rPr>
          <w:rFonts w:ascii="Times New Roman" w:hAnsi="Times New Roman" w:cs="Times New Roman"/>
          <w:noProof/>
          <w:u w:val="single"/>
          <w:lang w:val="en-GB"/>
        </w:rPr>
      </w:pPr>
      <w:r w:rsidRPr="00291374">
        <w:rPr>
          <w:rFonts w:ascii="Times New Roman" w:hAnsi="Times New Roman" w:cs="Times New Roman"/>
          <w:noProof/>
          <w:u w:val="single"/>
          <w:lang w:val="en-GB"/>
        </w:rPr>
        <w:t xml:space="preserve">Investment 16a. Digitalisation of universities and their preparation for the digital professions of the future </w:t>
      </w:r>
    </w:p>
    <w:p w14:paraId="36274DE9"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increase digital infrastructure and the digital competences of students and university teaching staff. </w:t>
      </w:r>
    </w:p>
    <w:p w14:paraId="1CE4C6A1" w14:textId="77777777" w:rsidR="00B803E9" w:rsidRPr="00291374" w:rsidRDefault="00B803E9" w:rsidP="00B803E9">
      <w:pPr>
        <w:spacing w:before="120" w:after="120" w:line="240" w:lineRule="auto"/>
        <w:jc w:val="both"/>
        <w:rPr>
          <w:rFonts w:ascii="Times New Roman" w:eastAsia="Times New Roman" w:hAnsi="Times New Roman" w:cs="Times New Roman"/>
          <w:noProof/>
          <w:lang w:val="en-GB"/>
        </w:rPr>
      </w:pPr>
      <w:r w:rsidRPr="00291374">
        <w:rPr>
          <w:rFonts w:ascii="Times New Roman" w:hAnsi="Times New Roman" w:cs="Times New Roman"/>
          <w:noProof/>
          <w:lang w:val="en-GB"/>
        </w:rPr>
        <w:t>This measure complements investment 16 in the loan compartment.</w:t>
      </w:r>
    </w:p>
    <w:p w14:paraId="0FA4BFF2" w14:textId="77777777" w:rsidR="00B803E9" w:rsidRPr="00291374" w:rsidRDefault="00B803E9" w:rsidP="00B803E9">
      <w:pPr>
        <w:spacing w:before="120"/>
        <w:contextualSpacing/>
        <w:jc w:val="both"/>
        <w:rPr>
          <w:rFonts w:ascii="Times New Roman" w:eastAsia="Times New Roman" w:hAnsi="Times New Roman" w:cs="Times New Roman"/>
          <w:noProof/>
          <w:lang w:val="en-GB"/>
        </w:rPr>
      </w:pPr>
    </w:p>
    <w:p w14:paraId="3E6455E5" w14:textId="77777777" w:rsidR="00B803E9" w:rsidRPr="00291374" w:rsidRDefault="00B803E9" w:rsidP="00B803E9">
      <w:pPr>
        <w:numPr>
          <w:ilvl w:val="0"/>
          <w:numId w:val="67"/>
        </w:numPr>
        <w:spacing w:before="120" w:after="120" w:line="240" w:lineRule="auto"/>
        <w:ind w:left="567"/>
        <w:jc w:val="both"/>
        <w:rPr>
          <w:rFonts w:ascii="Times New Roman" w:hAnsi="Times New Roman" w:cs="Times New Roman"/>
          <w:noProof/>
          <w:lang w:val="en-GB"/>
        </w:rPr>
      </w:pPr>
      <w:r w:rsidRPr="00291374">
        <w:rPr>
          <w:rFonts w:ascii="Times New Roman" w:hAnsi="Times New Roman" w:cs="Times New Roman"/>
          <w:noProof/>
          <w:lang w:val="en-GB"/>
        </w:rPr>
        <w:t xml:space="preserve">Infrastructure: </w:t>
      </w:r>
    </w:p>
    <w:p w14:paraId="2A4007C3" w14:textId="77777777" w:rsidR="00B803E9" w:rsidRPr="00291374" w:rsidRDefault="00B803E9" w:rsidP="00B803E9">
      <w:pPr>
        <w:pStyle w:val="Standard"/>
        <w:spacing w:before="240"/>
        <w:jc w:val="both"/>
        <w:rPr>
          <w:rFonts w:ascii="Times New Roman" w:eastAsiaTheme="majorEastAsia" w:hAnsi="Times New Roman" w:cs="Times New Roman"/>
          <w:bCs/>
          <w:noProof/>
          <w:u w:val="single"/>
          <w:lang w:val="en-GB"/>
        </w:rPr>
      </w:pPr>
      <w:r w:rsidRPr="00291374">
        <w:rPr>
          <w:rFonts w:ascii="Times New Roman" w:hAnsi="Times New Roman" w:cs="Times New Roman"/>
          <w:noProof/>
          <w:u w:val="single"/>
          <w:lang w:val="en-GB"/>
        </w:rPr>
        <w:t xml:space="preserve">Reform 6. Updated regulatory framework to ensure environmentally-friendly design, construction and endowment standards in the pre-university education system </w:t>
      </w:r>
    </w:p>
    <w:p w14:paraId="757687F2"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objectives of this reform are (a) to increase the quality and safety of learning environments, including regulation on teaching material, furniture, and equipment of laboratory equipment and technological workshops; and (b) to develop and adopt the legal framework for fostering the transition to green buildings in schools. </w:t>
      </w:r>
    </w:p>
    <w:p w14:paraId="5F4A5363"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In the context of the transition to green and smart buildings, Romanian authorities shall update the legislation on the design, endowment and operation of schools, including regulation on teaching material, furniture and equipment of laboratory and science laboratories and shall develop a Methodology for the operation and organisation of green schools. </w:t>
      </w:r>
    </w:p>
    <w:p w14:paraId="416DDC33"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implementation of the reform shall be completed by 30 June 2022.</w:t>
      </w:r>
    </w:p>
    <w:p w14:paraId="2EA56533"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reform shall be accompanied by 3 investments in school related infrastructure</w:t>
      </w:r>
      <w:r w:rsidRPr="00291374">
        <w:rPr>
          <w:rStyle w:val="FootnoteReference"/>
          <w:rFonts w:ascii="Times New Roman" w:hAnsi="Times New Roman" w:cs="Times New Roman"/>
          <w:noProof/>
          <w:lang w:val="en-GB"/>
        </w:rPr>
        <w:footnoteReference w:id="36"/>
      </w:r>
      <w:r w:rsidRPr="00291374">
        <w:rPr>
          <w:rFonts w:ascii="Times New Roman" w:hAnsi="Times New Roman" w:cs="Times New Roman"/>
          <w:noProof/>
          <w:lang w:val="en-GB"/>
        </w:rPr>
        <w:t>:</w:t>
      </w:r>
    </w:p>
    <w:p w14:paraId="1A2812BF" w14:textId="77777777" w:rsidR="00B803E9" w:rsidRPr="00291374" w:rsidRDefault="00B803E9" w:rsidP="00B803E9">
      <w:pPr>
        <w:pStyle w:val="Standard"/>
        <w:spacing w:before="240"/>
        <w:jc w:val="both"/>
        <w:rPr>
          <w:rFonts w:ascii="Times New Roman" w:eastAsiaTheme="majorEastAsia" w:hAnsi="Times New Roman" w:cs="Times New Roman"/>
          <w:bCs/>
          <w:noProof/>
          <w:u w:val="single"/>
          <w:lang w:val="en-GB"/>
        </w:rPr>
      </w:pPr>
      <w:r w:rsidRPr="00291374">
        <w:rPr>
          <w:rFonts w:ascii="Times New Roman" w:hAnsi="Times New Roman" w:cs="Times New Roman"/>
          <w:noProof/>
          <w:u w:val="single"/>
          <w:lang w:val="en-GB"/>
        </w:rPr>
        <w:t>Investment 10. Green-schools network development and purchase of green minibuses</w:t>
      </w:r>
    </w:p>
    <w:p w14:paraId="0E63EC3A"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ensure the sustainability of pre-university schools through the transition to green schools and green mobility (electric minibuses). </w:t>
      </w:r>
    </w:p>
    <w:p w14:paraId="2A6A2172"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renovating a network of green schools and the purchase of school minibuses for the transport of pupils. </w:t>
      </w:r>
    </w:p>
    <w:p w14:paraId="4491EAFB" w14:textId="77777777" w:rsidR="00B803E9" w:rsidRPr="00291374" w:rsidRDefault="00B803E9" w:rsidP="00B803E9">
      <w:pPr>
        <w:spacing w:before="120" w:after="120" w:line="240" w:lineRule="auto"/>
        <w:jc w:val="both"/>
        <w:rPr>
          <w:rFonts w:ascii="Times New Roman" w:eastAsia="Times New Roman" w:hAnsi="Times New Roman" w:cs="Times New Roman"/>
          <w:noProof/>
          <w:lang w:val="en-GB"/>
        </w:rPr>
      </w:pPr>
      <w:r w:rsidRPr="00291374">
        <w:rPr>
          <w:rFonts w:ascii="Times New Roman" w:hAnsi="Times New Roman" w:cs="Times New Roman"/>
          <w:noProof/>
          <w:lang w:val="en-GB"/>
        </w:rPr>
        <w:t>This measure complements investment 10a in the loan compartment.</w:t>
      </w:r>
    </w:p>
    <w:p w14:paraId="2CF06D7C" w14:textId="77777777" w:rsidR="00B803E9" w:rsidRPr="00291374" w:rsidRDefault="00B803E9" w:rsidP="00B803E9">
      <w:pPr>
        <w:pStyle w:val="Standard"/>
        <w:spacing w:before="240"/>
        <w:jc w:val="both"/>
        <w:rPr>
          <w:rFonts w:ascii="Times New Roman" w:eastAsiaTheme="majorEastAsia" w:hAnsi="Times New Roman" w:cs="Times New Roman"/>
          <w:noProof/>
          <w:u w:val="single"/>
          <w:lang w:val="en-GB"/>
        </w:rPr>
      </w:pPr>
      <w:r w:rsidRPr="00291374">
        <w:rPr>
          <w:rFonts w:ascii="Times New Roman" w:hAnsi="Times New Roman" w:cs="Times New Roman"/>
          <w:noProof/>
          <w:u w:val="single"/>
          <w:lang w:val="en-GB"/>
        </w:rPr>
        <w:t>Investment 11. Provision of equipment for pre-university classrooms and school science laboratories/school cabinets</w:t>
      </w:r>
    </w:p>
    <w:p w14:paraId="1EA500C5"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provide the necessary equipment to ensure quality standards in pre-university schools, </w:t>
      </w:r>
      <w:r w:rsidRPr="00291374">
        <w:rPr>
          <w:rFonts w:ascii="Times New Roman" w:hAnsi="Times New Roman" w:cs="Times New Roman"/>
          <w:noProof/>
        </w:rPr>
        <w:t>county centres for resources and educational assistance and extracurricular educational units</w:t>
      </w:r>
      <w:r w:rsidRPr="00291374">
        <w:rPr>
          <w:rFonts w:ascii="Times New Roman" w:hAnsi="Times New Roman" w:cs="Times New Roman"/>
          <w:noProof/>
          <w:lang w:val="en-GB"/>
        </w:rPr>
        <w:t xml:space="preserve">. </w:t>
      </w:r>
    </w:p>
    <w:p w14:paraId="3B1B4D6C"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ensuring the equipment to school science laboratories or school cabinets and classrooms. </w:t>
      </w:r>
    </w:p>
    <w:p w14:paraId="2176097E" w14:textId="77777777" w:rsidR="00B803E9" w:rsidRPr="00291374" w:rsidRDefault="00B803E9" w:rsidP="00B803E9">
      <w:pPr>
        <w:numPr>
          <w:ilvl w:val="0"/>
          <w:numId w:val="67"/>
        </w:numPr>
        <w:spacing w:before="120" w:after="120" w:line="240" w:lineRule="auto"/>
        <w:ind w:left="567"/>
        <w:rPr>
          <w:rFonts w:ascii="Times New Roman" w:hAnsi="Times New Roman" w:cs="Times New Roman"/>
          <w:noProof/>
          <w:lang w:val="en-GB"/>
        </w:rPr>
      </w:pPr>
      <w:r w:rsidRPr="00291374">
        <w:rPr>
          <w:rFonts w:ascii="Times New Roman" w:hAnsi="Times New Roman" w:cs="Times New Roman"/>
          <w:noProof/>
          <w:lang w:val="en-GB"/>
        </w:rPr>
        <w:t>School governance:</w:t>
      </w:r>
    </w:p>
    <w:p w14:paraId="4856F7C5" w14:textId="77777777" w:rsidR="00B803E9" w:rsidRPr="00291374" w:rsidRDefault="00B803E9" w:rsidP="00B803E9">
      <w:pPr>
        <w:pStyle w:val="Standard"/>
        <w:spacing w:before="240"/>
        <w:jc w:val="both"/>
        <w:rPr>
          <w:rFonts w:ascii="Times New Roman" w:eastAsiaTheme="majorEastAsia" w:hAnsi="Times New Roman" w:cs="Times New Roman"/>
          <w:bCs/>
          <w:noProof/>
          <w:u w:val="single"/>
          <w:lang w:val="en-GB"/>
        </w:rPr>
      </w:pPr>
      <w:r w:rsidRPr="00291374">
        <w:rPr>
          <w:rFonts w:ascii="Times New Roman" w:hAnsi="Times New Roman" w:cs="Times New Roman"/>
          <w:noProof/>
          <w:u w:val="single"/>
          <w:lang w:val="en-GB"/>
        </w:rPr>
        <w:t xml:space="preserve">Reform 7. Reform of the governance of the pre-university education system and professionalization of management </w:t>
      </w:r>
    </w:p>
    <w:p w14:paraId="4B6C27F8"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reform is for schools to benefit from more efficient management and greater autonomy. </w:t>
      </w:r>
    </w:p>
    <w:p w14:paraId="0F46220C"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measure consists in the publication of an analysis of the governance in the pre-university education system and a pilot programme for schools.</w:t>
      </w:r>
    </w:p>
    <w:p w14:paraId="1094EEBE" w14:textId="77777777" w:rsidR="00B803E9" w:rsidRPr="00291374" w:rsidRDefault="00B803E9" w:rsidP="00B803E9">
      <w:pPr>
        <w:pStyle w:val="Standard"/>
        <w:spacing w:before="240"/>
        <w:jc w:val="both"/>
        <w:rPr>
          <w:rFonts w:ascii="Times New Roman" w:eastAsiaTheme="majorEastAsia" w:hAnsi="Times New Roman" w:cs="Times New Roman"/>
          <w:noProof/>
          <w:u w:val="single"/>
          <w:lang w:val="en-GB"/>
        </w:rPr>
      </w:pPr>
      <w:r w:rsidRPr="00291374">
        <w:rPr>
          <w:rFonts w:ascii="Times New Roman" w:hAnsi="Times New Roman" w:cs="Times New Roman"/>
          <w:noProof/>
          <w:u w:val="single"/>
          <w:lang w:val="en-GB"/>
        </w:rPr>
        <w:t>Investment 18. Training and coaching for educational management staff</w:t>
      </w:r>
    </w:p>
    <w:p w14:paraId="3C97B455"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provide support to professionalise the management in the education system. </w:t>
      </w:r>
    </w:p>
    <w:p w14:paraId="22EDFB65"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investment consists in training and coaching for educational management staff.</w:t>
      </w:r>
    </w:p>
    <w:p w14:paraId="1ED2155B" w14:textId="77777777" w:rsidR="00B803E9" w:rsidRPr="00291374" w:rsidRDefault="00B803E9" w:rsidP="00B803E9">
      <w:pPr>
        <w:spacing w:before="120" w:after="120" w:line="240" w:lineRule="auto"/>
        <w:jc w:val="both"/>
        <w:rPr>
          <w:rFonts w:ascii="Times New Roman" w:hAnsi="Times New Roman" w:cs="Times New Roman"/>
          <w:noProof/>
          <w:lang w:val="en-GB"/>
        </w:rPr>
      </w:pPr>
    </w:p>
    <w:p w14:paraId="7C89F85B" w14:textId="77777777" w:rsidR="00B803E9" w:rsidRPr="00291374" w:rsidRDefault="00B803E9" w:rsidP="00B803E9">
      <w:pPr>
        <w:spacing w:before="120" w:after="120" w:line="240" w:lineRule="auto"/>
        <w:jc w:val="both"/>
        <w:rPr>
          <w:rFonts w:ascii="Times New Roman" w:hAnsi="Times New Roman" w:cs="Times New Roman"/>
          <w:noProof/>
          <w:lang w:val="en-GB"/>
        </w:rPr>
        <w:sectPr w:rsidR="00B803E9" w:rsidRPr="00291374" w:rsidSect="00B803E9">
          <w:headerReference w:type="even" r:id="rId335"/>
          <w:headerReference w:type="default" r:id="rId336"/>
          <w:footerReference w:type="even" r:id="rId337"/>
          <w:footerReference w:type="default" r:id="rId338"/>
          <w:headerReference w:type="first" r:id="rId339"/>
          <w:footerReference w:type="first" r:id="rId340"/>
          <w:pgSz w:w="11907" w:h="16839"/>
          <w:pgMar w:top="1134" w:right="1134" w:bottom="1134" w:left="1134" w:header="567" w:footer="567" w:gutter="0"/>
          <w:cols w:space="708"/>
          <w:docGrid w:linePitch="360"/>
        </w:sectPr>
      </w:pPr>
    </w:p>
    <w:p w14:paraId="5409B305" w14:textId="77777777" w:rsidR="00B803E9" w:rsidRPr="00291374" w:rsidRDefault="00B803E9" w:rsidP="00B803E9">
      <w:pPr>
        <w:keepNext/>
        <w:spacing w:before="120" w:after="120" w:line="240" w:lineRule="auto"/>
        <w:jc w:val="both"/>
        <w:outlineLvl w:val="1"/>
        <w:rPr>
          <w:rFonts w:ascii="Times New Roman" w:hAnsi="Times New Roman" w:cs="Times New Roman"/>
          <w:noProof/>
          <w:lang w:val="en-GB"/>
        </w:rPr>
      </w:pPr>
      <w:r w:rsidRPr="00291374">
        <w:rPr>
          <w:rFonts w:ascii="Times New Roman" w:hAnsi="Times New Roman" w:cs="Times New Roman"/>
          <w:b/>
          <w:noProof/>
          <w:lang w:val="en-GB"/>
        </w:rPr>
        <w:t xml:space="preserve">O.2. </w:t>
      </w:r>
      <w:r w:rsidRPr="00291374">
        <w:rPr>
          <w:rFonts w:ascii="Times New Roman" w:hAnsi="Times New Roman" w:cs="Times New Roman"/>
          <w:noProof/>
          <w:lang w:val="en-GB"/>
        </w:rPr>
        <w:tab/>
      </w:r>
      <w:r w:rsidRPr="00291374">
        <w:rPr>
          <w:rFonts w:ascii="Times New Roman" w:hAnsi="Times New Roman" w:cs="Times New Roman"/>
          <w:b/>
          <w:noProof/>
          <w:lang w:val="en-GB"/>
        </w:rPr>
        <w:t>Milestones, targets, indicators, and timetable for monitoring and implementation for non-repayable financial support</w:t>
      </w:r>
    </w:p>
    <w:tbl>
      <w:tblPr>
        <w:tblW w:w="5354" w:type="pct"/>
        <w:jc w:val="center"/>
        <w:tblLayout w:type="fixed"/>
        <w:tblCellMar>
          <w:left w:w="28" w:type="dxa"/>
          <w:right w:w="28" w:type="dxa"/>
        </w:tblCellMar>
        <w:tblLook w:val="04A0" w:firstRow="1" w:lastRow="0" w:firstColumn="1" w:lastColumn="0" w:noHBand="0" w:noVBand="1"/>
      </w:tblPr>
      <w:tblGrid>
        <w:gridCol w:w="809"/>
        <w:gridCol w:w="1863"/>
        <w:gridCol w:w="1151"/>
        <w:gridCol w:w="2031"/>
        <w:gridCol w:w="1553"/>
        <w:gridCol w:w="1075"/>
        <w:gridCol w:w="1013"/>
        <w:gridCol w:w="995"/>
        <w:gridCol w:w="850"/>
        <w:gridCol w:w="566"/>
        <w:gridCol w:w="3686"/>
      </w:tblGrid>
      <w:tr w:rsidR="00756311" w:rsidRPr="001B1E82" w14:paraId="171A95E5" w14:textId="77777777" w:rsidTr="00BD01A2">
        <w:trPr>
          <w:trHeight w:val="861"/>
          <w:tblHeader/>
          <w:jc w:val="center"/>
        </w:trPr>
        <w:tc>
          <w:tcPr>
            <w:tcW w:w="809"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13259951" w14:textId="716474CE"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Seq Num</w:t>
            </w:r>
            <w:r w:rsidR="001B1E82" w:rsidRPr="001B1E82">
              <w:rPr>
                <w:rFonts w:ascii="Times New Roman" w:hAnsi="Times New Roman" w:cs="Times New Roman"/>
                <w:b/>
                <w:noProof/>
                <w:sz w:val="20"/>
                <w:szCs w:val="20"/>
                <w:lang w:val="en-GB"/>
              </w:rPr>
              <w:t>.</w:t>
            </w:r>
          </w:p>
        </w:tc>
        <w:tc>
          <w:tcPr>
            <w:tcW w:w="1863"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24776B61"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Related Measure (Reform or Investment)</w:t>
            </w:r>
          </w:p>
        </w:tc>
        <w:tc>
          <w:tcPr>
            <w:tcW w:w="1151"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145F2F80"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Milestone / Target</w:t>
            </w:r>
          </w:p>
        </w:tc>
        <w:tc>
          <w:tcPr>
            <w:tcW w:w="2031"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22ADEB03"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Name</w:t>
            </w:r>
          </w:p>
        </w:tc>
        <w:tc>
          <w:tcPr>
            <w:tcW w:w="1553"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051D9DB2"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 xml:space="preserve">Qualitative indicators </w:t>
            </w:r>
            <w:r w:rsidRPr="001B1E82">
              <w:rPr>
                <w:rFonts w:ascii="Times New Roman" w:hAnsi="Times New Roman" w:cs="Times New Roman"/>
                <w:noProof/>
                <w:sz w:val="20"/>
                <w:szCs w:val="20"/>
                <w:lang w:val="en-GB"/>
              </w:rPr>
              <w:br/>
            </w:r>
            <w:r w:rsidRPr="001B1E82">
              <w:rPr>
                <w:rFonts w:ascii="Times New Roman" w:hAnsi="Times New Roman" w:cs="Times New Roman"/>
                <w:b/>
                <w:noProof/>
                <w:sz w:val="20"/>
                <w:szCs w:val="20"/>
                <w:lang w:val="en-GB"/>
              </w:rPr>
              <w:t>(for milestones)</w:t>
            </w:r>
          </w:p>
        </w:tc>
        <w:tc>
          <w:tcPr>
            <w:tcW w:w="3083"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5C3773B4"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 xml:space="preserve">Quantitative indicators </w:t>
            </w:r>
            <w:r w:rsidRPr="001B1E82">
              <w:rPr>
                <w:rFonts w:ascii="Times New Roman" w:hAnsi="Times New Roman" w:cs="Times New Roman"/>
                <w:noProof/>
                <w:sz w:val="20"/>
                <w:szCs w:val="20"/>
                <w:lang w:val="en-GB"/>
              </w:rPr>
              <w:br/>
            </w:r>
            <w:r w:rsidRPr="001B1E82">
              <w:rPr>
                <w:rFonts w:ascii="Times New Roman" w:hAnsi="Times New Roman" w:cs="Times New Roman"/>
                <w:b/>
                <w:noProof/>
                <w:sz w:val="20"/>
                <w:szCs w:val="20"/>
                <w:lang w:val="en-GB"/>
              </w:rPr>
              <w:t>(for targets)</w:t>
            </w:r>
          </w:p>
        </w:tc>
        <w:tc>
          <w:tcPr>
            <w:tcW w:w="1416" w:type="dxa"/>
            <w:gridSpan w:val="2"/>
            <w:tcBorders>
              <w:top w:val="single" w:sz="4" w:space="0" w:color="auto"/>
              <w:left w:val="nil"/>
              <w:bottom w:val="single" w:sz="4" w:space="0" w:color="auto"/>
              <w:right w:val="single" w:sz="4" w:space="0" w:color="auto"/>
            </w:tcBorders>
            <w:shd w:val="clear" w:color="auto" w:fill="DAE9F7" w:themeFill="text2" w:themeFillTint="1A"/>
            <w:noWrap/>
            <w:vAlign w:val="center"/>
          </w:tcPr>
          <w:p w14:paraId="565EA984"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Indicative timeline for completion</w:t>
            </w:r>
          </w:p>
        </w:tc>
        <w:tc>
          <w:tcPr>
            <w:tcW w:w="3686" w:type="dxa"/>
            <w:vMerge w:val="restart"/>
            <w:tcBorders>
              <w:top w:val="single" w:sz="4" w:space="0" w:color="auto"/>
              <w:left w:val="nil"/>
              <w:bottom w:val="single" w:sz="4" w:space="0" w:color="auto"/>
              <w:right w:val="single" w:sz="4" w:space="0" w:color="auto"/>
            </w:tcBorders>
            <w:shd w:val="clear" w:color="auto" w:fill="DAE9F7" w:themeFill="text2" w:themeFillTint="1A"/>
            <w:noWrap/>
            <w:vAlign w:val="center"/>
          </w:tcPr>
          <w:p w14:paraId="089A00BA"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Description of each milestone and target</w:t>
            </w:r>
          </w:p>
        </w:tc>
      </w:tr>
      <w:tr w:rsidR="00756311" w:rsidRPr="001B1E82" w14:paraId="5BDA3771" w14:textId="77777777" w:rsidTr="00BD01A2">
        <w:trPr>
          <w:trHeight w:val="480"/>
          <w:tblHeader/>
          <w:jc w:val="center"/>
        </w:trPr>
        <w:tc>
          <w:tcPr>
            <w:tcW w:w="809" w:type="dxa"/>
            <w:vMerge/>
            <w:tcBorders>
              <w:top w:val="single" w:sz="4" w:space="0" w:color="auto"/>
              <w:left w:val="single" w:sz="4" w:space="0" w:color="auto"/>
              <w:bottom w:val="single" w:sz="4" w:space="0" w:color="auto"/>
              <w:right w:val="single" w:sz="4" w:space="0" w:color="auto"/>
            </w:tcBorders>
            <w:noWrap/>
            <w:vAlign w:val="center"/>
          </w:tcPr>
          <w:p w14:paraId="71F5401D"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eastAsia="en-GB"/>
              </w:rPr>
            </w:pPr>
          </w:p>
        </w:tc>
        <w:tc>
          <w:tcPr>
            <w:tcW w:w="1863" w:type="dxa"/>
            <w:vMerge/>
            <w:tcBorders>
              <w:top w:val="single" w:sz="4" w:space="0" w:color="auto"/>
              <w:left w:val="single" w:sz="4" w:space="0" w:color="auto"/>
              <w:bottom w:val="single" w:sz="4" w:space="0" w:color="auto"/>
              <w:right w:val="single" w:sz="4" w:space="0" w:color="auto"/>
            </w:tcBorders>
            <w:noWrap/>
            <w:vAlign w:val="center"/>
          </w:tcPr>
          <w:p w14:paraId="68A99524"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eastAsia="en-GB"/>
              </w:rPr>
            </w:pPr>
          </w:p>
        </w:tc>
        <w:tc>
          <w:tcPr>
            <w:tcW w:w="1151" w:type="dxa"/>
            <w:vMerge/>
            <w:tcBorders>
              <w:top w:val="single" w:sz="4" w:space="0" w:color="auto"/>
              <w:left w:val="single" w:sz="4" w:space="0" w:color="auto"/>
              <w:bottom w:val="single" w:sz="4" w:space="0" w:color="auto"/>
              <w:right w:val="single" w:sz="4" w:space="0" w:color="auto"/>
            </w:tcBorders>
            <w:noWrap/>
            <w:vAlign w:val="center"/>
          </w:tcPr>
          <w:p w14:paraId="4CCB629D"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eastAsia="en-GB"/>
              </w:rPr>
            </w:pPr>
          </w:p>
        </w:tc>
        <w:tc>
          <w:tcPr>
            <w:tcW w:w="2031" w:type="dxa"/>
            <w:vMerge/>
            <w:tcBorders>
              <w:top w:val="single" w:sz="4" w:space="0" w:color="auto"/>
              <w:left w:val="single" w:sz="4" w:space="0" w:color="auto"/>
              <w:bottom w:val="single" w:sz="4" w:space="0" w:color="auto"/>
              <w:right w:val="single" w:sz="4" w:space="0" w:color="auto"/>
            </w:tcBorders>
            <w:noWrap/>
            <w:vAlign w:val="center"/>
          </w:tcPr>
          <w:p w14:paraId="31930763"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eastAsia="en-GB"/>
              </w:rPr>
            </w:pPr>
          </w:p>
        </w:tc>
        <w:tc>
          <w:tcPr>
            <w:tcW w:w="1553" w:type="dxa"/>
            <w:vMerge/>
            <w:tcBorders>
              <w:top w:val="single" w:sz="4" w:space="0" w:color="auto"/>
              <w:left w:val="single" w:sz="4" w:space="0" w:color="auto"/>
              <w:bottom w:val="single" w:sz="4" w:space="0" w:color="auto"/>
              <w:right w:val="single" w:sz="4" w:space="0" w:color="auto"/>
            </w:tcBorders>
            <w:noWrap/>
            <w:vAlign w:val="center"/>
          </w:tcPr>
          <w:p w14:paraId="708F3F72"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eastAsia="en-GB"/>
              </w:rPr>
            </w:pPr>
          </w:p>
        </w:tc>
        <w:tc>
          <w:tcPr>
            <w:tcW w:w="1075" w:type="dxa"/>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0F7373D7" w14:textId="1DAC2CF4" w:rsidR="00B803E9" w:rsidRPr="001B1E82" w:rsidRDefault="00B803E9" w:rsidP="001B1E82">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Unit</w:t>
            </w:r>
            <w:r w:rsidR="001B1E82">
              <w:rPr>
                <w:rFonts w:ascii="Times New Roman" w:hAnsi="Times New Roman" w:cs="Times New Roman"/>
                <w:b/>
                <w:noProof/>
                <w:sz w:val="20"/>
                <w:szCs w:val="20"/>
                <w:lang w:val="en-GB"/>
              </w:rPr>
              <w:t xml:space="preserve"> </w:t>
            </w:r>
            <w:r w:rsidRPr="001B1E82">
              <w:rPr>
                <w:rFonts w:ascii="Times New Roman" w:hAnsi="Times New Roman" w:cs="Times New Roman"/>
                <w:b/>
                <w:noProof/>
                <w:sz w:val="20"/>
                <w:szCs w:val="20"/>
                <w:lang w:val="en-GB"/>
              </w:rPr>
              <w:t>of measure</w:t>
            </w:r>
          </w:p>
        </w:tc>
        <w:tc>
          <w:tcPr>
            <w:tcW w:w="1013"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5B2FBE32"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Baseline</w:t>
            </w:r>
          </w:p>
        </w:tc>
        <w:tc>
          <w:tcPr>
            <w:tcW w:w="995"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51A05BC1"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Goal</w:t>
            </w:r>
          </w:p>
        </w:tc>
        <w:tc>
          <w:tcPr>
            <w:tcW w:w="850" w:type="dxa"/>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0FECE1EB"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Quarter</w:t>
            </w:r>
          </w:p>
        </w:tc>
        <w:tc>
          <w:tcPr>
            <w:tcW w:w="566" w:type="dxa"/>
            <w:tcBorders>
              <w:top w:val="single" w:sz="4" w:space="0" w:color="auto"/>
              <w:left w:val="nil"/>
              <w:bottom w:val="single" w:sz="4" w:space="0" w:color="auto"/>
              <w:right w:val="single" w:sz="4" w:space="0" w:color="auto"/>
            </w:tcBorders>
            <w:shd w:val="clear" w:color="auto" w:fill="DAE9F7" w:themeFill="text2" w:themeFillTint="1A"/>
            <w:vAlign w:val="center"/>
          </w:tcPr>
          <w:p w14:paraId="0DA3AFF1"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Year</w:t>
            </w:r>
          </w:p>
        </w:tc>
        <w:tc>
          <w:tcPr>
            <w:tcW w:w="3686" w:type="dxa"/>
            <w:vMerge/>
            <w:tcBorders>
              <w:top w:val="single" w:sz="4" w:space="0" w:color="auto"/>
              <w:bottom w:val="single" w:sz="4" w:space="0" w:color="auto"/>
              <w:right w:val="single" w:sz="4" w:space="0" w:color="auto"/>
            </w:tcBorders>
            <w:noWrap/>
            <w:vAlign w:val="center"/>
          </w:tcPr>
          <w:p w14:paraId="5BA17389"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eastAsia="en-GB"/>
              </w:rPr>
            </w:pPr>
          </w:p>
        </w:tc>
      </w:tr>
      <w:tr w:rsidR="00756311" w:rsidRPr="001B1E82" w14:paraId="477E4938"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5D8DE0BC"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452</w:t>
            </w:r>
          </w:p>
        </w:tc>
        <w:tc>
          <w:tcPr>
            <w:tcW w:w="1863" w:type="dxa"/>
            <w:tcBorders>
              <w:top w:val="single" w:sz="4" w:space="0" w:color="auto"/>
              <w:left w:val="nil"/>
              <w:bottom w:val="single" w:sz="4" w:space="0" w:color="auto"/>
              <w:right w:val="single" w:sz="4" w:space="0" w:color="auto"/>
            </w:tcBorders>
            <w:shd w:val="clear" w:color="auto" w:fill="C6EFCE"/>
            <w:noWrap/>
          </w:tcPr>
          <w:p w14:paraId="26F381B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Reform 1. Elaboration and adoption of the package of legal acts for the application of the "Educated Romania” project</w:t>
            </w:r>
          </w:p>
        </w:tc>
        <w:tc>
          <w:tcPr>
            <w:tcW w:w="1151" w:type="dxa"/>
            <w:tcBorders>
              <w:top w:val="single" w:sz="4" w:space="0" w:color="auto"/>
              <w:left w:val="nil"/>
              <w:bottom w:val="single" w:sz="4" w:space="0" w:color="auto"/>
              <w:right w:val="single" w:sz="4" w:space="0" w:color="auto"/>
            </w:tcBorders>
            <w:shd w:val="clear" w:color="auto" w:fill="C6EFCE"/>
            <w:noWrap/>
          </w:tcPr>
          <w:p w14:paraId="66C3EECB"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2031" w:type="dxa"/>
            <w:tcBorders>
              <w:top w:val="single" w:sz="4" w:space="0" w:color="auto"/>
              <w:left w:val="nil"/>
              <w:bottom w:val="single" w:sz="4" w:space="0" w:color="auto"/>
              <w:right w:val="single" w:sz="4" w:space="0" w:color="auto"/>
            </w:tcBorders>
            <w:shd w:val="clear" w:color="auto" w:fill="C6EFCE"/>
            <w:noWrap/>
          </w:tcPr>
          <w:p w14:paraId="05ACCD1F"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Entry into force of the package of legal acts for the application of the ‘Educated Romania’ project</w:t>
            </w:r>
          </w:p>
        </w:tc>
        <w:tc>
          <w:tcPr>
            <w:tcW w:w="1553" w:type="dxa"/>
            <w:tcBorders>
              <w:top w:val="single" w:sz="4" w:space="0" w:color="auto"/>
              <w:left w:val="nil"/>
              <w:bottom w:val="single" w:sz="4" w:space="0" w:color="auto"/>
              <w:right w:val="single" w:sz="4" w:space="0" w:color="auto"/>
            </w:tcBorders>
            <w:shd w:val="clear" w:color="auto" w:fill="C6EFCE"/>
            <w:noWrap/>
          </w:tcPr>
          <w:p w14:paraId="5145DCE7"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Provision in the package of legal acts indicating the entry into force of the “Educated Romania” project</w:t>
            </w:r>
          </w:p>
        </w:tc>
        <w:tc>
          <w:tcPr>
            <w:tcW w:w="1075" w:type="dxa"/>
            <w:tcBorders>
              <w:top w:val="single" w:sz="4" w:space="0" w:color="auto"/>
              <w:left w:val="nil"/>
              <w:bottom w:val="single" w:sz="4" w:space="0" w:color="auto"/>
              <w:right w:val="single" w:sz="4" w:space="0" w:color="auto"/>
            </w:tcBorders>
            <w:shd w:val="clear" w:color="auto" w:fill="C6EFCE"/>
            <w:noWrap/>
          </w:tcPr>
          <w:p w14:paraId="00385E11"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13" w:type="dxa"/>
            <w:tcBorders>
              <w:top w:val="single" w:sz="4" w:space="0" w:color="auto"/>
              <w:left w:val="nil"/>
              <w:bottom w:val="single" w:sz="4" w:space="0" w:color="auto"/>
              <w:right w:val="single" w:sz="4" w:space="0" w:color="auto"/>
            </w:tcBorders>
            <w:shd w:val="clear" w:color="auto" w:fill="C6EFCE"/>
            <w:noWrap/>
          </w:tcPr>
          <w:p w14:paraId="0D7D64FB"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995" w:type="dxa"/>
            <w:tcBorders>
              <w:top w:val="single" w:sz="4" w:space="0" w:color="auto"/>
              <w:left w:val="nil"/>
              <w:bottom w:val="single" w:sz="4" w:space="0" w:color="auto"/>
              <w:right w:val="single" w:sz="4" w:space="0" w:color="auto"/>
            </w:tcBorders>
            <w:shd w:val="clear" w:color="auto" w:fill="C6EFCE"/>
            <w:noWrap/>
          </w:tcPr>
          <w:p w14:paraId="1E97AA82"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3B74FD59"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Q3</w:t>
            </w:r>
          </w:p>
        </w:tc>
        <w:tc>
          <w:tcPr>
            <w:tcW w:w="566" w:type="dxa"/>
            <w:tcBorders>
              <w:top w:val="single" w:sz="4" w:space="0" w:color="auto"/>
              <w:left w:val="nil"/>
              <w:bottom w:val="single" w:sz="4" w:space="0" w:color="auto"/>
              <w:right w:val="single" w:sz="4" w:space="0" w:color="auto"/>
            </w:tcBorders>
            <w:shd w:val="clear" w:color="auto" w:fill="C6EFCE"/>
            <w:noWrap/>
          </w:tcPr>
          <w:p w14:paraId="12280D43"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2023</w:t>
            </w:r>
          </w:p>
        </w:tc>
        <w:tc>
          <w:tcPr>
            <w:tcW w:w="3686" w:type="dxa"/>
            <w:tcBorders>
              <w:top w:val="single" w:sz="4" w:space="0" w:color="auto"/>
              <w:left w:val="nil"/>
              <w:bottom w:val="single" w:sz="4" w:space="0" w:color="auto"/>
              <w:right w:val="single" w:sz="4" w:space="0" w:color="auto"/>
            </w:tcBorders>
            <w:shd w:val="clear" w:color="auto" w:fill="C6EFCE"/>
            <w:noWrap/>
          </w:tcPr>
          <w:p w14:paraId="25917339" w14:textId="77777777" w:rsidR="00B803E9" w:rsidRPr="001B1E82" w:rsidRDefault="00B803E9">
            <w:pPr>
              <w:spacing w:after="0" w:line="240" w:lineRule="auto"/>
              <w:jc w:val="both"/>
              <w:rPr>
                <w:rFonts w:ascii="Times New Roman" w:eastAsia="Times New Roman" w:hAnsi="Times New Roman" w:cs="Times New Roman"/>
                <w:noProof/>
                <w:sz w:val="20"/>
                <w:szCs w:val="20"/>
                <w:lang w:val="en-GB"/>
              </w:rPr>
            </w:pPr>
            <w:r w:rsidRPr="001B1E82">
              <w:rPr>
                <w:rFonts w:ascii="Times New Roman" w:hAnsi="Times New Roman" w:cs="Times New Roman"/>
                <w:noProof/>
                <w:sz w:val="20"/>
                <w:szCs w:val="20"/>
                <w:lang w:val="en-GB"/>
              </w:rPr>
              <w:t>The package of legal acts shall ensure the application of the project “Educated Romania”.</w:t>
            </w:r>
          </w:p>
          <w:p w14:paraId="57FE07CE" w14:textId="77777777" w:rsidR="00B803E9" w:rsidRPr="001B1E82" w:rsidRDefault="00B803E9">
            <w:pPr>
              <w:spacing w:after="0" w:line="240" w:lineRule="auto"/>
              <w:ind w:left="61"/>
              <w:jc w:val="both"/>
              <w:rPr>
                <w:rFonts w:ascii="Times New Roman" w:eastAsia="Times New Roman" w:hAnsi="Times New Roman" w:cs="Times New Roman"/>
                <w:noProof/>
                <w:sz w:val="20"/>
                <w:szCs w:val="20"/>
                <w:lang w:val="en-GB"/>
              </w:rPr>
            </w:pPr>
            <w:r w:rsidRPr="001B1E82">
              <w:rPr>
                <w:rFonts w:ascii="Times New Roman" w:hAnsi="Times New Roman" w:cs="Times New Roman"/>
                <w:noProof/>
                <w:sz w:val="20"/>
                <w:szCs w:val="20"/>
                <w:lang w:val="en-GB"/>
              </w:rPr>
              <w:t>Stakeholders consultations shall be organised for the preparation of the package of legal acts.</w:t>
            </w:r>
          </w:p>
        </w:tc>
      </w:tr>
      <w:tr w:rsidR="00756311" w:rsidRPr="001B1E82" w14:paraId="6ACEBF06"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52CBCBF3"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453</w:t>
            </w:r>
          </w:p>
        </w:tc>
        <w:tc>
          <w:tcPr>
            <w:tcW w:w="1863" w:type="dxa"/>
            <w:tcBorders>
              <w:top w:val="single" w:sz="4" w:space="0" w:color="auto"/>
              <w:left w:val="nil"/>
              <w:bottom w:val="single" w:sz="4" w:space="0" w:color="auto"/>
              <w:right w:val="single" w:sz="4" w:space="0" w:color="auto"/>
            </w:tcBorders>
            <w:shd w:val="clear" w:color="auto" w:fill="C6EFCE"/>
            <w:noWrap/>
          </w:tcPr>
          <w:p w14:paraId="6F5C049D"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Reform 2. Unitary, inclusive and quality early-childhood education system</w:t>
            </w:r>
          </w:p>
        </w:tc>
        <w:tc>
          <w:tcPr>
            <w:tcW w:w="1151" w:type="dxa"/>
            <w:tcBorders>
              <w:top w:val="single" w:sz="4" w:space="0" w:color="auto"/>
              <w:left w:val="nil"/>
              <w:bottom w:val="single" w:sz="4" w:space="0" w:color="auto"/>
              <w:right w:val="single" w:sz="4" w:space="0" w:color="auto"/>
            </w:tcBorders>
            <w:shd w:val="clear" w:color="auto" w:fill="C6EFCE"/>
            <w:noWrap/>
          </w:tcPr>
          <w:p w14:paraId="3829E4FC"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2031" w:type="dxa"/>
            <w:tcBorders>
              <w:top w:val="single" w:sz="4" w:space="0" w:color="auto"/>
              <w:left w:val="nil"/>
              <w:bottom w:val="single" w:sz="4" w:space="0" w:color="auto"/>
              <w:right w:val="single" w:sz="4" w:space="0" w:color="auto"/>
            </w:tcBorders>
            <w:shd w:val="clear" w:color="auto" w:fill="C6EFCE"/>
            <w:noWrap/>
          </w:tcPr>
          <w:p w14:paraId="3A426B64" w14:textId="77777777" w:rsidR="00B803E9" w:rsidRPr="001B1E82" w:rsidRDefault="00B803E9">
            <w:pPr>
              <w:spacing w:after="12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Entry into force of the Ministerial Order (MO) adopting the Cross-sectoral Framework Programme </w:t>
            </w:r>
          </w:p>
          <w:p w14:paraId="211EBEFC"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Entry into force of the MO regulating the establishment, organisation and operation of complementary early-childhood education services</w:t>
            </w:r>
          </w:p>
          <w:p w14:paraId="3391935A" w14:textId="77777777" w:rsidR="00B803E9" w:rsidRPr="001B1E82" w:rsidRDefault="00B803E9">
            <w:pPr>
              <w:spacing w:after="0" w:line="240" w:lineRule="auto"/>
              <w:jc w:val="both"/>
              <w:rPr>
                <w:rFonts w:ascii="Times New Roman" w:hAnsi="Times New Roman" w:cs="Times New Roman"/>
                <w:noProof/>
                <w:sz w:val="20"/>
                <w:szCs w:val="20"/>
                <w:lang w:val="en-GB"/>
              </w:rPr>
            </w:pPr>
          </w:p>
          <w:p w14:paraId="72CEBA4F"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553" w:type="dxa"/>
            <w:tcBorders>
              <w:top w:val="single" w:sz="4" w:space="0" w:color="auto"/>
              <w:left w:val="nil"/>
              <w:bottom w:val="single" w:sz="4" w:space="0" w:color="auto"/>
              <w:right w:val="single" w:sz="4" w:space="0" w:color="auto"/>
            </w:tcBorders>
            <w:shd w:val="clear" w:color="auto" w:fill="C6EFCE"/>
            <w:noWrap/>
          </w:tcPr>
          <w:p w14:paraId="7FCE6800" w14:textId="77777777" w:rsidR="00B803E9" w:rsidRPr="001B1E82" w:rsidRDefault="00B803E9">
            <w:pPr>
              <w:spacing w:after="12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Provision in the MO indicating the entry into force of the Cross-sectoral Framework Programme </w:t>
            </w:r>
          </w:p>
          <w:p w14:paraId="2C78B938"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Provision in the MO indicating the entry into force of the regulation for the establishment, organisation and operation of complementary early-childhood education services</w:t>
            </w:r>
          </w:p>
        </w:tc>
        <w:tc>
          <w:tcPr>
            <w:tcW w:w="1075" w:type="dxa"/>
            <w:tcBorders>
              <w:top w:val="single" w:sz="4" w:space="0" w:color="auto"/>
              <w:left w:val="nil"/>
              <w:bottom w:val="single" w:sz="4" w:space="0" w:color="auto"/>
              <w:right w:val="single" w:sz="4" w:space="0" w:color="auto"/>
            </w:tcBorders>
            <w:shd w:val="clear" w:color="auto" w:fill="C6EFCE"/>
            <w:noWrap/>
          </w:tcPr>
          <w:p w14:paraId="2E665E81"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28444771"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995" w:type="dxa"/>
            <w:tcBorders>
              <w:top w:val="single" w:sz="4" w:space="0" w:color="auto"/>
              <w:left w:val="nil"/>
              <w:bottom w:val="single" w:sz="4" w:space="0" w:color="auto"/>
              <w:right w:val="single" w:sz="4" w:space="0" w:color="auto"/>
            </w:tcBorders>
            <w:shd w:val="clear" w:color="auto" w:fill="C6EFCE"/>
            <w:noWrap/>
          </w:tcPr>
          <w:p w14:paraId="5E7585F4"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5DA0BB8E"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Q4</w:t>
            </w:r>
          </w:p>
        </w:tc>
        <w:tc>
          <w:tcPr>
            <w:tcW w:w="566" w:type="dxa"/>
            <w:tcBorders>
              <w:top w:val="single" w:sz="4" w:space="0" w:color="auto"/>
              <w:left w:val="nil"/>
              <w:bottom w:val="single" w:sz="4" w:space="0" w:color="auto"/>
              <w:right w:val="single" w:sz="4" w:space="0" w:color="auto"/>
            </w:tcBorders>
            <w:shd w:val="clear" w:color="auto" w:fill="C6EFCE"/>
            <w:noWrap/>
          </w:tcPr>
          <w:p w14:paraId="7A480F39"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2022</w:t>
            </w:r>
          </w:p>
        </w:tc>
        <w:tc>
          <w:tcPr>
            <w:tcW w:w="3686" w:type="dxa"/>
            <w:tcBorders>
              <w:top w:val="single" w:sz="4" w:space="0" w:color="auto"/>
              <w:left w:val="nil"/>
              <w:bottom w:val="single" w:sz="4" w:space="0" w:color="auto"/>
              <w:right w:val="single" w:sz="4" w:space="0" w:color="auto"/>
            </w:tcBorders>
            <w:shd w:val="clear" w:color="auto" w:fill="C6EFCE"/>
            <w:noWrap/>
          </w:tcPr>
          <w:p w14:paraId="397CF957"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The Ministerial Order, signed by the Minister of Education, Minister of Labour and Social Protection, Minister of Health and Minister of Development, Public Works and Administration shall adopt and operationalise during the first year of the Programme the Cross-sectoral Framework Programme the development of unitary, inclusive and quality early-childhood education services.</w:t>
            </w:r>
          </w:p>
          <w:p w14:paraId="0A764D5C"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The Ministerial Order decision shall contain:</w:t>
            </w:r>
          </w:p>
          <w:p w14:paraId="77827239" w14:textId="77777777" w:rsidR="00B803E9" w:rsidRPr="001B1E82" w:rsidRDefault="00B803E9" w:rsidP="00B803E9">
            <w:pPr>
              <w:numPr>
                <w:ilvl w:val="0"/>
                <w:numId w:val="68"/>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The Cross-sectoral Framework Programme (ISFP) with the responsibilities of each Ministry.</w:t>
            </w:r>
          </w:p>
          <w:p w14:paraId="6264F090" w14:textId="77777777" w:rsidR="00B803E9" w:rsidRPr="001B1E82" w:rsidRDefault="00B803E9" w:rsidP="00B803E9">
            <w:pPr>
              <w:numPr>
                <w:ilvl w:val="0"/>
                <w:numId w:val="68"/>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Annual Operational Implementation Plans (AOIP) to implement the ISFP. These annual plans shall define the deadlines and responsibilities and clarify the aspects of cooperation in monitoring the implementation of those measures. </w:t>
            </w:r>
          </w:p>
          <w:p w14:paraId="556DA7E4" w14:textId="77777777" w:rsidR="00B803E9" w:rsidRPr="001B1E82" w:rsidRDefault="00B803E9">
            <w:pPr>
              <w:spacing w:after="0" w:line="240" w:lineRule="auto"/>
              <w:jc w:val="both"/>
              <w:rPr>
                <w:rFonts w:ascii="Times New Roman" w:eastAsia="Times New Roman" w:hAnsi="Times New Roman" w:cs="Times New Roman"/>
                <w:noProof/>
                <w:sz w:val="20"/>
                <w:szCs w:val="20"/>
                <w:lang w:val="en-GB"/>
              </w:rPr>
            </w:pPr>
            <w:r w:rsidRPr="001B1E82">
              <w:rPr>
                <w:rFonts w:ascii="Times New Roman" w:hAnsi="Times New Roman" w:cs="Times New Roman"/>
                <w:noProof/>
                <w:sz w:val="20"/>
                <w:szCs w:val="20"/>
                <w:lang w:val="en-GB"/>
              </w:rPr>
              <w:t>A further step shall be the adoption of a Ministerial Order regulating the establishment, organisation and operation of complementary early-childhood education services until 31 December 2022, in order to prepare the launching of the grant scheme.</w:t>
            </w:r>
          </w:p>
        </w:tc>
      </w:tr>
      <w:tr w:rsidR="00756311" w:rsidRPr="001B1E82" w14:paraId="6C99EC55" w14:textId="77777777" w:rsidTr="00BD01A2">
        <w:trPr>
          <w:trHeight w:val="309"/>
          <w:jc w:val="center"/>
        </w:trPr>
        <w:tc>
          <w:tcPr>
            <w:tcW w:w="809" w:type="dxa"/>
            <w:tcBorders>
              <w:top w:val="nil"/>
              <w:left w:val="single" w:sz="4" w:space="0" w:color="auto"/>
              <w:bottom w:val="single" w:sz="4" w:space="0" w:color="auto"/>
              <w:right w:val="single" w:sz="4" w:space="0" w:color="auto"/>
            </w:tcBorders>
            <w:shd w:val="clear" w:color="auto" w:fill="C6EFCE"/>
            <w:noWrap/>
          </w:tcPr>
          <w:p w14:paraId="18834A49"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454</w:t>
            </w:r>
          </w:p>
        </w:tc>
        <w:tc>
          <w:tcPr>
            <w:tcW w:w="1863" w:type="dxa"/>
            <w:tcBorders>
              <w:top w:val="nil"/>
              <w:left w:val="nil"/>
              <w:bottom w:val="single" w:sz="4" w:space="0" w:color="auto"/>
              <w:right w:val="single" w:sz="4" w:space="0" w:color="auto"/>
            </w:tcBorders>
            <w:shd w:val="clear" w:color="auto" w:fill="C6EFCE"/>
            <w:noWrap/>
          </w:tcPr>
          <w:p w14:paraId="7FC584CB"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Reform 2. Unitary, inclusive and quality early childhood education system</w:t>
            </w:r>
          </w:p>
        </w:tc>
        <w:tc>
          <w:tcPr>
            <w:tcW w:w="1151" w:type="dxa"/>
            <w:tcBorders>
              <w:top w:val="nil"/>
              <w:left w:val="nil"/>
              <w:bottom w:val="single" w:sz="4" w:space="0" w:color="auto"/>
              <w:right w:val="single" w:sz="4" w:space="0" w:color="auto"/>
            </w:tcBorders>
            <w:shd w:val="clear" w:color="auto" w:fill="C6EFCE"/>
            <w:noWrap/>
          </w:tcPr>
          <w:p w14:paraId="57845B60" w14:textId="77777777" w:rsidR="00B803E9" w:rsidRPr="001B1E82" w:rsidRDefault="00B803E9">
            <w:pPr>
              <w:spacing w:after="0" w:line="240" w:lineRule="auto"/>
              <w:jc w:val="both"/>
              <w:rPr>
                <w:rFonts w:ascii="Times New Roman" w:hAnsi="Times New Roman" w:cs="Times New Roman"/>
                <w:noProof/>
                <w:color w:val="EE0000"/>
                <w:sz w:val="20"/>
                <w:szCs w:val="20"/>
                <w:lang w:val="en-GB"/>
              </w:rPr>
            </w:pPr>
            <w:r w:rsidRPr="001B1E82">
              <w:rPr>
                <w:rFonts w:ascii="Times New Roman" w:hAnsi="Times New Roman" w:cs="Times New Roman"/>
                <w:noProof/>
                <w:sz w:val="20"/>
                <w:szCs w:val="20"/>
                <w:lang w:val="en-GB"/>
              </w:rPr>
              <w:t>Target</w:t>
            </w:r>
          </w:p>
        </w:tc>
        <w:tc>
          <w:tcPr>
            <w:tcW w:w="2031" w:type="dxa"/>
            <w:tcBorders>
              <w:top w:val="nil"/>
              <w:left w:val="nil"/>
              <w:bottom w:val="single" w:sz="4" w:space="0" w:color="auto"/>
              <w:right w:val="single" w:sz="4" w:space="0" w:color="auto"/>
            </w:tcBorders>
            <w:shd w:val="clear" w:color="auto" w:fill="C6EFCE"/>
            <w:noWrap/>
          </w:tcPr>
          <w:p w14:paraId="0BB266FE"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Number of 0-3 year-olds enrolled in early childhood education services</w:t>
            </w:r>
          </w:p>
        </w:tc>
        <w:tc>
          <w:tcPr>
            <w:tcW w:w="1553" w:type="dxa"/>
            <w:tcBorders>
              <w:top w:val="nil"/>
              <w:left w:val="nil"/>
              <w:bottom w:val="single" w:sz="4" w:space="0" w:color="auto"/>
              <w:right w:val="single" w:sz="4" w:space="0" w:color="auto"/>
            </w:tcBorders>
            <w:shd w:val="clear" w:color="auto" w:fill="C6EFCE"/>
            <w:noWrap/>
          </w:tcPr>
          <w:p w14:paraId="5625CE14"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1075" w:type="dxa"/>
            <w:tcBorders>
              <w:top w:val="nil"/>
              <w:left w:val="nil"/>
              <w:bottom w:val="single" w:sz="4" w:space="0" w:color="auto"/>
              <w:right w:val="single" w:sz="4" w:space="0" w:color="auto"/>
            </w:tcBorders>
            <w:shd w:val="clear" w:color="auto" w:fill="C6EFCE"/>
            <w:noWrap/>
          </w:tcPr>
          <w:p w14:paraId="035FAAC3" w14:textId="77777777" w:rsidR="00B803E9" w:rsidRPr="001B1E82" w:rsidRDefault="00B803E9">
            <w:pPr>
              <w:spacing w:after="0" w:line="240" w:lineRule="auto"/>
              <w:rPr>
                <w:rFonts w:ascii="Times New Roman" w:eastAsia="Times New Roman" w:hAnsi="Times New Roman" w:cs="Times New Roman"/>
                <w:noProof/>
                <w:sz w:val="20"/>
                <w:szCs w:val="20"/>
                <w:lang w:val="en-GB"/>
              </w:rPr>
            </w:pPr>
            <w:r w:rsidRPr="001B1E82">
              <w:rPr>
                <w:rFonts w:ascii="Times New Roman" w:hAnsi="Times New Roman" w:cs="Times New Roman"/>
                <w:noProof/>
                <w:sz w:val="20"/>
                <w:szCs w:val="20"/>
                <w:lang w:val="en-GB"/>
              </w:rPr>
              <w:t>Number</w:t>
            </w:r>
          </w:p>
          <w:p w14:paraId="0826B7FC"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13" w:type="dxa"/>
            <w:tcBorders>
              <w:top w:val="nil"/>
              <w:left w:val="nil"/>
              <w:bottom w:val="single" w:sz="4" w:space="0" w:color="auto"/>
              <w:right w:val="single" w:sz="4" w:space="0" w:color="auto"/>
            </w:tcBorders>
            <w:shd w:val="clear" w:color="auto" w:fill="C6EFCE"/>
            <w:noWrap/>
          </w:tcPr>
          <w:p w14:paraId="506CFA6A" w14:textId="045443CF"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22</w:t>
            </w:r>
            <w:r w:rsidR="007E3CE5" w:rsidRPr="001B1E82">
              <w:rPr>
                <w:rFonts w:ascii="Times New Roman" w:hAnsi="Times New Roman" w:cs="Times New Roman"/>
                <w:noProof/>
                <w:sz w:val="20"/>
                <w:szCs w:val="20"/>
                <w:lang w:val="en-GB"/>
              </w:rPr>
              <w:t> </w:t>
            </w:r>
            <w:r w:rsidRPr="001B1E82">
              <w:rPr>
                <w:rFonts w:ascii="Times New Roman" w:hAnsi="Times New Roman" w:cs="Times New Roman"/>
                <w:noProof/>
                <w:sz w:val="20"/>
                <w:szCs w:val="20"/>
                <w:lang w:val="en-GB"/>
              </w:rPr>
              <w:t>506</w:t>
            </w:r>
          </w:p>
        </w:tc>
        <w:tc>
          <w:tcPr>
            <w:tcW w:w="995" w:type="dxa"/>
            <w:tcBorders>
              <w:top w:val="nil"/>
              <w:left w:val="nil"/>
              <w:bottom w:val="single" w:sz="4" w:space="0" w:color="auto"/>
              <w:right w:val="single" w:sz="4" w:space="0" w:color="auto"/>
            </w:tcBorders>
            <w:shd w:val="clear" w:color="auto" w:fill="C6EFCE"/>
            <w:noWrap/>
          </w:tcPr>
          <w:p w14:paraId="7FCF935D" w14:textId="1156E1BF"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32</w:t>
            </w:r>
            <w:r w:rsidR="007E3CE5" w:rsidRPr="001B1E82">
              <w:rPr>
                <w:rFonts w:ascii="Times New Roman" w:hAnsi="Times New Roman" w:cs="Times New Roman"/>
                <w:noProof/>
                <w:sz w:val="20"/>
                <w:szCs w:val="20"/>
                <w:lang w:val="en-GB"/>
              </w:rPr>
              <w:t> </w:t>
            </w:r>
            <w:r w:rsidRPr="001B1E82">
              <w:rPr>
                <w:rFonts w:ascii="Times New Roman" w:hAnsi="Times New Roman" w:cs="Times New Roman"/>
                <w:noProof/>
                <w:sz w:val="20"/>
                <w:szCs w:val="20"/>
                <w:lang w:val="en-GB"/>
              </w:rPr>
              <w:t>506</w:t>
            </w:r>
          </w:p>
          <w:p w14:paraId="59555556"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nil"/>
              <w:left w:val="nil"/>
              <w:bottom w:val="single" w:sz="4" w:space="0" w:color="auto"/>
              <w:right w:val="single" w:sz="4" w:space="0" w:color="auto"/>
            </w:tcBorders>
            <w:shd w:val="clear" w:color="auto" w:fill="C6EFCE"/>
            <w:noWrap/>
          </w:tcPr>
          <w:p w14:paraId="39B7BC81"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Q3</w:t>
            </w:r>
          </w:p>
        </w:tc>
        <w:tc>
          <w:tcPr>
            <w:tcW w:w="566" w:type="dxa"/>
            <w:tcBorders>
              <w:top w:val="nil"/>
              <w:left w:val="nil"/>
              <w:bottom w:val="single" w:sz="4" w:space="0" w:color="auto"/>
              <w:right w:val="single" w:sz="4" w:space="0" w:color="auto"/>
            </w:tcBorders>
            <w:shd w:val="clear" w:color="auto" w:fill="C6EFCE"/>
            <w:noWrap/>
          </w:tcPr>
          <w:p w14:paraId="58C768CB"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2026</w:t>
            </w:r>
          </w:p>
        </w:tc>
        <w:tc>
          <w:tcPr>
            <w:tcW w:w="3686" w:type="dxa"/>
            <w:tcBorders>
              <w:top w:val="nil"/>
              <w:left w:val="nil"/>
              <w:bottom w:val="single" w:sz="4" w:space="0" w:color="auto"/>
              <w:right w:val="single" w:sz="4" w:space="0" w:color="auto"/>
            </w:tcBorders>
            <w:shd w:val="clear" w:color="auto" w:fill="C6EFCE"/>
            <w:noWrap/>
          </w:tcPr>
          <w:p w14:paraId="750C1BF8" w14:textId="205058F5"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The number of 0-3 year-olds enrolled in early childhood education services shall increase by at least 10</w:t>
            </w:r>
            <w:r w:rsidR="007E3CE5" w:rsidRPr="001B1E82">
              <w:rPr>
                <w:rFonts w:ascii="Times New Roman" w:hAnsi="Times New Roman" w:cs="Times New Roman"/>
                <w:noProof/>
                <w:sz w:val="20"/>
                <w:szCs w:val="20"/>
                <w:lang w:val="en-GB"/>
              </w:rPr>
              <w:t> </w:t>
            </w:r>
            <w:r w:rsidRPr="001B1E82">
              <w:rPr>
                <w:rFonts w:ascii="Times New Roman" w:hAnsi="Times New Roman" w:cs="Times New Roman"/>
                <w:noProof/>
                <w:sz w:val="20"/>
                <w:szCs w:val="20"/>
                <w:lang w:val="en-GB"/>
              </w:rPr>
              <w:t xml:space="preserve">000 children as compared to the 2019/2020 school year. The target shall be calculated based on the information provided by the National Institute for Statistics. </w:t>
            </w:r>
          </w:p>
        </w:tc>
      </w:tr>
      <w:tr w:rsidR="00756311" w:rsidRPr="001B1E82" w14:paraId="4521A700" w14:textId="77777777" w:rsidTr="00BD01A2">
        <w:trPr>
          <w:trHeight w:val="309"/>
          <w:jc w:val="center"/>
        </w:trPr>
        <w:tc>
          <w:tcPr>
            <w:tcW w:w="809" w:type="dxa"/>
            <w:tcBorders>
              <w:top w:val="nil"/>
              <w:left w:val="single" w:sz="4" w:space="0" w:color="auto"/>
              <w:bottom w:val="single" w:sz="4" w:space="0" w:color="auto"/>
              <w:right w:val="single" w:sz="4" w:space="0" w:color="auto"/>
            </w:tcBorders>
            <w:shd w:val="clear" w:color="auto" w:fill="C6EFCE"/>
            <w:noWrap/>
          </w:tcPr>
          <w:p w14:paraId="680C60CD"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456</w:t>
            </w:r>
          </w:p>
        </w:tc>
        <w:tc>
          <w:tcPr>
            <w:tcW w:w="1863" w:type="dxa"/>
            <w:tcBorders>
              <w:top w:val="nil"/>
              <w:left w:val="nil"/>
              <w:bottom w:val="single" w:sz="4" w:space="0" w:color="auto"/>
              <w:right w:val="single" w:sz="4" w:space="0" w:color="auto"/>
            </w:tcBorders>
            <w:shd w:val="clear" w:color="auto" w:fill="C6EFCE"/>
            <w:noWrap/>
          </w:tcPr>
          <w:p w14:paraId="3DEA9647" w14:textId="407030EB"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1. Construction and equipping</w:t>
            </w:r>
            <w:r w:rsidR="00D23D91" w:rsidRPr="001B1E82">
              <w:rPr>
                <w:rFonts w:ascii="Times New Roman" w:hAnsi="Times New Roman" w:cs="Times New Roman"/>
                <w:noProof/>
                <w:sz w:val="20"/>
                <w:szCs w:val="20"/>
                <w:lang w:val="en-GB"/>
              </w:rPr>
              <w:t xml:space="preserve"> </w:t>
            </w:r>
            <w:r w:rsidRPr="001B1E82">
              <w:rPr>
                <w:rFonts w:ascii="Times New Roman" w:hAnsi="Times New Roman" w:cs="Times New Roman"/>
                <w:noProof/>
                <w:sz w:val="20"/>
                <w:szCs w:val="20"/>
                <w:lang w:val="en-GB"/>
              </w:rPr>
              <w:t>of crèches</w:t>
            </w:r>
          </w:p>
        </w:tc>
        <w:tc>
          <w:tcPr>
            <w:tcW w:w="1151" w:type="dxa"/>
            <w:tcBorders>
              <w:top w:val="nil"/>
              <w:left w:val="nil"/>
              <w:bottom w:val="single" w:sz="4" w:space="0" w:color="auto"/>
              <w:right w:val="single" w:sz="4" w:space="0" w:color="auto"/>
            </w:tcBorders>
            <w:shd w:val="clear" w:color="auto" w:fill="C6EFCE"/>
            <w:noWrap/>
          </w:tcPr>
          <w:p w14:paraId="6B93FAA8"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2031" w:type="dxa"/>
            <w:tcBorders>
              <w:top w:val="nil"/>
              <w:left w:val="nil"/>
              <w:bottom w:val="single" w:sz="4" w:space="0" w:color="auto"/>
              <w:right w:val="single" w:sz="4" w:space="0" w:color="auto"/>
            </w:tcBorders>
            <w:shd w:val="clear" w:color="auto" w:fill="C6EFCE"/>
            <w:noWrap/>
          </w:tcPr>
          <w:p w14:paraId="2703E935"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Signature of contracts with public operators (municipalities) for the construction, equipment and operationalisation of 110 crèches</w:t>
            </w:r>
          </w:p>
        </w:tc>
        <w:tc>
          <w:tcPr>
            <w:tcW w:w="1553" w:type="dxa"/>
            <w:tcBorders>
              <w:top w:val="nil"/>
              <w:left w:val="nil"/>
              <w:bottom w:val="single" w:sz="4" w:space="0" w:color="auto"/>
              <w:right w:val="single" w:sz="4" w:space="0" w:color="auto"/>
            </w:tcBorders>
            <w:shd w:val="clear" w:color="auto" w:fill="C6EFCE"/>
            <w:noWrap/>
          </w:tcPr>
          <w:p w14:paraId="5C16589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Signature of contracts</w:t>
            </w:r>
          </w:p>
        </w:tc>
        <w:tc>
          <w:tcPr>
            <w:tcW w:w="1075" w:type="dxa"/>
            <w:tcBorders>
              <w:top w:val="nil"/>
              <w:left w:val="nil"/>
              <w:bottom w:val="single" w:sz="4" w:space="0" w:color="auto"/>
              <w:right w:val="single" w:sz="4" w:space="0" w:color="auto"/>
            </w:tcBorders>
            <w:shd w:val="clear" w:color="auto" w:fill="C6EFCE"/>
            <w:noWrap/>
          </w:tcPr>
          <w:p w14:paraId="605082FF"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1013" w:type="dxa"/>
            <w:tcBorders>
              <w:top w:val="nil"/>
              <w:left w:val="nil"/>
              <w:bottom w:val="single" w:sz="4" w:space="0" w:color="auto"/>
              <w:right w:val="single" w:sz="4" w:space="0" w:color="auto"/>
            </w:tcBorders>
            <w:shd w:val="clear" w:color="auto" w:fill="C6EFCE"/>
            <w:noWrap/>
          </w:tcPr>
          <w:p w14:paraId="0BBE660E"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995" w:type="dxa"/>
            <w:tcBorders>
              <w:top w:val="nil"/>
              <w:left w:val="nil"/>
              <w:bottom w:val="single" w:sz="4" w:space="0" w:color="auto"/>
              <w:right w:val="single" w:sz="4" w:space="0" w:color="auto"/>
            </w:tcBorders>
            <w:shd w:val="clear" w:color="auto" w:fill="C6EFCE"/>
            <w:noWrap/>
          </w:tcPr>
          <w:p w14:paraId="225DCC67"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nil"/>
              <w:left w:val="nil"/>
              <w:bottom w:val="single" w:sz="4" w:space="0" w:color="auto"/>
              <w:right w:val="single" w:sz="4" w:space="0" w:color="auto"/>
            </w:tcBorders>
            <w:shd w:val="clear" w:color="auto" w:fill="C6EFCE"/>
            <w:noWrap/>
          </w:tcPr>
          <w:p w14:paraId="0377506E"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Q2</w:t>
            </w:r>
          </w:p>
        </w:tc>
        <w:tc>
          <w:tcPr>
            <w:tcW w:w="566" w:type="dxa"/>
            <w:tcBorders>
              <w:top w:val="nil"/>
              <w:left w:val="nil"/>
              <w:bottom w:val="single" w:sz="4" w:space="0" w:color="auto"/>
              <w:right w:val="single" w:sz="4" w:space="0" w:color="auto"/>
            </w:tcBorders>
            <w:shd w:val="clear" w:color="auto" w:fill="C6EFCE"/>
            <w:noWrap/>
          </w:tcPr>
          <w:p w14:paraId="13554A9B"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2022</w:t>
            </w:r>
          </w:p>
        </w:tc>
        <w:tc>
          <w:tcPr>
            <w:tcW w:w="3686" w:type="dxa"/>
            <w:tcBorders>
              <w:top w:val="nil"/>
              <w:left w:val="nil"/>
              <w:bottom w:val="single" w:sz="4" w:space="0" w:color="auto"/>
              <w:right w:val="single" w:sz="4" w:space="0" w:color="auto"/>
            </w:tcBorders>
            <w:shd w:val="clear" w:color="auto" w:fill="C6EFCE"/>
            <w:noWrap/>
          </w:tcPr>
          <w:p w14:paraId="4A1BCA17"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Signature of contracts, with territorial distribution, for nursery, pre-school, early childhood education and care services. </w:t>
            </w:r>
          </w:p>
          <w:p w14:paraId="2724AD8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The grant scheme shall be based on the following criteria: (i) the existence of a local strategy for the development of these services; (ii) the number of children up to 3 years-old relative to the coverage capacity of existing services within a max. 2/3km radius; (iii) the number of pending requests from parents for these services (at least 50); (iv) a needs analysis, taking into account the specific needs of marginalised communities; (v) newly-constructed buildings shall comply with the objective of achieving a primary energy demand (PED) at least 20% lower than the nearly zero-energy building (NZEB) requirement according to national guidelines, which shall be ensured through energy performance certificates. </w:t>
            </w:r>
          </w:p>
        </w:tc>
      </w:tr>
      <w:tr w:rsidR="00756311" w:rsidRPr="001B1E82" w14:paraId="38872937" w14:textId="77777777" w:rsidTr="00BD01A2">
        <w:trPr>
          <w:trHeight w:val="309"/>
          <w:jc w:val="center"/>
        </w:trPr>
        <w:tc>
          <w:tcPr>
            <w:tcW w:w="809" w:type="dxa"/>
            <w:tcBorders>
              <w:top w:val="nil"/>
              <w:left w:val="single" w:sz="4" w:space="0" w:color="auto"/>
              <w:bottom w:val="single" w:sz="4" w:space="0" w:color="auto"/>
              <w:right w:val="single" w:sz="4" w:space="0" w:color="auto"/>
            </w:tcBorders>
            <w:shd w:val="clear" w:color="auto" w:fill="C6EFCE"/>
            <w:noWrap/>
          </w:tcPr>
          <w:p w14:paraId="3710831E"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457</w:t>
            </w:r>
          </w:p>
        </w:tc>
        <w:tc>
          <w:tcPr>
            <w:tcW w:w="1863" w:type="dxa"/>
            <w:tcBorders>
              <w:top w:val="nil"/>
              <w:left w:val="nil"/>
              <w:bottom w:val="single" w:sz="4" w:space="0" w:color="auto"/>
              <w:right w:val="single" w:sz="4" w:space="0" w:color="auto"/>
            </w:tcBorders>
            <w:shd w:val="clear" w:color="auto" w:fill="C6EFCE"/>
            <w:noWrap/>
          </w:tcPr>
          <w:p w14:paraId="0F82E0C1" w14:textId="58381611"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1. Construction and equipping</w:t>
            </w:r>
            <w:r w:rsidR="00D23D91" w:rsidRPr="001B1E82">
              <w:rPr>
                <w:rFonts w:ascii="Times New Roman" w:hAnsi="Times New Roman" w:cs="Times New Roman"/>
                <w:noProof/>
                <w:sz w:val="20"/>
                <w:szCs w:val="20"/>
                <w:lang w:val="en-GB"/>
              </w:rPr>
              <w:t xml:space="preserve"> </w:t>
            </w:r>
            <w:r w:rsidRPr="001B1E82">
              <w:rPr>
                <w:rFonts w:ascii="Times New Roman" w:hAnsi="Times New Roman" w:cs="Times New Roman"/>
                <w:noProof/>
                <w:sz w:val="20"/>
                <w:szCs w:val="20"/>
                <w:lang w:val="en-GB"/>
              </w:rPr>
              <w:t>of crèches</w:t>
            </w:r>
          </w:p>
        </w:tc>
        <w:tc>
          <w:tcPr>
            <w:tcW w:w="1151" w:type="dxa"/>
            <w:tcBorders>
              <w:top w:val="nil"/>
              <w:left w:val="nil"/>
              <w:bottom w:val="single" w:sz="4" w:space="0" w:color="auto"/>
              <w:right w:val="single" w:sz="4" w:space="0" w:color="auto"/>
            </w:tcBorders>
            <w:shd w:val="clear" w:color="auto" w:fill="C6EFCE"/>
            <w:noWrap/>
          </w:tcPr>
          <w:p w14:paraId="2AF51133"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Target</w:t>
            </w:r>
          </w:p>
        </w:tc>
        <w:tc>
          <w:tcPr>
            <w:tcW w:w="2031" w:type="dxa"/>
            <w:tcBorders>
              <w:top w:val="nil"/>
              <w:left w:val="nil"/>
              <w:bottom w:val="single" w:sz="4" w:space="0" w:color="auto"/>
              <w:right w:val="single" w:sz="4" w:space="0" w:color="auto"/>
            </w:tcBorders>
            <w:shd w:val="clear" w:color="auto" w:fill="C6EFCE"/>
            <w:noWrap/>
          </w:tcPr>
          <w:p w14:paraId="16A19723" w14:textId="4F9AB8EB"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Built and equipped</w:t>
            </w:r>
            <w:r w:rsidR="00D23D91" w:rsidRPr="001B1E82">
              <w:rPr>
                <w:rFonts w:ascii="Times New Roman" w:hAnsi="Times New Roman" w:cs="Times New Roman"/>
                <w:noProof/>
                <w:sz w:val="20"/>
                <w:szCs w:val="20"/>
                <w:lang w:val="en-GB"/>
              </w:rPr>
              <w:t xml:space="preserve"> </w:t>
            </w:r>
            <w:r w:rsidRPr="001B1E82">
              <w:rPr>
                <w:rFonts w:ascii="Times New Roman" w:hAnsi="Times New Roman" w:cs="Times New Roman"/>
                <w:noProof/>
                <w:sz w:val="20"/>
                <w:szCs w:val="20"/>
                <w:lang w:val="en-GB"/>
              </w:rPr>
              <w:t>crèches</w:t>
            </w:r>
          </w:p>
        </w:tc>
        <w:tc>
          <w:tcPr>
            <w:tcW w:w="1553" w:type="dxa"/>
            <w:tcBorders>
              <w:top w:val="nil"/>
              <w:left w:val="nil"/>
              <w:bottom w:val="single" w:sz="4" w:space="0" w:color="auto"/>
              <w:right w:val="single" w:sz="4" w:space="0" w:color="auto"/>
            </w:tcBorders>
            <w:shd w:val="clear" w:color="auto" w:fill="C6EFCE"/>
            <w:noWrap/>
          </w:tcPr>
          <w:p w14:paraId="502FE9BD"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75" w:type="dxa"/>
            <w:tcBorders>
              <w:top w:val="nil"/>
              <w:left w:val="nil"/>
              <w:bottom w:val="single" w:sz="4" w:space="0" w:color="auto"/>
              <w:right w:val="single" w:sz="4" w:space="0" w:color="auto"/>
            </w:tcBorders>
            <w:shd w:val="clear" w:color="auto" w:fill="C6EFCE"/>
            <w:noWrap/>
          </w:tcPr>
          <w:p w14:paraId="5926D133"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Number</w:t>
            </w:r>
          </w:p>
        </w:tc>
        <w:tc>
          <w:tcPr>
            <w:tcW w:w="1013" w:type="dxa"/>
            <w:tcBorders>
              <w:top w:val="nil"/>
              <w:left w:val="nil"/>
              <w:bottom w:val="single" w:sz="4" w:space="0" w:color="auto"/>
              <w:right w:val="single" w:sz="4" w:space="0" w:color="auto"/>
            </w:tcBorders>
            <w:shd w:val="clear" w:color="auto" w:fill="C6EFCE"/>
            <w:noWrap/>
          </w:tcPr>
          <w:p w14:paraId="41346DB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0</w:t>
            </w:r>
          </w:p>
        </w:tc>
        <w:tc>
          <w:tcPr>
            <w:tcW w:w="995" w:type="dxa"/>
            <w:tcBorders>
              <w:top w:val="nil"/>
              <w:left w:val="nil"/>
              <w:bottom w:val="single" w:sz="4" w:space="0" w:color="auto"/>
              <w:right w:val="single" w:sz="4" w:space="0" w:color="auto"/>
            </w:tcBorders>
            <w:shd w:val="clear" w:color="auto" w:fill="C6EFCE"/>
            <w:noWrap/>
          </w:tcPr>
          <w:p w14:paraId="1360E2D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80</w:t>
            </w:r>
          </w:p>
        </w:tc>
        <w:tc>
          <w:tcPr>
            <w:tcW w:w="850" w:type="dxa"/>
            <w:tcBorders>
              <w:top w:val="nil"/>
              <w:left w:val="nil"/>
              <w:bottom w:val="single" w:sz="4" w:space="0" w:color="auto"/>
              <w:right w:val="single" w:sz="4" w:space="0" w:color="auto"/>
            </w:tcBorders>
            <w:shd w:val="clear" w:color="auto" w:fill="C6EFCE"/>
            <w:noWrap/>
          </w:tcPr>
          <w:p w14:paraId="06EA124B"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Q2</w:t>
            </w:r>
          </w:p>
          <w:p w14:paraId="5CCC7AB8"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566" w:type="dxa"/>
            <w:tcBorders>
              <w:top w:val="nil"/>
              <w:left w:val="nil"/>
              <w:bottom w:val="single" w:sz="4" w:space="0" w:color="auto"/>
              <w:right w:val="single" w:sz="4" w:space="0" w:color="auto"/>
            </w:tcBorders>
            <w:shd w:val="clear" w:color="auto" w:fill="C6EFCE"/>
            <w:noWrap/>
          </w:tcPr>
          <w:p w14:paraId="2B8CDCE1"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2026</w:t>
            </w:r>
          </w:p>
        </w:tc>
        <w:tc>
          <w:tcPr>
            <w:tcW w:w="3686" w:type="dxa"/>
            <w:tcBorders>
              <w:top w:val="nil"/>
              <w:left w:val="nil"/>
              <w:bottom w:val="single" w:sz="4" w:space="0" w:color="auto"/>
              <w:right w:val="single" w:sz="4" w:space="0" w:color="auto"/>
            </w:tcBorders>
            <w:shd w:val="clear" w:color="auto" w:fill="C6EFCE"/>
            <w:noWrap/>
          </w:tcPr>
          <w:p w14:paraId="56027D20" w14:textId="1F721928"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rPr>
              <w:t xml:space="preserve">Works completion reception certificates and certificates of delivery of equipment demonstrating that 80 </w:t>
            </w:r>
            <w:r w:rsidRPr="001B1E82">
              <w:rPr>
                <w:rFonts w:ascii="Times New Roman" w:hAnsi="Times New Roman" w:cs="Times New Roman"/>
                <w:noProof/>
                <w:sz w:val="20"/>
                <w:szCs w:val="20"/>
                <w:lang w:val="en-GB"/>
              </w:rPr>
              <w:t>crèches</w:t>
            </w:r>
            <w:r w:rsidRPr="001B1E82">
              <w:rPr>
                <w:rFonts w:ascii="Times New Roman" w:hAnsi="Times New Roman" w:cs="Times New Roman"/>
                <w:noProof/>
                <w:sz w:val="20"/>
                <w:szCs w:val="20"/>
              </w:rPr>
              <w:t xml:space="preserve"> have been built and equipped.</w:t>
            </w:r>
            <w:r w:rsidR="00D23D91" w:rsidRPr="001B1E82">
              <w:rPr>
                <w:rFonts w:ascii="Times New Roman" w:hAnsi="Times New Roman" w:cs="Times New Roman"/>
                <w:noProof/>
                <w:sz w:val="20"/>
                <w:szCs w:val="20"/>
                <w:lang w:val="en-GB"/>
              </w:rPr>
              <w:t xml:space="preserve"> </w:t>
            </w:r>
          </w:p>
        </w:tc>
      </w:tr>
      <w:tr w:rsidR="00756311" w:rsidRPr="001B1E82" w14:paraId="2B48FD7F" w14:textId="77777777" w:rsidTr="00BD01A2">
        <w:trPr>
          <w:trHeight w:val="309"/>
          <w:jc w:val="center"/>
        </w:trPr>
        <w:tc>
          <w:tcPr>
            <w:tcW w:w="809" w:type="dxa"/>
            <w:tcBorders>
              <w:top w:val="nil"/>
              <w:left w:val="single" w:sz="4" w:space="0" w:color="auto"/>
              <w:bottom w:val="single" w:sz="4" w:space="0" w:color="auto"/>
              <w:right w:val="single" w:sz="4" w:space="0" w:color="auto"/>
            </w:tcBorders>
            <w:shd w:val="clear" w:color="auto" w:fill="C6EFCE"/>
            <w:noWrap/>
          </w:tcPr>
          <w:p w14:paraId="3444EEBC"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459</w:t>
            </w:r>
          </w:p>
        </w:tc>
        <w:tc>
          <w:tcPr>
            <w:tcW w:w="1863" w:type="dxa"/>
            <w:tcBorders>
              <w:top w:val="nil"/>
              <w:left w:val="nil"/>
              <w:bottom w:val="single" w:sz="4" w:space="0" w:color="auto"/>
              <w:right w:val="single" w:sz="4" w:space="0" w:color="auto"/>
            </w:tcBorders>
            <w:shd w:val="clear" w:color="auto" w:fill="C6EFCE"/>
            <w:noWrap/>
          </w:tcPr>
          <w:p w14:paraId="53876E46" w14:textId="16DFF001"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2. Setting up, equipping and</w:t>
            </w:r>
            <w:r w:rsidR="00D23D91" w:rsidRPr="001B1E82">
              <w:rPr>
                <w:rFonts w:ascii="Times New Roman" w:hAnsi="Times New Roman" w:cs="Times New Roman"/>
                <w:noProof/>
                <w:sz w:val="20"/>
                <w:szCs w:val="20"/>
                <w:lang w:val="en-GB"/>
              </w:rPr>
              <w:t xml:space="preserve"> </w:t>
            </w:r>
            <w:r w:rsidRPr="001B1E82">
              <w:rPr>
                <w:rFonts w:ascii="Times New Roman" w:hAnsi="Times New Roman" w:cs="Times New Roman"/>
                <w:noProof/>
                <w:sz w:val="20"/>
                <w:szCs w:val="20"/>
                <w:lang w:val="en-GB"/>
              </w:rPr>
              <w:t>approving</w:t>
            </w:r>
            <w:r w:rsidR="00D23D91" w:rsidRPr="001B1E82">
              <w:rPr>
                <w:rFonts w:ascii="Times New Roman" w:hAnsi="Times New Roman" w:cs="Times New Roman"/>
                <w:noProof/>
                <w:sz w:val="20"/>
                <w:szCs w:val="20"/>
                <w:lang w:val="en-GB"/>
              </w:rPr>
              <w:t xml:space="preserve"> </w:t>
            </w:r>
            <w:r w:rsidRPr="001B1E82">
              <w:rPr>
                <w:rFonts w:ascii="Times New Roman" w:hAnsi="Times New Roman" w:cs="Times New Roman"/>
                <w:noProof/>
                <w:sz w:val="20"/>
                <w:szCs w:val="20"/>
                <w:lang w:val="en-GB"/>
              </w:rPr>
              <w:t xml:space="preserve">complementary services </w:t>
            </w:r>
          </w:p>
        </w:tc>
        <w:tc>
          <w:tcPr>
            <w:tcW w:w="1151" w:type="dxa"/>
            <w:tcBorders>
              <w:top w:val="nil"/>
              <w:left w:val="nil"/>
              <w:bottom w:val="single" w:sz="4" w:space="0" w:color="auto"/>
              <w:right w:val="single" w:sz="4" w:space="0" w:color="auto"/>
            </w:tcBorders>
            <w:shd w:val="clear" w:color="auto" w:fill="C6EFCE"/>
            <w:noWrap/>
          </w:tcPr>
          <w:p w14:paraId="0D9E5451"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Target</w:t>
            </w:r>
          </w:p>
        </w:tc>
        <w:tc>
          <w:tcPr>
            <w:tcW w:w="2031" w:type="dxa"/>
            <w:tcBorders>
              <w:top w:val="nil"/>
              <w:left w:val="nil"/>
              <w:bottom w:val="single" w:sz="4" w:space="0" w:color="auto"/>
              <w:right w:val="single" w:sz="4" w:space="0" w:color="auto"/>
            </w:tcBorders>
            <w:shd w:val="clear" w:color="auto" w:fill="C6EFCE"/>
            <w:noWrap/>
          </w:tcPr>
          <w:p w14:paraId="0E15559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Complementary services set up, equipped and approved by the county school inspectorates</w:t>
            </w:r>
          </w:p>
        </w:tc>
        <w:tc>
          <w:tcPr>
            <w:tcW w:w="1553" w:type="dxa"/>
            <w:tcBorders>
              <w:top w:val="nil"/>
              <w:left w:val="nil"/>
              <w:bottom w:val="single" w:sz="4" w:space="0" w:color="auto"/>
              <w:right w:val="single" w:sz="4" w:space="0" w:color="auto"/>
            </w:tcBorders>
            <w:shd w:val="clear" w:color="auto" w:fill="C6EFCE"/>
            <w:noWrap/>
          </w:tcPr>
          <w:p w14:paraId="63810AC5"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75" w:type="dxa"/>
            <w:tcBorders>
              <w:top w:val="nil"/>
              <w:left w:val="nil"/>
              <w:bottom w:val="single" w:sz="4" w:space="0" w:color="auto"/>
              <w:right w:val="single" w:sz="4" w:space="0" w:color="auto"/>
            </w:tcBorders>
            <w:shd w:val="clear" w:color="auto" w:fill="C6EFCE"/>
            <w:noWrap/>
          </w:tcPr>
          <w:p w14:paraId="68871901"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Number</w:t>
            </w:r>
          </w:p>
        </w:tc>
        <w:tc>
          <w:tcPr>
            <w:tcW w:w="1013" w:type="dxa"/>
            <w:tcBorders>
              <w:top w:val="nil"/>
              <w:left w:val="nil"/>
              <w:bottom w:val="single" w:sz="4" w:space="0" w:color="auto"/>
              <w:right w:val="single" w:sz="4" w:space="0" w:color="auto"/>
            </w:tcBorders>
            <w:shd w:val="clear" w:color="auto" w:fill="C6EFCE"/>
            <w:noWrap/>
          </w:tcPr>
          <w:p w14:paraId="21D73BB8"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0</w:t>
            </w:r>
          </w:p>
        </w:tc>
        <w:tc>
          <w:tcPr>
            <w:tcW w:w="995" w:type="dxa"/>
            <w:tcBorders>
              <w:top w:val="nil"/>
              <w:left w:val="nil"/>
              <w:bottom w:val="single" w:sz="4" w:space="0" w:color="auto"/>
              <w:right w:val="single" w:sz="4" w:space="0" w:color="auto"/>
            </w:tcBorders>
            <w:shd w:val="clear" w:color="auto" w:fill="C6EFCE"/>
            <w:noWrap/>
          </w:tcPr>
          <w:p w14:paraId="591ABB1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25</w:t>
            </w:r>
          </w:p>
        </w:tc>
        <w:tc>
          <w:tcPr>
            <w:tcW w:w="850" w:type="dxa"/>
            <w:tcBorders>
              <w:top w:val="nil"/>
              <w:left w:val="nil"/>
              <w:bottom w:val="single" w:sz="4" w:space="0" w:color="auto"/>
              <w:right w:val="single" w:sz="4" w:space="0" w:color="auto"/>
            </w:tcBorders>
            <w:shd w:val="clear" w:color="auto" w:fill="C6EFCE"/>
            <w:noWrap/>
          </w:tcPr>
          <w:p w14:paraId="7188328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Q3</w:t>
            </w:r>
          </w:p>
        </w:tc>
        <w:tc>
          <w:tcPr>
            <w:tcW w:w="566" w:type="dxa"/>
            <w:tcBorders>
              <w:top w:val="nil"/>
              <w:left w:val="nil"/>
              <w:bottom w:val="single" w:sz="4" w:space="0" w:color="auto"/>
              <w:right w:val="single" w:sz="4" w:space="0" w:color="auto"/>
            </w:tcBorders>
            <w:shd w:val="clear" w:color="auto" w:fill="C6EFCE"/>
            <w:noWrap/>
          </w:tcPr>
          <w:p w14:paraId="11064DD7"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2026</w:t>
            </w:r>
          </w:p>
        </w:tc>
        <w:tc>
          <w:tcPr>
            <w:tcW w:w="3686" w:type="dxa"/>
            <w:tcBorders>
              <w:top w:val="nil"/>
              <w:left w:val="nil"/>
              <w:bottom w:val="single" w:sz="4" w:space="0" w:color="auto"/>
              <w:right w:val="single" w:sz="4" w:space="0" w:color="auto"/>
            </w:tcBorders>
            <w:shd w:val="clear" w:color="auto" w:fill="C6EFCE"/>
            <w:noWrap/>
          </w:tcPr>
          <w:p w14:paraId="39E4F5F7" w14:textId="3C213689"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At least 25 complementary services set up and equipped in disadvantaged localities, as attested by acceptance certificates, and</w:t>
            </w:r>
            <w:r w:rsidR="00D23D91" w:rsidRPr="001B1E82">
              <w:rPr>
                <w:rFonts w:ascii="Times New Roman" w:hAnsi="Times New Roman" w:cs="Times New Roman"/>
                <w:noProof/>
                <w:sz w:val="20"/>
                <w:szCs w:val="20"/>
                <w:lang w:val="en-GB"/>
              </w:rPr>
              <w:t xml:space="preserve"> </w:t>
            </w:r>
            <w:r w:rsidRPr="001B1E82">
              <w:rPr>
                <w:rFonts w:ascii="Times New Roman" w:hAnsi="Times New Roman" w:cs="Times New Roman"/>
                <w:noProof/>
                <w:sz w:val="20"/>
                <w:szCs w:val="20"/>
                <w:lang w:val="en-GB"/>
              </w:rPr>
              <w:t xml:space="preserve">approved by the county school inspectorates. </w:t>
            </w:r>
          </w:p>
          <w:p w14:paraId="1FBCDBCD" w14:textId="77777777" w:rsidR="00B803E9" w:rsidRPr="001B1E82" w:rsidRDefault="00B803E9">
            <w:pPr>
              <w:spacing w:after="0" w:line="240" w:lineRule="auto"/>
              <w:jc w:val="both"/>
              <w:rPr>
                <w:rFonts w:ascii="Times New Roman" w:eastAsia="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Each complementary service shall have two classrooms/groups. The complementary services shall be able to provide educational support per service for at least 20 children aged 0 to 6 years. </w:t>
            </w:r>
          </w:p>
        </w:tc>
      </w:tr>
      <w:tr w:rsidR="00756311" w:rsidRPr="001B1E82" w14:paraId="2679D1E2"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2A31C98E"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460</w:t>
            </w:r>
          </w:p>
        </w:tc>
        <w:tc>
          <w:tcPr>
            <w:tcW w:w="1863" w:type="dxa"/>
            <w:tcBorders>
              <w:top w:val="single" w:sz="4" w:space="0" w:color="auto"/>
              <w:left w:val="nil"/>
              <w:bottom w:val="single" w:sz="4" w:space="0" w:color="auto"/>
              <w:right w:val="single" w:sz="4" w:space="0" w:color="auto"/>
            </w:tcBorders>
            <w:shd w:val="clear" w:color="auto" w:fill="C6EFCE"/>
            <w:noWrap/>
          </w:tcPr>
          <w:p w14:paraId="530E0CF3"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3. Framework programme for the continuous training of professionals in early-childhood education services</w:t>
            </w:r>
          </w:p>
        </w:tc>
        <w:tc>
          <w:tcPr>
            <w:tcW w:w="1151" w:type="dxa"/>
            <w:tcBorders>
              <w:top w:val="single" w:sz="4" w:space="0" w:color="auto"/>
              <w:left w:val="nil"/>
              <w:bottom w:val="single" w:sz="4" w:space="0" w:color="auto"/>
              <w:right w:val="single" w:sz="4" w:space="0" w:color="auto"/>
            </w:tcBorders>
            <w:shd w:val="clear" w:color="auto" w:fill="C6EFCE"/>
            <w:noWrap/>
          </w:tcPr>
          <w:p w14:paraId="5D13A13D"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Target</w:t>
            </w:r>
          </w:p>
        </w:tc>
        <w:tc>
          <w:tcPr>
            <w:tcW w:w="2031" w:type="dxa"/>
            <w:tcBorders>
              <w:top w:val="single" w:sz="4" w:space="0" w:color="auto"/>
              <w:left w:val="nil"/>
              <w:bottom w:val="single" w:sz="4" w:space="0" w:color="auto"/>
              <w:right w:val="single" w:sz="4" w:space="0" w:color="auto"/>
            </w:tcBorders>
            <w:shd w:val="clear" w:color="auto" w:fill="C6EFCE"/>
            <w:noWrap/>
          </w:tcPr>
          <w:p w14:paraId="551D8EA1"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Participants trained</w:t>
            </w:r>
          </w:p>
        </w:tc>
        <w:tc>
          <w:tcPr>
            <w:tcW w:w="1553" w:type="dxa"/>
            <w:tcBorders>
              <w:top w:val="single" w:sz="4" w:space="0" w:color="auto"/>
              <w:left w:val="nil"/>
              <w:bottom w:val="single" w:sz="4" w:space="0" w:color="auto"/>
              <w:right w:val="single" w:sz="4" w:space="0" w:color="auto"/>
            </w:tcBorders>
            <w:shd w:val="clear" w:color="auto" w:fill="C6EFCE"/>
            <w:noWrap/>
          </w:tcPr>
          <w:p w14:paraId="69F59EC9"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75" w:type="dxa"/>
            <w:tcBorders>
              <w:top w:val="single" w:sz="4" w:space="0" w:color="auto"/>
              <w:left w:val="nil"/>
              <w:bottom w:val="single" w:sz="4" w:space="0" w:color="auto"/>
              <w:right w:val="single" w:sz="4" w:space="0" w:color="auto"/>
            </w:tcBorders>
            <w:shd w:val="clear" w:color="auto" w:fill="C6EFCE"/>
            <w:noWrap/>
          </w:tcPr>
          <w:p w14:paraId="0ED97F3B"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Number</w:t>
            </w:r>
          </w:p>
        </w:tc>
        <w:tc>
          <w:tcPr>
            <w:tcW w:w="1013" w:type="dxa"/>
            <w:tcBorders>
              <w:top w:val="single" w:sz="4" w:space="0" w:color="auto"/>
              <w:left w:val="nil"/>
              <w:bottom w:val="single" w:sz="4" w:space="0" w:color="auto"/>
              <w:right w:val="single" w:sz="4" w:space="0" w:color="auto"/>
            </w:tcBorders>
            <w:shd w:val="clear" w:color="auto" w:fill="C6EFCE"/>
            <w:noWrap/>
          </w:tcPr>
          <w:p w14:paraId="48F2B7BA"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0</w:t>
            </w:r>
          </w:p>
        </w:tc>
        <w:tc>
          <w:tcPr>
            <w:tcW w:w="995" w:type="dxa"/>
            <w:tcBorders>
              <w:top w:val="single" w:sz="4" w:space="0" w:color="auto"/>
              <w:left w:val="nil"/>
              <w:bottom w:val="single" w:sz="4" w:space="0" w:color="auto"/>
              <w:right w:val="single" w:sz="4" w:space="0" w:color="auto"/>
            </w:tcBorders>
            <w:shd w:val="clear" w:color="auto" w:fill="C6EFCE"/>
            <w:noWrap/>
          </w:tcPr>
          <w:p w14:paraId="227F2460" w14:textId="508B0BC4"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5</w:t>
            </w:r>
            <w:r w:rsidR="007E3CE5" w:rsidRPr="001B1E82">
              <w:rPr>
                <w:rFonts w:ascii="Times New Roman" w:hAnsi="Times New Roman" w:cs="Times New Roman"/>
                <w:noProof/>
                <w:sz w:val="20"/>
                <w:szCs w:val="20"/>
                <w:lang w:val="en-GB"/>
              </w:rPr>
              <w:t> </w:t>
            </w:r>
            <w:r w:rsidRPr="001B1E82">
              <w:rPr>
                <w:rFonts w:ascii="Times New Roman" w:hAnsi="Times New Roman" w:cs="Times New Roman"/>
                <w:noProof/>
                <w:sz w:val="20"/>
                <w:szCs w:val="20"/>
                <w:lang w:val="en-GB"/>
              </w:rPr>
              <w:t>420</w:t>
            </w:r>
            <w:r w:rsidR="00D23D91" w:rsidRPr="001B1E82">
              <w:rPr>
                <w:rFonts w:ascii="Times New Roman" w:hAnsi="Times New Roman" w:cs="Times New Roman"/>
                <w:noProof/>
                <w:sz w:val="20"/>
                <w:szCs w:val="20"/>
                <w:lang w:val="en-GB"/>
              </w:rPr>
              <w:t xml:space="preserve"> </w:t>
            </w:r>
          </w:p>
        </w:tc>
        <w:tc>
          <w:tcPr>
            <w:tcW w:w="850" w:type="dxa"/>
            <w:tcBorders>
              <w:top w:val="single" w:sz="4" w:space="0" w:color="auto"/>
              <w:left w:val="nil"/>
              <w:bottom w:val="single" w:sz="4" w:space="0" w:color="auto"/>
              <w:right w:val="single" w:sz="4" w:space="0" w:color="auto"/>
            </w:tcBorders>
            <w:shd w:val="clear" w:color="auto" w:fill="C6EFCE"/>
            <w:noWrap/>
          </w:tcPr>
          <w:p w14:paraId="02A34D7F"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Q1</w:t>
            </w:r>
          </w:p>
        </w:tc>
        <w:tc>
          <w:tcPr>
            <w:tcW w:w="566" w:type="dxa"/>
            <w:tcBorders>
              <w:top w:val="single" w:sz="4" w:space="0" w:color="auto"/>
              <w:left w:val="nil"/>
              <w:bottom w:val="single" w:sz="4" w:space="0" w:color="auto"/>
              <w:right w:val="single" w:sz="4" w:space="0" w:color="auto"/>
            </w:tcBorders>
            <w:shd w:val="clear" w:color="auto" w:fill="C6EFCE"/>
            <w:noWrap/>
          </w:tcPr>
          <w:p w14:paraId="4DE0B3B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2026</w:t>
            </w:r>
          </w:p>
        </w:tc>
        <w:tc>
          <w:tcPr>
            <w:tcW w:w="3686" w:type="dxa"/>
            <w:tcBorders>
              <w:top w:val="single" w:sz="4" w:space="0" w:color="auto"/>
              <w:left w:val="nil"/>
              <w:bottom w:val="single" w:sz="4" w:space="0" w:color="auto"/>
              <w:right w:val="single" w:sz="4" w:space="0" w:color="auto"/>
            </w:tcBorders>
            <w:shd w:val="clear" w:color="auto" w:fill="C6EFCE"/>
            <w:noWrap/>
          </w:tcPr>
          <w:p w14:paraId="405B3E43" w14:textId="5A0B6E4D"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Certificates of participation in the course for participants in three training programmes:</w:t>
            </w:r>
            <w:r w:rsidR="00D23D91" w:rsidRPr="001B1E82">
              <w:rPr>
                <w:rFonts w:ascii="Times New Roman" w:hAnsi="Times New Roman" w:cs="Times New Roman"/>
                <w:noProof/>
                <w:sz w:val="20"/>
                <w:szCs w:val="20"/>
                <w:lang w:val="en-GB"/>
              </w:rPr>
              <w:t xml:space="preserve"> </w:t>
            </w:r>
          </w:p>
          <w:p w14:paraId="07706576" w14:textId="77777777" w:rsidR="00B803E9" w:rsidRPr="001B1E82" w:rsidRDefault="00B803E9">
            <w:pP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-two continuous training programmes for 420 trainers: one training programme for the application of a specific curriculum, with modules for teaching and non-teaching staff, including a digital education module; one training programme for trainers (from three sectors: social, education and health), to monitor the quality of early-childhood education services; </w:t>
            </w:r>
          </w:p>
          <w:p w14:paraId="7DF12087" w14:textId="2A7FB2FC"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-one training programme for 5</w:t>
            </w:r>
            <w:r w:rsidR="007E3CE5" w:rsidRPr="001B1E82">
              <w:rPr>
                <w:rFonts w:ascii="Times New Roman" w:hAnsi="Times New Roman" w:cs="Times New Roman"/>
                <w:noProof/>
                <w:sz w:val="20"/>
                <w:szCs w:val="20"/>
                <w:lang w:val="en-GB"/>
              </w:rPr>
              <w:t> </w:t>
            </w:r>
            <w:r w:rsidRPr="001B1E82">
              <w:rPr>
                <w:rFonts w:ascii="Times New Roman" w:hAnsi="Times New Roman" w:cs="Times New Roman"/>
                <w:noProof/>
                <w:sz w:val="20"/>
                <w:szCs w:val="20"/>
                <w:lang w:val="en-GB"/>
              </w:rPr>
              <w:t xml:space="preserve">000 teaching and non-teaching staff working in standard and complementary early-childhood education services, including those in newly established services. </w:t>
            </w:r>
          </w:p>
        </w:tc>
      </w:tr>
      <w:tr w:rsidR="00756311" w:rsidRPr="001B1E82" w14:paraId="1F7C1DA3"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2A7581E0"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462</w:t>
            </w:r>
          </w:p>
        </w:tc>
        <w:tc>
          <w:tcPr>
            <w:tcW w:w="1863" w:type="dxa"/>
            <w:tcBorders>
              <w:top w:val="single" w:sz="4" w:space="0" w:color="auto"/>
              <w:left w:val="nil"/>
              <w:bottom w:val="single" w:sz="4" w:space="0" w:color="auto"/>
              <w:right w:val="single" w:sz="4" w:space="0" w:color="auto"/>
            </w:tcBorders>
            <w:shd w:val="clear" w:color="auto" w:fill="C6EFCE"/>
            <w:noWrap/>
          </w:tcPr>
          <w:p w14:paraId="79043FBE"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Reform 3. Reform of the compulsory education system to prevent and reduce early school leaving</w:t>
            </w:r>
          </w:p>
        </w:tc>
        <w:tc>
          <w:tcPr>
            <w:tcW w:w="1151" w:type="dxa"/>
            <w:tcBorders>
              <w:top w:val="single" w:sz="4" w:space="0" w:color="auto"/>
              <w:left w:val="nil"/>
              <w:bottom w:val="single" w:sz="4" w:space="0" w:color="auto"/>
              <w:right w:val="single" w:sz="4" w:space="0" w:color="auto"/>
            </w:tcBorders>
            <w:shd w:val="clear" w:color="auto" w:fill="C6EFCE"/>
            <w:noWrap/>
          </w:tcPr>
          <w:p w14:paraId="330E6644"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2031" w:type="dxa"/>
            <w:tcBorders>
              <w:top w:val="single" w:sz="4" w:space="0" w:color="auto"/>
              <w:left w:val="nil"/>
              <w:bottom w:val="single" w:sz="4" w:space="0" w:color="auto"/>
              <w:right w:val="single" w:sz="4" w:space="0" w:color="auto"/>
            </w:tcBorders>
            <w:shd w:val="clear" w:color="auto" w:fill="C6EFCE"/>
            <w:noWrap/>
          </w:tcPr>
          <w:p w14:paraId="4A761D7D"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Entry into force of the Government Decision establishing the implementation of the National Programme to reduce early school leaving </w:t>
            </w:r>
          </w:p>
        </w:tc>
        <w:tc>
          <w:tcPr>
            <w:tcW w:w="1553" w:type="dxa"/>
            <w:tcBorders>
              <w:top w:val="single" w:sz="4" w:space="0" w:color="auto"/>
              <w:left w:val="nil"/>
              <w:bottom w:val="single" w:sz="4" w:space="0" w:color="auto"/>
              <w:right w:val="single" w:sz="4" w:space="0" w:color="auto"/>
            </w:tcBorders>
            <w:shd w:val="clear" w:color="auto" w:fill="C6EFCE"/>
            <w:noWrap/>
          </w:tcPr>
          <w:p w14:paraId="305615A2" w14:textId="487BCB98"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Provision in the Government Decision indicating the entry into force of the National Programme to reduce early school leaving</w:t>
            </w:r>
            <w:r w:rsidR="00D23D91" w:rsidRPr="001B1E82">
              <w:rPr>
                <w:rFonts w:ascii="Times New Roman" w:hAnsi="Times New Roman" w:cs="Times New Roman"/>
                <w:noProof/>
                <w:sz w:val="20"/>
                <w:szCs w:val="20"/>
                <w:lang w:val="en-GB"/>
              </w:rPr>
              <w:t xml:space="preserve"> </w:t>
            </w:r>
          </w:p>
        </w:tc>
        <w:tc>
          <w:tcPr>
            <w:tcW w:w="1075" w:type="dxa"/>
            <w:tcBorders>
              <w:top w:val="single" w:sz="4" w:space="0" w:color="auto"/>
              <w:left w:val="nil"/>
              <w:bottom w:val="single" w:sz="4" w:space="0" w:color="auto"/>
              <w:right w:val="single" w:sz="4" w:space="0" w:color="auto"/>
            </w:tcBorders>
            <w:shd w:val="clear" w:color="auto" w:fill="C6EFCE"/>
            <w:noWrap/>
          </w:tcPr>
          <w:p w14:paraId="7188BDCB"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25E5FBB3"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995" w:type="dxa"/>
            <w:tcBorders>
              <w:top w:val="single" w:sz="4" w:space="0" w:color="auto"/>
              <w:left w:val="nil"/>
              <w:bottom w:val="single" w:sz="4" w:space="0" w:color="auto"/>
              <w:right w:val="single" w:sz="4" w:space="0" w:color="auto"/>
            </w:tcBorders>
            <w:shd w:val="clear" w:color="auto" w:fill="C6EFCE"/>
            <w:noWrap/>
          </w:tcPr>
          <w:p w14:paraId="02F5CBB0"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2A93C142"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Q4</w:t>
            </w:r>
          </w:p>
        </w:tc>
        <w:tc>
          <w:tcPr>
            <w:tcW w:w="566" w:type="dxa"/>
            <w:tcBorders>
              <w:top w:val="single" w:sz="4" w:space="0" w:color="auto"/>
              <w:left w:val="nil"/>
              <w:bottom w:val="single" w:sz="4" w:space="0" w:color="auto"/>
              <w:right w:val="single" w:sz="4" w:space="0" w:color="auto"/>
            </w:tcBorders>
            <w:shd w:val="clear" w:color="auto" w:fill="C6EFCE"/>
            <w:noWrap/>
          </w:tcPr>
          <w:p w14:paraId="0169BBCD"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2021</w:t>
            </w:r>
          </w:p>
        </w:tc>
        <w:tc>
          <w:tcPr>
            <w:tcW w:w="3686" w:type="dxa"/>
            <w:tcBorders>
              <w:top w:val="single" w:sz="4" w:space="0" w:color="auto"/>
              <w:left w:val="nil"/>
              <w:bottom w:val="single" w:sz="4" w:space="0" w:color="auto"/>
              <w:right w:val="single" w:sz="4" w:space="0" w:color="auto"/>
            </w:tcBorders>
            <w:shd w:val="clear" w:color="auto" w:fill="C6EFCE"/>
            <w:noWrap/>
          </w:tcPr>
          <w:p w14:paraId="50566224"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A Government Decision shall enter into force implementing the National Programme to reduce early school leaving, including the implementation of the Early Warning Mechanism in Education in the schools included in the programme, with time-bound, evidence-based and cost-effective targets. </w:t>
            </w:r>
          </w:p>
          <w:p w14:paraId="1CFFE18A" w14:textId="77777777" w:rsidR="00B803E9" w:rsidRPr="001B1E82" w:rsidRDefault="00B803E9">
            <w:pPr>
              <w:spacing w:after="0" w:line="240" w:lineRule="auto"/>
              <w:jc w:val="both"/>
              <w:rPr>
                <w:rFonts w:ascii="Times New Roman" w:eastAsia="Times New Roman" w:hAnsi="Times New Roman" w:cs="Times New Roman"/>
                <w:noProof/>
                <w:sz w:val="20"/>
                <w:szCs w:val="20"/>
                <w:lang w:val="en-GB"/>
              </w:rPr>
            </w:pPr>
            <w:r w:rsidRPr="001B1E82">
              <w:rPr>
                <w:rFonts w:ascii="Times New Roman" w:hAnsi="Times New Roman" w:cs="Times New Roman"/>
                <w:noProof/>
                <w:sz w:val="20"/>
                <w:szCs w:val="20"/>
                <w:lang w:val="en-GB"/>
              </w:rPr>
              <w:t>The National Programme for the implementation of the Early Warning Mechanism in Education shall allow for an integrated and systemic approach at local, regional and national level.</w:t>
            </w:r>
          </w:p>
        </w:tc>
      </w:tr>
      <w:tr w:rsidR="00756311" w:rsidRPr="001B1E82" w14:paraId="137A11E6"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7789BA06"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463</w:t>
            </w:r>
          </w:p>
        </w:tc>
        <w:tc>
          <w:tcPr>
            <w:tcW w:w="1863" w:type="dxa"/>
            <w:tcBorders>
              <w:top w:val="single" w:sz="4" w:space="0" w:color="auto"/>
              <w:left w:val="nil"/>
              <w:bottom w:val="single" w:sz="4" w:space="0" w:color="auto"/>
              <w:right w:val="single" w:sz="4" w:space="0" w:color="auto"/>
            </w:tcBorders>
            <w:shd w:val="clear" w:color="auto" w:fill="C6EFCE"/>
            <w:noWrap/>
          </w:tcPr>
          <w:p w14:paraId="79B260C7"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Reform 3. Reform of the compulsory education system to prevent and reduce early school leaving</w:t>
            </w:r>
          </w:p>
        </w:tc>
        <w:tc>
          <w:tcPr>
            <w:tcW w:w="1151" w:type="dxa"/>
            <w:tcBorders>
              <w:top w:val="single" w:sz="4" w:space="0" w:color="auto"/>
              <w:left w:val="nil"/>
              <w:bottom w:val="single" w:sz="4" w:space="0" w:color="auto"/>
              <w:right w:val="single" w:sz="4" w:space="0" w:color="auto"/>
            </w:tcBorders>
            <w:shd w:val="clear" w:color="auto" w:fill="C6EFCE"/>
            <w:noWrap/>
          </w:tcPr>
          <w:p w14:paraId="4B37A203"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2031" w:type="dxa"/>
            <w:tcBorders>
              <w:top w:val="single" w:sz="4" w:space="0" w:color="auto"/>
              <w:left w:val="nil"/>
              <w:bottom w:val="single" w:sz="4" w:space="0" w:color="auto"/>
              <w:right w:val="single" w:sz="4" w:space="0" w:color="auto"/>
            </w:tcBorders>
            <w:shd w:val="clear" w:color="auto" w:fill="C6EFCE"/>
            <w:noWrap/>
          </w:tcPr>
          <w:p w14:paraId="304F205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Entry into force of the Ministerial Order (MO) for the use of MATE tool at national level</w:t>
            </w:r>
          </w:p>
        </w:tc>
        <w:tc>
          <w:tcPr>
            <w:tcW w:w="1553" w:type="dxa"/>
            <w:tcBorders>
              <w:top w:val="single" w:sz="4" w:space="0" w:color="auto"/>
              <w:left w:val="nil"/>
              <w:bottom w:val="single" w:sz="4" w:space="0" w:color="auto"/>
              <w:right w:val="single" w:sz="4" w:space="0" w:color="auto"/>
            </w:tcBorders>
            <w:shd w:val="clear" w:color="auto" w:fill="C6EFCE"/>
            <w:noWrap/>
          </w:tcPr>
          <w:p w14:paraId="66985583"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Provision in the MO indicating the entry into force of the use at national level of the MATE tool in all schools in primary and lower secondary education</w:t>
            </w:r>
          </w:p>
        </w:tc>
        <w:tc>
          <w:tcPr>
            <w:tcW w:w="1075" w:type="dxa"/>
            <w:tcBorders>
              <w:top w:val="single" w:sz="4" w:space="0" w:color="auto"/>
              <w:left w:val="nil"/>
              <w:bottom w:val="single" w:sz="4" w:space="0" w:color="auto"/>
              <w:right w:val="single" w:sz="4" w:space="0" w:color="auto"/>
            </w:tcBorders>
            <w:shd w:val="clear" w:color="auto" w:fill="C6EFCE"/>
            <w:noWrap/>
          </w:tcPr>
          <w:p w14:paraId="7D156D5C"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3A115C68"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4712D088"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850" w:type="dxa"/>
            <w:tcBorders>
              <w:top w:val="single" w:sz="4" w:space="0" w:color="auto"/>
              <w:left w:val="nil"/>
              <w:bottom w:val="single" w:sz="4" w:space="0" w:color="auto"/>
              <w:right w:val="single" w:sz="4" w:space="0" w:color="auto"/>
            </w:tcBorders>
            <w:shd w:val="clear" w:color="auto" w:fill="C6EFCE"/>
            <w:noWrap/>
          </w:tcPr>
          <w:p w14:paraId="37D6C793"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Q4</w:t>
            </w:r>
          </w:p>
        </w:tc>
        <w:tc>
          <w:tcPr>
            <w:tcW w:w="566" w:type="dxa"/>
            <w:tcBorders>
              <w:top w:val="single" w:sz="4" w:space="0" w:color="auto"/>
              <w:left w:val="nil"/>
              <w:bottom w:val="single" w:sz="4" w:space="0" w:color="auto"/>
              <w:right w:val="single" w:sz="4" w:space="0" w:color="auto"/>
            </w:tcBorders>
            <w:shd w:val="clear" w:color="auto" w:fill="C6EFCE"/>
            <w:noWrap/>
          </w:tcPr>
          <w:p w14:paraId="45B327E5"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2022</w:t>
            </w:r>
          </w:p>
        </w:tc>
        <w:tc>
          <w:tcPr>
            <w:tcW w:w="3686" w:type="dxa"/>
            <w:tcBorders>
              <w:top w:val="single" w:sz="4" w:space="0" w:color="auto"/>
              <w:left w:val="nil"/>
              <w:bottom w:val="single" w:sz="4" w:space="0" w:color="auto"/>
              <w:right w:val="single" w:sz="4" w:space="0" w:color="auto"/>
            </w:tcBorders>
            <w:shd w:val="clear" w:color="auto" w:fill="C6EFCE"/>
            <w:noWrap/>
          </w:tcPr>
          <w:p w14:paraId="050E5FB3" w14:textId="77777777" w:rsidR="00B803E9" w:rsidRPr="001B1E82" w:rsidRDefault="00B803E9">
            <w:pPr>
              <w:spacing w:after="0" w:line="240" w:lineRule="auto"/>
              <w:jc w:val="both"/>
              <w:rPr>
                <w:rFonts w:ascii="Times New Roman" w:eastAsia="Times New Roman" w:hAnsi="Times New Roman" w:cs="Times New Roman"/>
                <w:noProof/>
                <w:sz w:val="20"/>
                <w:szCs w:val="20"/>
                <w:lang w:val="en-GB"/>
              </w:rPr>
            </w:pPr>
            <w:r w:rsidRPr="001B1E82">
              <w:rPr>
                <w:rFonts w:ascii="Times New Roman" w:hAnsi="Times New Roman" w:cs="Times New Roman"/>
                <w:noProof/>
                <w:sz w:val="20"/>
                <w:szCs w:val="20"/>
                <w:lang w:val="en-GB"/>
              </w:rPr>
              <w:t>The Ministerial Order shall provide for the use of the MATE IT module at national level. The IT module identifies the risks, while the National Programme includes educational units with a high degree of drop-out risk, (rate of youth that have not finished lower secondary school and are neither in education nor in training), the ones that shall receive grants.</w:t>
            </w:r>
          </w:p>
        </w:tc>
      </w:tr>
      <w:tr w:rsidR="00756311" w:rsidRPr="001B1E82" w14:paraId="738D07EB"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4D0D5D0D"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464</w:t>
            </w:r>
          </w:p>
        </w:tc>
        <w:tc>
          <w:tcPr>
            <w:tcW w:w="1863" w:type="dxa"/>
            <w:tcBorders>
              <w:top w:val="single" w:sz="4" w:space="0" w:color="auto"/>
              <w:left w:val="nil"/>
              <w:bottom w:val="single" w:sz="4" w:space="0" w:color="auto"/>
              <w:right w:val="single" w:sz="4" w:space="0" w:color="auto"/>
            </w:tcBorders>
            <w:shd w:val="clear" w:color="auto" w:fill="C6EFCE"/>
            <w:noWrap/>
          </w:tcPr>
          <w:p w14:paraId="14B793EB"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4. Supporting educational establishments with medium and high risk of drop-outs</w:t>
            </w:r>
          </w:p>
        </w:tc>
        <w:tc>
          <w:tcPr>
            <w:tcW w:w="1151" w:type="dxa"/>
            <w:tcBorders>
              <w:top w:val="single" w:sz="4" w:space="0" w:color="auto"/>
              <w:left w:val="nil"/>
              <w:bottom w:val="single" w:sz="4" w:space="0" w:color="auto"/>
              <w:right w:val="single" w:sz="4" w:space="0" w:color="auto"/>
            </w:tcBorders>
            <w:shd w:val="clear" w:color="auto" w:fill="C6EFCE"/>
            <w:noWrap/>
          </w:tcPr>
          <w:p w14:paraId="61B249D4"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2031" w:type="dxa"/>
            <w:tcBorders>
              <w:top w:val="single" w:sz="4" w:space="0" w:color="auto"/>
              <w:left w:val="nil"/>
              <w:bottom w:val="single" w:sz="4" w:space="0" w:color="auto"/>
              <w:right w:val="single" w:sz="4" w:space="0" w:color="auto"/>
            </w:tcBorders>
            <w:shd w:val="clear" w:color="auto" w:fill="C6EFCE"/>
            <w:noWrap/>
          </w:tcPr>
          <w:p w14:paraId="0FC73158"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Open call for projects for the support of students for the transition from lower to upper secondary education, on the basis of 5 indicators defined in the Early Warning Mechanism in Education</w:t>
            </w:r>
          </w:p>
        </w:tc>
        <w:tc>
          <w:tcPr>
            <w:tcW w:w="1553" w:type="dxa"/>
            <w:tcBorders>
              <w:top w:val="single" w:sz="4" w:space="0" w:color="auto"/>
              <w:left w:val="nil"/>
              <w:bottom w:val="single" w:sz="4" w:space="0" w:color="auto"/>
              <w:right w:val="single" w:sz="4" w:space="0" w:color="auto"/>
            </w:tcBorders>
            <w:shd w:val="clear" w:color="auto" w:fill="C6EFCE"/>
            <w:noWrap/>
          </w:tcPr>
          <w:p w14:paraId="67BCC2F3"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Publication of the call </w:t>
            </w:r>
          </w:p>
        </w:tc>
        <w:tc>
          <w:tcPr>
            <w:tcW w:w="1075" w:type="dxa"/>
            <w:tcBorders>
              <w:top w:val="single" w:sz="4" w:space="0" w:color="auto"/>
              <w:left w:val="nil"/>
              <w:bottom w:val="single" w:sz="4" w:space="0" w:color="auto"/>
              <w:right w:val="single" w:sz="4" w:space="0" w:color="auto"/>
            </w:tcBorders>
            <w:shd w:val="clear" w:color="auto" w:fill="C6EFCE"/>
            <w:noWrap/>
          </w:tcPr>
          <w:p w14:paraId="4F8FD724"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13" w:type="dxa"/>
            <w:tcBorders>
              <w:top w:val="single" w:sz="4" w:space="0" w:color="auto"/>
              <w:left w:val="nil"/>
              <w:bottom w:val="single" w:sz="4" w:space="0" w:color="auto"/>
              <w:right w:val="single" w:sz="4" w:space="0" w:color="auto"/>
            </w:tcBorders>
            <w:shd w:val="clear" w:color="auto" w:fill="C6EFCE"/>
            <w:noWrap/>
          </w:tcPr>
          <w:p w14:paraId="5C3D6B60"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995" w:type="dxa"/>
            <w:tcBorders>
              <w:top w:val="single" w:sz="4" w:space="0" w:color="auto"/>
              <w:left w:val="nil"/>
              <w:bottom w:val="single" w:sz="4" w:space="0" w:color="auto"/>
              <w:right w:val="single" w:sz="4" w:space="0" w:color="auto"/>
            </w:tcBorders>
            <w:shd w:val="clear" w:color="auto" w:fill="C6EFCE"/>
            <w:noWrap/>
          </w:tcPr>
          <w:p w14:paraId="3B4D1FE9"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18CE05EA"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Q4</w:t>
            </w:r>
          </w:p>
        </w:tc>
        <w:tc>
          <w:tcPr>
            <w:tcW w:w="566" w:type="dxa"/>
            <w:tcBorders>
              <w:top w:val="single" w:sz="4" w:space="0" w:color="auto"/>
              <w:left w:val="nil"/>
              <w:bottom w:val="single" w:sz="4" w:space="0" w:color="auto"/>
              <w:right w:val="single" w:sz="4" w:space="0" w:color="auto"/>
            </w:tcBorders>
            <w:shd w:val="clear" w:color="auto" w:fill="C6EFCE"/>
            <w:noWrap/>
          </w:tcPr>
          <w:p w14:paraId="32C5947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2021</w:t>
            </w:r>
          </w:p>
        </w:tc>
        <w:tc>
          <w:tcPr>
            <w:tcW w:w="3686" w:type="dxa"/>
            <w:tcBorders>
              <w:top w:val="single" w:sz="4" w:space="0" w:color="auto"/>
              <w:left w:val="nil"/>
              <w:bottom w:val="single" w:sz="4" w:space="0" w:color="auto"/>
              <w:right w:val="single" w:sz="4" w:space="0" w:color="auto"/>
            </w:tcBorders>
            <w:shd w:val="clear" w:color="auto" w:fill="C6EFCE"/>
            <w:noWrap/>
          </w:tcPr>
          <w:p w14:paraId="60DC4987"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Call for projects to award grants for educational establishments for the support of students for the transition from lower to upper secondary education, on the basis of 5 indicators defined in the Early Warning Mechanism in Education. All indicators are calculated on the basis of a weight that analyses the quantity i.e. the number of students and teachers, or the quality i.e. the marks obtained in the national assessment. </w:t>
            </w:r>
          </w:p>
          <w:p w14:paraId="7DFDACC3"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Based on the vulnerability index on Early School Leaving, MATE schools were classified into three categories, depending on the priority of the intervention: high, medium and low. High-priority educational units, which need immediate intervention, are considered to be those that receive a total score between 3,5 and 5 and that have several elements of vulnerability, such as a high number of substitute teachers, a rate high dropout rate, low participation rate and poor national assessment results. These schools shall be prioritised for funding.</w:t>
            </w:r>
          </w:p>
          <w:p w14:paraId="07D9A43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Eligible activities shall include: </w:t>
            </w:r>
          </w:p>
          <w:p w14:paraId="437C75EB" w14:textId="77777777" w:rsidR="00B803E9" w:rsidRPr="001B1E82" w:rsidRDefault="00B803E9" w:rsidP="00B803E9">
            <w:pPr>
              <w:numPr>
                <w:ilvl w:val="0"/>
                <w:numId w:val="69"/>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pedagogical and support activities </w:t>
            </w:r>
          </w:p>
          <w:p w14:paraId="18C47FDB" w14:textId="77777777" w:rsidR="00B803E9" w:rsidRPr="001B1E82" w:rsidRDefault="00B803E9" w:rsidP="00B803E9">
            <w:pPr>
              <w:numPr>
                <w:ilvl w:val="0"/>
                <w:numId w:val="69"/>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extra-curricular activities </w:t>
            </w:r>
          </w:p>
          <w:p w14:paraId="4569B2F9" w14:textId="77777777" w:rsidR="00B803E9" w:rsidRPr="001B1E82" w:rsidRDefault="00B803E9" w:rsidP="00B803E9">
            <w:pPr>
              <w:numPr>
                <w:ilvl w:val="0"/>
                <w:numId w:val="69"/>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minor works and purchases of goods, </w:t>
            </w:r>
          </w:p>
          <w:p w14:paraId="0303E010" w14:textId="77777777" w:rsidR="00B803E9" w:rsidRPr="001B1E82" w:rsidRDefault="00B803E9" w:rsidP="00B803E9">
            <w:pPr>
              <w:numPr>
                <w:ilvl w:val="0"/>
                <w:numId w:val="69"/>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grants for pupils in vulnerable groups to ensure the transition from lower secondary to upper secondary education, to complete compulsory education, </w:t>
            </w:r>
          </w:p>
          <w:p w14:paraId="46B784FA" w14:textId="77777777" w:rsidR="00B803E9" w:rsidRPr="001B1E82" w:rsidRDefault="00B803E9" w:rsidP="00B803E9">
            <w:pPr>
              <w:numPr>
                <w:ilvl w:val="0"/>
                <w:numId w:val="69"/>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partnerships with NGOs for support and/or extra-curricular activities.</w:t>
            </w:r>
          </w:p>
          <w:p w14:paraId="09754963"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Schools shall become responsible for student outcomes and for regular updates on the progress achieved, by transferring that information into the MATE data collection system.</w:t>
            </w:r>
          </w:p>
        </w:tc>
      </w:tr>
      <w:tr w:rsidR="00756311" w:rsidRPr="001B1E82" w14:paraId="262309CD"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0475C1FA"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465</w:t>
            </w:r>
          </w:p>
        </w:tc>
        <w:tc>
          <w:tcPr>
            <w:tcW w:w="1863" w:type="dxa"/>
            <w:tcBorders>
              <w:top w:val="single" w:sz="4" w:space="0" w:color="auto"/>
              <w:left w:val="nil"/>
              <w:bottom w:val="single" w:sz="4" w:space="0" w:color="auto"/>
              <w:right w:val="single" w:sz="4" w:space="0" w:color="auto"/>
            </w:tcBorders>
            <w:shd w:val="clear" w:color="auto" w:fill="C6EFCE"/>
            <w:noWrap/>
          </w:tcPr>
          <w:p w14:paraId="349F542F"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4. Supporting educational establishments with medium and high risk of drop-outs</w:t>
            </w:r>
          </w:p>
        </w:tc>
        <w:tc>
          <w:tcPr>
            <w:tcW w:w="1151" w:type="dxa"/>
            <w:tcBorders>
              <w:top w:val="single" w:sz="4" w:space="0" w:color="auto"/>
              <w:left w:val="nil"/>
              <w:bottom w:val="single" w:sz="4" w:space="0" w:color="auto"/>
              <w:right w:val="single" w:sz="4" w:space="0" w:color="auto"/>
            </w:tcBorders>
            <w:shd w:val="clear" w:color="auto" w:fill="C6EFCE"/>
            <w:noWrap/>
          </w:tcPr>
          <w:p w14:paraId="5F6D6A09"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Target</w:t>
            </w:r>
          </w:p>
        </w:tc>
        <w:tc>
          <w:tcPr>
            <w:tcW w:w="2031" w:type="dxa"/>
            <w:tcBorders>
              <w:top w:val="single" w:sz="4" w:space="0" w:color="auto"/>
              <w:left w:val="nil"/>
              <w:bottom w:val="single" w:sz="4" w:space="0" w:color="auto"/>
              <w:right w:val="single" w:sz="4" w:space="0" w:color="auto"/>
            </w:tcBorders>
            <w:shd w:val="clear" w:color="auto" w:fill="C6EFCE"/>
            <w:noWrap/>
          </w:tcPr>
          <w:p w14:paraId="0389C8BE"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Educational establishments awarded with the grant scheme (Lot 1)</w:t>
            </w:r>
          </w:p>
        </w:tc>
        <w:tc>
          <w:tcPr>
            <w:tcW w:w="1553" w:type="dxa"/>
            <w:tcBorders>
              <w:top w:val="single" w:sz="4" w:space="0" w:color="auto"/>
              <w:left w:val="nil"/>
              <w:bottom w:val="single" w:sz="4" w:space="0" w:color="auto"/>
              <w:right w:val="single" w:sz="4" w:space="0" w:color="auto"/>
            </w:tcBorders>
            <w:shd w:val="clear" w:color="auto" w:fill="C6EFCE"/>
            <w:noWrap/>
          </w:tcPr>
          <w:p w14:paraId="57E6E2F6"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75" w:type="dxa"/>
            <w:tcBorders>
              <w:top w:val="single" w:sz="4" w:space="0" w:color="auto"/>
              <w:left w:val="nil"/>
              <w:bottom w:val="single" w:sz="4" w:space="0" w:color="auto"/>
              <w:right w:val="single" w:sz="4" w:space="0" w:color="auto"/>
            </w:tcBorders>
            <w:shd w:val="clear" w:color="auto" w:fill="C6EFCE"/>
            <w:noWrap/>
          </w:tcPr>
          <w:p w14:paraId="4F9DCB3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Number</w:t>
            </w:r>
          </w:p>
        </w:tc>
        <w:tc>
          <w:tcPr>
            <w:tcW w:w="1013" w:type="dxa"/>
            <w:tcBorders>
              <w:top w:val="single" w:sz="4" w:space="0" w:color="auto"/>
              <w:left w:val="nil"/>
              <w:bottom w:val="single" w:sz="4" w:space="0" w:color="auto"/>
              <w:right w:val="single" w:sz="4" w:space="0" w:color="auto"/>
            </w:tcBorders>
            <w:shd w:val="clear" w:color="auto" w:fill="C6EFCE"/>
            <w:noWrap/>
          </w:tcPr>
          <w:p w14:paraId="7389BA45"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0</w:t>
            </w:r>
          </w:p>
        </w:tc>
        <w:tc>
          <w:tcPr>
            <w:tcW w:w="995" w:type="dxa"/>
            <w:tcBorders>
              <w:top w:val="single" w:sz="4" w:space="0" w:color="auto"/>
              <w:left w:val="nil"/>
              <w:bottom w:val="single" w:sz="4" w:space="0" w:color="auto"/>
              <w:right w:val="single" w:sz="4" w:space="0" w:color="auto"/>
            </w:tcBorders>
            <w:shd w:val="clear" w:color="auto" w:fill="C6EFCE"/>
            <w:noWrap/>
          </w:tcPr>
          <w:p w14:paraId="05BBD93D"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750</w:t>
            </w:r>
          </w:p>
        </w:tc>
        <w:tc>
          <w:tcPr>
            <w:tcW w:w="850" w:type="dxa"/>
            <w:tcBorders>
              <w:top w:val="single" w:sz="4" w:space="0" w:color="auto"/>
              <w:left w:val="nil"/>
              <w:bottom w:val="single" w:sz="4" w:space="0" w:color="auto"/>
              <w:right w:val="single" w:sz="4" w:space="0" w:color="auto"/>
            </w:tcBorders>
            <w:shd w:val="clear" w:color="auto" w:fill="C6EFCE"/>
            <w:noWrap/>
          </w:tcPr>
          <w:p w14:paraId="1289A97E"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Q1</w:t>
            </w:r>
          </w:p>
        </w:tc>
        <w:tc>
          <w:tcPr>
            <w:tcW w:w="566" w:type="dxa"/>
            <w:tcBorders>
              <w:top w:val="single" w:sz="4" w:space="0" w:color="auto"/>
              <w:left w:val="nil"/>
              <w:bottom w:val="single" w:sz="4" w:space="0" w:color="auto"/>
              <w:right w:val="single" w:sz="4" w:space="0" w:color="auto"/>
            </w:tcBorders>
            <w:shd w:val="clear" w:color="auto" w:fill="C6EFCE"/>
            <w:noWrap/>
          </w:tcPr>
          <w:p w14:paraId="46380051"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2022</w:t>
            </w:r>
          </w:p>
        </w:tc>
        <w:tc>
          <w:tcPr>
            <w:tcW w:w="3686" w:type="dxa"/>
            <w:tcBorders>
              <w:top w:val="single" w:sz="4" w:space="0" w:color="auto"/>
              <w:left w:val="nil"/>
              <w:bottom w:val="single" w:sz="4" w:space="0" w:color="auto"/>
              <w:right w:val="single" w:sz="4" w:space="0" w:color="auto"/>
            </w:tcBorders>
            <w:shd w:val="clear" w:color="auto" w:fill="C6EFCE"/>
            <w:noWrap/>
          </w:tcPr>
          <w:p w14:paraId="6D711072"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750 educational establishments shall receive grants for the support of students for the transition from lower to upper secondary education, on the basis of 5 indicators defined in the Early Warning Mechanism in Education. All indicators are calculated on the basis of a weight that analyses the quantity i.e. the number of students and teachers, or the quality i.e. the marks obtained in the national assessment. </w:t>
            </w:r>
          </w:p>
          <w:p w14:paraId="2590CA45"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Based on the vulnerability index on Early School Leaving, MATE schools were classified into three categories, depending on the priority of the intervention: high, medium and low. High-priority educational units, which need immediate intervention, are considered to be those that receive a total score between 3,5 and 5 and that have several elements of vulnerability, such as a high number of substitute teachers, a rate high dropout rate, low participation rate and poor national assessment results. These schools shall be prioritised for funding.</w:t>
            </w:r>
          </w:p>
          <w:p w14:paraId="3EAC7F6D"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Eligible activities shall include: </w:t>
            </w:r>
          </w:p>
          <w:p w14:paraId="7AA14193" w14:textId="77777777" w:rsidR="00B803E9" w:rsidRPr="001B1E82" w:rsidRDefault="00B803E9" w:rsidP="00B803E9">
            <w:pPr>
              <w:numPr>
                <w:ilvl w:val="0"/>
                <w:numId w:val="69"/>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pedagogical and support activities </w:t>
            </w:r>
          </w:p>
          <w:p w14:paraId="175DA176" w14:textId="77777777" w:rsidR="00B803E9" w:rsidRPr="001B1E82" w:rsidRDefault="00B803E9" w:rsidP="00B803E9">
            <w:pPr>
              <w:numPr>
                <w:ilvl w:val="0"/>
                <w:numId w:val="69"/>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extra-curricular activities </w:t>
            </w:r>
          </w:p>
          <w:p w14:paraId="7E07E57C" w14:textId="77777777" w:rsidR="00B803E9" w:rsidRPr="001B1E82" w:rsidRDefault="00B803E9" w:rsidP="00B803E9">
            <w:pPr>
              <w:numPr>
                <w:ilvl w:val="0"/>
                <w:numId w:val="69"/>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minor works and purchases of goods, </w:t>
            </w:r>
          </w:p>
          <w:p w14:paraId="0FFBBA0A" w14:textId="77777777" w:rsidR="00B803E9" w:rsidRPr="001B1E82" w:rsidRDefault="00B803E9" w:rsidP="00B803E9">
            <w:pPr>
              <w:numPr>
                <w:ilvl w:val="0"/>
                <w:numId w:val="69"/>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grants for pupils in vulnerable groups to ensure the transition from lower secondary to upper secondary education, to complete compulsory education, </w:t>
            </w:r>
          </w:p>
          <w:p w14:paraId="471CCC00" w14:textId="77777777" w:rsidR="00B803E9" w:rsidRPr="001B1E82" w:rsidRDefault="00B803E9" w:rsidP="00B803E9">
            <w:pPr>
              <w:numPr>
                <w:ilvl w:val="0"/>
                <w:numId w:val="69"/>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partnerships with NGOs for support and/or extra-curricular activities.</w:t>
            </w:r>
          </w:p>
          <w:p w14:paraId="36CB08F2" w14:textId="77777777" w:rsidR="00B803E9" w:rsidRPr="001B1E82" w:rsidRDefault="00B803E9">
            <w:pPr>
              <w:spacing w:after="0" w:line="240" w:lineRule="auto"/>
              <w:jc w:val="both"/>
              <w:rPr>
                <w:rFonts w:ascii="Times New Roman" w:eastAsia="Times New Roman" w:hAnsi="Times New Roman" w:cs="Times New Roman"/>
                <w:noProof/>
                <w:sz w:val="20"/>
                <w:szCs w:val="20"/>
                <w:lang w:val="en-GB"/>
              </w:rPr>
            </w:pPr>
            <w:r w:rsidRPr="001B1E82">
              <w:rPr>
                <w:rFonts w:ascii="Times New Roman" w:hAnsi="Times New Roman" w:cs="Times New Roman"/>
                <w:noProof/>
                <w:sz w:val="20"/>
                <w:szCs w:val="20"/>
                <w:lang w:val="en-GB"/>
              </w:rPr>
              <w:t>Schools shall become responsible for student outcomes and for regular updates on the progress achieved, by transferring that information into the MATE data collection system.</w:t>
            </w:r>
          </w:p>
        </w:tc>
      </w:tr>
      <w:tr w:rsidR="00756311" w:rsidRPr="001B1E82" w14:paraId="4B8B1CBC"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293BC7CE"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466</w:t>
            </w:r>
          </w:p>
        </w:tc>
        <w:tc>
          <w:tcPr>
            <w:tcW w:w="1863" w:type="dxa"/>
            <w:tcBorders>
              <w:top w:val="single" w:sz="4" w:space="0" w:color="auto"/>
              <w:left w:val="nil"/>
              <w:bottom w:val="single" w:sz="4" w:space="0" w:color="auto"/>
              <w:right w:val="single" w:sz="4" w:space="0" w:color="auto"/>
            </w:tcBorders>
            <w:shd w:val="clear" w:color="auto" w:fill="C6EFCE"/>
            <w:noWrap/>
          </w:tcPr>
          <w:p w14:paraId="756CE48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4. Supporting educational establishments with medium and high risk of drop-outs</w:t>
            </w:r>
          </w:p>
        </w:tc>
        <w:tc>
          <w:tcPr>
            <w:tcW w:w="1151" w:type="dxa"/>
            <w:tcBorders>
              <w:top w:val="single" w:sz="4" w:space="0" w:color="auto"/>
              <w:left w:val="nil"/>
              <w:bottom w:val="single" w:sz="4" w:space="0" w:color="auto"/>
              <w:right w:val="single" w:sz="4" w:space="0" w:color="auto"/>
            </w:tcBorders>
            <w:shd w:val="clear" w:color="auto" w:fill="C6EFCE"/>
            <w:noWrap/>
          </w:tcPr>
          <w:p w14:paraId="6D870B51"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Target</w:t>
            </w:r>
          </w:p>
        </w:tc>
        <w:tc>
          <w:tcPr>
            <w:tcW w:w="2031" w:type="dxa"/>
            <w:tcBorders>
              <w:top w:val="single" w:sz="4" w:space="0" w:color="auto"/>
              <w:left w:val="nil"/>
              <w:bottom w:val="single" w:sz="4" w:space="0" w:color="auto"/>
              <w:right w:val="single" w:sz="4" w:space="0" w:color="auto"/>
            </w:tcBorders>
            <w:shd w:val="clear" w:color="auto" w:fill="C6EFCE"/>
            <w:noWrap/>
          </w:tcPr>
          <w:p w14:paraId="70CA165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Additional educational establishments awarded with grants </w:t>
            </w:r>
          </w:p>
        </w:tc>
        <w:tc>
          <w:tcPr>
            <w:tcW w:w="1553" w:type="dxa"/>
            <w:tcBorders>
              <w:top w:val="single" w:sz="4" w:space="0" w:color="auto"/>
              <w:left w:val="nil"/>
              <w:bottom w:val="single" w:sz="4" w:space="0" w:color="auto"/>
              <w:right w:val="single" w:sz="4" w:space="0" w:color="auto"/>
            </w:tcBorders>
            <w:shd w:val="clear" w:color="auto" w:fill="C6EFCE"/>
            <w:noWrap/>
          </w:tcPr>
          <w:p w14:paraId="13C7E173"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75" w:type="dxa"/>
            <w:tcBorders>
              <w:top w:val="single" w:sz="4" w:space="0" w:color="auto"/>
              <w:left w:val="nil"/>
              <w:bottom w:val="single" w:sz="4" w:space="0" w:color="auto"/>
              <w:right w:val="single" w:sz="4" w:space="0" w:color="auto"/>
            </w:tcBorders>
            <w:shd w:val="clear" w:color="auto" w:fill="C6EFCE"/>
            <w:noWrap/>
          </w:tcPr>
          <w:p w14:paraId="7620A428"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Number</w:t>
            </w:r>
          </w:p>
        </w:tc>
        <w:tc>
          <w:tcPr>
            <w:tcW w:w="1013" w:type="dxa"/>
            <w:tcBorders>
              <w:top w:val="single" w:sz="4" w:space="0" w:color="auto"/>
              <w:left w:val="nil"/>
              <w:bottom w:val="single" w:sz="4" w:space="0" w:color="auto"/>
              <w:right w:val="single" w:sz="4" w:space="0" w:color="auto"/>
            </w:tcBorders>
            <w:shd w:val="clear" w:color="auto" w:fill="C6EFCE"/>
            <w:noWrap/>
          </w:tcPr>
          <w:p w14:paraId="5D46994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750</w:t>
            </w:r>
          </w:p>
        </w:tc>
        <w:tc>
          <w:tcPr>
            <w:tcW w:w="995" w:type="dxa"/>
            <w:tcBorders>
              <w:top w:val="single" w:sz="4" w:space="0" w:color="auto"/>
              <w:left w:val="nil"/>
              <w:bottom w:val="single" w:sz="4" w:space="0" w:color="auto"/>
              <w:right w:val="single" w:sz="4" w:space="0" w:color="auto"/>
            </w:tcBorders>
            <w:shd w:val="clear" w:color="auto" w:fill="C6EFCE"/>
            <w:noWrap/>
          </w:tcPr>
          <w:p w14:paraId="78721CDD" w14:textId="00024238"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w:t>
            </w:r>
            <w:r w:rsidR="007E3CE5" w:rsidRPr="001B1E82">
              <w:rPr>
                <w:rFonts w:ascii="Times New Roman" w:hAnsi="Times New Roman" w:cs="Times New Roman"/>
                <w:noProof/>
                <w:sz w:val="20"/>
                <w:szCs w:val="20"/>
                <w:lang w:val="en-GB"/>
              </w:rPr>
              <w:t> </w:t>
            </w:r>
            <w:r w:rsidRPr="001B1E82">
              <w:rPr>
                <w:rFonts w:ascii="Times New Roman" w:hAnsi="Times New Roman" w:cs="Times New Roman"/>
                <w:noProof/>
                <w:sz w:val="20"/>
                <w:szCs w:val="20"/>
                <w:lang w:val="en-GB"/>
              </w:rPr>
              <w:t>300</w:t>
            </w:r>
          </w:p>
        </w:tc>
        <w:tc>
          <w:tcPr>
            <w:tcW w:w="850" w:type="dxa"/>
            <w:tcBorders>
              <w:top w:val="single" w:sz="4" w:space="0" w:color="auto"/>
              <w:left w:val="nil"/>
              <w:bottom w:val="single" w:sz="4" w:space="0" w:color="auto"/>
              <w:right w:val="single" w:sz="4" w:space="0" w:color="auto"/>
            </w:tcBorders>
            <w:shd w:val="clear" w:color="auto" w:fill="C6EFCE"/>
            <w:noWrap/>
          </w:tcPr>
          <w:p w14:paraId="4CCA4AB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Q3</w:t>
            </w:r>
          </w:p>
        </w:tc>
        <w:tc>
          <w:tcPr>
            <w:tcW w:w="566" w:type="dxa"/>
            <w:tcBorders>
              <w:top w:val="single" w:sz="4" w:space="0" w:color="auto"/>
              <w:left w:val="nil"/>
              <w:bottom w:val="single" w:sz="4" w:space="0" w:color="auto"/>
              <w:right w:val="single" w:sz="4" w:space="0" w:color="auto"/>
            </w:tcBorders>
            <w:shd w:val="clear" w:color="auto" w:fill="C6EFCE"/>
            <w:noWrap/>
          </w:tcPr>
          <w:p w14:paraId="07A10ED9"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2026</w:t>
            </w:r>
          </w:p>
        </w:tc>
        <w:tc>
          <w:tcPr>
            <w:tcW w:w="3686" w:type="dxa"/>
            <w:tcBorders>
              <w:top w:val="single" w:sz="4" w:space="0" w:color="auto"/>
              <w:left w:val="nil"/>
              <w:bottom w:val="single" w:sz="4" w:space="0" w:color="auto"/>
              <w:right w:val="single" w:sz="4" w:space="0" w:color="auto"/>
            </w:tcBorders>
            <w:shd w:val="clear" w:color="auto" w:fill="C6EFCE"/>
            <w:noWrap/>
          </w:tcPr>
          <w:p w14:paraId="48C34F6E" w14:textId="0279A253"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Additional</w:t>
            </w:r>
            <w:r w:rsidR="00D23D91" w:rsidRPr="001B1E82">
              <w:rPr>
                <w:rFonts w:ascii="Times New Roman" w:hAnsi="Times New Roman" w:cs="Times New Roman"/>
                <w:noProof/>
                <w:sz w:val="20"/>
                <w:szCs w:val="20"/>
                <w:lang w:val="en-GB"/>
              </w:rPr>
              <w:t xml:space="preserve"> </w:t>
            </w:r>
            <w:r w:rsidRPr="001B1E82">
              <w:rPr>
                <w:rFonts w:ascii="Times New Roman" w:hAnsi="Times New Roman" w:cs="Times New Roman"/>
                <w:noProof/>
                <w:sz w:val="20"/>
                <w:szCs w:val="20"/>
                <w:lang w:val="en-GB"/>
              </w:rPr>
              <w:t>educational establishments with medium and high risk of drop outs shall receive grants, with</w:t>
            </w:r>
          </w:p>
          <w:p w14:paraId="07CB1C6F"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eligible activities including for example: </w:t>
            </w:r>
          </w:p>
          <w:p w14:paraId="160E9044" w14:textId="77777777" w:rsidR="00B803E9" w:rsidRPr="001B1E82" w:rsidRDefault="00B803E9" w:rsidP="00B803E9">
            <w:pPr>
              <w:numPr>
                <w:ilvl w:val="0"/>
                <w:numId w:val="70"/>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pedagogical and support activities; </w:t>
            </w:r>
          </w:p>
          <w:p w14:paraId="47C12E2F" w14:textId="77777777" w:rsidR="00B803E9" w:rsidRPr="001B1E82" w:rsidRDefault="00B803E9" w:rsidP="00B803E9">
            <w:pPr>
              <w:numPr>
                <w:ilvl w:val="0"/>
                <w:numId w:val="70"/>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extra-curricular activities; </w:t>
            </w:r>
          </w:p>
          <w:p w14:paraId="5915A4BA" w14:textId="77777777" w:rsidR="00B803E9" w:rsidRPr="001B1E82" w:rsidRDefault="00B803E9" w:rsidP="00B803E9">
            <w:pPr>
              <w:numPr>
                <w:ilvl w:val="0"/>
                <w:numId w:val="70"/>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minor works and purchases of goods, including digital equipment; </w:t>
            </w:r>
          </w:p>
          <w:p w14:paraId="2E5D63BD" w14:textId="77777777" w:rsidR="00B803E9" w:rsidRPr="001B1E82" w:rsidRDefault="00B803E9" w:rsidP="00B803E9">
            <w:pPr>
              <w:numPr>
                <w:ilvl w:val="0"/>
                <w:numId w:val="70"/>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grants for pupils in vulnerable groups; or </w:t>
            </w:r>
          </w:p>
          <w:p w14:paraId="4FC82047" w14:textId="77777777" w:rsidR="00B803E9" w:rsidRPr="001B1E82" w:rsidRDefault="00B803E9" w:rsidP="00B803E9">
            <w:pPr>
              <w:numPr>
                <w:ilvl w:val="0"/>
                <w:numId w:val="70"/>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partnerships with NGOs for support and/or extra-curricular activities.</w:t>
            </w:r>
          </w:p>
        </w:tc>
      </w:tr>
      <w:tr w:rsidR="00756311" w:rsidRPr="001B1E82" w14:paraId="3949F0DD"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32DA2314"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468</w:t>
            </w:r>
          </w:p>
        </w:tc>
        <w:tc>
          <w:tcPr>
            <w:tcW w:w="1863" w:type="dxa"/>
            <w:tcBorders>
              <w:top w:val="single" w:sz="4" w:space="0" w:color="auto"/>
              <w:left w:val="nil"/>
              <w:bottom w:val="single" w:sz="4" w:space="0" w:color="auto"/>
              <w:right w:val="single" w:sz="4" w:space="0" w:color="auto"/>
            </w:tcBorders>
            <w:shd w:val="clear" w:color="auto" w:fill="C6EFCE"/>
            <w:noWrap/>
          </w:tcPr>
          <w:p w14:paraId="75807461"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Investment 4. Supporting educational establishments with medium and high risk of drop-outs </w:t>
            </w:r>
          </w:p>
        </w:tc>
        <w:tc>
          <w:tcPr>
            <w:tcW w:w="1151" w:type="dxa"/>
            <w:tcBorders>
              <w:top w:val="single" w:sz="4" w:space="0" w:color="auto"/>
              <w:left w:val="nil"/>
              <w:bottom w:val="single" w:sz="4" w:space="0" w:color="auto"/>
              <w:right w:val="single" w:sz="4" w:space="0" w:color="auto"/>
            </w:tcBorders>
            <w:shd w:val="clear" w:color="auto" w:fill="C6EFCE"/>
            <w:noWrap/>
          </w:tcPr>
          <w:p w14:paraId="5BFD9D54"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Target</w:t>
            </w:r>
          </w:p>
        </w:tc>
        <w:tc>
          <w:tcPr>
            <w:tcW w:w="2031" w:type="dxa"/>
            <w:tcBorders>
              <w:top w:val="single" w:sz="4" w:space="0" w:color="auto"/>
              <w:left w:val="nil"/>
              <w:bottom w:val="single" w:sz="4" w:space="0" w:color="auto"/>
              <w:right w:val="single" w:sz="4" w:space="0" w:color="auto"/>
            </w:tcBorders>
            <w:shd w:val="clear" w:color="auto" w:fill="C6EFCE"/>
            <w:noWrap/>
          </w:tcPr>
          <w:p w14:paraId="2B899587"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Reduction of the number of schools with medium and high risk of drop outs</w:t>
            </w:r>
          </w:p>
        </w:tc>
        <w:tc>
          <w:tcPr>
            <w:tcW w:w="1553" w:type="dxa"/>
            <w:tcBorders>
              <w:top w:val="single" w:sz="4" w:space="0" w:color="auto"/>
              <w:left w:val="nil"/>
              <w:bottom w:val="single" w:sz="4" w:space="0" w:color="auto"/>
              <w:right w:val="single" w:sz="4" w:space="0" w:color="auto"/>
            </w:tcBorders>
            <w:shd w:val="clear" w:color="auto" w:fill="C6EFCE"/>
            <w:noWrap/>
          </w:tcPr>
          <w:p w14:paraId="583A391A"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75" w:type="dxa"/>
            <w:tcBorders>
              <w:top w:val="single" w:sz="4" w:space="0" w:color="auto"/>
              <w:left w:val="nil"/>
              <w:bottom w:val="single" w:sz="4" w:space="0" w:color="auto"/>
              <w:right w:val="single" w:sz="4" w:space="0" w:color="auto"/>
            </w:tcBorders>
            <w:shd w:val="clear" w:color="auto" w:fill="C6EFCE"/>
            <w:noWrap/>
          </w:tcPr>
          <w:p w14:paraId="4CAD8B3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Number </w:t>
            </w:r>
          </w:p>
        </w:tc>
        <w:tc>
          <w:tcPr>
            <w:tcW w:w="1013" w:type="dxa"/>
            <w:tcBorders>
              <w:top w:val="single" w:sz="4" w:space="0" w:color="auto"/>
              <w:left w:val="nil"/>
              <w:bottom w:val="single" w:sz="4" w:space="0" w:color="auto"/>
              <w:right w:val="single" w:sz="4" w:space="0" w:color="auto"/>
            </w:tcBorders>
            <w:shd w:val="clear" w:color="auto" w:fill="C6EFCE"/>
            <w:noWrap/>
          </w:tcPr>
          <w:p w14:paraId="38C27E9E" w14:textId="7F352625"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w:t>
            </w:r>
            <w:r w:rsidR="007E3CE5" w:rsidRPr="001B1E82">
              <w:rPr>
                <w:rFonts w:ascii="Times New Roman" w:hAnsi="Times New Roman" w:cs="Times New Roman"/>
                <w:noProof/>
                <w:sz w:val="20"/>
                <w:szCs w:val="20"/>
                <w:lang w:val="en-GB"/>
              </w:rPr>
              <w:t> </w:t>
            </w:r>
            <w:r w:rsidRPr="001B1E82">
              <w:rPr>
                <w:rFonts w:ascii="Times New Roman" w:hAnsi="Times New Roman" w:cs="Times New Roman"/>
                <w:noProof/>
                <w:sz w:val="20"/>
                <w:szCs w:val="20"/>
                <w:lang w:val="en-GB"/>
              </w:rPr>
              <w:t>300</w:t>
            </w:r>
          </w:p>
        </w:tc>
        <w:tc>
          <w:tcPr>
            <w:tcW w:w="995" w:type="dxa"/>
            <w:tcBorders>
              <w:top w:val="single" w:sz="4" w:space="0" w:color="auto"/>
              <w:left w:val="nil"/>
              <w:bottom w:val="single" w:sz="4" w:space="0" w:color="auto"/>
              <w:right w:val="single" w:sz="4" w:space="0" w:color="auto"/>
            </w:tcBorders>
            <w:shd w:val="clear" w:color="auto" w:fill="C6EFCE"/>
            <w:noWrap/>
          </w:tcPr>
          <w:p w14:paraId="188051BC" w14:textId="4C2828ED"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1</w:t>
            </w:r>
            <w:r w:rsidR="00F21442" w:rsidRPr="001B1E82">
              <w:rPr>
                <w:rFonts w:ascii="Times New Roman" w:hAnsi="Times New Roman" w:cs="Times New Roman"/>
                <w:noProof/>
                <w:sz w:val="20"/>
                <w:szCs w:val="20"/>
                <w:lang w:val="en-GB"/>
              </w:rPr>
              <w:t> </w:t>
            </w:r>
            <w:r w:rsidRPr="001B1E82">
              <w:rPr>
                <w:rFonts w:ascii="Times New Roman" w:hAnsi="Times New Roman" w:cs="Times New Roman"/>
                <w:noProof/>
                <w:sz w:val="20"/>
                <w:szCs w:val="20"/>
                <w:lang w:val="en-GB"/>
              </w:rPr>
              <w:t>725</w:t>
            </w:r>
            <w:r w:rsidR="00D23D91" w:rsidRPr="001B1E82">
              <w:rPr>
                <w:rFonts w:ascii="Times New Roman" w:hAnsi="Times New Roman" w:cs="Times New Roman"/>
                <w:noProof/>
                <w:sz w:val="20"/>
                <w:szCs w:val="20"/>
                <w:lang w:val="en-GB"/>
              </w:rPr>
              <w:t xml:space="preserve"> </w:t>
            </w:r>
          </w:p>
        </w:tc>
        <w:tc>
          <w:tcPr>
            <w:tcW w:w="850" w:type="dxa"/>
            <w:tcBorders>
              <w:top w:val="single" w:sz="4" w:space="0" w:color="auto"/>
              <w:left w:val="nil"/>
              <w:bottom w:val="single" w:sz="4" w:space="0" w:color="auto"/>
              <w:right w:val="single" w:sz="4" w:space="0" w:color="auto"/>
            </w:tcBorders>
            <w:shd w:val="clear" w:color="auto" w:fill="C6EFCE"/>
            <w:noWrap/>
          </w:tcPr>
          <w:p w14:paraId="0DCC6713"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Q3</w:t>
            </w:r>
          </w:p>
        </w:tc>
        <w:tc>
          <w:tcPr>
            <w:tcW w:w="566" w:type="dxa"/>
            <w:tcBorders>
              <w:top w:val="single" w:sz="4" w:space="0" w:color="auto"/>
              <w:left w:val="nil"/>
              <w:bottom w:val="single" w:sz="4" w:space="0" w:color="auto"/>
              <w:right w:val="single" w:sz="4" w:space="0" w:color="auto"/>
            </w:tcBorders>
            <w:shd w:val="clear" w:color="auto" w:fill="C6EFCE"/>
            <w:noWrap/>
          </w:tcPr>
          <w:p w14:paraId="759B0C35"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2026</w:t>
            </w:r>
          </w:p>
        </w:tc>
        <w:tc>
          <w:tcPr>
            <w:tcW w:w="3686" w:type="dxa"/>
            <w:tcBorders>
              <w:top w:val="single" w:sz="4" w:space="0" w:color="auto"/>
              <w:left w:val="nil"/>
              <w:bottom w:val="single" w:sz="4" w:space="0" w:color="auto"/>
              <w:right w:val="single" w:sz="4" w:space="0" w:color="auto"/>
            </w:tcBorders>
            <w:shd w:val="clear" w:color="auto" w:fill="C6EFCE"/>
            <w:noWrap/>
          </w:tcPr>
          <w:p w14:paraId="583031F5"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The number of schools with medium and high risk of drop outs shall be reduced by 575.</w:t>
            </w:r>
          </w:p>
          <w:p w14:paraId="4BF962A3"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The Vulnerability index shall be used to confirm the reduction of 25% in high and medium-priority-of-intervention cohort, with a baseline just before the lot 1 of the grants is allocated. </w:t>
            </w:r>
          </w:p>
        </w:tc>
      </w:tr>
      <w:tr w:rsidR="00756311" w:rsidRPr="001B1E82" w14:paraId="08351F6B"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64AA2C78"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469</w:t>
            </w:r>
          </w:p>
        </w:tc>
        <w:tc>
          <w:tcPr>
            <w:tcW w:w="1863" w:type="dxa"/>
            <w:tcBorders>
              <w:top w:val="single" w:sz="4" w:space="0" w:color="auto"/>
              <w:left w:val="nil"/>
              <w:bottom w:val="single" w:sz="4" w:space="0" w:color="auto"/>
              <w:right w:val="single" w:sz="4" w:space="0" w:color="auto"/>
            </w:tcBorders>
            <w:shd w:val="clear" w:color="auto" w:fill="C6EFCE"/>
            <w:noWrap/>
          </w:tcPr>
          <w:p w14:paraId="6F78DDCB"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5. Trainings for users of the Romanian Integrated Education Information System (SIIIR) and the Early Warning Mechanism (MATE) IT tool</w:t>
            </w:r>
            <w:r w:rsidRPr="001B1E82">
              <w:rPr>
                <w:rFonts w:ascii="Times New Roman" w:hAnsi="Times New Roman" w:cs="Times New Roman"/>
                <w:noProof/>
                <w:sz w:val="20"/>
                <w:szCs w:val="20"/>
                <w:u w:val="single"/>
                <w:lang w:val="en-GB"/>
              </w:rPr>
              <w:t xml:space="preserve"> </w:t>
            </w:r>
            <w:r w:rsidRPr="001B1E82">
              <w:rPr>
                <w:rFonts w:ascii="Times New Roman" w:hAnsi="Times New Roman" w:cs="Times New Roman"/>
                <w:noProof/>
                <w:sz w:val="20"/>
                <w:szCs w:val="20"/>
                <w:lang w:val="en-GB"/>
              </w:rPr>
              <w:t>to reduce early school leaving</w:t>
            </w:r>
          </w:p>
        </w:tc>
        <w:tc>
          <w:tcPr>
            <w:tcW w:w="1151" w:type="dxa"/>
            <w:tcBorders>
              <w:top w:val="single" w:sz="4" w:space="0" w:color="auto"/>
              <w:left w:val="nil"/>
              <w:bottom w:val="single" w:sz="4" w:space="0" w:color="auto"/>
              <w:right w:val="single" w:sz="4" w:space="0" w:color="auto"/>
            </w:tcBorders>
            <w:shd w:val="clear" w:color="auto" w:fill="C6EFCE"/>
            <w:noWrap/>
          </w:tcPr>
          <w:p w14:paraId="0AE1ABA9"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2031" w:type="dxa"/>
            <w:tcBorders>
              <w:top w:val="single" w:sz="4" w:space="0" w:color="auto"/>
              <w:left w:val="nil"/>
              <w:bottom w:val="single" w:sz="4" w:space="0" w:color="auto"/>
              <w:right w:val="single" w:sz="4" w:space="0" w:color="auto"/>
            </w:tcBorders>
            <w:shd w:val="clear" w:color="auto" w:fill="C6EFCE"/>
            <w:noWrap/>
          </w:tcPr>
          <w:p w14:paraId="0E83301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Online training course delivered to users of the Romanian Integrated Education Information System (SIIR) and the MATE IT tool </w:t>
            </w:r>
          </w:p>
        </w:tc>
        <w:tc>
          <w:tcPr>
            <w:tcW w:w="1553" w:type="dxa"/>
            <w:tcBorders>
              <w:top w:val="single" w:sz="4" w:space="0" w:color="auto"/>
              <w:left w:val="nil"/>
              <w:bottom w:val="single" w:sz="4" w:space="0" w:color="auto"/>
              <w:right w:val="single" w:sz="4" w:space="0" w:color="auto"/>
            </w:tcBorders>
            <w:shd w:val="clear" w:color="auto" w:fill="C6EFCE"/>
            <w:noWrap/>
          </w:tcPr>
          <w:p w14:paraId="59D79C18"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rPr>
              <w:t>Online training course delivered to users of the Romanian Integrated Education Information System (SIIR) and the MATE IT tool </w:t>
            </w:r>
          </w:p>
        </w:tc>
        <w:tc>
          <w:tcPr>
            <w:tcW w:w="1075" w:type="dxa"/>
            <w:tcBorders>
              <w:top w:val="single" w:sz="4" w:space="0" w:color="auto"/>
              <w:left w:val="nil"/>
              <w:bottom w:val="single" w:sz="4" w:space="0" w:color="auto"/>
              <w:right w:val="single" w:sz="4" w:space="0" w:color="auto"/>
            </w:tcBorders>
            <w:shd w:val="clear" w:color="auto" w:fill="C6EFCE"/>
            <w:noWrap/>
          </w:tcPr>
          <w:p w14:paraId="3F8C2D18"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13" w:type="dxa"/>
            <w:tcBorders>
              <w:top w:val="single" w:sz="4" w:space="0" w:color="auto"/>
              <w:left w:val="nil"/>
              <w:bottom w:val="single" w:sz="4" w:space="0" w:color="auto"/>
              <w:right w:val="single" w:sz="4" w:space="0" w:color="auto"/>
            </w:tcBorders>
            <w:shd w:val="clear" w:color="auto" w:fill="C6EFCE"/>
            <w:noWrap/>
          </w:tcPr>
          <w:p w14:paraId="7FAACC87"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995" w:type="dxa"/>
            <w:tcBorders>
              <w:top w:val="single" w:sz="4" w:space="0" w:color="auto"/>
              <w:left w:val="nil"/>
              <w:bottom w:val="single" w:sz="4" w:space="0" w:color="auto"/>
              <w:right w:val="single" w:sz="4" w:space="0" w:color="auto"/>
            </w:tcBorders>
            <w:shd w:val="clear" w:color="auto" w:fill="C6EFCE"/>
            <w:noWrap/>
          </w:tcPr>
          <w:p w14:paraId="56755CF0"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6F7B53CD"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Q3</w:t>
            </w:r>
          </w:p>
        </w:tc>
        <w:tc>
          <w:tcPr>
            <w:tcW w:w="566" w:type="dxa"/>
            <w:tcBorders>
              <w:top w:val="single" w:sz="4" w:space="0" w:color="auto"/>
              <w:left w:val="nil"/>
              <w:bottom w:val="single" w:sz="4" w:space="0" w:color="auto"/>
              <w:right w:val="single" w:sz="4" w:space="0" w:color="auto"/>
            </w:tcBorders>
            <w:shd w:val="clear" w:color="auto" w:fill="C6EFCE"/>
            <w:noWrap/>
          </w:tcPr>
          <w:p w14:paraId="694ADFE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2025</w:t>
            </w:r>
          </w:p>
        </w:tc>
        <w:tc>
          <w:tcPr>
            <w:tcW w:w="3686" w:type="dxa"/>
            <w:tcBorders>
              <w:top w:val="single" w:sz="4" w:space="0" w:color="auto"/>
              <w:left w:val="nil"/>
              <w:bottom w:val="single" w:sz="4" w:space="0" w:color="auto"/>
              <w:right w:val="single" w:sz="4" w:space="0" w:color="auto"/>
            </w:tcBorders>
            <w:shd w:val="clear" w:color="auto" w:fill="C6EFCE"/>
            <w:noWrap/>
          </w:tcPr>
          <w:p w14:paraId="787C6147"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Description of the specifications</w:t>
            </w:r>
            <w:r w:rsidRPr="001B1E82">
              <w:rPr>
                <w:rFonts w:ascii="Times New Roman" w:hAnsi="Times New Roman" w:cs="Times New Roman"/>
                <w:noProof/>
                <w:sz w:val="20"/>
                <w:szCs w:val="20"/>
              </w:rPr>
              <w:t xml:space="preserve"> </w:t>
            </w:r>
            <w:r w:rsidRPr="001B1E82">
              <w:rPr>
                <w:rFonts w:ascii="Times New Roman" w:hAnsi="Times New Roman" w:cs="Times New Roman"/>
                <w:noProof/>
                <w:sz w:val="20"/>
                <w:szCs w:val="20"/>
                <w:lang w:val="en-GB"/>
              </w:rPr>
              <w:t>of an online training course to users of SIIR and MATE IT tool. The number of training participants shall be visible on https://mate.edu.ro/harta-formare/. Modules of the training course shall be tailored to:</w:t>
            </w:r>
          </w:p>
          <w:p w14:paraId="56ACE21E" w14:textId="77777777" w:rsidR="00B803E9" w:rsidRPr="001B1E82" w:rsidRDefault="00B803E9" w:rsidP="00B803E9">
            <w:pPr>
              <w:numPr>
                <w:ilvl w:val="0"/>
                <w:numId w:val="70"/>
              </w:numPr>
              <w:spacing w:before="120" w:after="0" w:line="240" w:lineRule="auto"/>
              <w:ind w:left="189" w:hanging="189"/>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student needs and skills (inclusive education), student-centered teaching approaches, intercultural competence and formative assessment; </w:t>
            </w:r>
          </w:p>
          <w:p w14:paraId="416B8685" w14:textId="77777777" w:rsidR="00B803E9" w:rsidRPr="001B1E82" w:rsidRDefault="00B803E9" w:rsidP="00B803E9">
            <w:pPr>
              <w:numPr>
                <w:ilvl w:val="0"/>
                <w:numId w:val="70"/>
              </w:numPr>
              <w:spacing w:before="120" w:after="0" w:line="240" w:lineRule="auto"/>
              <w:ind w:left="189" w:hanging="189"/>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improving teaching conditions; </w:t>
            </w:r>
          </w:p>
          <w:p w14:paraId="55146C30" w14:textId="77777777" w:rsidR="00B803E9" w:rsidRPr="001B1E82" w:rsidRDefault="00B803E9" w:rsidP="00B803E9">
            <w:pPr>
              <w:numPr>
                <w:ilvl w:val="0"/>
                <w:numId w:val="70"/>
              </w:numPr>
              <w:spacing w:before="120" w:after="0" w:line="240" w:lineRule="auto"/>
              <w:ind w:left="189" w:hanging="189"/>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providing training for the use of the MATE computer module; </w:t>
            </w:r>
          </w:p>
          <w:p w14:paraId="0B875F68" w14:textId="77777777" w:rsidR="00B803E9" w:rsidRPr="001B1E82" w:rsidRDefault="00B803E9" w:rsidP="00B803E9">
            <w:pPr>
              <w:numPr>
                <w:ilvl w:val="0"/>
                <w:numId w:val="70"/>
              </w:numPr>
              <w:spacing w:before="120" w:after="0" w:line="240" w:lineRule="auto"/>
              <w:ind w:left="189" w:hanging="189"/>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awareness campaigns for students and teachers, which could be adapted to students from disadvantaged groups;</w:t>
            </w:r>
          </w:p>
          <w:p w14:paraId="6363D6D2" w14:textId="77777777" w:rsidR="00B803E9" w:rsidRPr="001B1E82" w:rsidRDefault="00B803E9" w:rsidP="00B803E9">
            <w:pPr>
              <w:numPr>
                <w:ilvl w:val="0"/>
                <w:numId w:val="70"/>
              </w:numPr>
              <w:spacing w:before="120" w:after="0" w:line="240" w:lineRule="auto"/>
              <w:ind w:left="189" w:hanging="189"/>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support students' socio-emotional skills for completing compulsory education.</w:t>
            </w:r>
          </w:p>
        </w:tc>
      </w:tr>
      <w:tr w:rsidR="00756311" w:rsidRPr="001B1E82" w14:paraId="3DA2A985"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7902F946"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470</w:t>
            </w:r>
          </w:p>
        </w:tc>
        <w:tc>
          <w:tcPr>
            <w:tcW w:w="1863" w:type="dxa"/>
            <w:tcBorders>
              <w:top w:val="single" w:sz="4" w:space="0" w:color="auto"/>
              <w:left w:val="nil"/>
              <w:bottom w:val="single" w:sz="4" w:space="0" w:color="auto"/>
              <w:right w:val="single" w:sz="4" w:space="0" w:color="auto"/>
            </w:tcBorders>
            <w:shd w:val="clear" w:color="auto" w:fill="C6EFCE"/>
            <w:noWrap/>
          </w:tcPr>
          <w:p w14:paraId="0221F57C"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Reform 4. Creation of a full professional route for higher technical education</w:t>
            </w:r>
          </w:p>
        </w:tc>
        <w:tc>
          <w:tcPr>
            <w:tcW w:w="1151" w:type="dxa"/>
            <w:tcBorders>
              <w:top w:val="single" w:sz="4" w:space="0" w:color="auto"/>
              <w:left w:val="nil"/>
              <w:bottom w:val="single" w:sz="4" w:space="0" w:color="auto"/>
              <w:right w:val="single" w:sz="4" w:space="0" w:color="auto"/>
            </w:tcBorders>
            <w:shd w:val="clear" w:color="auto" w:fill="C6EFCE"/>
            <w:noWrap/>
          </w:tcPr>
          <w:p w14:paraId="6BD33DAE"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p w14:paraId="21F23FCA"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2031" w:type="dxa"/>
            <w:tcBorders>
              <w:top w:val="single" w:sz="4" w:space="0" w:color="auto"/>
              <w:left w:val="nil"/>
              <w:bottom w:val="single" w:sz="4" w:space="0" w:color="auto"/>
              <w:right w:val="single" w:sz="4" w:space="0" w:color="auto"/>
            </w:tcBorders>
            <w:shd w:val="clear" w:color="auto" w:fill="C6EFCE"/>
            <w:noWrap/>
          </w:tcPr>
          <w:p w14:paraId="6585F170" w14:textId="77777777" w:rsidR="00B803E9" w:rsidRPr="001B1E82" w:rsidRDefault="00B803E9">
            <w:pPr>
              <w:spacing w:after="0" w:line="240" w:lineRule="auto"/>
              <w:jc w:val="both"/>
              <w:rPr>
                <w:rFonts w:ascii="Times New Roman" w:hAnsi="Times New Roman" w:cs="Times New Roman"/>
                <w:noProof/>
                <w:sz w:val="20"/>
                <w:szCs w:val="20"/>
                <w:lang w:val="en-GB"/>
              </w:rPr>
            </w:pPr>
            <w:bookmarkStart w:id="34" w:name="_Hlk79413408"/>
            <w:r w:rsidRPr="001B1E82">
              <w:rPr>
                <w:rFonts w:ascii="Times New Roman" w:hAnsi="Times New Roman" w:cs="Times New Roman"/>
                <w:noProof/>
                <w:sz w:val="20"/>
                <w:szCs w:val="20"/>
                <w:lang w:val="en-GB"/>
              </w:rPr>
              <w:t>Entry into force of the Government Decision approving the Methodology for organizing the complete dual route and the new qualifications resulting from the complete dual route</w:t>
            </w:r>
            <w:bookmarkEnd w:id="34"/>
          </w:p>
        </w:tc>
        <w:tc>
          <w:tcPr>
            <w:tcW w:w="1553" w:type="dxa"/>
            <w:tcBorders>
              <w:top w:val="single" w:sz="4" w:space="0" w:color="auto"/>
              <w:left w:val="nil"/>
              <w:bottom w:val="single" w:sz="4" w:space="0" w:color="auto"/>
              <w:right w:val="single" w:sz="4" w:space="0" w:color="auto"/>
            </w:tcBorders>
            <w:shd w:val="clear" w:color="auto" w:fill="C6EFCE"/>
            <w:noWrap/>
          </w:tcPr>
          <w:p w14:paraId="5E8C3359"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Provision in the Government Decision indicating the entry into force of the Methodology for organizing the complete dual route and the new qualifications resulting from the complete dual route </w:t>
            </w:r>
          </w:p>
        </w:tc>
        <w:tc>
          <w:tcPr>
            <w:tcW w:w="1075" w:type="dxa"/>
            <w:tcBorders>
              <w:top w:val="single" w:sz="4" w:space="0" w:color="auto"/>
              <w:left w:val="nil"/>
              <w:bottom w:val="single" w:sz="4" w:space="0" w:color="auto"/>
              <w:right w:val="single" w:sz="4" w:space="0" w:color="auto"/>
            </w:tcBorders>
            <w:shd w:val="clear" w:color="auto" w:fill="C6EFCE"/>
            <w:noWrap/>
          </w:tcPr>
          <w:p w14:paraId="439AB91F"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13" w:type="dxa"/>
            <w:tcBorders>
              <w:top w:val="single" w:sz="4" w:space="0" w:color="auto"/>
              <w:left w:val="nil"/>
              <w:bottom w:val="single" w:sz="4" w:space="0" w:color="auto"/>
              <w:right w:val="single" w:sz="4" w:space="0" w:color="auto"/>
            </w:tcBorders>
            <w:shd w:val="clear" w:color="auto" w:fill="C6EFCE"/>
            <w:noWrap/>
          </w:tcPr>
          <w:p w14:paraId="21BCA14C"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5C849B94"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850" w:type="dxa"/>
            <w:tcBorders>
              <w:top w:val="single" w:sz="4" w:space="0" w:color="auto"/>
              <w:left w:val="nil"/>
              <w:bottom w:val="single" w:sz="4" w:space="0" w:color="auto"/>
              <w:right w:val="single" w:sz="4" w:space="0" w:color="auto"/>
            </w:tcBorders>
            <w:shd w:val="clear" w:color="auto" w:fill="C6EFCE"/>
            <w:noWrap/>
          </w:tcPr>
          <w:p w14:paraId="665154BB"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Q3</w:t>
            </w:r>
          </w:p>
        </w:tc>
        <w:tc>
          <w:tcPr>
            <w:tcW w:w="566" w:type="dxa"/>
            <w:tcBorders>
              <w:top w:val="single" w:sz="4" w:space="0" w:color="auto"/>
              <w:left w:val="nil"/>
              <w:bottom w:val="single" w:sz="4" w:space="0" w:color="auto"/>
              <w:right w:val="single" w:sz="4" w:space="0" w:color="auto"/>
            </w:tcBorders>
            <w:shd w:val="clear" w:color="auto" w:fill="C6EFCE"/>
            <w:noWrap/>
          </w:tcPr>
          <w:p w14:paraId="592C6D3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2022</w:t>
            </w:r>
          </w:p>
        </w:tc>
        <w:tc>
          <w:tcPr>
            <w:tcW w:w="3686" w:type="dxa"/>
            <w:tcBorders>
              <w:top w:val="single" w:sz="4" w:space="0" w:color="auto"/>
              <w:left w:val="nil"/>
              <w:bottom w:val="single" w:sz="4" w:space="0" w:color="auto"/>
              <w:right w:val="single" w:sz="4" w:space="0" w:color="auto"/>
            </w:tcBorders>
            <w:shd w:val="clear" w:color="auto" w:fill="C6EFCE"/>
            <w:noWrap/>
          </w:tcPr>
          <w:p w14:paraId="1866A44F"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The new methodology shall:</w:t>
            </w:r>
          </w:p>
          <w:p w14:paraId="34BA2F8F" w14:textId="77777777" w:rsidR="00B803E9" w:rsidRPr="001B1E82" w:rsidRDefault="00B803E9" w:rsidP="00B803E9">
            <w:pPr>
              <w:numPr>
                <w:ilvl w:val="0"/>
                <w:numId w:val="71"/>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aim to improve educational outcomes in vocational and educational training (VET);</w:t>
            </w:r>
          </w:p>
          <w:p w14:paraId="65BF5804" w14:textId="77777777" w:rsidR="00B803E9" w:rsidRPr="001B1E82" w:rsidRDefault="00B803E9" w:rsidP="00B803E9">
            <w:pPr>
              <w:numPr>
                <w:ilvl w:val="0"/>
                <w:numId w:val="71"/>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ensure a complete educational pathway for students registered under dual secondary and third level education programmes (qualification 3-7). </w:t>
            </w:r>
          </w:p>
          <w:p w14:paraId="78A06DD6" w14:textId="77777777" w:rsidR="00B803E9" w:rsidRPr="001B1E82" w:rsidRDefault="00B803E9" w:rsidP="00B803E9">
            <w:pPr>
              <w:numPr>
                <w:ilvl w:val="0"/>
                <w:numId w:val="71"/>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ensure the correspondence between the National Qualification Framework levels, the acts of education/qualification to be issued, the type of vocational education and training programmes in Romania through which qualification levels may be achieved, the reference levels of the European Qualifications Framework, as well as the conditions of access corresponding to each level of qualification.</w:t>
            </w:r>
          </w:p>
        </w:tc>
      </w:tr>
      <w:tr w:rsidR="00756311" w:rsidRPr="001B1E82" w14:paraId="0AA7E15F"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244E3A0C"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471</w:t>
            </w:r>
          </w:p>
        </w:tc>
        <w:tc>
          <w:tcPr>
            <w:tcW w:w="1863" w:type="dxa"/>
            <w:tcBorders>
              <w:top w:val="single" w:sz="4" w:space="0" w:color="auto"/>
              <w:left w:val="nil"/>
              <w:bottom w:val="single" w:sz="4" w:space="0" w:color="auto"/>
              <w:right w:val="single" w:sz="4" w:space="0" w:color="auto"/>
            </w:tcBorders>
            <w:shd w:val="clear" w:color="auto" w:fill="C6EFCE"/>
            <w:noWrap/>
          </w:tcPr>
          <w:p w14:paraId="681592F5"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Reform 4. Creation of a full professional route for higher technical education</w:t>
            </w:r>
          </w:p>
        </w:tc>
        <w:tc>
          <w:tcPr>
            <w:tcW w:w="1151" w:type="dxa"/>
            <w:tcBorders>
              <w:top w:val="single" w:sz="4" w:space="0" w:color="auto"/>
              <w:left w:val="nil"/>
              <w:bottom w:val="single" w:sz="4" w:space="0" w:color="auto"/>
              <w:right w:val="single" w:sz="4" w:space="0" w:color="auto"/>
            </w:tcBorders>
            <w:shd w:val="clear" w:color="auto" w:fill="C6EFCE"/>
            <w:noWrap/>
          </w:tcPr>
          <w:p w14:paraId="1EB3AE7A"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Target</w:t>
            </w:r>
          </w:p>
        </w:tc>
        <w:tc>
          <w:tcPr>
            <w:tcW w:w="2031" w:type="dxa"/>
            <w:tcBorders>
              <w:top w:val="single" w:sz="4" w:space="0" w:color="auto"/>
              <w:left w:val="nil"/>
              <w:bottom w:val="single" w:sz="4" w:space="0" w:color="auto"/>
              <w:right w:val="single" w:sz="4" w:space="0" w:color="auto"/>
            </w:tcBorders>
            <w:shd w:val="clear" w:color="auto" w:fill="C6EFCE"/>
            <w:noWrap/>
          </w:tcPr>
          <w:p w14:paraId="4D17D25A" w14:textId="71455A1D" w:rsidR="00B803E9" w:rsidRPr="001B1E82" w:rsidRDefault="00B803E9" w:rsidP="001B1E82">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Share of students enrolled in the professional route, in relation to the number of high school students </w:t>
            </w:r>
          </w:p>
        </w:tc>
        <w:tc>
          <w:tcPr>
            <w:tcW w:w="1553" w:type="dxa"/>
            <w:tcBorders>
              <w:top w:val="single" w:sz="4" w:space="0" w:color="auto"/>
              <w:left w:val="nil"/>
              <w:bottom w:val="single" w:sz="4" w:space="0" w:color="auto"/>
              <w:right w:val="single" w:sz="4" w:space="0" w:color="auto"/>
            </w:tcBorders>
            <w:shd w:val="clear" w:color="auto" w:fill="C6EFCE"/>
            <w:noWrap/>
          </w:tcPr>
          <w:p w14:paraId="25EDA003"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75" w:type="dxa"/>
            <w:tcBorders>
              <w:top w:val="single" w:sz="4" w:space="0" w:color="auto"/>
              <w:left w:val="nil"/>
              <w:bottom w:val="single" w:sz="4" w:space="0" w:color="auto"/>
              <w:right w:val="single" w:sz="4" w:space="0" w:color="auto"/>
            </w:tcBorders>
            <w:shd w:val="clear" w:color="auto" w:fill="C6EFCE"/>
            <w:noWrap/>
          </w:tcPr>
          <w:p w14:paraId="28205A59" w14:textId="77777777" w:rsidR="00B803E9" w:rsidRPr="001B1E82" w:rsidRDefault="00B803E9">
            <w:pPr>
              <w:spacing w:after="0" w:line="240" w:lineRule="auto"/>
              <w:rPr>
                <w:rFonts w:ascii="Times New Roman" w:eastAsia="Times New Roman" w:hAnsi="Times New Roman" w:cs="Times New Roman"/>
                <w:noProof/>
                <w:sz w:val="20"/>
                <w:szCs w:val="20"/>
                <w:lang w:val="en-GB"/>
              </w:rPr>
            </w:pPr>
            <w:r w:rsidRPr="001B1E82">
              <w:rPr>
                <w:rFonts w:ascii="Times New Roman" w:hAnsi="Times New Roman" w:cs="Times New Roman"/>
                <w:noProof/>
                <w:sz w:val="20"/>
                <w:szCs w:val="20"/>
                <w:lang w:val="en-GB"/>
              </w:rPr>
              <w:t>Percentage (%)</w:t>
            </w:r>
          </w:p>
          <w:p w14:paraId="7C36D834"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13" w:type="dxa"/>
            <w:tcBorders>
              <w:top w:val="single" w:sz="4" w:space="0" w:color="auto"/>
              <w:left w:val="nil"/>
              <w:bottom w:val="single" w:sz="4" w:space="0" w:color="auto"/>
              <w:right w:val="single" w:sz="4" w:space="0" w:color="auto"/>
            </w:tcBorders>
            <w:shd w:val="clear" w:color="auto" w:fill="C6EFCE"/>
            <w:noWrap/>
          </w:tcPr>
          <w:p w14:paraId="5F1134DB"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17% </w:t>
            </w:r>
          </w:p>
        </w:tc>
        <w:tc>
          <w:tcPr>
            <w:tcW w:w="995" w:type="dxa"/>
            <w:tcBorders>
              <w:top w:val="single" w:sz="4" w:space="0" w:color="auto"/>
              <w:left w:val="nil"/>
              <w:bottom w:val="single" w:sz="4" w:space="0" w:color="auto"/>
              <w:right w:val="single" w:sz="4" w:space="0" w:color="auto"/>
            </w:tcBorders>
            <w:shd w:val="clear" w:color="auto" w:fill="C6EFCE"/>
            <w:noWrap/>
          </w:tcPr>
          <w:p w14:paraId="32259A0A"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22%</w:t>
            </w:r>
          </w:p>
        </w:tc>
        <w:tc>
          <w:tcPr>
            <w:tcW w:w="850" w:type="dxa"/>
            <w:tcBorders>
              <w:top w:val="single" w:sz="4" w:space="0" w:color="auto"/>
              <w:left w:val="nil"/>
              <w:bottom w:val="single" w:sz="4" w:space="0" w:color="auto"/>
              <w:right w:val="single" w:sz="4" w:space="0" w:color="auto"/>
            </w:tcBorders>
            <w:shd w:val="clear" w:color="auto" w:fill="C6EFCE"/>
            <w:noWrap/>
          </w:tcPr>
          <w:p w14:paraId="67933B5C"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Q3</w:t>
            </w:r>
          </w:p>
        </w:tc>
        <w:tc>
          <w:tcPr>
            <w:tcW w:w="566" w:type="dxa"/>
            <w:tcBorders>
              <w:top w:val="single" w:sz="4" w:space="0" w:color="auto"/>
              <w:left w:val="nil"/>
              <w:bottom w:val="single" w:sz="4" w:space="0" w:color="auto"/>
              <w:right w:val="single" w:sz="4" w:space="0" w:color="auto"/>
            </w:tcBorders>
            <w:shd w:val="clear" w:color="auto" w:fill="C6EFCE"/>
            <w:noWrap/>
          </w:tcPr>
          <w:p w14:paraId="16592E7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2026</w:t>
            </w:r>
          </w:p>
        </w:tc>
        <w:tc>
          <w:tcPr>
            <w:tcW w:w="3686" w:type="dxa"/>
            <w:tcBorders>
              <w:top w:val="single" w:sz="4" w:space="0" w:color="auto"/>
              <w:left w:val="nil"/>
              <w:bottom w:val="single" w:sz="4" w:space="0" w:color="auto"/>
              <w:right w:val="single" w:sz="4" w:space="0" w:color="auto"/>
            </w:tcBorders>
            <w:shd w:val="clear" w:color="auto" w:fill="C6EFCE"/>
            <w:noWrap/>
          </w:tcPr>
          <w:p w14:paraId="76573562" w14:textId="12920731"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An increase of five percentage points in the share of students enrolled in the professional route, in relation to the total number of high school students, calculated on the basis of the data reported in</w:t>
            </w:r>
            <w:r w:rsidR="00D23D91" w:rsidRPr="001B1E82">
              <w:rPr>
                <w:rFonts w:ascii="Times New Roman" w:hAnsi="Times New Roman" w:cs="Times New Roman"/>
                <w:noProof/>
                <w:sz w:val="20"/>
                <w:szCs w:val="20"/>
                <w:lang w:val="en-GB"/>
              </w:rPr>
              <w:t xml:space="preserve"> </w:t>
            </w:r>
            <w:r w:rsidRPr="001B1E82">
              <w:rPr>
                <w:rFonts w:ascii="Times New Roman" w:hAnsi="Times New Roman" w:cs="Times New Roman"/>
                <w:noProof/>
                <w:sz w:val="20"/>
                <w:szCs w:val="20"/>
                <w:lang w:val="en-GB"/>
              </w:rPr>
              <w:t>SIIR. The baseline for the calculation of the increase shall be the number of students enrolled</w:t>
            </w:r>
            <w:r w:rsidR="00D23D91" w:rsidRPr="001B1E82">
              <w:rPr>
                <w:rFonts w:ascii="Times New Roman" w:hAnsi="Times New Roman" w:cs="Times New Roman"/>
                <w:noProof/>
                <w:sz w:val="20"/>
                <w:szCs w:val="20"/>
                <w:lang w:val="en-GB"/>
              </w:rPr>
              <w:t xml:space="preserve"> </w:t>
            </w:r>
            <w:r w:rsidRPr="001B1E82">
              <w:rPr>
                <w:rFonts w:ascii="Times New Roman" w:hAnsi="Times New Roman" w:cs="Times New Roman"/>
                <w:noProof/>
                <w:sz w:val="20"/>
                <w:szCs w:val="20"/>
                <w:lang w:val="en-GB"/>
              </w:rPr>
              <w:t>in the school year 2020-2021.</w:t>
            </w:r>
          </w:p>
        </w:tc>
      </w:tr>
      <w:tr w:rsidR="00756311" w:rsidRPr="001B1E82" w14:paraId="04AC57FC"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657DBB39"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472</w:t>
            </w:r>
          </w:p>
        </w:tc>
        <w:tc>
          <w:tcPr>
            <w:tcW w:w="1863" w:type="dxa"/>
            <w:tcBorders>
              <w:top w:val="single" w:sz="4" w:space="0" w:color="auto"/>
              <w:left w:val="nil"/>
              <w:bottom w:val="single" w:sz="4" w:space="0" w:color="auto"/>
              <w:right w:val="single" w:sz="4" w:space="0" w:color="auto"/>
            </w:tcBorders>
            <w:shd w:val="clear" w:color="auto" w:fill="C6EFCE"/>
            <w:noWrap/>
          </w:tcPr>
          <w:p w14:paraId="23845F03" w14:textId="6C267D2C"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6. Building and equipping</w:t>
            </w:r>
            <w:r w:rsidR="00D23D91" w:rsidRPr="001B1E82">
              <w:rPr>
                <w:rFonts w:ascii="Times New Roman" w:hAnsi="Times New Roman" w:cs="Times New Roman"/>
                <w:noProof/>
                <w:sz w:val="20"/>
                <w:szCs w:val="20"/>
                <w:lang w:val="en-GB"/>
              </w:rPr>
              <w:t xml:space="preserve"> </w:t>
            </w:r>
            <w:r w:rsidRPr="001B1E82">
              <w:rPr>
                <w:rFonts w:ascii="Times New Roman" w:hAnsi="Times New Roman" w:cs="Times New Roman"/>
                <w:noProof/>
                <w:sz w:val="20"/>
                <w:szCs w:val="20"/>
                <w:lang w:val="en-GB"/>
              </w:rPr>
              <w:t xml:space="preserve">vocational campuses within regional consortia </w:t>
            </w:r>
          </w:p>
        </w:tc>
        <w:tc>
          <w:tcPr>
            <w:tcW w:w="1151" w:type="dxa"/>
            <w:tcBorders>
              <w:top w:val="single" w:sz="4" w:space="0" w:color="auto"/>
              <w:left w:val="nil"/>
              <w:bottom w:val="single" w:sz="4" w:space="0" w:color="auto"/>
              <w:right w:val="single" w:sz="4" w:space="0" w:color="auto"/>
            </w:tcBorders>
            <w:shd w:val="clear" w:color="auto" w:fill="C6EFCE"/>
            <w:noWrap/>
          </w:tcPr>
          <w:p w14:paraId="283DBFBF"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Target </w:t>
            </w:r>
          </w:p>
        </w:tc>
        <w:tc>
          <w:tcPr>
            <w:tcW w:w="2031" w:type="dxa"/>
            <w:tcBorders>
              <w:top w:val="single" w:sz="4" w:space="0" w:color="auto"/>
              <w:left w:val="nil"/>
              <w:bottom w:val="single" w:sz="4" w:space="0" w:color="auto"/>
              <w:right w:val="single" w:sz="4" w:space="0" w:color="auto"/>
            </w:tcBorders>
            <w:shd w:val="clear" w:color="auto" w:fill="C6EFCE"/>
            <w:noWrap/>
          </w:tcPr>
          <w:p w14:paraId="63F1CB11"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Five </w:t>
            </w:r>
            <w:r w:rsidRPr="001B1E82" w:rsidDel="00976D85">
              <w:rPr>
                <w:rFonts w:ascii="Times New Roman" w:hAnsi="Times New Roman" w:cs="Times New Roman"/>
                <w:noProof/>
                <w:sz w:val="20"/>
                <w:szCs w:val="20"/>
                <w:lang w:val="en-GB"/>
              </w:rPr>
              <w:t xml:space="preserve">integrated </w:t>
            </w:r>
            <w:r w:rsidRPr="001B1E82">
              <w:rPr>
                <w:rFonts w:ascii="Times New Roman" w:hAnsi="Times New Roman" w:cs="Times New Roman"/>
                <w:noProof/>
                <w:sz w:val="20"/>
                <w:szCs w:val="20"/>
                <w:lang w:val="en-GB"/>
              </w:rPr>
              <w:t>vocational campuses constructed and equiped within five regional consortia</w:t>
            </w:r>
          </w:p>
        </w:tc>
        <w:tc>
          <w:tcPr>
            <w:tcW w:w="1553" w:type="dxa"/>
            <w:tcBorders>
              <w:top w:val="single" w:sz="4" w:space="0" w:color="auto"/>
              <w:left w:val="nil"/>
              <w:bottom w:val="single" w:sz="4" w:space="0" w:color="auto"/>
              <w:right w:val="single" w:sz="4" w:space="0" w:color="auto"/>
            </w:tcBorders>
            <w:shd w:val="clear" w:color="auto" w:fill="C6EFCE"/>
            <w:noWrap/>
          </w:tcPr>
          <w:p w14:paraId="4E082C5B"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75" w:type="dxa"/>
            <w:tcBorders>
              <w:top w:val="single" w:sz="4" w:space="0" w:color="auto"/>
              <w:left w:val="nil"/>
              <w:bottom w:val="single" w:sz="4" w:space="0" w:color="auto"/>
              <w:right w:val="single" w:sz="4" w:space="0" w:color="auto"/>
            </w:tcBorders>
            <w:shd w:val="clear" w:color="auto" w:fill="C6EFCE"/>
            <w:noWrap/>
          </w:tcPr>
          <w:p w14:paraId="2A9A8F74"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Number</w:t>
            </w:r>
          </w:p>
        </w:tc>
        <w:tc>
          <w:tcPr>
            <w:tcW w:w="1013" w:type="dxa"/>
            <w:tcBorders>
              <w:top w:val="single" w:sz="4" w:space="0" w:color="auto"/>
              <w:left w:val="nil"/>
              <w:bottom w:val="single" w:sz="4" w:space="0" w:color="auto"/>
              <w:right w:val="single" w:sz="4" w:space="0" w:color="auto"/>
            </w:tcBorders>
            <w:shd w:val="clear" w:color="auto" w:fill="C6EFCE"/>
            <w:noWrap/>
          </w:tcPr>
          <w:p w14:paraId="067E1A4E"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0</w:t>
            </w:r>
          </w:p>
        </w:tc>
        <w:tc>
          <w:tcPr>
            <w:tcW w:w="995" w:type="dxa"/>
            <w:tcBorders>
              <w:top w:val="single" w:sz="4" w:space="0" w:color="auto"/>
              <w:left w:val="nil"/>
              <w:bottom w:val="single" w:sz="4" w:space="0" w:color="auto"/>
              <w:right w:val="single" w:sz="4" w:space="0" w:color="auto"/>
            </w:tcBorders>
            <w:shd w:val="clear" w:color="auto" w:fill="C6EFCE"/>
            <w:noWrap/>
          </w:tcPr>
          <w:p w14:paraId="2EC3C88D"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5</w:t>
            </w:r>
          </w:p>
        </w:tc>
        <w:tc>
          <w:tcPr>
            <w:tcW w:w="850" w:type="dxa"/>
            <w:tcBorders>
              <w:top w:val="single" w:sz="4" w:space="0" w:color="auto"/>
              <w:left w:val="nil"/>
              <w:bottom w:val="single" w:sz="4" w:space="0" w:color="auto"/>
              <w:right w:val="single" w:sz="4" w:space="0" w:color="auto"/>
            </w:tcBorders>
            <w:shd w:val="clear" w:color="auto" w:fill="C6EFCE"/>
            <w:noWrap/>
          </w:tcPr>
          <w:p w14:paraId="27F1952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Q3</w:t>
            </w:r>
          </w:p>
        </w:tc>
        <w:tc>
          <w:tcPr>
            <w:tcW w:w="566" w:type="dxa"/>
            <w:tcBorders>
              <w:top w:val="single" w:sz="4" w:space="0" w:color="auto"/>
              <w:left w:val="nil"/>
              <w:bottom w:val="single" w:sz="4" w:space="0" w:color="auto"/>
              <w:right w:val="single" w:sz="4" w:space="0" w:color="auto"/>
            </w:tcBorders>
            <w:shd w:val="clear" w:color="auto" w:fill="C6EFCE"/>
            <w:noWrap/>
          </w:tcPr>
          <w:p w14:paraId="79F2C689"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2026</w:t>
            </w:r>
          </w:p>
        </w:tc>
        <w:tc>
          <w:tcPr>
            <w:tcW w:w="3686" w:type="dxa"/>
            <w:tcBorders>
              <w:top w:val="single" w:sz="4" w:space="0" w:color="auto"/>
              <w:left w:val="nil"/>
              <w:bottom w:val="single" w:sz="4" w:space="0" w:color="auto"/>
              <w:right w:val="single" w:sz="4" w:space="0" w:color="auto"/>
            </w:tcBorders>
            <w:shd w:val="clear" w:color="auto" w:fill="C6EFCE"/>
            <w:noWrap/>
          </w:tcPr>
          <w:p w14:paraId="71B774C5"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Five integrated vocational campuses shall be constructed within five regional consortia. </w:t>
            </w:r>
          </w:p>
          <w:p w14:paraId="2607A54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Newly constructed integrated vocational campuses shall comply with the objective of achieving a primary energy demand (PED) at least 20% lower than the NZEB requirement according to national guidelines, which shall be confirmed through energy performance certificates.</w:t>
            </w:r>
          </w:p>
          <w:p w14:paraId="0E5C4413"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Each </w:t>
            </w:r>
            <w:r w:rsidRPr="001B1E82" w:rsidDel="00C774F7">
              <w:rPr>
                <w:rFonts w:ascii="Times New Roman" w:hAnsi="Times New Roman" w:cs="Times New Roman"/>
                <w:noProof/>
                <w:sz w:val="20"/>
                <w:szCs w:val="20"/>
                <w:lang w:val="en-GB"/>
              </w:rPr>
              <w:t xml:space="preserve">integrated </w:t>
            </w:r>
            <w:r w:rsidRPr="001B1E82">
              <w:rPr>
                <w:rFonts w:ascii="Times New Roman" w:hAnsi="Times New Roman" w:cs="Times New Roman"/>
                <w:noProof/>
                <w:sz w:val="20"/>
                <w:szCs w:val="20"/>
                <w:lang w:val="en-GB"/>
              </w:rPr>
              <w:t xml:space="preserve">vocational campus built shall be equipped for digital workshops, as attested by acceptance certificates. </w:t>
            </w:r>
          </w:p>
        </w:tc>
      </w:tr>
      <w:tr w:rsidR="00756311" w:rsidRPr="001B1E82" w14:paraId="162A61F7"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62B8122C"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477</w:t>
            </w:r>
          </w:p>
        </w:tc>
        <w:tc>
          <w:tcPr>
            <w:tcW w:w="1863" w:type="dxa"/>
            <w:tcBorders>
              <w:top w:val="single" w:sz="4" w:space="0" w:color="auto"/>
              <w:left w:val="nil"/>
              <w:bottom w:val="single" w:sz="4" w:space="0" w:color="auto"/>
              <w:right w:val="single" w:sz="4" w:space="0" w:color="auto"/>
            </w:tcBorders>
            <w:shd w:val="clear" w:color="auto" w:fill="C6EFCE"/>
            <w:noWrap/>
          </w:tcPr>
          <w:p w14:paraId="4A9E0198"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Reform 5. Adoption of the legal framework for the digitalisation of education</w:t>
            </w:r>
          </w:p>
        </w:tc>
        <w:tc>
          <w:tcPr>
            <w:tcW w:w="1151" w:type="dxa"/>
            <w:tcBorders>
              <w:top w:val="single" w:sz="4" w:space="0" w:color="auto"/>
              <w:left w:val="nil"/>
              <w:bottom w:val="single" w:sz="4" w:space="0" w:color="auto"/>
              <w:right w:val="single" w:sz="4" w:space="0" w:color="auto"/>
            </w:tcBorders>
            <w:shd w:val="clear" w:color="auto" w:fill="C6EFCE"/>
            <w:noWrap/>
          </w:tcPr>
          <w:p w14:paraId="2AAFF55E"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2031" w:type="dxa"/>
            <w:tcBorders>
              <w:top w:val="single" w:sz="4" w:space="0" w:color="auto"/>
              <w:left w:val="nil"/>
              <w:bottom w:val="single" w:sz="4" w:space="0" w:color="auto"/>
              <w:right w:val="single" w:sz="4" w:space="0" w:color="auto"/>
            </w:tcBorders>
            <w:shd w:val="clear" w:color="auto" w:fill="C6EFCE"/>
            <w:noWrap/>
          </w:tcPr>
          <w:p w14:paraId="3B64E62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Entry into force of the Ministerial Order (MO) to ensure standards for equipping schools with technological equipment and resources for educational purposes online and to ensure a sustainable impact of the proposed investments</w:t>
            </w:r>
          </w:p>
        </w:tc>
        <w:tc>
          <w:tcPr>
            <w:tcW w:w="1553" w:type="dxa"/>
            <w:tcBorders>
              <w:top w:val="single" w:sz="4" w:space="0" w:color="auto"/>
              <w:left w:val="nil"/>
              <w:bottom w:val="single" w:sz="4" w:space="0" w:color="auto"/>
              <w:right w:val="single" w:sz="4" w:space="0" w:color="auto"/>
            </w:tcBorders>
            <w:shd w:val="clear" w:color="auto" w:fill="C6EFCE"/>
            <w:noWrap/>
          </w:tcPr>
          <w:p w14:paraId="28DD1E5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Provision in the MO indicating the entry into force of the legislative framework for equipment standards</w:t>
            </w:r>
          </w:p>
        </w:tc>
        <w:tc>
          <w:tcPr>
            <w:tcW w:w="1075" w:type="dxa"/>
            <w:tcBorders>
              <w:top w:val="single" w:sz="4" w:space="0" w:color="auto"/>
              <w:left w:val="nil"/>
              <w:bottom w:val="single" w:sz="4" w:space="0" w:color="auto"/>
              <w:right w:val="single" w:sz="4" w:space="0" w:color="auto"/>
            </w:tcBorders>
            <w:shd w:val="clear" w:color="auto" w:fill="C6EFCE"/>
            <w:noWrap/>
          </w:tcPr>
          <w:p w14:paraId="45E1925F"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79B92B23"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4FB8DBBE"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850" w:type="dxa"/>
            <w:tcBorders>
              <w:top w:val="single" w:sz="4" w:space="0" w:color="auto"/>
              <w:left w:val="nil"/>
              <w:bottom w:val="single" w:sz="4" w:space="0" w:color="auto"/>
              <w:right w:val="single" w:sz="4" w:space="0" w:color="auto"/>
            </w:tcBorders>
            <w:shd w:val="clear" w:color="auto" w:fill="C6EFCE"/>
            <w:noWrap/>
          </w:tcPr>
          <w:p w14:paraId="01D2F5F3"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Q1</w:t>
            </w:r>
          </w:p>
        </w:tc>
        <w:tc>
          <w:tcPr>
            <w:tcW w:w="566" w:type="dxa"/>
            <w:tcBorders>
              <w:top w:val="single" w:sz="4" w:space="0" w:color="auto"/>
              <w:left w:val="nil"/>
              <w:bottom w:val="single" w:sz="4" w:space="0" w:color="auto"/>
              <w:right w:val="single" w:sz="4" w:space="0" w:color="auto"/>
            </w:tcBorders>
            <w:shd w:val="clear" w:color="auto" w:fill="C6EFCE"/>
            <w:noWrap/>
          </w:tcPr>
          <w:p w14:paraId="15320A4D"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2022</w:t>
            </w:r>
          </w:p>
        </w:tc>
        <w:tc>
          <w:tcPr>
            <w:tcW w:w="3686" w:type="dxa"/>
            <w:tcBorders>
              <w:top w:val="single" w:sz="4" w:space="0" w:color="auto"/>
              <w:left w:val="nil"/>
              <w:bottom w:val="single" w:sz="4" w:space="0" w:color="auto"/>
              <w:right w:val="single" w:sz="4" w:space="0" w:color="auto"/>
            </w:tcBorders>
            <w:shd w:val="clear" w:color="auto" w:fill="C6EFCE"/>
            <w:noWrap/>
          </w:tcPr>
          <w:p w14:paraId="3BC1E718"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The new Ministerial Order shall define the minimum standards of technical equipment for schools to ensure the quality of educational activities carried out in the virtual environment and by means of virtual technology.</w:t>
            </w:r>
          </w:p>
          <w:p w14:paraId="18CB5A43" w14:textId="77777777" w:rsidR="00B803E9" w:rsidRPr="001B1E82" w:rsidRDefault="00B803E9">
            <w:pPr>
              <w:spacing w:after="0" w:line="240" w:lineRule="auto"/>
              <w:jc w:val="both"/>
              <w:rPr>
                <w:rFonts w:ascii="Times New Roman" w:hAnsi="Times New Roman" w:cs="Times New Roman"/>
                <w:noProof/>
                <w:sz w:val="20"/>
                <w:szCs w:val="20"/>
                <w:lang w:val="en-GB"/>
              </w:rPr>
            </w:pPr>
          </w:p>
          <w:p w14:paraId="4C528E50" w14:textId="77777777" w:rsidR="00B803E9" w:rsidRPr="001B1E82" w:rsidRDefault="00B803E9">
            <w:pPr>
              <w:spacing w:after="0" w:line="240" w:lineRule="auto"/>
              <w:jc w:val="both"/>
              <w:rPr>
                <w:rFonts w:ascii="Times New Roman" w:eastAsia="Times New Roman" w:hAnsi="Times New Roman" w:cs="Times New Roman"/>
                <w:noProof/>
                <w:sz w:val="20"/>
                <w:szCs w:val="20"/>
                <w:lang w:val="en-GB"/>
              </w:rPr>
            </w:pPr>
          </w:p>
        </w:tc>
      </w:tr>
      <w:tr w:rsidR="00756311" w:rsidRPr="001B1E82" w14:paraId="35F0B5BC"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72FCFE78"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478</w:t>
            </w:r>
          </w:p>
        </w:tc>
        <w:tc>
          <w:tcPr>
            <w:tcW w:w="1863" w:type="dxa"/>
            <w:tcBorders>
              <w:top w:val="single" w:sz="4" w:space="0" w:color="auto"/>
              <w:left w:val="nil"/>
              <w:bottom w:val="single" w:sz="4" w:space="0" w:color="auto"/>
              <w:right w:val="single" w:sz="4" w:space="0" w:color="auto"/>
            </w:tcBorders>
            <w:shd w:val="clear" w:color="auto" w:fill="C6EFCE"/>
            <w:noWrap/>
          </w:tcPr>
          <w:p w14:paraId="6EBB3535"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Reform 5. Adoption of the legal framework for the digitalisation of education</w:t>
            </w:r>
          </w:p>
        </w:tc>
        <w:tc>
          <w:tcPr>
            <w:tcW w:w="1151" w:type="dxa"/>
            <w:tcBorders>
              <w:top w:val="single" w:sz="4" w:space="0" w:color="auto"/>
              <w:left w:val="nil"/>
              <w:bottom w:val="single" w:sz="4" w:space="0" w:color="auto"/>
              <w:right w:val="single" w:sz="4" w:space="0" w:color="auto"/>
            </w:tcBorders>
            <w:shd w:val="clear" w:color="auto" w:fill="C6EFCE"/>
            <w:noWrap/>
          </w:tcPr>
          <w:p w14:paraId="1EF5169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2031" w:type="dxa"/>
            <w:tcBorders>
              <w:top w:val="single" w:sz="4" w:space="0" w:color="auto"/>
              <w:left w:val="nil"/>
              <w:bottom w:val="single" w:sz="4" w:space="0" w:color="auto"/>
              <w:right w:val="single" w:sz="4" w:space="0" w:color="auto"/>
            </w:tcBorders>
            <w:shd w:val="clear" w:color="auto" w:fill="C6EFCE"/>
            <w:noWrap/>
          </w:tcPr>
          <w:p w14:paraId="3B70345C"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Entry into force of the law setting out the profile of the future teacher on digital competence and how to assess digital competence in school examinations </w:t>
            </w:r>
          </w:p>
        </w:tc>
        <w:tc>
          <w:tcPr>
            <w:tcW w:w="1553" w:type="dxa"/>
            <w:tcBorders>
              <w:top w:val="single" w:sz="4" w:space="0" w:color="auto"/>
              <w:left w:val="nil"/>
              <w:bottom w:val="single" w:sz="4" w:space="0" w:color="auto"/>
              <w:right w:val="single" w:sz="4" w:space="0" w:color="auto"/>
            </w:tcBorders>
            <w:shd w:val="clear" w:color="auto" w:fill="C6EFCE"/>
            <w:noWrap/>
          </w:tcPr>
          <w:p w14:paraId="5A958C48"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Provision in the law indicating the entry into force of the legislative act setting the profile of the future teacher in terms of digital competences and assessment of digital competences</w:t>
            </w:r>
          </w:p>
        </w:tc>
        <w:tc>
          <w:tcPr>
            <w:tcW w:w="1075" w:type="dxa"/>
            <w:tcBorders>
              <w:top w:val="single" w:sz="4" w:space="0" w:color="auto"/>
              <w:left w:val="nil"/>
              <w:bottom w:val="single" w:sz="4" w:space="0" w:color="auto"/>
              <w:right w:val="single" w:sz="4" w:space="0" w:color="auto"/>
            </w:tcBorders>
            <w:shd w:val="clear" w:color="auto" w:fill="C6EFCE"/>
            <w:noWrap/>
          </w:tcPr>
          <w:p w14:paraId="36337E59"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7082EE27"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69F7357E"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850" w:type="dxa"/>
            <w:tcBorders>
              <w:top w:val="single" w:sz="4" w:space="0" w:color="auto"/>
              <w:left w:val="nil"/>
              <w:bottom w:val="single" w:sz="4" w:space="0" w:color="auto"/>
              <w:right w:val="single" w:sz="4" w:space="0" w:color="auto"/>
            </w:tcBorders>
            <w:shd w:val="clear" w:color="auto" w:fill="C6EFCE"/>
            <w:noWrap/>
          </w:tcPr>
          <w:p w14:paraId="4BCC0F32"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Q2</w:t>
            </w:r>
          </w:p>
        </w:tc>
        <w:tc>
          <w:tcPr>
            <w:tcW w:w="566" w:type="dxa"/>
            <w:tcBorders>
              <w:top w:val="single" w:sz="4" w:space="0" w:color="auto"/>
              <w:left w:val="nil"/>
              <w:bottom w:val="single" w:sz="4" w:space="0" w:color="auto"/>
              <w:right w:val="single" w:sz="4" w:space="0" w:color="auto"/>
            </w:tcBorders>
            <w:shd w:val="clear" w:color="auto" w:fill="C6EFCE"/>
            <w:noWrap/>
          </w:tcPr>
          <w:p w14:paraId="6E6FC4A2"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2022</w:t>
            </w:r>
          </w:p>
        </w:tc>
        <w:tc>
          <w:tcPr>
            <w:tcW w:w="3686" w:type="dxa"/>
            <w:tcBorders>
              <w:top w:val="single" w:sz="4" w:space="0" w:color="auto"/>
              <w:left w:val="nil"/>
              <w:bottom w:val="single" w:sz="4" w:space="0" w:color="auto"/>
              <w:right w:val="single" w:sz="4" w:space="0" w:color="auto"/>
            </w:tcBorders>
            <w:shd w:val="clear" w:color="auto" w:fill="C6EFCE"/>
            <w:noWrap/>
          </w:tcPr>
          <w:p w14:paraId="50D76207"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The new law setting out the profile of the future teacher on digital competence and how to assess digital competence in school examinations shall:</w:t>
            </w:r>
          </w:p>
          <w:p w14:paraId="71D88506" w14:textId="77777777" w:rsidR="00B803E9" w:rsidRPr="001B1E82" w:rsidRDefault="00B803E9" w:rsidP="00B803E9">
            <w:pPr>
              <w:numPr>
                <w:ilvl w:val="0"/>
                <w:numId w:val="72"/>
              </w:numPr>
              <w:tabs>
                <w:tab w:val="left" w:pos="189"/>
              </w:tabs>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Set out the digital skills profile of the professional in education, as well as the mechanism for validating teachers’ digital competence in school exams, in accordance with the European Framework of Educators’ Digital Competence</w:t>
            </w:r>
            <w:r w:rsidRPr="001B1E82">
              <w:rPr>
                <w:rFonts w:ascii="Times New Roman" w:hAnsi="Times New Roman" w:cs="Times New Roman"/>
                <w:noProof/>
                <w:sz w:val="20"/>
                <w:szCs w:val="20"/>
                <w:vertAlign w:val="superscript"/>
                <w:lang w:val="en-GB"/>
              </w:rPr>
              <w:footnoteReference w:id="37"/>
            </w:r>
            <w:r w:rsidRPr="001B1E82">
              <w:rPr>
                <w:rFonts w:ascii="Times New Roman" w:hAnsi="Times New Roman" w:cs="Times New Roman"/>
                <w:noProof/>
                <w:sz w:val="20"/>
                <w:szCs w:val="20"/>
                <w:lang w:val="en-GB"/>
              </w:rPr>
              <w:t>.</w:t>
            </w:r>
          </w:p>
          <w:p w14:paraId="1A743942" w14:textId="77777777" w:rsidR="00B803E9" w:rsidRPr="001B1E82" w:rsidRDefault="00B803E9" w:rsidP="00B803E9">
            <w:pPr>
              <w:numPr>
                <w:ilvl w:val="0"/>
                <w:numId w:val="72"/>
              </w:numPr>
              <w:tabs>
                <w:tab w:val="left" w:pos="189"/>
              </w:tabs>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Integrate into the Framework Education Plan, Psycho-pedagogical and Master Training Programmes modules for developing the digital skills of future teachers and for familiarising and using modern teaching methods and techniques under the DigCompEdu Framework.</w:t>
            </w:r>
          </w:p>
          <w:p w14:paraId="77C5590A" w14:textId="77777777" w:rsidR="00B803E9" w:rsidRPr="001B1E82" w:rsidRDefault="00B803E9" w:rsidP="00B803E9">
            <w:pPr>
              <w:numPr>
                <w:ilvl w:val="0"/>
                <w:numId w:val="72"/>
              </w:numPr>
              <w:tabs>
                <w:tab w:val="left" w:pos="189"/>
              </w:tabs>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Establish the framework for school inspection (monitoring and evaluation of virtual teaching activities).</w:t>
            </w:r>
          </w:p>
          <w:p w14:paraId="68F5BA15" w14:textId="77777777" w:rsidR="00B803E9" w:rsidRPr="001B1E82" w:rsidRDefault="00B803E9">
            <w:pPr>
              <w:spacing w:after="0" w:line="240" w:lineRule="auto"/>
              <w:jc w:val="both"/>
              <w:rPr>
                <w:rFonts w:ascii="Times New Roman" w:eastAsia="Times New Roman" w:hAnsi="Times New Roman" w:cs="Times New Roman"/>
                <w:noProof/>
                <w:sz w:val="20"/>
                <w:szCs w:val="20"/>
                <w:lang w:val="en-GB"/>
              </w:rPr>
            </w:pPr>
            <w:r w:rsidRPr="001B1E82">
              <w:rPr>
                <w:rFonts w:ascii="Times New Roman" w:hAnsi="Times New Roman" w:cs="Times New Roman"/>
                <w:noProof/>
                <w:sz w:val="20"/>
                <w:szCs w:val="20"/>
                <w:lang w:val="en-GB"/>
              </w:rPr>
              <w:t>Establish the assessment methodologies for the online environment, students’ school performance, including the development of a platform for the secure assessment of pupils’ competences.</w:t>
            </w:r>
          </w:p>
        </w:tc>
      </w:tr>
      <w:tr w:rsidR="00756311" w:rsidRPr="001B1E82" w14:paraId="6D0AF757"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6E78BBAB"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479</w:t>
            </w:r>
          </w:p>
        </w:tc>
        <w:tc>
          <w:tcPr>
            <w:tcW w:w="1863" w:type="dxa"/>
            <w:tcBorders>
              <w:top w:val="single" w:sz="4" w:space="0" w:color="auto"/>
              <w:left w:val="nil"/>
              <w:bottom w:val="single" w:sz="4" w:space="0" w:color="auto"/>
              <w:right w:val="single" w:sz="4" w:space="0" w:color="auto"/>
            </w:tcBorders>
            <w:shd w:val="clear" w:color="auto" w:fill="C6EFCE"/>
            <w:noWrap/>
          </w:tcPr>
          <w:p w14:paraId="28C48F2D"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Reform 5. Adoption of the legal framework for the digitalisation of education</w:t>
            </w:r>
          </w:p>
        </w:tc>
        <w:tc>
          <w:tcPr>
            <w:tcW w:w="1151" w:type="dxa"/>
            <w:tcBorders>
              <w:top w:val="single" w:sz="4" w:space="0" w:color="auto"/>
              <w:left w:val="nil"/>
              <w:bottom w:val="single" w:sz="4" w:space="0" w:color="auto"/>
              <w:right w:val="single" w:sz="4" w:space="0" w:color="auto"/>
            </w:tcBorders>
            <w:shd w:val="clear" w:color="auto" w:fill="C6EFCE"/>
            <w:noWrap/>
          </w:tcPr>
          <w:p w14:paraId="17B57529"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2031" w:type="dxa"/>
            <w:tcBorders>
              <w:top w:val="single" w:sz="4" w:space="0" w:color="auto"/>
              <w:left w:val="nil"/>
              <w:bottom w:val="single" w:sz="4" w:space="0" w:color="auto"/>
              <w:right w:val="single" w:sz="4" w:space="0" w:color="auto"/>
            </w:tcBorders>
            <w:shd w:val="clear" w:color="auto" w:fill="C6EFCE"/>
            <w:noWrap/>
          </w:tcPr>
          <w:p w14:paraId="275C6822"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Entry into force of the legal acts setting out the National Digital Skills Reference Framework for pre-university education</w:t>
            </w:r>
          </w:p>
        </w:tc>
        <w:tc>
          <w:tcPr>
            <w:tcW w:w="1553" w:type="dxa"/>
            <w:tcBorders>
              <w:top w:val="single" w:sz="4" w:space="0" w:color="auto"/>
              <w:left w:val="nil"/>
              <w:bottom w:val="single" w:sz="4" w:space="0" w:color="auto"/>
              <w:right w:val="single" w:sz="4" w:space="0" w:color="auto"/>
            </w:tcBorders>
            <w:shd w:val="clear" w:color="auto" w:fill="C6EFCE"/>
            <w:noWrap/>
          </w:tcPr>
          <w:p w14:paraId="1F13A9B5"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Provision in the legal act indicating the entry into force of the National Digital Skills Reference Framework </w:t>
            </w:r>
          </w:p>
        </w:tc>
        <w:tc>
          <w:tcPr>
            <w:tcW w:w="1075" w:type="dxa"/>
            <w:tcBorders>
              <w:top w:val="single" w:sz="4" w:space="0" w:color="auto"/>
              <w:left w:val="nil"/>
              <w:bottom w:val="single" w:sz="4" w:space="0" w:color="auto"/>
              <w:right w:val="single" w:sz="4" w:space="0" w:color="auto"/>
            </w:tcBorders>
            <w:shd w:val="clear" w:color="auto" w:fill="C6EFCE"/>
            <w:noWrap/>
          </w:tcPr>
          <w:p w14:paraId="506257EC"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67D3EA6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47D439F3"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850" w:type="dxa"/>
            <w:tcBorders>
              <w:top w:val="single" w:sz="4" w:space="0" w:color="auto"/>
              <w:left w:val="nil"/>
              <w:bottom w:val="single" w:sz="4" w:space="0" w:color="auto"/>
              <w:right w:val="single" w:sz="4" w:space="0" w:color="auto"/>
            </w:tcBorders>
            <w:shd w:val="clear" w:color="auto" w:fill="C6EFCE"/>
            <w:noWrap/>
          </w:tcPr>
          <w:p w14:paraId="33BFF28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Q2</w:t>
            </w:r>
          </w:p>
        </w:tc>
        <w:tc>
          <w:tcPr>
            <w:tcW w:w="566" w:type="dxa"/>
            <w:tcBorders>
              <w:top w:val="single" w:sz="4" w:space="0" w:color="auto"/>
              <w:left w:val="nil"/>
              <w:bottom w:val="single" w:sz="4" w:space="0" w:color="auto"/>
              <w:right w:val="single" w:sz="4" w:space="0" w:color="auto"/>
            </w:tcBorders>
            <w:shd w:val="clear" w:color="auto" w:fill="C6EFCE"/>
            <w:noWrap/>
          </w:tcPr>
          <w:p w14:paraId="65C7D0F3"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2024</w:t>
            </w:r>
          </w:p>
        </w:tc>
        <w:tc>
          <w:tcPr>
            <w:tcW w:w="3686" w:type="dxa"/>
            <w:tcBorders>
              <w:top w:val="single" w:sz="4" w:space="0" w:color="auto"/>
              <w:left w:val="nil"/>
              <w:bottom w:val="single" w:sz="4" w:space="0" w:color="auto"/>
              <w:right w:val="single" w:sz="4" w:space="0" w:color="auto"/>
            </w:tcBorders>
            <w:shd w:val="clear" w:color="auto" w:fill="C6EFCE"/>
            <w:noWrap/>
          </w:tcPr>
          <w:p w14:paraId="3DA7E50D" w14:textId="77777777" w:rsidR="00B803E9" w:rsidRPr="001B1E82" w:rsidRDefault="00B803E9">
            <w:pPr>
              <w:spacing w:after="0" w:line="240" w:lineRule="auto"/>
              <w:jc w:val="both"/>
              <w:rPr>
                <w:rFonts w:ascii="Times New Roman" w:eastAsia="Times New Roman" w:hAnsi="Times New Roman" w:cs="Times New Roman"/>
                <w:noProof/>
                <w:sz w:val="20"/>
                <w:szCs w:val="20"/>
                <w:lang w:val="en-GB"/>
              </w:rPr>
            </w:pPr>
            <w:r w:rsidRPr="001B1E82">
              <w:rPr>
                <w:rFonts w:ascii="Times New Roman" w:hAnsi="Times New Roman" w:cs="Times New Roman"/>
                <w:noProof/>
                <w:sz w:val="20"/>
                <w:szCs w:val="20"/>
                <w:lang w:val="en-GB"/>
              </w:rPr>
              <w:t>Entry into force of the legal acts that shall set out the National Reference Framework for increasing the digital skills of pre-university pupils in line with DigComp: European Digital Competence Framework for Citizens</w:t>
            </w:r>
            <w:r w:rsidRPr="001B1E82">
              <w:rPr>
                <w:rFonts w:ascii="Times New Roman" w:hAnsi="Times New Roman" w:cs="Times New Roman"/>
                <w:noProof/>
                <w:sz w:val="20"/>
                <w:szCs w:val="20"/>
                <w:vertAlign w:val="superscript"/>
                <w:lang w:val="en-GB"/>
              </w:rPr>
              <w:footnoteReference w:id="38"/>
            </w:r>
            <w:r w:rsidRPr="001B1E82">
              <w:rPr>
                <w:rFonts w:ascii="Times New Roman" w:hAnsi="Times New Roman" w:cs="Times New Roman"/>
                <w:noProof/>
                <w:sz w:val="20"/>
                <w:szCs w:val="20"/>
                <w:lang w:val="en-GB"/>
              </w:rPr>
              <w:t>.</w:t>
            </w:r>
          </w:p>
        </w:tc>
      </w:tr>
      <w:tr w:rsidR="00756311" w:rsidRPr="001B1E82" w14:paraId="4D1CC269"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58BFB9B8"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480</w:t>
            </w:r>
          </w:p>
        </w:tc>
        <w:tc>
          <w:tcPr>
            <w:tcW w:w="1863" w:type="dxa"/>
            <w:tcBorders>
              <w:top w:val="single" w:sz="4" w:space="0" w:color="auto"/>
              <w:left w:val="nil"/>
              <w:bottom w:val="single" w:sz="4" w:space="0" w:color="auto"/>
              <w:right w:val="single" w:sz="4" w:space="0" w:color="auto"/>
            </w:tcBorders>
            <w:shd w:val="clear" w:color="auto" w:fill="C6EFCE"/>
            <w:noWrap/>
          </w:tcPr>
          <w:p w14:paraId="4E449E1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8. Digital pedagogy training programme(s) for teaching staff</w:t>
            </w:r>
          </w:p>
        </w:tc>
        <w:tc>
          <w:tcPr>
            <w:tcW w:w="1151" w:type="dxa"/>
            <w:tcBorders>
              <w:top w:val="single" w:sz="4" w:space="0" w:color="auto"/>
              <w:left w:val="nil"/>
              <w:bottom w:val="single" w:sz="4" w:space="0" w:color="auto"/>
              <w:right w:val="single" w:sz="4" w:space="0" w:color="auto"/>
            </w:tcBorders>
            <w:shd w:val="clear" w:color="auto" w:fill="C6EFCE"/>
            <w:noWrap/>
          </w:tcPr>
          <w:p w14:paraId="39718E74"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sidDel="001D5AE1">
              <w:rPr>
                <w:rFonts w:ascii="Times New Roman" w:hAnsi="Times New Roman" w:cs="Times New Roman"/>
                <w:noProof/>
                <w:sz w:val="20"/>
                <w:szCs w:val="20"/>
                <w:lang w:val="en-GB"/>
              </w:rPr>
              <w:t>Target</w:t>
            </w:r>
          </w:p>
        </w:tc>
        <w:tc>
          <w:tcPr>
            <w:tcW w:w="2031" w:type="dxa"/>
            <w:tcBorders>
              <w:top w:val="single" w:sz="4" w:space="0" w:color="auto"/>
              <w:left w:val="nil"/>
              <w:bottom w:val="single" w:sz="4" w:space="0" w:color="auto"/>
              <w:right w:val="single" w:sz="4" w:space="0" w:color="auto"/>
            </w:tcBorders>
            <w:shd w:val="clear" w:color="auto" w:fill="C6EFCE"/>
            <w:noWrap/>
          </w:tcPr>
          <w:p w14:paraId="5472D78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Teachers trained for digital pedagogy and skills </w:t>
            </w:r>
          </w:p>
        </w:tc>
        <w:tc>
          <w:tcPr>
            <w:tcW w:w="1553" w:type="dxa"/>
            <w:tcBorders>
              <w:top w:val="single" w:sz="4" w:space="0" w:color="auto"/>
              <w:left w:val="nil"/>
              <w:bottom w:val="single" w:sz="4" w:space="0" w:color="auto"/>
              <w:right w:val="single" w:sz="4" w:space="0" w:color="auto"/>
            </w:tcBorders>
            <w:shd w:val="clear" w:color="auto" w:fill="C6EFCE"/>
            <w:noWrap/>
          </w:tcPr>
          <w:p w14:paraId="54C31249"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75" w:type="dxa"/>
            <w:tcBorders>
              <w:top w:val="single" w:sz="4" w:space="0" w:color="auto"/>
              <w:left w:val="nil"/>
              <w:bottom w:val="single" w:sz="4" w:space="0" w:color="auto"/>
              <w:right w:val="single" w:sz="4" w:space="0" w:color="auto"/>
            </w:tcBorders>
            <w:shd w:val="clear" w:color="auto" w:fill="C6EFCE"/>
            <w:noWrap/>
          </w:tcPr>
          <w:p w14:paraId="5AA155DB"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sidDel="00851121">
              <w:rPr>
                <w:rFonts w:ascii="Times New Roman" w:hAnsi="Times New Roman" w:cs="Times New Roman"/>
                <w:noProof/>
                <w:sz w:val="20"/>
                <w:szCs w:val="20"/>
                <w:lang w:val="en-GB"/>
              </w:rPr>
              <w:t>Number</w:t>
            </w:r>
          </w:p>
        </w:tc>
        <w:tc>
          <w:tcPr>
            <w:tcW w:w="1013" w:type="dxa"/>
            <w:tcBorders>
              <w:top w:val="single" w:sz="4" w:space="0" w:color="auto"/>
              <w:left w:val="nil"/>
              <w:bottom w:val="single" w:sz="4" w:space="0" w:color="auto"/>
              <w:right w:val="single" w:sz="4" w:space="0" w:color="auto"/>
            </w:tcBorders>
            <w:shd w:val="clear" w:color="auto" w:fill="C6EFCE"/>
            <w:noWrap/>
          </w:tcPr>
          <w:p w14:paraId="7A679C81"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sidDel="00851121">
              <w:rPr>
                <w:rFonts w:ascii="Times New Roman" w:hAnsi="Times New Roman" w:cs="Times New Roman"/>
                <w:noProof/>
                <w:sz w:val="20"/>
                <w:szCs w:val="20"/>
                <w:lang w:val="en-GB"/>
              </w:rPr>
              <w:t>0</w:t>
            </w:r>
          </w:p>
        </w:tc>
        <w:tc>
          <w:tcPr>
            <w:tcW w:w="995" w:type="dxa"/>
            <w:tcBorders>
              <w:top w:val="single" w:sz="4" w:space="0" w:color="auto"/>
              <w:left w:val="nil"/>
              <w:bottom w:val="single" w:sz="4" w:space="0" w:color="auto"/>
              <w:right w:val="single" w:sz="4" w:space="0" w:color="auto"/>
            </w:tcBorders>
            <w:shd w:val="clear" w:color="auto" w:fill="C6EFCE"/>
            <w:noWrap/>
          </w:tcPr>
          <w:p w14:paraId="73EBFAEB"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100 000</w:t>
            </w:r>
          </w:p>
        </w:tc>
        <w:tc>
          <w:tcPr>
            <w:tcW w:w="850" w:type="dxa"/>
            <w:tcBorders>
              <w:top w:val="single" w:sz="4" w:space="0" w:color="auto"/>
              <w:left w:val="nil"/>
              <w:bottom w:val="single" w:sz="4" w:space="0" w:color="auto"/>
              <w:right w:val="single" w:sz="4" w:space="0" w:color="auto"/>
            </w:tcBorders>
            <w:shd w:val="clear" w:color="auto" w:fill="C6EFCE"/>
            <w:noWrap/>
          </w:tcPr>
          <w:p w14:paraId="3F060587"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Q1</w:t>
            </w:r>
          </w:p>
        </w:tc>
        <w:tc>
          <w:tcPr>
            <w:tcW w:w="566" w:type="dxa"/>
            <w:tcBorders>
              <w:top w:val="single" w:sz="4" w:space="0" w:color="auto"/>
              <w:left w:val="nil"/>
              <w:bottom w:val="single" w:sz="4" w:space="0" w:color="auto"/>
              <w:right w:val="single" w:sz="4" w:space="0" w:color="auto"/>
            </w:tcBorders>
            <w:shd w:val="clear" w:color="auto" w:fill="C6EFCE"/>
            <w:noWrap/>
          </w:tcPr>
          <w:p w14:paraId="650EE521"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2026</w:t>
            </w:r>
          </w:p>
        </w:tc>
        <w:tc>
          <w:tcPr>
            <w:tcW w:w="3686" w:type="dxa"/>
            <w:tcBorders>
              <w:top w:val="single" w:sz="4" w:space="0" w:color="auto"/>
              <w:left w:val="nil"/>
              <w:bottom w:val="single" w:sz="4" w:space="0" w:color="auto"/>
              <w:right w:val="single" w:sz="4" w:space="0" w:color="auto"/>
            </w:tcBorders>
            <w:shd w:val="clear" w:color="auto" w:fill="C6EFCE"/>
            <w:noWrap/>
          </w:tcPr>
          <w:p w14:paraId="07792212" w14:textId="079544A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Certificates of participation to the training programme(s) for digital pedagogy and skills for at least 100</w:t>
            </w:r>
            <w:r w:rsidR="00BD01A2">
              <w:rPr>
                <w:rFonts w:ascii="Times New Roman" w:hAnsi="Times New Roman" w:cs="Times New Roman"/>
                <w:noProof/>
                <w:sz w:val="20"/>
                <w:szCs w:val="20"/>
                <w:lang w:val="en-GB"/>
              </w:rPr>
              <w:t> </w:t>
            </w:r>
            <w:r w:rsidRPr="001B1E82">
              <w:rPr>
                <w:rFonts w:ascii="Times New Roman" w:hAnsi="Times New Roman" w:cs="Times New Roman"/>
                <w:noProof/>
                <w:sz w:val="20"/>
                <w:szCs w:val="20"/>
                <w:lang w:val="en-GB"/>
              </w:rPr>
              <w:t>000 teachers, including from rural and disadvantaged areas.</w:t>
            </w:r>
          </w:p>
        </w:tc>
      </w:tr>
      <w:tr w:rsidR="00756311" w:rsidRPr="001B1E82" w14:paraId="415B91FC"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635B26FC"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482</w:t>
            </w:r>
          </w:p>
        </w:tc>
        <w:tc>
          <w:tcPr>
            <w:tcW w:w="1863" w:type="dxa"/>
            <w:tcBorders>
              <w:top w:val="single" w:sz="4" w:space="0" w:color="auto"/>
              <w:left w:val="nil"/>
              <w:bottom w:val="single" w:sz="4" w:space="0" w:color="auto"/>
              <w:right w:val="single" w:sz="4" w:space="0" w:color="auto"/>
            </w:tcBorders>
            <w:shd w:val="clear" w:color="auto" w:fill="C6EFCE"/>
            <w:noWrap/>
          </w:tcPr>
          <w:p w14:paraId="3AF38084"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9. Digital equipment and technological resources for schools and extracurricular educational establishments</w:t>
            </w:r>
          </w:p>
        </w:tc>
        <w:tc>
          <w:tcPr>
            <w:tcW w:w="1151" w:type="dxa"/>
            <w:tcBorders>
              <w:top w:val="single" w:sz="4" w:space="0" w:color="auto"/>
              <w:left w:val="nil"/>
              <w:bottom w:val="single" w:sz="4" w:space="0" w:color="auto"/>
              <w:right w:val="single" w:sz="4" w:space="0" w:color="auto"/>
            </w:tcBorders>
            <w:shd w:val="clear" w:color="auto" w:fill="C6EFCE"/>
            <w:noWrap/>
          </w:tcPr>
          <w:p w14:paraId="2A96222B"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2031" w:type="dxa"/>
            <w:tcBorders>
              <w:top w:val="single" w:sz="4" w:space="0" w:color="auto"/>
              <w:left w:val="nil"/>
              <w:bottom w:val="single" w:sz="4" w:space="0" w:color="auto"/>
              <w:right w:val="single" w:sz="4" w:space="0" w:color="auto"/>
            </w:tcBorders>
            <w:shd w:val="clear" w:color="auto" w:fill="C6EFCE"/>
            <w:noWrap/>
          </w:tcPr>
          <w:p w14:paraId="5CA999C5"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Schools and extracurricular educational establishments </w:t>
            </w:r>
            <w:r w:rsidRPr="001B1E82" w:rsidDel="001B3490">
              <w:rPr>
                <w:rFonts w:ascii="Times New Roman" w:hAnsi="Times New Roman" w:cs="Times New Roman"/>
                <w:noProof/>
                <w:sz w:val="20"/>
                <w:szCs w:val="20"/>
                <w:lang w:val="en-GB"/>
              </w:rPr>
              <w:t>equipped</w:t>
            </w:r>
            <w:r w:rsidRPr="001B1E82">
              <w:rPr>
                <w:rFonts w:ascii="Times New Roman" w:hAnsi="Times New Roman" w:cs="Times New Roman"/>
                <w:noProof/>
                <w:sz w:val="20"/>
                <w:szCs w:val="20"/>
                <w:lang w:val="en-GB"/>
              </w:rPr>
              <w:t xml:space="preserve"> with technological resources </w:t>
            </w:r>
          </w:p>
        </w:tc>
        <w:tc>
          <w:tcPr>
            <w:tcW w:w="1553" w:type="dxa"/>
            <w:tcBorders>
              <w:top w:val="single" w:sz="4" w:space="0" w:color="auto"/>
              <w:left w:val="nil"/>
              <w:bottom w:val="single" w:sz="4" w:space="0" w:color="auto"/>
              <w:right w:val="single" w:sz="4" w:space="0" w:color="auto"/>
            </w:tcBorders>
            <w:shd w:val="clear" w:color="auto" w:fill="C6EFCE"/>
            <w:noWrap/>
          </w:tcPr>
          <w:p w14:paraId="717D05B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Schools and extracurricular educational establishments </w:t>
            </w:r>
            <w:r w:rsidRPr="001B1E82" w:rsidDel="005728D2">
              <w:rPr>
                <w:rFonts w:ascii="Times New Roman" w:hAnsi="Times New Roman" w:cs="Times New Roman"/>
                <w:noProof/>
                <w:sz w:val="20"/>
                <w:szCs w:val="20"/>
                <w:lang w:val="en-GB"/>
              </w:rPr>
              <w:t>equipped</w:t>
            </w:r>
            <w:r w:rsidRPr="001B1E82">
              <w:rPr>
                <w:rFonts w:ascii="Times New Roman" w:hAnsi="Times New Roman" w:cs="Times New Roman"/>
                <w:noProof/>
                <w:sz w:val="20"/>
                <w:szCs w:val="20"/>
                <w:lang w:val="en-GB"/>
              </w:rPr>
              <w:t xml:space="preserve"> with technological resources</w:t>
            </w:r>
          </w:p>
        </w:tc>
        <w:tc>
          <w:tcPr>
            <w:tcW w:w="1075" w:type="dxa"/>
            <w:tcBorders>
              <w:top w:val="single" w:sz="4" w:space="0" w:color="auto"/>
              <w:left w:val="nil"/>
              <w:bottom w:val="single" w:sz="4" w:space="0" w:color="auto"/>
              <w:right w:val="single" w:sz="4" w:space="0" w:color="auto"/>
            </w:tcBorders>
            <w:shd w:val="clear" w:color="auto" w:fill="C6EFCE"/>
            <w:noWrap/>
          </w:tcPr>
          <w:p w14:paraId="64510D94"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13" w:type="dxa"/>
            <w:tcBorders>
              <w:top w:val="single" w:sz="4" w:space="0" w:color="auto"/>
              <w:left w:val="nil"/>
              <w:bottom w:val="single" w:sz="4" w:space="0" w:color="auto"/>
              <w:right w:val="single" w:sz="4" w:space="0" w:color="auto"/>
            </w:tcBorders>
            <w:shd w:val="clear" w:color="auto" w:fill="C6EFCE"/>
            <w:noWrap/>
          </w:tcPr>
          <w:p w14:paraId="1482C75A"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995" w:type="dxa"/>
            <w:tcBorders>
              <w:top w:val="single" w:sz="4" w:space="0" w:color="auto"/>
              <w:left w:val="nil"/>
              <w:bottom w:val="single" w:sz="4" w:space="0" w:color="auto"/>
              <w:right w:val="single" w:sz="4" w:space="0" w:color="auto"/>
            </w:tcBorders>
            <w:shd w:val="clear" w:color="auto" w:fill="C6EFCE"/>
            <w:noWrap/>
          </w:tcPr>
          <w:p w14:paraId="78268057"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78166FBB"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Q4</w:t>
            </w:r>
          </w:p>
        </w:tc>
        <w:tc>
          <w:tcPr>
            <w:tcW w:w="566" w:type="dxa"/>
            <w:tcBorders>
              <w:top w:val="single" w:sz="4" w:space="0" w:color="auto"/>
              <w:left w:val="nil"/>
              <w:bottom w:val="single" w:sz="4" w:space="0" w:color="auto"/>
              <w:right w:val="single" w:sz="4" w:space="0" w:color="auto"/>
            </w:tcBorders>
            <w:shd w:val="clear" w:color="auto" w:fill="C6EFCE"/>
            <w:noWrap/>
          </w:tcPr>
          <w:p w14:paraId="0FC948F4"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2025</w:t>
            </w:r>
          </w:p>
        </w:tc>
        <w:tc>
          <w:tcPr>
            <w:tcW w:w="3686" w:type="dxa"/>
            <w:tcBorders>
              <w:top w:val="single" w:sz="4" w:space="0" w:color="auto"/>
              <w:left w:val="nil"/>
              <w:bottom w:val="single" w:sz="4" w:space="0" w:color="auto"/>
              <w:right w:val="single" w:sz="4" w:space="0" w:color="auto"/>
            </w:tcBorders>
            <w:shd w:val="clear" w:color="auto" w:fill="C6EFCE"/>
            <w:noWrap/>
          </w:tcPr>
          <w:p w14:paraId="38008166" w14:textId="77777777" w:rsidR="00B803E9" w:rsidRPr="001B1E82" w:rsidRDefault="00B803E9">
            <w:pPr>
              <w:spacing w:after="0" w:line="240" w:lineRule="auto"/>
              <w:jc w:val="both"/>
              <w:rPr>
                <w:rFonts w:ascii="Times New Roman" w:eastAsia="Times New Roman" w:hAnsi="Times New Roman" w:cs="Times New Roman"/>
                <w:noProof/>
                <w:sz w:val="20"/>
                <w:szCs w:val="20"/>
                <w:lang w:val="en-GB"/>
              </w:rPr>
            </w:pPr>
            <w:r w:rsidRPr="001B1E82">
              <w:rPr>
                <w:rFonts w:ascii="Times New Roman" w:eastAsia="Times New Roman" w:hAnsi="Times New Roman" w:cs="Times New Roman"/>
                <w:noProof/>
                <w:sz w:val="20"/>
                <w:szCs w:val="20"/>
                <w:lang w:val="en-GB"/>
              </w:rPr>
              <w:t>Acceptance certificates proving the delivery and commissioning of equipment to schools and extracurricular educational establishments, as follows:</w:t>
            </w:r>
          </w:p>
          <w:p w14:paraId="0670E7D8" w14:textId="77777777" w:rsidR="00B803E9" w:rsidRPr="001B1E82" w:rsidRDefault="00B803E9" w:rsidP="00B803E9">
            <w:pPr>
              <w:pStyle w:val="ListParagraph"/>
              <w:numPr>
                <w:ilvl w:val="0"/>
                <w:numId w:val="72"/>
              </w:numPr>
              <w:spacing w:after="0" w:line="240" w:lineRule="auto"/>
              <w:jc w:val="both"/>
              <w:rPr>
                <w:rFonts w:ascii="Times New Roman" w:eastAsia="Times New Roman" w:hAnsi="Times New Roman" w:cs="Times New Roman"/>
                <w:noProof/>
                <w:sz w:val="20"/>
                <w:szCs w:val="20"/>
                <w:lang w:val="en-GB"/>
              </w:rPr>
            </w:pPr>
            <w:r w:rsidRPr="001B1E82">
              <w:rPr>
                <w:rFonts w:ascii="Times New Roman" w:hAnsi="Times New Roman" w:cs="Times New Roman"/>
                <w:noProof/>
                <w:sz w:val="20"/>
                <w:szCs w:val="20"/>
                <w:lang w:val="en-GB"/>
              </w:rPr>
              <w:t>At least 4 300 equipped with technological resources for IT laboratories.</w:t>
            </w:r>
          </w:p>
          <w:p w14:paraId="347B0F61" w14:textId="635D9A15" w:rsidR="00B803E9" w:rsidRPr="001B1E82" w:rsidRDefault="00B803E9" w:rsidP="00B803E9">
            <w:pPr>
              <w:pStyle w:val="ListParagraph"/>
              <w:numPr>
                <w:ilvl w:val="0"/>
                <w:numId w:val="72"/>
              </w:numPr>
              <w:spacing w:after="0" w:line="240" w:lineRule="auto"/>
              <w:jc w:val="both"/>
              <w:rPr>
                <w:rFonts w:ascii="Times New Roman" w:eastAsia="Times New Roman" w:hAnsi="Times New Roman" w:cs="Times New Roman"/>
                <w:noProof/>
                <w:sz w:val="20"/>
                <w:szCs w:val="20"/>
                <w:lang w:val="en-GB"/>
              </w:rPr>
            </w:pPr>
            <w:r w:rsidRPr="001B1E82">
              <w:rPr>
                <w:rFonts w:ascii="Times New Roman" w:hAnsi="Times New Roman" w:cs="Times New Roman"/>
                <w:noProof/>
                <w:sz w:val="20"/>
                <w:szCs w:val="20"/>
                <w:lang w:val="en-GB"/>
              </w:rPr>
              <w:t>At least 3 600</w:t>
            </w:r>
            <w:r w:rsidR="00D23D91" w:rsidRPr="001B1E82">
              <w:rPr>
                <w:rFonts w:ascii="Times New Roman" w:hAnsi="Times New Roman" w:cs="Times New Roman"/>
                <w:noProof/>
                <w:sz w:val="20"/>
                <w:szCs w:val="20"/>
                <w:lang w:val="en-GB"/>
              </w:rPr>
              <w:t xml:space="preserve"> </w:t>
            </w:r>
            <w:r w:rsidRPr="001B1E82">
              <w:rPr>
                <w:rFonts w:ascii="Times New Roman" w:hAnsi="Times New Roman" w:cs="Times New Roman"/>
                <w:noProof/>
                <w:sz w:val="20"/>
                <w:szCs w:val="20"/>
                <w:lang w:val="en-GB"/>
              </w:rPr>
              <w:t>equipped with technological equipment and/or infrastructure.</w:t>
            </w:r>
          </w:p>
          <w:p w14:paraId="7009C1C5" w14:textId="77777777" w:rsidR="00B803E9" w:rsidRPr="001B1E82" w:rsidRDefault="00B803E9" w:rsidP="00B803E9">
            <w:pPr>
              <w:pStyle w:val="ListParagraph"/>
              <w:numPr>
                <w:ilvl w:val="0"/>
                <w:numId w:val="72"/>
              </w:numPr>
              <w:spacing w:after="0" w:line="240" w:lineRule="auto"/>
              <w:jc w:val="both"/>
              <w:rPr>
                <w:rFonts w:ascii="Times New Roman" w:eastAsia="Times New Roman" w:hAnsi="Times New Roman" w:cs="Times New Roman"/>
                <w:noProof/>
                <w:sz w:val="20"/>
                <w:szCs w:val="20"/>
                <w:lang w:val="en-GB"/>
              </w:rPr>
            </w:pPr>
            <w:r w:rsidRPr="001B1E82">
              <w:rPr>
                <w:rFonts w:ascii="Times New Roman" w:eastAsia="Times New Roman" w:hAnsi="Times New Roman" w:cs="Times New Roman"/>
                <w:noProof/>
                <w:sz w:val="20"/>
                <w:szCs w:val="20"/>
                <w:lang w:val="en-GB"/>
              </w:rPr>
              <w:t>At least 1100 Smart Labs purchased.</w:t>
            </w:r>
          </w:p>
        </w:tc>
      </w:tr>
      <w:tr w:rsidR="00756311" w:rsidRPr="001B1E82" w14:paraId="32764662"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70FC4E48"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485</w:t>
            </w:r>
          </w:p>
        </w:tc>
        <w:tc>
          <w:tcPr>
            <w:tcW w:w="1863" w:type="dxa"/>
            <w:tcBorders>
              <w:top w:val="single" w:sz="4" w:space="0" w:color="auto"/>
              <w:left w:val="nil"/>
              <w:bottom w:val="single" w:sz="4" w:space="0" w:color="auto"/>
              <w:right w:val="single" w:sz="4" w:space="0" w:color="auto"/>
            </w:tcBorders>
            <w:shd w:val="clear" w:color="auto" w:fill="C6EFCE"/>
            <w:noWrap/>
          </w:tcPr>
          <w:p w14:paraId="1A5402EA"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Reform 6. </w:t>
            </w:r>
          </w:p>
          <w:p w14:paraId="24008E12"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Updated regulatory framework to ensure environmentally friendly design, construction and endowment standards in the pre-university education system</w:t>
            </w:r>
          </w:p>
        </w:tc>
        <w:tc>
          <w:tcPr>
            <w:tcW w:w="1151" w:type="dxa"/>
            <w:tcBorders>
              <w:top w:val="single" w:sz="4" w:space="0" w:color="auto"/>
              <w:left w:val="nil"/>
              <w:bottom w:val="single" w:sz="4" w:space="0" w:color="auto"/>
              <w:right w:val="single" w:sz="4" w:space="0" w:color="auto"/>
            </w:tcBorders>
            <w:shd w:val="clear" w:color="auto" w:fill="C6EFCE"/>
            <w:noWrap/>
          </w:tcPr>
          <w:p w14:paraId="445711D2"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2031" w:type="dxa"/>
            <w:tcBorders>
              <w:top w:val="single" w:sz="4" w:space="0" w:color="auto"/>
              <w:left w:val="nil"/>
              <w:bottom w:val="single" w:sz="4" w:space="0" w:color="auto"/>
              <w:right w:val="single" w:sz="4" w:space="0" w:color="auto"/>
            </w:tcBorders>
            <w:shd w:val="clear" w:color="auto" w:fill="C6EFCE"/>
            <w:noWrap/>
          </w:tcPr>
          <w:p w14:paraId="5B53717D"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Entry into force of amendments to the legislative framework to increase the quality of learning environments </w:t>
            </w:r>
          </w:p>
        </w:tc>
        <w:tc>
          <w:tcPr>
            <w:tcW w:w="1553" w:type="dxa"/>
            <w:tcBorders>
              <w:top w:val="single" w:sz="4" w:space="0" w:color="auto"/>
              <w:left w:val="nil"/>
              <w:bottom w:val="single" w:sz="4" w:space="0" w:color="auto"/>
              <w:right w:val="single" w:sz="4" w:space="0" w:color="auto"/>
            </w:tcBorders>
            <w:shd w:val="clear" w:color="auto" w:fill="C6EFCE"/>
            <w:noWrap/>
          </w:tcPr>
          <w:p w14:paraId="2B35BE33"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Provision in the law indicating the entry into force of the new legislative framework to increase the quality of learning environments </w:t>
            </w:r>
          </w:p>
        </w:tc>
        <w:tc>
          <w:tcPr>
            <w:tcW w:w="1075" w:type="dxa"/>
            <w:tcBorders>
              <w:top w:val="single" w:sz="4" w:space="0" w:color="auto"/>
              <w:left w:val="nil"/>
              <w:bottom w:val="single" w:sz="4" w:space="0" w:color="auto"/>
              <w:right w:val="single" w:sz="4" w:space="0" w:color="auto"/>
            </w:tcBorders>
            <w:shd w:val="clear" w:color="auto" w:fill="C6EFCE"/>
            <w:noWrap/>
          </w:tcPr>
          <w:p w14:paraId="47CE72AF"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56127A57"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1DEC427C"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850" w:type="dxa"/>
            <w:tcBorders>
              <w:top w:val="single" w:sz="4" w:space="0" w:color="auto"/>
              <w:left w:val="nil"/>
              <w:bottom w:val="single" w:sz="4" w:space="0" w:color="auto"/>
              <w:right w:val="single" w:sz="4" w:space="0" w:color="auto"/>
            </w:tcBorders>
            <w:shd w:val="clear" w:color="auto" w:fill="C6EFCE"/>
            <w:noWrap/>
          </w:tcPr>
          <w:p w14:paraId="0BBF519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Q2</w:t>
            </w:r>
          </w:p>
        </w:tc>
        <w:tc>
          <w:tcPr>
            <w:tcW w:w="566" w:type="dxa"/>
            <w:tcBorders>
              <w:top w:val="single" w:sz="4" w:space="0" w:color="auto"/>
              <w:left w:val="nil"/>
              <w:bottom w:val="single" w:sz="4" w:space="0" w:color="auto"/>
              <w:right w:val="single" w:sz="4" w:space="0" w:color="auto"/>
            </w:tcBorders>
            <w:shd w:val="clear" w:color="auto" w:fill="C6EFCE"/>
            <w:noWrap/>
          </w:tcPr>
          <w:p w14:paraId="45A9A65B"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2022</w:t>
            </w:r>
          </w:p>
        </w:tc>
        <w:tc>
          <w:tcPr>
            <w:tcW w:w="3686" w:type="dxa"/>
            <w:tcBorders>
              <w:top w:val="single" w:sz="4" w:space="0" w:color="auto"/>
              <w:left w:val="nil"/>
              <w:bottom w:val="single" w:sz="4" w:space="0" w:color="auto"/>
              <w:right w:val="single" w:sz="4" w:space="0" w:color="auto"/>
            </w:tcBorders>
            <w:shd w:val="clear" w:color="auto" w:fill="C6EFCE"/>
            <w:noWrap/>
          </w:tcPr>
          <w:p w14:paraId="185FDA1C"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 the context of the transition to green and smart buildings, there is a need to reform the regulatory framework on the design, endowment and operation of schools. The new law shall include:</w:t>
            </w:r>
          </w:p>
          <w:p w14:paraId="303F30FA" w14:textId="77777777" w:rsidR="00B803E9" w:rsidRPr="001B1E82" w:rsidRDefault="00B803E9" w:rsidP="00B803E9">
            <w:pPr>
              <w:numPr>
                <w:ilvl w:val="0"/>
                <w:numId w:val="73"/>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Rules on the design and operation of buildings for schools and secondary schools (Normative 010/1997);</w:t>
            </w:r>
          </w:p>
          <w:p w14:paraId="0346A145" w14:textId="77777777" w:rsidR="00B803E9" w:rsidRPr="001B1E82" w:rsidRDefault="00B803E9" w:rsidP="00B803E9">
            <w:pPr>
              <w:numPr>
                <w:ilvl w:val="0"/>
                <w:numId w:val="73"/>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Updating/drafting minimum endowments by updating the following legislative acts: Minimum endowment for Classes V to VIII, approved by Ministerial Order 3486/2006, Minimum endowment Rules for primary education Ministerial Order 3263/2006, Pre-school standards and regulations, Annex 1 Standards for teaching materials, and 0 Annex 2 on Minimum equipment standards, approved by Ministerial Order 3850/2010.</w:t>
            </w:r>
          </w:p>
          <w:p w14:paraId="47A57B41" w14:textId="77777777" w:rsidR="00B803E9" w:rsidRPr="001B1E82" w:rsidRDefault="00B803E9">
            <w:pPr>
              <w:spacing w:after="0" w:line="240" w:lineRule="auto"/>
              <w:ind w:left="93"/>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The regulatory framework for the implementation of investments in the transition to green buildings shall be complemented by regulations on the functioning of green schools and by methodologies for the operation and organization of green schools, including adapted curriculum, that shall establish teaching landmarks for fostering students’ behaviour that respect the natural environment.</w:t>
            </w:r>
          </w:p>
        </w:tc>
      </w:tr>
      <w:tr w:rsidR="00756311" w:rsidRPr="001B1E82" w14:paraId="07E10102"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7E76D8F1"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486</w:t>
            </w:r>
          </w:p>
        </w:tc>
        <w:tc>
          <w:tcPr>
            <w:tcW w:w="1863" w:type="dxa"/>
            <w:tcBorders>
              <w:top w:val="single" w:sz="4" w:space="0" w:color="auto"/>
              <w:left w:val="nil"/>
              <w:bottom w:val="single" w:sz="4" w:space="0" w:color="auto"/>
              <w:right w:val="single" w:sz="4" w:space="0" w:color="auto"/>
            </w:tcBorders>
            <w:shd w:val="clear" w:color="auto" w:fill="C6EFCE"/>
            <w:noWrap/>
          </w:tcPr>
          <w:p w14:paraId="306D905C"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10. Green-schools network development and purchase of green minibuses</w:t>
            </w:r>
          </w:p>
        </w:tc>
        <w:tc>
          <w:tcPr>
            <w:tcW w:w="1151" w:type="dxa"/>
            <w:tcBorders>
              <w:top w:val="single" w:sz="4" w:space="0" w:color="auto"/>
              <w:left w:val="nil"/>
              <w:bottom w:val="single" w:sz="4" w:space="0" w:color="auto"/>
              <w:right w:val="single" w:sz="4" w:space="0" w:color="auto"/>
            </w:tcBorders>
            <w:shd w:val="clear" w:color="auto" w:fill="C6EFCE"/>
            <w:noWrap/>
          </w:tcPr>
          <w:p w14:paraId="7647E82B"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2031" w:type="dxa"/>
            <w:tcBorders>
              <w:top w:val="single" w:sz="4" w:space="0" w:color="auto"/>
              <w:left w:val="nil"/>
              <w:bottom w:val="single" w:sz="4" w:space="0" w:color="auto"/>
              <w:right w:val="single" w:sz="4" w:space="0" w:color="auto"/>
            </w:tcBorders>
            <w:shd w:val="clear" w:color="auto" w:fill="C6EFCE"/>
            <w:noWrap/>
          </w:tcPr>
          <w:p w14:paraId="3FA2B627" w14:textId="57653E55"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Delivery of</w:t>
            </w:r>
            <w:r w:rsidR="00D23D91" w:rsidRPr="001B1E82">
              <w:rPr>
                <w:rFonts w:ascii="Times New Roman" w:hAnsi="Times New Roman" w:cs="Times New Roman"/>
                <w:noProof/>
                <w:sz w:val="20"/>
                <w:szCs w:val="20"/>
                <w:lang w:val="en-GB"/>
              </w:rPr>
              <w:t xml:space="preserve"> </w:t>
            </w:r>
            <w:r w:rsidRPr="001B1E82">
              <w:rPr>
                <w:rFonts w:ascii="Times New Roman" w:hAnsi="Times New Roman" w:cs="Times New Roman"/>
                <w:noProof/>
                <w:sz w:val="20"/>
                <w:szCs w:val="20"/>
                <w:lang w:val="en-GB"/>
              </w:rPr>
              <w:t xml:space="preserve">electric minibuses </w:t>
            </w:r>
          </w:p>
        </w:tc>
        <w:tc>
          <w:tcPr>
            <w:tcW w:w="1553" w:type="dxa"/>
            <w:tcBorders>
              <w:top w:val="single" w:sz="4" w:space="0" w:color="auto"/>
              <w:left w:val="nil"/>
              <w:bottom w:val="single" w:sz="4" w:space="0" w:color="auto"/>
              <w:right w:val="single" w:sz="4" w:space="0" w:color="auto"/>
            </w:tcBorders>
            <w:shd w:val="clear" w:color="auto" w:fill="C6EFCE"/>
            <w:noWrap/>
          </w:tcPr>
          <w:p w14:paraId="6032CBCF"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Electric minibuses delivered</w:t>
            </w:r>
          </w:p>
        </w:tc>
        <w:tc>
          <w:tcPr>
            <w:tcW w:w="1075" w:type="dxa"/>
            <w:tcBorders>
              <w:top w:val="single" w:sz="4" w:space="0" w:color="auto"/>
              <w:left w:val="nil"/>
              <w:bottom w:val="single" w:sz="4" w:space="0" w:color="auto"/>
              <w:right w:val="single" w:sz="4" w:space="0" w:color="auto"/>
            </w:tcBorders>
            <w:shd w:val="clear" w:color="auto" w:fill="C6EFCE"/>
            <w:noWrap/>
          </w:tcPr>
          <w:p w14:paraId="17C1B5A5"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13" w:type="dxa"/>
            <w:tcBorders>
              <w:top w:val="single" w:sz="4" w:space="0" w:color="auto"/>
              <w:left w:val="nil"/>
              <w:bottom w:val="single" w:sz="4" w:space="0" w:color="auto"/>
              <w:right w:val="single" w:sz="4" w:space="0" w:color="auto"/>
            </w:tcBorders>
            <w:shd w:val="clear" w:color="auto" w:fill="C6EFCE"/>
            <w:noWrap/>
          </w:tcPr>
          <w:p w14:paraId="7D622E90"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995" w:type="dxa"/>
            <w:tcBorders>
              <w:top w:val="single" w:sz="4" w:space="0" w:color="auto"/>
              <w:left w:val="nil"/>
              <w:bottom w:val="single" w:sz="4" w:space="0" w:color="auto"/>
              <w:right w:val="single" w:sz="4" w:space="0" w:color="auto"/>
            </w:tcBorders>
            <w:shd w:val="clear" w:color="auto" w:fill="C6EFCE"/>
            <w:noWrap/>
          </w:tcPr>
          <w:p w14:paraId="3AA15049"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5991D1AA"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Q4</w:t>
            </w:r>
          </w:p>
        </w:tc>
        <w:tc>
          <w:tcPr>
            <w:tcW w:w="566" w:type="dxa"/>
            <w:tcBorders>
              <w:top w:val="single" w:sz="4" w:space="0" w:color="auto"/>
              <w:left w:val="nil"/>
              <w:bottom w:val="single" w:sz="4" w:space="0" w:color="auto"/>
              <w:right w:val="single" w:sz="4" w:space="0" w:color="auto"/>
            </w:tcBorders>
            <w:shd w:val="clear" w:color="auto" w:fill="C6EFCE"/>
            <w:noWrap/>
          </w:tcPr>
          <w:p w14:paraId="4A255C18"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2024</w:t>
            </w:r>
          </w:p>
        </w:tc>
        <w:tc>
          <w:tcPr>
            <w:tcW w:w="3686" w:type="dxa"/>
            <w:tcBorders>
              <w:top w:val="single" w:sz="4" w:space="0" w:color="auto"/>
              <w:left w:val="nil"/>
              <w:bottom w:val="single" w:sz="4" w:space="0" w:color="auto"/>
              <w:right w:val="single" w:sz="4" w:space="0" w:color="auto"/>
            </w:tcBorders>
            <w:shd w:val="clear" w:color="auto" w:fill="C6EFCE"/>
            <w:noWrap/>
          </w:tcPr>
          <w:p w14:paraId="164AEFCB"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Acceptance certificates at county level proving delivery of 1 218 electric mini-buses for the transport of students.</w:t>
            </w:r>
          </w:p>
          <w:p w14:paraId="53DE07E0" w14:textId="77777777" w:rsidR="00B803E9" w:rsidRPr="001B1E82" w:rsidRDefault="00B803E9">
            <w:pPr>
              <w:spacing w:after="0" w:line="240" w:lineRule="auto"/>
              <w:jc w:val="both"/>
              <w:rPr>
                <w:rFonts w:ascii="Times New Roman" w:eastAsia="Times New Roman" w:hAnsi="Times New Roman" w:cs="Times New Roman"/>
                <w:noProof/>
                <w:sz w:val="20"/>
                <w:szCs w:val="20"/>
                <w:lang w:val="en-GB"/>
              </w:rPr>
            </w:pPr>
          </w:p>
        </w:tc>
      </w:tr>
      <w:tr w:rsidR="00756311" w:rsidRPr="001B1E82" w14:paraId="655E71AA"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5DF05B07"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487</w:t>
            </w:r>
          </w:p>
        </w:tc>
        <w:tc>
          <w:tcPr>
            <w:tcW w:w="1863" w:type="dxa"/>
            <w:tcBorders>
              <w:top w:val="single" w:sz="4" w:space="0" w:color="auto"/>
              <w:left w:val="nil"/>
              <w:bottom w:val="single" w:sz="4" w:space="0" w:color="auto"/>
              <w:right w:val="single" w:sz="4" w:space="0" w:color="auto"/>
            </w:tcBorders>
            <w:shd w:val="clear" w:color="auto" w:fill="C6EFCE"/>
            <w:noWrap/>
          </w:tcPr>
          <w:p w14:paraId="68E1095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10. Green-schools network development and purchase of green minibuses</w:t>
            </w:r>
          </w:p>
        </w:tc>
        <w:tc>
          <w:tcPr>
            <w:tcW w:w="1151" w:type="dxa"/>
            <w:tcBorders>
              <w:top w:val="single" w:sz="4" w:space="0" w:color="auto"/>
              <w:left w:val="nil"/>
              <w:bottom w:val="single" w:sz="4" w:space="0" w:color="auto"/>
              <w:right w:val="single" w:sz="4" w:space="0" w:color="auto"/>
            </w:tcBorders>
            <w:shd w:val="clear" w:color="auto" w:fill="C6EFCE"/>
            <w:noWrap/>
          </w:tcPr>
          <w:p w14:paraId="1C2F1FE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Target</w:t>
            </w:r>
          </w:p>
        </w:tc>
        <w:tc>
          <w:tcPr>
            <w:tcW w:w="2031" w:type="dxa"/>
            <w:tcBorders>
              <w:top w:val="single" w:sz="4" w:space="0" w:color="auto"/>
              <w:left w:val="nil"/>
              <w:bottom w:val="single" w:sz="4" w:space="0" w:color="auto"/>
              <w:right w:val="single" w:sz="4" w:space="0" w:color="auto"/>
            </w:tcBorders>
            <w:shd w:val="clear" w:color="auto" w:fill="C6EFCE"/>
            <w:noWrap/>
          </w:tcPr>
          <w:p w14:paraId="56E697BC"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Pre-university school area renovated </w:t>
            </w:r>
          </w:p>
        </w:tc>
        <w:tc>
          <w:tcPr>
            <w:tcW w:w="1553" w:type="dxa"/>
            <w:tcBorders>
              <w:top w:val="single" w:sz="4" w:space="0" w:color="auto"/>
              <w:left w:val="nil"/>
              <w:bottom w:val="single" w:sz="4" w:space="0" w:color="auto"/>
              <w:right w:val="single" w:sz="4" w:space="0" w:color="auto"/>
            </w:tcBorders>
            <w:shd w:val="clear" w:color="auto" w:fill="C6EFCE"/>
            <w:noWrap/>
          </w:tcPr>
          <w:p w14:paraId="6757EC73"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75" w:type="dxa"/>
            <w:tcBorders>
              <w:top w:val="single" w:sz="4" w:space="0" w:color="auto"/>
              <w:left w:val="nil"/>
              <w:bottom w:val="single" w:sz="4" w:space="0" w:color="auto"/>
              <w:right w:val="single" w:sz="4" w:space="0" w:color="auto"/>
            </w:tcBorders>
            <w:shd w:val="clear" w:color="auto" w:fill="C6EFCE"/>
            <w:noWrap/>
          </w:tcPr>
          <w:p w14:paraId="3316D9DC"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Number of m</w:t>
            </w:r>
            <w:r w:rsidRPr="001B1E82">
              <w:rPr>
                <w:rFonts w:ascii="Times New Roman" w:hAnsi="Times New Roman" w:cs="Times New Roman"/>
                <w:noProof/>
                <w:sz w:val="20"/>
                <w:szCs w:val="20"/>
                <w:vertAlign w:val="superscript"/>
                <w:lang w:val="en-GB"/>
              </w:rPr>
              <w:t>2</w:t>
            </w:r>
          </w:p>
        </w:tc>
        <w:tc>
          <w:tcPr>
            <w:tcW w:w="1013" w:type="dxa"/>
            <w:tcBorders>
              <w:top w:val="single" w:sz="4" w:space="0" w:color="auto"/>
              <w:left w:val="nil"/>
              <w:bottom w:val="single" w:sz="4" w:space="0" w:color="auto"/>
              <w:right w:val="single" w:sz="4" w:space="0" w:color="auto"/>
            </w:tcBorders>
            <w:shd w:val="clear" w:color="auto" w:fill="C6EFCE"/>
            <w:noWrap/>
          </w:tcPr>
          <w:p w14:paraId="0EB09DD9"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0</w:t>
            </w:r>
          </w:p>
        </w:tc>
        <w:tc>
          <w:tcPr>
            <w:tcW w:w="995" w:type="dxa"/>
            <w:tcBorders>
              <w:top w:val="single" w:sz="4" w:space="0" w:color="auto"/>
              <w:left w:val="nil"/>
              <w:bottom w:val="single" w:sz="4" w:space="0" w:color="auto"/>
              <w:right w:val="single" w:sz="4" w:space="0" w:color="auto"/>
            </w:tcBorders>
            <w:shd w:val="clear" w:color="auto" w:fill="C6EFCE"/>
            <w:noWrap/>
          </w:tcPr>
          <w:p w14:paraId="28A447E7" w14:textId="1B64A069"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18</w:t>
            </w:r>
            <w:r w:rsidR="00F21442" w:rsidRPr="001B1E82">
              <w:rPr>
                <w:rFonts w:ascii="Times New Roman" w:hAnsi="Times New Roman" w:cs="Times New Roman"/>
                <w:noProof/>
                <w:sz w:val="20"/>
                <w:szCs w:val="20"/>
                <w:lang w:val="en-GB"/>
              </w:rPr>
              <w:t> </w:t>
            </w:r>
            <w:r w:rsidRPr="001B1E82">
              <w:rPr>
                <w:rFonts w:ascii="Times New Roman" w:hAnsi="Times New Roman" w:cs="Times New Roman"/>
                <w:noProof/>
                <w:sz w:val="20"/>
                <w:szCs w:val="20"/>
                <w:lang w:val="en-GB"/>
              </w:rPr>
              <w:t>289</w:t>
            </w:r>
          </w:p>
        </w:tc>
        <w:tc>
          <w:tcPr>
            <w:tcW w:w="850" w:type="dxa"/>
            <w:tcBorders>
              <w:top w:val="single" w:sz="4" w:space="0" w:color="auto"/>
              <w:left w:val="nil"/>
              <w:bottom w:val="single" w:sz="4" w:space="0" w:color="auto"/>
              <w:right w:val="single" w:sz="4" w:space="0" w:color="auto"/>
            </w:tcBorders>
            <w:shd w:val="clear" w:color="auto" w:fill="C6EFCE"/>
            <w:noWrap/>
          </w:tcPr>
          <w:p w14:paraId="416739FE"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Q3</w:t>
            </w:r>
          </w:p>
        </w:tc>
        <w:tc>
          <w:tcPr>
            <w:tcW w:w="566" w:type="dxa"/>
            <w:tcBorders>
              <w:top w:val="single" w:sz="4" w:space="0" w:color="auto"/>
              <w:left w:val="nil"/>
              <w:bottom w:val="single" w:sz="4" w:space="0" w:color="auto"/>
              <w:right w:val="single" w:sz="4" w:space="0" w:color="auto"/>
            </w:tcBorders>
            <w:shd w:val="clear" w:color="auto" w:fill="C6EFCE"/>
            <w:noWrap/>
          </w:tcPr>
          <w:p w14:paraId="30288D48"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2026</w:t>
            </w:r>
          </w:p>
        </w:tc>
        <w:tc>
          <w:tcPr>
            <w:tcW w:w="3686" w:type="dxa"/>
            <w:tcBorders>
              <w:top w:val="single" w:sz="4" w:space="0" w:color="auto"/>
              <w:left w:val="nil"/>
              <w:bottom w:val="single" w:sz="4" w:space="0" w:color="auto"/>
              <w:right w:val="single" w:sz="4" w:space="0" w:color="auto"/>
            </w:tcBorders>
            <w:shd w:val="clear" w:color="auto" w:fill="C6EFCE"/>
            <w:noWrap/>
          </w:tcPr>
          <w:p w14:paraId="1EC0CBFD" w14:textId="7708393F" w:rsidR="00B803E9" w:rsidRPr="001B1E82" w:rsidRDefault="00B803E9">
            <w:pPr>
              <w:spacing w:after="0" w:line="240" w:lineRule="auto"/>
              <w:jc w:val="both"/>
              <w:rPr>
                <w:rFonts w:ascii="Times New Roman" w:eastAsia="Times New Roman" w:hAnsi="Times New Roman" w:cs="Times New Roman"/>
                <w:noProof/>
                <w:sz w:val="20"/>
                <w:szCs w:val="20"/>
                <w:lang w:val="en-GB"/>
              </w:rPr>
            </w:pPr>
            <w:r w:rsidRPr="001B1E82">
              <w:rPr>
                <w:rFonts w:ascii="Times New Roman" w:hAnsi="Times New Roman" w:cs="Times New Roman"/>
                <w:noProof/>
                <w:sz w:val="20"/>
                <w:szCs w:val="20"/>
                <w:lang w:val="en-GB"/>
              </w:rPr>
              <w:t>Works completion reception certificates shall confirm that at least 18</w:t>
            </w:r>
            <w:r w:rsidR="00BD01A2">
              <w:rPr>
                <w:rFonts w:ascii="Times New Roman" w:hAnsi="Times New Roman" w:cs="Times New Roman"/>
                <w:noProof/>
                <w:sz w:val="20"/>
                <w:szCs w:val="20"/>
                <w:lang w:val="en-GB"/>
              </w:rPr>
              <w:t> </w:t>
            </w:r>
            <w:r w:rsidRPr="001B1E82">
              <w:rPr>
                <w:rFonts w:ascii="Times New Roman" w:hAnsi="Times New Roman" w:cs="Times New Roman"/>
                <w:noProof/>
                <w:sz w:val="20"/>
                <w:szCs w:val="20"/>
                <w:lang w:val="en-GB"/>
              </w:rPr>
              <w:t>289 m</w:t>
            </w:r>
            <w:r w:rsidRPr="001B1E82">
              <w:rPr>
                <w:rFonts w:ascii="Times New Roman" w:hAnsi="Times New Roman" w:cs="Times New Roman"/>
                <w:noProof/>
                <w:sz w:val="20"/>
                <w:szCs w:val="20"/>
                <w:vertAlign w:val="superscript"/>
                <w:lang w:val="en-GB"/>
              </w:rPr>
              <w:t>2</w:t>
            </w:r>
            <w:r w:rsidRPr="001B1E82">
              <w:rPr>
                <w:rFonts w:ascii="Times New Roman" w:hAnsi="Times New Roman" w:cs="Times New Roman"/>
                <w:noProof/>
                <w:sz w:val="20"/>
                <w:szCs w:val="20"/>
                <w:lang w:val="en-GB"/>
              </w:rPr>
              <w:t xml:space="preserve"> of pre-university school areas have been renovated. Renovated areas shall deliver an increase of 30% primary energy savings compared to the pre-renovation state to be demonstrated through energy performance certificates.</w:t>
            </w:r>
          </w:p>
        </w:tc>
      </w:tr>
      <w:tr w:rsidR="00756311" w:rsidRPr="001B1E82" w14:paraId="40B995E3"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733B6EE8"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489</w:t>
            </w:r>
          </w:p>
        </w:tc>
        <w:tc>
          <w:tcPr>
            <w:tcW w:w="1863" w:type="dxa"/>
            <w:tcBorders>
              <w:top w:val="single" w:sz="4" w:space="0" w:color="auto"/>
              <w:left w:val="nil"/>
              <w:bottom w:val="single" w:sz="4" w:space="0" w:color="auto"/>
              <w:right w:val="single" w:sz="4" w:space="0" w:color="auto"/>
            </w:tcBorders>
            <w:shd w:val="clear" w:color="auto" w:fill="C6EFCE"/>
            <w:noWrap/>
          </w:tcPr>
          <w:p w14:paraId="4A1AA68D"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11. Provision of equipment for pre-university classrooms and school science laboratories/ school cabinets</w:t>
            </w:r>
          </w:p>
        </w:tc>
        <w:tc>
          <w:tcPr>
            <w:tcW w:w="1151" w:type="dxa"/>
            <w:tcBorders>
              <w:top w:val="single" w:sz="4" w:space="0" w:color="auto"/>
              <w:left w:val="nil"/>
              <w:bottom w:val="single" w:sz="4" w:space="0" w:color="auto"/>
              <w:right w:val="single" w:sz="4" w:space="0" w:color="auto"/>
            </w:tcBorders>
            <w:shd w:val="clear" w:color="auto" w:fill="C6EFCE"/>
            <w:noWrap/>
          </w:tcPr>
          <w:p w14:paraId="7B745B31"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2031" w:type="dxa"/>
            <w:tcBorders>
              <w:top w:val="single" w:sz="4" w:space="0" w:color="auto"/>
              <w:left w:val="nil"/>
              <w:bottom w:val="single" w:sz="4" w:space="0" w:color="auto"/>
              <w:right w:val="single" w:sz="4" w:space="0" w:color="auto"/>
            </w:tcBorders>
            <w:shd w:val="clear" w:color="auto" w:fill="C6EFCE"/>
            <w:noWrap/>
          </w:tcPr>
          <w:p w14:paraId="39DB5D3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Signature of financing contracts for fitting classrooms with furniture</w:t>
            </w:r>
          </w:p>
        </w:tc>
        <w:tc>
          <w:tcPr>
            <w:tcW w:w="1553" w:type="dxa"/>
            <w:tcBorders>
              <w:top w:val="single" w:sz="4" w:space="0" w:color="auto"/>
              <w:left w:val="nil"/>
              <w:bottom w:val="single" w:sz="4" w:space="0" w:color="auto"/>
              <w:right w:val="single" w:sz="4" w:space="0" w:color="auto"/>
            </w:tcBorders>
            <w:shd w:val="clear" w:color="auto" w:fill="C6EFCE"/>
            <w:noWrap/>
          </w:tcPr>
          <w:p w14:paraId="2F92D3FA"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Signature of financing contracts for fitting classrooms with furniture</w:t>
            </w:r>
          </w:p>
        </w:tc>
        <w:tc>
          <w:tcPr>
            <w:tcW w:w="1075" w:type="dxa"/>
            <w:tcBorders>
              <w:top w:val="single" w:sz="4" w:space="0" w:color="auto"/>
              <w:left w:val="nil"/>
              <w:bottom w:val="single" w:sz="4" w:space="0" w:color="auto"/>
              <w:right w:val="single" w:sz="4" w:space="0" w:color="auto"/>
            </w:tcBorders>
            <w:shd w:val="clear" w:color="auto" w:fill="C6EFCE"/>
            <w:noWrap/>
          </w:tcPr>
          <w:p w14:paraId="2EDAF9FC"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13" w:type="dxa"/>
            <w:tcBorders>
              <w:top w:val="single" w:sz="4" w:space="0" w:color="auto"/>
              <w:left w:val="nil"/>
              <w:bottom w:val="single" w:sz="4" w:space="0" w:color="auto"/>
              <w:right w:val="single" w:sz="4" w:space="0" w:color="auto"/>
            </w:tcBorders>
            <w:shd w:val="clear" w:color="auto" w:fill="C6EFCE"/>
            <w:noWrap/>
          </w:tcPr>
          <w:p w14:paraId="21B4FC0F"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995" w:type="dxa"/>
            <w:tcBorders>
              <w:top w:val="single" w:sz="4" w:space="0" w:color="auto"/>
              <w:left w:val="nil"/>
              <w:bottom w:val="single" w:sz="4" w:space="0" w:color="auto"/>
              <w:right w:val="single" w:sz="4" w:space="0" w:color="auto"/>
            </w:tcBorders>
            <w:shd w:val="clear" w:color="auto" w:fill="C6EFCE"/>
            <w:noWrap/>
          </w:tcPr>
          <w:p w14:paraId="3736982D"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4478D03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Q3</w:t>
            </w:r>
          </w:p>
        </w:tc>
        <w:tc>
          <w:tcPr>
            <w:tcW w:w="566" w:type="dxa"/>
            <w:tcBorders>
              <w:top w:val="single" w:sz="4" w:space="0" w:color="auto"/>
              <w:left w:val="nil"/>
              <w:bottom w:val="single" w:sz="4" w:space="0" w:color="auto"/>
              <w:right w:val="single" w:sz="4" w:space="0" w:color="auto"/>
            </w:tcBorders>
            <w:shd w:val="clear" w:color="auto" w:fill="C6EFCE"/>
            <w:noWrap/>
          </w:tcPr>
          <w:p w14:paraId="69D7931B"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2022</w:t>
            </w:r>
          </w:p>
        </w:tc>
        <w:tc>
          <w:tcPr>
            <w:tcW w:w="3686" w:type="dxa"/>
            <w:tcBorders>
              <w:top w:val="single" w:sz="4" w:space="0" w:color="auto"/>
              <w:left w:val="nil"/>
              <w:bottom w:val="single" w:sz="4" w:space="0" w:color="auto"/>
              <w:right w:val="single" w:sz="4" w:space="0" w:color="auto"/>
            </w:tcBorders>
            <w:shd w:val="clear" w:color="auto" w:fill="C6EFCE"/>
            <w:noWrap/>
          </w:tcPr>
          <w:p w14:paraId="0E337291"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Signature of financing contracts for equipping the classrooms of the pre-university schools, county centres for resources and educational assistance and extracurricular educational units from the school network on the basis of the minimum standards for equipping classrooms/ laboratories/school workshops. In order to ensure their consistency, the Ministry of Education shall make recommendations to beneficiaries on the technical specifications to be included in the specifications.</w:t>
            </w:r>
          </w:p>
          <w:p w14:paraId="66BECC89"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Priority shall be given to educational establishments which had not benefitted from this type of investment in the last 5 years.</w:t>
            </w:r>
          </w:p>
        </w:tc>
      </w:tr>
      <w:tr w:rsidR="00756311" w:rsidRPr="001B1E82" w14:paraId="2FFACA65"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2AB7F172"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490</w:t>
            </w:r>
          </w:p>
        </w:tc>
        <w:tc>
          <w:tcPr>
            <w:tcW w:w="1863" w:type="dxa"/>
            <w:tcBorders>
              <w:top w:val="single" w:sz="4" w:space="0" w:color="auto"/>
              <w:left w:val="nil"/>
              <w:bottom w:val="single" w:sz="4" w:space="0" w:color="auto"/>
              <w:right w:val="single" w:sz="4" w:space="0" w:color="auto"/>
            </w:tcBorders>
            <w:shd w:val="clear" w:color="auto" w:fill="C6EFCE"/>
            <w:noWrap/>
          </w:tcPr>
          <w:p w14:paraId="6DB65CEE"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11. Provision of equipment for pre-university classrooms and school science laboratories/ school cabinets</w:t>
            </w:r>
          </w:p>
        </w:tc>
        <w:tc>
          <w:tcPr>
            <w:tcW w:w="1151" w:type="dxa"/>
            <w:tcBorders>
              <w:top w:val="single" w:sz="4" w:space="0" w:color="auto"/>
              <w:left w:val="nil"/>
              <w:bottom w:val="single" w:sz="4" w:space="0" w:color="auto"/>
              <w:right w:val="single" w:sz="4" w:space="0" w:color="auto"/>
            </w:tcBorders>
            <w:shd w:val="clear" w:color="auto" w:fill="C6EFCE"/>
            <w:noWrap/>
          </w:tcPr>
          <w:p w14:paraId="08181159"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2031" w:type="dxa"/>
            <w:tcBorders>
              <w:top w:val="single" w:sz="4" w:space="0" w:color="auto"/>
              <w:left w:val="nil"/>
              <w:bottom w:val="single" w:sz="4" w:space="0" w:color="auto"/>
              <w:right w:val="single" w:sz="4" w:space="0" w:color="auto"/>
            </w:tcBorders>
            <w:shd w:val="clear" w:color="auto" w:fill="C6EFCE"/>
            <w:noWrap/>
          </w:tcPr>
          <w:p w14:paraId="1E5E329D"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Signature of financing contracts for equipping school science laboratories/school cabinets</w:t>
            </w:r>
          </w:p>
        </w:tc>
        <w:tc>
          <w:tcPr>
            <w:tcW w:w="1553" w:type="dxa"/>
            <w:tcBorders>
              <w:top w:val="single" w:sz="4" w:space="0" w:color="auto"/>
              <w:left w:val="nil"/>
              <w:bottom w:val="single" w:sz="4" w:space="0" w:color="auto"/>
              <w:right w:val="single" w:sz="4" w:space="0" w:color="auto"/>
            </w:tcBorders>
            <w:shd w:val="clear" w:color="auto" w:fill="C6EFCE"/>
            <w:noWrap/>
          </w:tcPr>
          <w:p w14:paraId="1EC87C1E"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Signature of financing contracts for equipping school science laboratories/school cabinets signed</w:t>
            </w:r>
          </w:p>
        </w:tc>
        <w:tc>
          <w:tcPr>
            <w:tcW w:w="1075" w:type="dxa"/>
            <w:tcBorders>
              <w:top w:val="single" w:sz="4" w:space="0" w:color="auto"/>
              <w:left w:val="nil"/>
              <w:bottom w:val="single" w:sz="4" w:space="0" w:color="auto"/>
              <w:right w:val="single" w:sz="4" w:space="0" w:color="auto"/>
            </w:tcBorders>
            <w:shd w:val="clear" w:color="auto" w:fill="C6EFCE"/>
            <w:noWrap/>
          </w:tcPr>
          <w:p w14:paraId="0C4E3E87"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13" w:type="dxa"/>
            <w:tcBorders>
              <w:top w:val="single" w:sz="4" w:space="0" w:color="auto"/>
              <w:left w:val="nil"/>
              <w:bottom w:val="single" w:sz="4" w:space="0" w:color="auto"/>
              <w:right w:val="single" w:sz="4" w:space="0" w:color="auto"/>
            </w:tcBorders>
            <w:shd w:val="clear" w:color="auto" w:fill="C6EFCE"/>
            <w:noWrap/>
          </w:tcPr>
          <w:p w14:paraId="30C17A4A"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995" w:type="dxa"/>
            <w:tcBorders>
              <w:top w:val="single" w:sz="4" w:space="0" w:color="auto"/>
              <w:left w:val="nil"/>
              <w:bottom w:val="single" w:sz="4" w:space="0" w:color="auto"/>
              <w:right w:val="single" w:sz="4" w:space="0" w:color="auto"/>
            </w:tcBorders>
            <w:shd w:val="clear" w:color="auto" w:fill="C6EFCE"/>
            <w:noWrap/>
          </w:tcPr>
          <w:p w14:paraId="097D3A09"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242813E2"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Q3</w:t>
            </w:r>
          </w:p>
        </w:tc>
        <w:tc>
          <w:tcPr>
            <w:tcW w:w="566" w:type="dxa"/>
            <w:tcBorders>
              <w:top w:val="single" w:sz="4" w:space="0" w:color="auto"/>
              <w:left w:val="nil"/>
              <w:bottom w:val="single" w:sz="4" w:space="0" w:color="auto"/>
              <w:right w:val="single" w:sz="4" w:space="0" w:color="auto"/>
            </w:tcBorders>
            <w:shd w:val="clear" w:color="auto" w:fill="C6EFCE"/>
            <w:noWrap/>
          </w:tcPr>
          <w:p w14:paraId="308F89D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2022</w:t>
            </w:r>
          </w:p>
        </w:tc>
        <w:tc>
          <w:tcPr>
            <w:tcW w:w="3686" w:type="dxa"/>
            <w:tcBorders>
              <w:top w:val="single" w:sz="4" w:space="0" w:color="auto"/>
              <w:left w:val="nil"/>
              <w:bottom w:val="single" w:sz="4" w:space="0" w:color="auto"/>
              <w:right w:val="single" w:sz="4" w:space="0" w:color="auto"/>
            </w:tcBorders>
            <w:shd w:val="clear" w:color="auto" w:fill="C6EFCE"/>
            <w:noWrap/>
          </w:tcPr>
          <w:p w14:paraId="0DA6B9B2"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Signature of financing contracts for equipping the science laboratories/school cabinets of the pre-university schools, county centres for resources and educational assistance and extracurricular educational units from the school network on the basis of the minimum standards for equipping classrooms/ laboratories/school cabinets. In order to ensure their consistency, the Ministry of Education shall make recommendations to beneficiaries on the technical specifications to be included in the specifications.</w:t>
            </w:r>
          </w:p>
          <w:p w14:paraId="502E9FEE"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All school cabinets and science laboratories, other than the ITC laboratories, shall be equipped with furniture, materials and equipment for didactic use, based on the endowment standards approved within the reform 6.</w:t>
            </w:r>
          </w:p>
          <w:p w14:paraId="27BA4521"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Priority shall be given to educational establishments that have not benefitted from this type of investment in the last 5 years and that are located in rural areas.</w:t>
            </w:r>
          </w:p>
        </w:tc>
      </w:tr>
      <w:tr w:rsidR="00756311" w:rsidRPr="001B1E82" w14:paraId="77BE7B06"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43336280"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491</w:t>
            </w:r>
          </w:p>
        </w:tc>
        <w:tc>
          <w:tcPr>
            <w:tcW w:w="1863" w:type="dxa"/>
            <w:tcBorders>
              <w:top w:val="single" w:sz="4" w:space="0" w:color="auto"/>
              <w:left w:val="nil"/>
              <w:bottom w:val="single" w:sz="4" w:space="0" w:color="auto"/>
              <w:right w:val="single" w:sz="4" w:space="0" w:color="auto"/>
            </w:tcBorders>
            <w:shd w:val="clear" w:color="auto" w:fill="C6EFCE"/>
            <w:noWrap/>
          </w:tcPr>
          <w:p w14:paraId="2556B23A"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11. Provision of equipment for pre-university classrooms and school science laboratories/ school cabinets</w:t>
            </w:r>
          </w:p>
        </w:tc>
        <w:tc>
          <w:tcPr>
            <w:tcW w:w="1151" w:type="dxa"/>
            <w:tcBorders>
              <w:top w:val="single" w:sz="4" w:space="0" w:color="auto"/>
              <w:left w:val="nil"/>
              <w:bottom w:val="single" w:sz="4" w:space="0" w:color="auto"/>
              <w:right w:val="single" w:sz="4" w:space="0" w:color="auto"/>
            </w:tcBorders>
            <w:shd w:val="clear" w:color="auto" w:fill="C6EFCE"/>
            <w:noWrap/>
          </w:tcPr>
          <w:p w14:paraId="0A0019DD"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2031" w:type="dxa"/>
            <w:tcBorders>
              <w:top w:val="single" w:sz="4" w:space="0" w:color="auto"/>
              <w:left w:val="nil"/>
              <w:bottom w:val="single" w:sz="4" w:space="0" w:color="auto"/>
              <w:right w:val="single" w:sz="4" w:space="0" w:color="auto"/>
            </w:tcBorders>
            <w:shd w:val="clear" w:color="auto" w:fill="C6EFCE"/>
            <w:noWrap/>
          </w:tcPr>
          <w:p w14:paraId="40ECEF01" w14:textId="5DBF5EBD"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Pre-university classrooms</w:t>
            </w:r>
            <w:r w:rsidR="00D23D91" w:rsidRPr="001B1E82">
              <w:rPr>
                <w:rFonts w:ascii="Times New Roman" w:hAnsi="Times New Roman" w:cs="Times New Roman"/>
                <w:noProof/>
                <w:sz w:val="20"/>
                <w:szCs w:val="20"/>
                <w:lang w:val="en-GB"/>
              </w:rPr>
              <w:t xml:space="preserve"> </w:t>
            </w:r>
            <w:r w:rsidRPr="001B1E82">
              <w:rPr>
                <w:rFonts w:ascii="Times New Roman" w:hAnsi="Times New Roman" w:cs="Times New Roman"/>
                <w:noProof/>
                <w:sz w:val="20"/>
                <w:szCs w:val="20"/>
                <w:lang w:val="en-GB"/>
              </w:rPr>
              <w:t>and science laboratories/school cabinets</w:t>
            </w:r>
            <w:r w:rsidRPr="001B1E82" w:rsidDel="00E37493">
              <w:rPr>
                <w:rFonts w:ascii="Times New Roman" w:hAnsi="Times New Roman" w:cs="Times New Roman"/>
                <w:noProof/>
                <w:sz w:val="20"/>
                <w:szCs w:val="20"/>
                <w:lang w:val="en-GB"/>
              </w:rPr>
              <w:t xml:space="preserve"> equip</w:t>
            </w:r>
            <w:r w:rsidRPr="001B1E82" w:rsidDel="00FC0E01">
              <w:rPr>
                <w:rFonts w:ascii="Times New Roman" w:hAnsi="Times New Roman" w:cs="Times New Roman"/>
                <w:noProof/>
                <w:sz w:val="20"/>
                <w:szCs w:val="20"/>
                <w:lang w:val="en-GB"/>
              </w:rPr>
              <w:t>ped</w:t>
            </w:r>
          </w:p>
        </w:tc>
        <w:tc>
          <w:tcPr>
            <w:tcW w:w="1553" w:type="dxa"/>
            <w:tcBorders>
              <w:top w:val="single" w:sz="4" w:space="0" w:color="auto"/>
              <w:left w:val="nil"/>
              <w:bottom w:val="single" w:sz="4" w:space="0" w:color="auto"/>
              <w:right w:val="single" w:sz="4" w:space="0" w:color="auto"/>
            </w:tcBorders>
            <w:shd w:val="clear" w:color="auto" w:fill="C6EFCE"/>
            <w:noWrap/>
          </w:tcPr>
          <w:p w14:paraId="5C99CA49" w14:textId="1FE414E4"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Pre-university classrooms</w:t>
            </w:r>
            <w:r w:rsidR="00D23D91" w:rsidRPr="001B1E82">
              <w:rPr>
                <w:rFonts w:ascii="Times New Roman" w:hAnsi="Times New Roman" w:cs="Times New Roman"/>
                <w:noProof/>
                <w:sz w:val="20"/>
                <w:szCs w:val="20"/>
                <w:lang w:val="en-GB"/>
              </w:rPr>
              <w:t xml:space="preserve"> </w:t>
            </w:r>
            <w:r w:rsidRPr="001B1E82">
              <w:rPr>
                <w:rFonts w:ascii="Times New Roman" w:hAnsi="Times New Roman" w:cs="Times New Roman"/>
                <w:noProof/>
                <w:sz w:val="20"/>
                <w:szCs w:val="20"/>
                <w:lang w:val="en-GB"/>
              </w:rPr>
              <w:t>and science laboratories/ school cabinets</w:t>
            </w:r>
            <w:r w:rsidRPr="001B1E82" w:rsidDel="00E37493">
              <w:rPr>
                <w:rFonts w:ascii="Times New Roman" w:hAnsi="Times New Roman" w:cs="Times New Roman"/>
                <w:noProof/>
                <w:sz w:val="20"/>
                <w:szCs w:val="20"/>
                <w:lang w:val="en-GB"/>
              </w:rPr>
              <w:t xml:space="preserve"> equip</w:t>
            </w:r>
            <w:r w:rsidRPr="001B1E82" w:rsidDel="00FC0E01">
              <w:rPr>
                <w:rFonts w:ascii="Times New Roman" w:hAnsi="Times New Roman" w:cs="Times New Roman"/>
                <w:noProof/>
                <w:sz w:val="20"/>
                <w:szCs w:val="20"/>
                <w:lang w:val="en-GB"/>
              </w:rPr>
              <w:t>ped</w:t>
            </w:r>
          </w:p>
        </w:tc>
        <w:tc>
          <w:tcPr>
            <w:tcW w:w="1075" w:type="dxa"/>
            <w:tcBorders>
              <w:top w:val="single" w:sz="4" w:space="0" w:color="auto"/>
              <w:left w:val="nil"/>
              <w:bottom w:val="single" w:sz="4" w:space="0" w:color="auto"/>
              <w:right w:val="single" w:sz="4" w:space="0" w:color="auto"/>
            </w:tcBorders>
            <w:shd w:val="clear" w:color="auto" w:fill="C6EFCE"/>
            <w:noWrap/>
          </w:tcPr>
          <w:p w14:paraId="12F232F5"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13" w:type="dxa"/>
            <w:tcBorders>
              <w:top w:val="single" w:sz="4" w:space="0" w:color="auto"/>
              <w:left w:val="nil"/>
              <w:bottom w:val="single" w:sz="4" w:space="0" w:color="auto"/>
              <w:right w:val="single" w:sz="4" w:space="0" w:color="auto"/>
            </w:tcBorders>
            <w:shd w:val="clear" w:color="auto" w:fill="C6EFCE"/>
            <w:noWrap/>
          </w:tcPr>
          <w:p w14:paraId="70998BB6"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995" w:type="dxa"/>
            <w:tcBorders>
              <w:top w:val="single" w:sz="4" w:space="0" w:color="auto"/>
              <w:left w:val="nil"/>
              <w:bottom w:val="single" w:sz="4" w:space="0" w:color="auto"/>
              <w:right w:val="single" w:sz="4" w:space="0" w:color="auto"/>
            </w:tcBorders>
            <w:shd w:val="clear" w:color="auto" w:fill="C6EFCE"/>
            <w:noWrap/>
          </w:tcPr>
          <w:p w14:paraId="4D91B37C"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699F8B5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Q4</w:t>
            </w:r>
          </w:p>
        </w:tc>
        <w:tc>
          <w:tcPr>
            <w:tcW w:w="566" w:type="dxa"/>
            <w:tcBorders>
              <w:top w:val="single" w:sz="4" w:space="0" w:color="auto"/>
              <w:left w:val="nil"/>
              <w:bottom w:val="single" w:sz="4" w:space="0" w:color="auto"/>
              <w:right w:val="single" w:sz="4" w:space="0" w:color="auto"/>
            </w:tcBorders>
            <w:shd w:val="clear" w:color="auto" w:fill="C6EFCE"/>
            <w:noWrap/>
          </w:tcPr>
          <w:p w14:paraId="28B07227"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2025</w:t>
            </w:r>
          </w:p>
        </w:tc>
        <w:tc>
          <w:tcPr>
            <w:tcW w:w="3686" w:type="dxa"/>
            <w:tcBorders>
              <w:top w:val="single" w:sz="4" w:space="0" w:color="auto"/>
              <w:left w:val="nil"/>
              <w:bottom w:val="single" w:sz="4" w:space="0" w:color="auto"/>
              <w:right w:val="single" w:sz="4" w:space="0" w:color="auto"/>
            </w:tcBorders>
            <w:shd w:val="clear" w:color="auto" w:fill="C6EFCE"/>
            <w:noWrap/>
          </w:tcPr>
          <w:p w14:paraId="1417FFD6" w14:textId="4D1DEBA4"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Acceptance certificates proving </w:t>
            </w:r>
            <w:r w:rsidRPr="001B1E82" w:rsidDel="00323F42">
              <w:rPr>
                <w:rFonts w:ascii="Times New Roman" w:hAnsi="Times New Roman" w:cs="Times New Roman"/>
                <w:noProof/>
                <w:sz w:val="20"/>
                <w:szCs w:val="20"/>
                <w:lang w:val="en-GB"/>
              </w:rPr>
              <w:t>the delivery</w:t>
            </w:r>
            <w:r w:rsidRPr="001B1E82">
              <w:rPr>
                <w:rFonts w:ascii="Times New Roman" w:hAnsi="Times New Roman" w:cs="Times New Roman"/>
                <w:noProof/>
                <w:sz w:val="20"/>
                <w:szCs w:val="20"/>
                <w:lang w:val="en-GB"/>
              </w:rPr>
              <w:t xml:space="preserve"> and commissioning</w:t>
            </w:r>
            <w:r w:rsidRPr="001B1E82" w:rsidDel="00323F42">
              <w:rPr>
                <w:rFonts w:ascii="Times New Roman" w:hAnsi="Times New Roman" w:cs="Times New Roman"/>
                <w:noProof/>
                <w:sz w:val="20"/>
                <w:szCs w:val="20"/>
                <w:lang w:val="en-GB"/>
              </w:rPr>
              <w:t xml:space="preserve"> of furniture, materials and equipment for didactic use for equipping </w:t>
            </w:r>
            <w:r w:rsidRPr="001B1E82">
              <w:rPr>
                <w:rFonts w:ascii="Times New Roman" w:hAnsi="Times New Roman" w:cs="Times New Roman"/>
                <w:noProof/>
                <w:sz w:val="20"/>
                <w:szCs w:val="20"/>
                <w:lang w:val="en-GB"/>
              </w:rPr>
              <w:t>85 000 classrooms and science laboratories/school cabinets of educational establishments.</w:t>
            </w:r>
            <w:r w:rsidR="00D23D91" w:rsidRPr="001B1E82">
              <w:rPr>
                <w:rFonts w:ascii="Times New Roman" w:hAnsi="Times New Roman" w:cs="Times New Roman"/>
                <w:noProof/>
                <w:sz w:val="20"/>
                <w:szCs w:val="20"/>
                <w:lang w:val="en-GB"/>
              </w:rPr>
              <w:t xml:space="preserve"> </w:t>
            </w:r>
          </w:p>
        </w:tc>
      </w:tr>
      <w:tr w:rsidR="00756311" w:rsidRPr="001B1E82" w14:paraId="1E5561F5"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61827D8E"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494</w:t>
            </w:r>
          </w:p>
        </w:tc>
        <w:tc>
          <w:tcPr>
            <w:tcW w:w="1863" w:type="dxa"/>
            <w:tcBorders>
              <w:top w:val="single" w:sz="4" w:space="0" w:color="auto"/>
              <w:left w:val="nil"/>
              <w:bottom w:val="single" w:sz="4" w:space="0" w:color="auto"/>
              <w:right w:val="single" w:sz="4" w:space="0" w:color="auto"/>
            </w:tcBorders>
            <w:shd w:val="clear" w:color="auto" w:fill="C6EFCE"/>
            <w:noWrap/>
          </w:tcPr>
          <w:p w14:paraId="66178B79"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Reform 7. Reform of the governance of the pre-university education system and professionalisation of management</w:t>
            </w:r>
          </w:p>
        </w:tc>
        <w:tc>
          <w:tcPr>
            <w:tcW w:w="1151" w:type="dxa"/>
            <w:tcBorders>
              <w:top w:val="single" w:sz="4" w:space="0" w:color="auto"/>
              <w:left w:val="nil"/>
              <w:bottom w:val="single" w:sz="4" w:space="0" w:color="auto"/>
              <w:right w:val="single" w:sz="4" w:space="0" w:color="auto"/>
            </w:tcBorders>
            <w:shd w:val="clear" w:color="auto" w:fill="C6EFCE"/>
            <w:noWrap/>
          </w:tcPr>
          <w:p w14:paraId="304E877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2031" w:type="dxa"/>
            <w:tcBorders>
              <w:top w:val="single" w:sz="4" w:space="0" w:color="auto"/>
              <w:left w:val="nil"/>
              <w:bottom w:val="single" w:sz="4" w:space="0" w:color="auto"/>
              <w:right w:val="single" w:sz="4" w:space="0" w:color="auto"/>
            </w:tcBorders>
            <w:shd w:val="clear" w:color="auto" w:fill="C6EFCE"/>
            <w:noWrap/>
          </w:tcPr>
          <w:p w14:paraId="4FAF7FED"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Signature of the technical assistance contract for the development of the Governance Reform Action Plan, including the training and coaching programme for managers and inspectors</w:t>
            </w:r>
          </w:p>
          <w:p w14:paraId="1ACB7A92"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553" w:type="dxa"/>
            <w:tcBorders>
              <w:top w:val="single" w:sz="4" w:space="0" w:color="auto"/>
              <w:left w:val="nil"/>
              <w:bottom w:val="single" w:sz="4" w:space="0" w:color="auto"/>
              <w:right w:val="single" w:sz="4" w:space="0" w:color="auto"/>
            </w:tcBorders>
            <w:shd w:val="clear" w:color="auto" w:fill="C6EFCE"/>
            <w:noWrap/>
          </w:tcPr>
          <w:p w14:paraId="0B29F3DB"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Signature of the contract</w:t>
            </w:r>
          </w:p>
        </w:tc>
        <w:tc>
          <w:tcPr>
            <w:tcW w:w="1075" w:type="dxa"/>
            <w:tcBorders>
              <w:top w:val="single" w:sz="4" w:space="0" w:color="auto"/>
              <w:left w:val="nil"/>
              <w:bottom w:val="single" w:sz="4" w:space="0" w:color="auto"/>
              <w:right w:val="single" w:sz="4" w:space="0" w:color="auto"/>
            </w:tcBorders>
            <w:shd w:val="clear" w:color="auto" w:fill="C6EFCE"/>
            <w:noWrap/>
          </w:tcPr>
          <w:p w14:paraId="637CD09A"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465B9F0D"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995" w:type="dxa"/>
            <w:tcBorders>
              <w:top w:val="single" w:sz="4" w:space="0" w:color="auto"/>
              <w:left w:val="nil"/>
              <w:bottom w:val="single" w:sz="4" w:space="0" w:color="auto"/>
              <w:right w:val="single" w:sz="4" w:space="0" w:color="auto"/>
            </w:tcBorders>
            <w:shd w:val="clear" w:color="auto" w:fill="C6EFCE"/>
            <w:noWrap/>
          </w:tcPr>
          <w:p w14:paraId="43F1A045"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279E5C2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Q1</w:t>
            </w:r>
          </w:p>
        </w:tc>
        <w:tc>
          <w:tcPr>
            <w:tcW w:w="566" w:type="dxa"/>
            <w:tcBorders>
              <w:top w:val="single" w:sz="4" w:space="0" w:color="auto"/>
              <w:left w:val="nil"/>
              <w:bottom w:val="single" w:sz="4" w:space="0" w:color="auto"/>
              <w:right w:val="single" w:sz="4" w:space="0" w:color="auto"/>
            </w:tcBorders>
            <w:shd w:val="clear" w:color="auto" w:fill="C6EFCE"/>
            <w:noWrap/>
          </w:tcPr>
          <w:p w14:paraId="0141D28F"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2022</w:t>
            </w:r>
          </w:p>
        </w:tc>
        <w:tc>
          <w:tcPr>
            <w:tcW w:w="3686" w:type="dxa"/>
            <w:tcBorders>
              <w:top w:val="single" w:sz="4" w:space="0" w:color="auto"/>
              <w:left w:val="nil"/>
              <w:bottom w:val="single" w:sz="4" w:space="0" w:color="auto"/>
              <w:right w:val="single" w:sz="4" w:space="0" w:color="auto"/>
            </w:tcBorders>
            <w:shd w:val="clear" w:color="auto" w:fill="C6EFCE"/>
            <w:noWrap/>
          </w:tcPr>
          <w:p w14:paraId="49690E8C" w14:textId="2BAD7D36"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The governance reform shall be based on the functional analysis of the vocational education and training system and shall be carried out on two levels: I</w:t>
            </w:r>
            <w:r w:rsidR="001B1E82">
              <w:rPr>
                <w:rFonts w:ascii="Times New Roman" w:hAnsi="Times New Roman" w:cs="Times New Roman"/>
                <w:noProof/>
                <w:sz w:val="20"/>
                <w:szCs w:val="20"/>
                <w:lang w:val="en-GB"/>
              </w:rPr>
              <w:t>.</w:t>
            </w:r>
            <w:r w:rsidRPr="001B1E82">
              <w:rPr>
                <w:rFonts w:ascii="Times New Roman" w:hAnsi="Times New Roman" w:cs="Times New Roman"/>
                <w:noProof/>
                <w:sz w:val="20"/>
                <w:szCs w:val="20"/>
                <w:lang w:val="en-GB"/>
              </w:rPr>
              <w:t xml:space="preserve"> Management reform</w:t>
            </w:r>
            <w:r w:rsidR="001B1E82">
              <w:rPr>
                <w:rFonts w:ascii="Times New Roman" w:hAnsi="Times New Roman" w:cs="Times New Roman"/>
                <w:noProof/>
                <w:sz w:val="20"/>
                <w:szCs w:val="20"/>
                <w:lang w:val="en-GB"/>
              </w:rPr>
              <w:t>;</w:t>
            </w:r>
            <w:r w:rsidRPr="001B1E82">
              <w:rPr>
                <w:rFonts w:ascii="Times New Roman" w:hAnsi="Times New Roman" w:cs="Times New Roman"/>
                <w:noProof/>
                <w:sz w:val="20"/>
                <w:szCs w:val="20"/>
                <w:lang w:val="en-GB"/>
              </w:rPr>
              <w:t xml:space="preserve"> and II. Decentralization</w:t>
            </w:r>
          </w:p>
          <w:p w14:paraId="5E5FF0EA"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The Ministry of Education shall contract external technical assistance for: </w:t>
            </w:r>
          </w:p>
          <w:p w14:paraId="21AA3BF8" w14:textId="77777777" w:rsidR="00B803E9" w:rsidRPr="001B1E82" w:rsidRDefault="00B803E9" w:rsidP="00B803E9">
            <w:pPr>
              <w:numPr>
                <w:ilvl w:val="0"/>
                <w:numId w:val="74"/>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the analysis of the current governance of the pre-university education system;</w:t>
            </w:r>
          </w:p>
          <w:p w14:paraId="1ACB4F58" w14:textId="77777777" w:rsidR="00B803E9" w:rsidRPr="001B1E82" w:rsidRDefault="00B803E9" w:rsidP="00B803E9">
            <w:pPr>
              <w:numPr>
                <w:ilvl w:val="0"/>
                <w:numId w:val="74"/>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the provision of Recommendations and a Plan for the improvement of the school management through a pilot programme;</w:t>
            </w:r>
          </w:p>
          <w:p w14:paraId="04AFA9EE" w14:textId="77777777" w:rsidR="00B803E9" w:rsidRPr="001B1E82" w:rsidRDefault="00B803E9" w:rsidP="00B803E9">
            <w:pPr>
              <w:numPr>
                <w:ilvl w:val="0"/>
                <w:numId w:val="74"/>
              </w:numPr>
              <w:spacing w:before="120" w:after="0" w:line="240"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the provision of guidelines for the design of the training and coaching programme.</w:t>
            </w:r>
          </w:p>
          <w:p w14:paraId="6216C376" w14:textId="7CCC02F4" w:rsidR="00B803E9" w:rsidRPr="001B1E82" w:rsidRDefault="00B803E9">
            <w:pPr>
              <w:spacing w:after="0" w:line="240" w:lineRule="auto"/>
              <w:jc w:val="both"/>
              <w:rPr>
                <w:rFonts w:ascii="Times New Roman" w:eastAsia="Times New Roman" w:hAnsi="Times New Roman" w:cs="Times New Roman"/>
                <w:noProof/>
                <w:sz w:val="20"/>
                <w:szCs w:val="20"/>
                <w:lang w:val="en-GB"/>
              </w:rPr>
            </w:pPr>
            <w:r w:rsidRPr="001B1E82">
              <w:rPr>
                <w:rFonts w:ascii="Times New Roman" w:hAnsi="Times New Roman" w:cs="Times New Roman"/>
                <w:noProof/>
                <w:sz w:val="20"/>
                <w:szCs w:val="20"/>
                <w:lang w:val="en-GB"/>
              </w:rPr>
              <w:t>In order to increase the capacity of the pre-university education management system and to increase the autonomy of schools, a plan of measures shall be drawn up.</w:t>
            </w:r>
            <w:r w:rsidR="00D23D91" w:rsidRPr="001B1E82">
              <w:rPr>
                <w:rFonts w:ascii="Times New Roman" w:hAnsi="Times New Roman" w:cs="Times New Roman"/>
                <w:noProof/>
                <w:sz w:val="20"/>
                <w:szCs w:val="20"/>
                <w:lang w:val="en-GB"/>
              </w:rPr>
              <w:t xml:space="preserve"> </w:t>
            </w:r>
          </w:p>
        </w:tc>
      </w:tr>
      <w:tr w:rsidR="00756311" w:rsidRPr="001B1E82" w14:paraId="5C45B672"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4C9BB08C"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495</w:t>
            </w:r>
          </w:p>
        </w:tc>
        <w:tc>
          <w:tcPr>
            <w:tcW w:w="1863" w:type="dxa"/>
            <w:tcBorders>
              <w:top w:val="single" w:sz="4" w:space="0" w:color="auto"/>
              <w:left w:val="nil"/>
              <w:bottom w:val="single" w:sz="4" w:space="0" w:color="auto"/>
              <w:right w:val="single" w:sz="4" w:space="0" w:color="auto"/>
            </w:tcBorders>
            <w:shd w:val="clear" w:color="auto" w:fill="C6EFCE"/>
            <w:noWrap/>
          </w:tcPr>
          <w:p w14:paraId="0BD0BBB6"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Reform 7. Reform of the governance of the pre-university education system and professionalisation of management</w:t>
            </w:r>
          </w:p>
        </w:tc>
        <w:tc>
          <w:tcPr>
            <w:tcW w:w="1151" w:type="dxa"/>
            <w:tcBorders>
              <w:top w:val="single" w:sz="4" w:space="0" w:color="auto"/>
              <w:left w:val="nil"/>
              <w:bottom w:val="single" w:sz="4" w:space="0" w:color="auto"/>
              <w:right w:val="single" w:sz="4" w:space="0" w:color="auto"/>
            </w:tcBorders>
            <w:shd w:val="clear" w:color="auto" w:fill="C6EFCE"/>
            <w:noWrap/>
          </w:tcPr>
          <w:p w14:paraId="61BDE837"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2031" w:type="dxa"/>
            <w:tcBorders>
              <w:top w:val="single" w:sz="4" w:space="0" w:color="auto"/>
              <w:left w:val="nil"/>
              <w:bottom w:val="single" w:sz="4" w:space="0" w:color="auto"/>
              <w:right w:val="single" w:sz="4" w:space="0" w:color="auto"/>
            </w:tcBorders>
            <w:shd w:val="clear" w:color="auto" w:fill="C6EFCE"/>
            <w:noWrap/>
          </w:tcPr>
          <w:p w14:paraId="4D828189" w14:textId="70F0BE4C" w:rsidR="00B803E9" w:rsidRPr="001B1E82" w:rsidRDefault="00B803E9">
            <w:pPr>
              <w:spacing w:after="12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Analysis of the governance of the pre-university education system and plan of actions</w:t>
            </w:r>
            <w:r w:rsidR="00D23D91" w:rsidRPr="001B1E82">
              <w:rPr>
                <w:rFonts w:ascii="Times New Roman" w:hAnsi="Times New Roman" w:cs="Times New Roman"/>
                <w:noProof/>
                <w:sz w:val="20"/>
                <w:szCs w:val="20"/>
                <w:lang w:val="en-GB"/>
              </w:rPr>
              <w:t xml:space="preserve"> </w:t>
            </w:r>
            <w:r w:rsidRPr="001B1E82">
              <w:rPr>
                <w:rFonts w:ascii="Times New Roman" w:hAnsi="Times New Roman" w:cs="Times New Roman"/>
                <w:noProof/>
                <w:sz w:val="20"/>
                <w:szCs w:val="20"/>
                <w:lang w:val="en-GB"/>
              </w:rPr>
              <w:t>published</w:t>
            </w:r>
          </w:p>
          <w:p w14:paraId="22B052C4"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553" w:type="dxa"/>
            <w:tcBorders>
              <w:top w:val="single" w:sz="4" w:space="0" w:color="auto"/>
              <w:left w:val="nil"/>
              <w:bottom w:val="single" w:sz="4" w:space="0" w:color="auto"/>
              <w:right w:val="single" w:sz="4" w:space="0" w:color="auto"/>
            </w:tcBorders>
            <w:shd w:val="clear" w:color="auto" w:fill="C6EFCE"/>
            <w:noWrap/>
          </w:tcPr>
          <w:p w14:paraId="6163F58E"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Analysis of the governance of the pre-university education system and plan of actions published</w:t>
            </w:r>
          </w:p>
        </w:tc>
        <w:tc>
          <w:tcPr>
            <w:tcW w:w="1075" w:type="dxa"/>
            <w:tcBorders>
              <w:top w:val="single" w:sz="4" w:space="0" w:color="auto"/>
              <w:left w:val="nil"/>
              <w:bottom w:val="single" w:sz="4" w:space="0" w:color="auto"/>
              <w:right w:val="single" w:sz="4" w:space="0" w:color="auto"/>
            </w:tcBorders>
            <w:shd w:val="clear" w:color="auto" w:fill="C6EFCE"/>
            <w:noWrap/>
          </w:tcPr>
          <w:p w14:paraId="52D025F2"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164C9B32"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13EA7E52"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w:t>
            </w:r>
          </w:p>
        </w:tc>
        <w:tc>
          <w:tcPr>
            <w:tcW w:w="850" w:type="dxa"/>
            <w:tcBorders>
              <w:top w:val="single" w:sz="4" w:space="0" w:color="auto"/>
              <w:left w:val="nil"/>
              <w:bottom w:val="single" w:sz="4" w:space="0" w:color="auto"/>
              <w:right w:val="single" w:sz="4" w:space="0" w:color="auto"/>
            </w:tcBorders>
            <w:shd w:val="clear" w:color="auto" w:fill="C6EFCE"/>
            <w:noWrap/>
          </w:tcPr>
          <w:p w14:paraId="25FCC943"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Q3</w:t>
            </w:r>
          </w:p>
        </w:tc>
        <w:tc>
          <w:tcPr>
            <w:tcW w:w="566" w:type="dxa"/>
            <w:tcBorders>
              <w:top w:val="single" w:sz="4" w:space="0" w:color="auto"/>
              <w:left w:val="nil"/>
              <w:bottom w:val="single" w:sz="4" w:space="0" w:color="auto"/>
              <w:right w:val="single" w:sz="4" w:space="0" w:color="auto"/>
            </w:tcBorders>
            <w:shd w:val="clear" w:color="auto" w:fill="C6EFCE"/>
            <w:noWrap/>
          </w:tcPr>
          <w:p w14:paraId="6DC1CF07"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2026</w:t>
            </w:r>
          </w:p>
        </w:tc>
        <w:tc>
          <w:tcPr>
            <w:tcW w:w="3686" w:type="dxa"/>
            <w:tcBorders>
              <w:top w:val="single" w:sz="4" w:space="0" w:color="auto"/>
              <w:left w:val="nil"/>
              <w:bottom w:val="single" w:sz="4" w:space="0" w:color="auto"/>
              <w:right w:val="single" w:sz="4" w:space="0" w:color="auto"/>
            </w:tcBorders>
            <w:shd w:val="clear" w:color="auto" w:fill="C6EFCE"/>
            <w:noWrap/>
          </w:tcPr>
          <w:p w14:paraId="3F302885" w14:textId="77777777" w:rsidR="00B803E9" w:rsidRPr="001B1E82" w:rsidRDefault="00B803E9">
            <w:pPr>
              <w:spacing w:before="120" w:after="0" w:line="240" w:lineRule="auto"/>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Based on the analysis and the recommendations of the external technical assistance provided for the reform of the governance of the pre-university education system, an action plan shall be published. The following actions shall be executed thereafter: </w:t>
            </w:r>
          </w:p>
          <w:p w14:paraId="358F3C3A" w14:textId="3AE01AF0" w:rsidR="00B803E9" w:rsidRPr="001B1E82" w:rsidRDefault="00B803E9" w:rsidP="00B803E9">
            <w:pPr>
              <w:numPr>
                <w:ilvl w:val="0"/>
                <w:numId w:val="75"/>
              </w:numPr>
              <w:spacing w:before="120" w:after="0" w:line="259"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The review of the methodology for the recruitment of school directors</w:t>
            </w:r>
            <w:r w:rsidRPr="001B1E82">
              <w:rPr>
                <w:rFonts w:ascii="Times New Roman" w:hAnsi="Times New Roman" w:cs="Times New Roman"/>
                <w:noProof/>
                <w:sz w:val="20"/>
                <w:szCs w:val="20"/>
              </w:rPr>
              <w:t>;</w:t>
            </w:r>
            <w:r w:rsidR="00D23D91" w:rsidRPr="001B1E82">
              <w:rPr>
                <w:rFonts w:ascii="Times New Roman" w:hAnsi="Times New Roman" w:cs="Times New Roman"/>
                <w:noProof/>
                <w:sz w:val="20"/>
                <w:szCs w:val="20"/>
                <w:lang w:val="en-GB"/>
              </w:rPr>
              <w:t xml:space="preserve"> </w:t>
            </w:r>
          </w:p>
          <w:p w14:paraId="5306429A" w14:textId="77777777" w:rsidR="00B803E9" w:rsidRPr="001B1E82" w:rsidRDefault="00B803E9" w:rsidP="00B803E9">
            <w:pPr>
              <w:numPr>
                <w:ilvl w:val="0"/>
                <w:numId w:val="75"/>
              </w:numPr>
              <w:spacing w:before="120" w:after="0" w:line="259"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The review of the methodology for the recruitment and evaluation of school inspectors, based on performance criteria; </w:t>
            </w:r>
          </w:p>
          <w:p w14:paraId="3235FD5D" w14:textId="77777777" w:rsidR="00B803E9" w:rsidRPr="001B1E82" w:rsidRDefault="00B803E9" w:rsidP="00B803E9">
            <w:pPr>
              <w:numPr>
                <w:ilvl w:val="0"/>
                <w:numId w:val="75"/>
              </w:numPr>
              <w:spacing w:before="120" w:after="0" w:line="259" w:lineRule="auto"/>
              <w:ind w:left="189" w:hanging="142"/>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A grant scheme to support 60 schools for piloting the approach to increase autonomy at school level, focusing on school curricula, governance and management.</w:t>
            </w:r>
          </w:p>
        </w:tc>
      </w:tr>
      <w:tr w:rsidR="00756311" w:rsidRPr="001B1E82" w14:paraId="51DA9FE7"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79750F33"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497</w:t>
            </w:r>
          </w:p>
        </w:tc>
        <w:tc>
          <w:tcPr>
            <w:tcW w:w="1863" w:type="dxa"/>
            <w:tcBorders>
              <w:top w:val="single" w:sz="4" w:space="0" w:color="auto"/>
              <w:left w:val="nil"/>
              <w:bottom w:val="single" w:sz="4" w:space="0" w:color="auto"/>
              <w:right w:val="single" w:sz="4" w:space="0" w:color="auto"/>
            </w:tcBorders>
            <w:shd w:val="clear" w:color="auto" w:fill="C6EFCE"/>
            <w:noWrap/>
          </w:tcPr>
          <w:p w14:paraId="1AD504ED"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14. Equipping of practice workshops in VET schools</w:t>
            </w:r>
          </w:p>
        </w:tc>
        <w:tc>
          <w:tcPr>
            <w:tcW w:w="1151" w:type="dxa"/>
            <w:tcBorders>
              <w:top w:val="single" w:sz="4" w:space="0" w:color="auto"/>
              <w:left w:val="nil"/>
              <w:bottom w:val="single" w:sz="4" w:space="0" w:color="auto"/>
              <w:right w:val="single" w:sz="4" w:space="0" w:color="auto"/>
            </w:tcBorders>
            <w:shd w:val="clear" w:color="auto" w:fill="C6EFCE"/>
            <w:noWrap/>
          </w:tcPr>
          <w:p w14:paraId="792AB31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2031" w:type="dxa"/>
            <w:tcBorders>
              <w:top w:val="single" w:sz="4" w:space="0" w:color="auto"/>
              <w:left w:val="nil"/>
              <w:bottom w:val="single" w:sz="4" w:space="0" w:color="auto"/>
              <w:right w:val="single" w:sz="4" w:space="0" w:color="auto"/>
            </w:tcBorders>
            <w:shd w:val="clear" w:color="auto" w:fill="C6EFCE"/>
            <w:noWrap/>
          </w:tcPr>
          <w:p w14:paraId="76246B23" w14:textId="77777777" w:rsidR="00B803E9" w:rsidRPr="001B1E82" w:rsidRDefault="00B803E9">
            <w:pPr>
              <w:spacing w:after="12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Practice workshops in VET schools </w:t>
            </w:r>
            <w:r w:rsidRPr="001B1E82" w:rsidDel="00727ED3">
              <w:rPr>
                <w:rFonts w:ascii="Times New Roman" w:hAnsi="Times New Roman" w:cs="Times New Roman"/>
                <w:noProof/>
                <w:sz w:val="20"/>
                <w:szCs w:val="20"/>
                <w:lang w:val="en-GB"/>
              </w:rPr>
              <w:t>equipped</w:t>
            </w:r>
          </w:p>
        </w:tc>
        <w:tc>
          <w:tcPr>
            <w:tcW w:w="1553" w:type="dxa"/>
            <w:tcBorders>
              <w:top w:val="single" w:sz="4" w:space="0" w:color="auto"/>
              <w:left w:val="nil"/>
              <w:bottom w:val="single" w:sz="4" w:space="0" w:color="auto"/>
              <w:right w:val="single" w:sz="4" w:space="0" w:color="auto"/>
            </w:tcBorders>
            <w:shd w:val="clear" w:color="auto" w:fill="C6EFCE"/>
            <w:noWrap/>
          </w:tcPr>
          <w:p w14:paraId="6E2F2781"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Practice workshops in VET schools equipped</w:t>
            </w:r>
          </w:p>
        </w:tc>
        <w:tc>
          <w:tcPr>
            <w:tcW w:w="1075" w:type="dxa"/>
            <w:tcBorders>
              <w:top w:val="single" w:sz="4" w:space="0" w:color="auto"/>
              <w:left w:val="nil"/>
              <w:bottom w:val="single" w:sz="4" w:space="0" w:color="auto"/>
              <w:right w:val="single" w:sz="4" w:space="0" w:color="auto"/>
            </w:tcBorders>
            <w:shd w:val="clear" w:color="auto" w:fill="C6EFCE"/>
            <w:noWrap/>
          </w:tcPr>
          <w:p w14:paraId="220B8191"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13" w:type="dxa"/>
            <w:tcBorders>
              <w:top w:val="single" w:sz="4" w:space="0" w:color="auto"/>
              <w:left w:val="nil"/>
              <w:bottom w:val="single" w:sz="4" w:space="0" w:color="auto"/>
              <w:right w:val="single" w:sz="4" w:space="0" w:color="auto"/>
            </w:tcBorders>
            <w:shd w:val="clear" w:color="auto" w:fill="C6EFCE"/>
            <w:noWrap/>
          </w:tcPr>
          <w:p w14:paraId="2E765B56"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995" w:type="dxa"/>
            <w:tcBorders>
              <w:top w:val="single" w:sz="4" w:space="0" w:color="auto"/>
              <w:left w:val="nil"/>
              <w:bottom w:val="single" w:sz="4" w:space="0" w:color="auto"/>
              <w:right w:val="single" w:sz="4" w:space="0" w:color="auto"/>
            </w:tcBorders>
            <w:shd w:val="clear" w:color="auto" w:fill="C6EFCE"/>
            <w:noWrap/>
          </w:tcPr>
          <w:p w14:paraId="0D9ACCE9"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06B3B1E2"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Q4</w:t>
            </w:r>
          </w:p>
        </w:tc>
        <w:tc>
          <w:tcPr>
            <w:tcW w:w="566" w:type="dxa"/>
            <w:tcBorders>
              <w:top w:val="single" w:sz="4" w:space="0" w:color="auto"/>
              <w:left w:val="nil"/>
              <w:bottom w:val="single" w:sz="4" w:space="0" w:color="auto"/>
              <w:right w:val="single" w:sz="4" w:space="0" w:color="auto"/>
            </w:tcBorders>
            <w:shd w:val="clear" w:color="auto" w:fill="C6EFCE"/>
            <w:noWrap/>
          </w:tcPr>
          <w:p w14:paraId="36BBD729"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2025</w:t>
            </w:r>
          </w:p>
        </w:tc>
        <w:tc>
          <w:tcPr>
            <w:tcW w:w="3686" w:type="dxa"/>
            <w:tcBorders>
              <w:top w:val="single" w:sz="4" w:space="0" w:color="auto"/>
              <w:left w:val="nil"/>
              <w:bottom w:val="single" w:sz="4" w:space="0" w:color="auto"/>
              <w:right w:val="single" w:sz="4" w:space="0" w:color="auto"/>
            </w:tcBorders>
            <w:shd w:val="clear" w:color="auto" w:fill="C6EFCE"/>
            <w:noWrap/>
          </w:tcPr>
          <w:p w14:paraId="5F3A123D" w14:textId="77777777" w:rsidR="00B803E9" w:rsidRPr="001B1E82" w:rsidRDefault="00B803E9">
            <w:pPr>
              <w:spacing w:before="120" w:after="0" w:line="240" w:lineRule="auto"/>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Acceptance certificates proving the delivery and commissiong of equipment for 500 practice workshops in VET schools.</w:t>
            </w:r>
          </w:p>
        </w:tc>
      </w:tr>
      <w:tr w:rsidR="00756311" w:rsidRPr="001B1E82" w14:paraId="03998B72"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4B35306B"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502</w:t>
            </w:r>
          </w:p>
        </w:tc>
        <w:tc>
          <w:tcPr>
            <w:tcW w:w="1863" w:type="dxa"/>
            <w:tcBorders>
              <w:top w:val="single" w:sz="4" w:space="0" w:color="auto"/>
              <w:left w:val="nil"/>
              <w:bottom w:val="single" w:sz="4" w:space="0" w:color="auto"/>
              <w:right w:val="single" w:sz="4" w:space="0" w:color="auto"/>
            </w:tcBorders>
            <w:shd w:val="clear" w:color="auto" w:fill="C6EFCE"/>
            <w:noWrap/>
          </w:tcPr>
          <w:p w14:paraId="528F47FF"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16a. Digitalisation of universities and preparation for the digital professions of the future</w:t>
            </w:r>
          </w:p>
        </w:tc>
        <w:tc>
          <w:tcPr>
            <w:tcW w:w="1151" w:type="dxa"/>
            <w:tcBorders>
              <w:top w:val="single" w:sz="4" w:space="0" w:color="auto"/>
              <w:left w:val="nil"/>
              <w:bottom w:val="single" w:sz="4" w:space="0" w:color="auto"/>
              <w:right w:val="single" w:sz="4" w:space="0" w:color="auto"/>
            </w:tcBorders>
            <w:shd w:val="clear" w:color="auto" w:fill="C6EFCE"/>
            <w:noWrap/>
          </w:tcPr>
          <w:p w14:paraId="5DC9D448"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Target</w:t>
            </w:r>
          </w:p>
        </w:tc>
        <w:tc>
          <w:tcPr>
            <w:tcW w:w="2031" w:type="dxa"/>
            <w:tcBorders>
              <w:top w:val="single" w:sz="4" w:space="0" w:color="auto"/>
              <w:left w:val="nil"/>
              <w:bottom w:val="single" w:sz="4" w:space="0" w:color="auto"/>
              <w:right w:val="single" w:sz="4" w:space="0" w:color="auto"/>
            </w:tcBorders>
            <w:shd w:val="clear" w:color="auto" w:fill="C6EFCE"/>
            <w:noWrap/>
          </w:tcPr>
          <w:p w14:paraId="22E1B569" w14:textId="77777777" w:rsidR="00B803E9" w:rsidRPr="001B1E82" w:rsidRDefault="00B803E9">
            <w:pPr>
              <w:spacing w:after="12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Universities supported </w:t>
            </w:r>
          </w:p>
        </w:tc>
        <w:tc>
          <w:tcPr>
            <w:tcW w:w="1553" w:type="dxa"/>
            <w:tcBorders>
              <w:top w:val="single" w:sz="4" w:space="0" w:color="auto"/>
              <w:left w:val="nil"/>
              <w:bottom w:val="single" w:sz="4" w:space="0" w:color="auto"/>
              <w:right w:val="single" w:sz="4" w:space="0" w:color="auto"/>
            </w:tcBorders>
            <w:shd w:val="clear" w:color="auto" w:fill="C6EFCE"/>
            <w:noWrap/>
          </w:tcPr>
          <w:p w14:paraId="47F93C29"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75" w:type="dxa"/>
            <w:tcBorders>
              <w:top w:val="single" w:sz="4" w:space="0" w:color="auto"/>
              <w:left w:val="nil"/>
              <w:bottom w:val="single" w:sz="4" w:space="0" w:color="auto"/>
              <w:right w:val="single" w:sz="4" w:space="0" w:color="auto"/>
            </w:tcBorders>
            <w:shd w:val="clear" w:color="auto" w:fill="C6EFCE"/>
            <w:noWrap/>
          </w:tcPr>
          <w:p w14:paraId="3F85C185"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Number</w:t>
            </w:r>
          </w:p>
        </w:tc>
        <w:tc>
          <w:tcPr>
            <w:tcW w:w="1013" w:type="dxa"/>
            <w:tcBorders>
              <w:top w:val="single" w:sz="4" w:space="0" w:color="auto"/>
              <w:left w:val="nil"/>
              <w:bottom w:val="single" w:sz="4" w:space="0" w:color="auto"/>
              <w:right w:val="single" w:sz="4" w:space="0" w:color="auto"/>
            </w:tcBorders>
            <w:shd w:val="clear" w:color="auto" w:fill="C6EFCE"/>
            <w:noWrap/>
          </w:tcPr>
          <w:p w14:paraId="095DCFE1"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0</w:t>
            </w:r>
          </w:p>
        </w:tc>
        <w:tc>
          <w:tcPr>
            <w:tcW w:w="995" w:type="dxa"/>
            <w:tcBorders>
              <w:top w:val="single" w:sz="4" w:space="0" w:color="auto"/>
              <w:left w:val="nil"/>
              <w:bottom w:val="single" w:sz="4" w:space="0" w:color="auto"/>
              <w:right w:val="single" w:sz="4" w:space="0" w:color="auto"/>
            </w:tcBorders>
            <w:shd w:val="clear" w:color="auto" w:fill="C6EFCE"/>
            <w:noWrap/>
          </w:tcPr>
          <w:p w14:paraId="6EFCA5EE"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60</w:t>
            </w:r>
          </w:p>
        </w:tc>
        <w:tc>
          <w:tcPr>
            <w:tcW w:w="850" w:type="dxa"/>
            <w:tcBorders>
              <w:top w:val="single" w:sz="4" w:space="0" w:color="auto"/>
              <w:left w:val="nil"/>
              <w:bottom w:val="single" w:sz="4" w:space="0" w:color="auto"/>
              <w:right w:val="single" w:sz="4" w:space="0" w:color="auto"/>
            </w:tcBorders>
            <w:shd w:val="clear" w:color="auto" w:fill="C6EFCE"/>
            <w:noWrap/>
          </w:tcPr>
          <w:p w14:paraId="6D768854"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Q1</w:t>
            </w:r>
          </w:p>
        </w:tc>
        <w:tc>
          <w:tcPr>
            <w:tcW w:w="566" w:type="dxa"/>
            <w:tcBorders>
              <w:top w:val="single" w:sz="4" w:space="0" w:color="auto"/>
              <w:left w:val="nil"/>
              <w:bottom w:val="single" w:sz="4" w:space="0" w:color="auto"/>
              <w:right w:val="single" w:sz="4" w:space="0" w:color="auto"/>
            </w:tcBorders>
            <w:shd w:val="clear" w:color="auto" w:fill="C6EFCE"/>
            <w:noWrap/>
          </w:tcPr>
          <w:p w14:paraId="7758FBDE"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2026</w:t>
            </w:r>
          </w:p>
        </w:tc>
        <w:tc>
          <w:tcPr>
            <w:tcW w:w="3686" w:type="dxa"/>
            <w:tcBorders>
              <w:top w:val="single" w:sz="4" w:space="0" w:color="auto"/>
              <w:left w:val="nil"/>
              <w:bottom w:val="single" w:sz="4" w:space="0" w:color="auto"/>
              <w:right w:val="single" w:sz="4" w:space="0" w:color="auto"/>
            </w:tcBorders>
            <w:shd w:val="clear" w:color="auto" w:fill="C6EFCE"/>
            <w:noWrap/>
          </w:tcPr>
          <w:p w14:paraId="2BC36F82" w14:textId="4B1EF5EF" w:rsidR="00B803E9" w:rsidRPr="001B1E82" w:rsidRDefault="00B803E9">
            <w:pPr>
              <w:spacing w:before="120" w:after="0" w:line="240" w:lineRule="auto"/>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rPr>
              <w:t>Acceptance certificates shall prove the</w:t>
            </w:r>
            <w:r w:rsidR="00D23D91" w:rsidRPr="001B1E82">
              <w:rPr>
                <w:rFonts w:ascii="Times New Roman" w:hAnsi="Times New Roman" w:cs="Times New Roman"/>
                <w:noProof/>
                <w:sz w:val="20"/>
                <w:szCs w:val="20"/>
              </w:rPr>
              <w:t xml:space="preserve"> </w:t>
            </w:r>
            <w:r w:rsidRPr="001B1E82">
              <w:rPr>
                <w:rFonts w:ascii="Times New Roman" w:hAnsi="Times New Roman" w:cs="Times New Roman"/>
                <w:noProof/>
                <w:sz w:val="20"/>
                <w:szCs w:val="20"/>
              </w:rPr>
              <w:t xml:space="preserve">delivery of digital infrastucture for 60 universities. Certificates of </w:t>
            </w:r>
            <w:r w:rsidRPr="001B1E82">
              <w:rPr>
                <w:rFonts w:ascii="Times New Roman" w:hAnsi="Times New Roman" w:cs="Times New Roman"/>
                <w:noProof/>
                <w:sz w:val="20"/>
                <w:szCs w:val="20"/>
                <w:lang w:val="en-GB"/>
              </w:rPr>
              <w:t>participation and a centralized list of participants shall prove the delivery of training programmes in digital skills for students and university teaching staff.</w:t>
            </w:r>
          </w:p>
        </w:tc>
      </w:tr>
      <w:tr w:rsidR="00756311" w:rsidRPr="001B1E82" w14:paraId="5ED54158"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34875740"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507</w:t>
            </w:r>
          </w:p>
        </w:tc>
        <w:tc>
          <w:tcPr>
            <w:tcW w:w="1863" w:type="dxa"/>
            <w:tcBorders>
              <w:top w:val="single" w:sz="4" w:space="0" w:color="auto"/>
              <w:left w:val="nil"/>
              <w:bottom w:val="single" w:sz="4" w:space="0" w:color="auto"/>
              <w:right w:val="single" w:sz="4" w:space="0" w:color="auto"/>
            </w:tcBorders>
            <w:shd w:val="clear" w:color="auto" w:fill="C6EFCE"/>
            <w:noWrap/>
          </w:tcPr>
          <w:p w14:paraId="472B0CFD"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Investment 18. Training and coaching for educational management staff </w:t>
            </w:r>
          </w:p>
        </w:tc>
        <w:tc>
          <w:tcPr>
            <w:tcW w:w="1151" w:type="dxa"/>
            <w:tcBorders>
              <w:top w:val="single" w:sz="4" w:space="0" w:color="auto"/>
              <w:left w:val="nil"/>
              <w:bottom w:val="single" w:sz="4" w:space="0" w:color="auto"/>
              <w:right w:val="single" w:sz="4" w:space="0" w:color="auto"/>
            </w:tcBorders>
            <w:shd w:val="clear" w:color="auto" w:fill="C6EFCE"/>
            <w:noWrap/>
          </w:tcPr>
          <w:p w14:paraId="599E1E79"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Target</w:t>
            </w:r>
          </w:p>
        </w:tc>
        <w:tc>
          <w:tcPr>
            <w:tcW w:w="2031" w:type="dxa"/>
            <w:tcBorders>
              <w:top w:val="single" w:sz="4" w:space="0" w:color="auto"/>
              <w:left w:val="nil"/>
              <w:bottom w:val="single" w:sz="4" w:space="0" w:color="auto"/>
              <w:right w:val="single" w:sz="4" w:space="0" w:color="auto"/>
            </w:tcBorders>
            <w:shd w:val="clear" w:color="auto" w:fill="C6EFCE"/>
            <w:noWrap/>
          </w:tcPr>
          <w:p w14:paraId="2203FC9F" w14:textId="77777777" w:rsidR="00B803E9" w:rsidRPr="001B1E82" w:rsidRDefault="00B803E9">
            <w:pPr>
              <w:spacing w:after="12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Educational management staff trained</w:t>
            </w:r>
          </w:p>
        </w:tc>
        <w:tc>
          <w:tcPr>
            <w:tcW w:w="1553" w:type="dxa"/>
            <w:tcBorders>
              <w:top w:val="single" w:sz="4" w:space="0" w:color="auto"/>
              <w:left w:val="nil"/>
              <w:bottom w:val="single" w:sz="4" w:space="0" w:color="auto"/>
              <w:right w:val="single" w:sz="4" w:space="0" w:color="auto"/>
            </w:tcBorders>
            <w:shd w:val="clear" w:color="auto" w:fill="C6EFCE"/>
            <w:noWrap/>
          </w:tcPr>
          <w:p w14:paraId="0DFF327C"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75" w:type="dxa"/>
            <w:tcBorders>
              <w:top w:val="single" w:sz="4" w:space="0" w:color="auto"/>
              <w:left w:val="nil"/>
              <w:bottom w:val="single" w:sz="4" w:space="0" w:color="auto"/>
              <w:right w:val="single" w:sz="4" w:space="0" w:color="auto"/>
            </w:tcBorders>
            <w:shd w:val="clear" w:color="auto" w:fill="C6EFCE"/>
            <w:noWrap/>
          </w:tcPr>
          <w:p w14:paraId="124086E8"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Number</w:t>
            </w:r>
          </w:p>
        </w:tc>
        <w:tc>
          <w:tcPr>
            <w:tcW w:w="1013" w:type="dxa"/>
            <w:tcBorders>
              <w:top w:val="single" w:sz="4" w:space="0" w:color="auto"/>
              <w:left w:val="nil"/>
              <w:bottom w:val="single" w:sz="4" w:space="0" w:color="auto"/>
              <w:right w:val="single" w:sz="4" w:space="0" w:color="auto"/>
            </w:tcBorders>
            <w:shd w:val="clear" w:color="auto" w:fill="C6EFCE"/>
            <w:noWrap/>
          </w:tcPr>
          <w:p w14:paraId="50842D2D"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0</w:t>
            </w:r>
          </w:p>
        </w:tc>
        <w:tc>
          <w:tcPr>
            <w:tcW w:w="995" w:type="dxa"/>
            <w:tcBorders>
              <w:top w:val="single" w:sz="4" w:space="0" w:color="auto"/>
              <w:left w:val="nil"/>
              <w:bottom w:val="single" w:sz="4" w:space="0" w:color="auto"/>
              <w:right w:val="single" w:sz="4" w:space="0" w:color="auto"/>
            </w:tcBorders>
            <w:shd w:val="clear" w:color="auto" w:fill="C6EFCE"/>
            <w:noWrap/>
          </w:tcPr>
          <w:p w14:paraId="79C5E858" w14:textId="59FA8E16"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10</w:t>
            </w:r>
            <w:r w:rsidR="00F21442" w:rsidRPr="001B1E82">
              <w:rPr>
                <w:rFonts w:ascii="Times New Roman" w:hAnsi="Times New Roman" w:cs="Times New Roman"/>
                <w:noProof/>
                <w:sz w:val="20"/>
                <w:szCs w:val="20"/>
                <w:lang w:val="en-GB"/>
              </w:rPr>
              <w:t> </w:t>
            </w:r>
            <w:r w:rsidRPr="001B1E82">
              <w:rPr>
                <w:rFonts w:ascii="Times New Roman" w:hAnsi="Times New Roman" w:cs="Times New Roman"/>
                <w:noProof/>
                <w:sz w:val="20"/>
                <w:szCs w:val="20"/>
                <w:lang w:val="en-GB"/>
              </w:rPr>
              <w:t>000</w:t>
            </w:r>
          </w:p>
        </w:tc>
        <w:tc>
          <w:tcPr>
            <w:tcW w:w="850" w:type="dxa"/>
            <w:tcBorders>
              <w:top w:val="single" w:sz="4" w:space="0" w:color="auto"/>
              <w:left w:val="nil"/>
              <w:bottom w:val="single" w:sz="4" w:space="0" w:color="auto"/>
              <w:right w:val="single" w:sz="4" w:space="0" w:color="auto"/>
            </w:tcBorders>
            <w:shd w:val="clear" w:color="auto" w:fill="C6EFCE"/>
            <w:noWrap/>
          </w:tcPr>
          <w:p w14:paraId="386F5F5F"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Q3</w:t>
            </w:r>
          </w:p>
        </w:tc>
        <w:tc>
          <w:tcPr>
            <w:tcW w:w="566" w:type="dxa"/>
            <w:tcBorders>
              <w:top w:val="single" w:sz="4" w:space="0" w:color="auto"/>
              <w:left w:val="nil"/>
              <w:bottom w:val="single" w:sz="4" w:space="0" w:color="auto"/>
              <w:right w:val="single" w:sz="4" w:space="0" w:color="auto"/>
            </w:tcBorders>
            <w:shd w:val="clear" w:color="auto" w:fill="C6EFCE"/>
            <w:noWrap/>
          </w:tcPr>
          <w:p w14:paraId="23AA8C77"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2026</w:t>
            </w:r>
          </w:p>
        </w:tc>
        <w:tc>
          <w:tcPr>
            <w:tcW w:w="3686" w:type="dxa"/>
            <w:tcBorders>
              <w:top w:val="single" w:sz="4" w:space="0" w:color="auto"/>
              <w:left w:val="nil"/>
              <w:bottom w:val="single" w:sz="4" w:space="0" w:color="auto"/>
              <w:right w:val="single" w:sz="4" w:space="0" w:color="auto"/>
            </w:tcBorders>
            <w:shd w:val="clear" w:color="auto" w:fill="C6EFCE"/>
            <w:noWrap/>
          </w:tcPr>
          <w:p w14:paraId="60DB799C"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Certificates of participation to the training and coaching programme(s) for 10 000 educational management staffdelivered by accredited training providers.</w:t>
            </w:r>
          </w:p>
        </w:tc>
      </w:tr>
    </w:tbl>
    <w:p w14:paraId="3638A77C" w14:textId="77777777" w:rsidR="00B803E9" w:rsidRPr="00291374" w:rsidRDefault="00B803E9" w:rsidP="00B803E9">
      <w:pPr>
        <w:spacing w:before="120" w:after="120" w:line="240" w:lineRule="auto"/>
        <w:ind w:left="709"/>
        <w:jc w:val="both"/>
        <w:rPr>
          <w:rFonts w:ascii="Times New Roman" w:hAnsi="Times New Roman" w:cs="Times New Roman"/>
          <w:noProof/>
          <w:lang w:val="en-GB"/>
        </w:rPr>
        <w:sectPr w:rsidR="00B803E9" w:rsidRPr="00291374" w:rsidSect="00B803E9">
          <w:headerReference w:type="even" r:id="rId341"/>
          <w:headerReference w:type="default" r:id="rId342"/>
          <w:footerReference w:type="even" r:id="rId343"/>
          <w:footerReference w:type="default" r:id="rId344"/>
          <w:headerReference w:type="first" r:id="rId345"/>
          <w:footerReference w:type="first" r:id="rId346"/>
          <w:pgSz w:w="16839" w:h="11907" w:orient="landscape"/>
          <w:pgMar w:top="1134" w:right="1134" w:bottom="1134" w:left="1134" w:header="567" w:footer="567" w:gutter="0"/>
          <w:cols w:space="720"/>
          <w:docGrid w:linePitch="360"/>
        </w:sectPr>
      </w:pPr>
    </w:p>
    <w:p w14:paraId="367E03B5" w14:textId="77777777" w:rsidR="00B803E9" w:rsidRPr="00291374" w:rsidRDefault="00B803E9" w:rsidP="00B803E9">
      <w:pPr>
        <w:keepNext/>
        <w:spacing w:before="120" w:after="120" w:line="240" w:lineRule="auto"/>
        <w:jc w:val="both"/>
        <w:outlineLvl w:val="1"/>
        <w:rPr>
          <w:rFonts w:ascii="Times New Roman" w:hAnsi="Times New Roman" w:cs="Times New Roman"/>
          <w:b/>
          <w:noProof/>
          <w:lang w:val="en-GB"/>
        </w:rPr>
      </w:pPr>
      <w:r w:rsidRPr="00291374">
        <w:rPr>
          <w:rFonts w:ascii="Times New Roman" w:hAnsi="Times New Roman" w:cs="Times New Roman"/>
          <w:b/>
          <w:noProof/>
          <w:lang w:val="en-GB"/>
        </w:rPr>
        <w:t xml:space="preserve">O.3. </w:t>
      </w:r>
      <w:r w:rsidRPr="00291374">
        <w:rPr>
          <w:rFonts w:ascii="Times New Roman" w:hAnsi="Times New Roman" w:cs="Times New Roman"/>
          <w:noProof/>
          <w:lang w:val="en-GB"/>
        </w:rPr>
        <w:tab/>
      </w:r>
      <w:r w:rsidRPr="00291374">
        <w:rPr>
          <w:rFonts w:ascii="Times New Roman" w:hAnsi="Times New Roman" w:cs="Times New Roman"/>
          <w:b/>
          <w:noProof/>
          <w:lang w:val="en-GB"/>
        </w:rPr>
        <w:t xml:space="preserve">Description of the reforms and investments for the loan </w:t>
      </w:r>
    </w:p>
    <w:p w14:paraId="1B61116B" w14:textId="77777777" w:rsidR="00B803E9" w:rsidRPr="00291374" w:rsidRDefault="00B803E9" w:rsidP="00B803E9">
      <w:pPr>
        <w:pStyle w:val="Standard"/>
        <w:spacing w:before="240"/>
        <w:jc w:val="both"/>
        <w:rPr>
          <w:rFonts w:ascii="Times New Roman" w:hAnsi="Times New Roman" w:cs="Times New Roman"/>
          <w:noProof/>
          <w:lang w:val="en-GB"/>
        </w:rPr>
      </w:pPr>
      <w:r w:rsidRPr="00291374">
        <w:rPr>
          <w:rFonts w:ascii="Times New Roman" w:hAnsi="Times New Roman" w:cs="Times New Roman"/>
          <w:noProof/>
          <w:lang w:val="en-GB"/>
        </w:rPr>
        <w:t xml:space="preserve">i. </w:t>
      </w:r>
      <w:r w:rsidRPr="00291374">
        <w:rPr>
          <w:rFonts w:ascii="Times New Roman" w:hAnsi="Times New Roman" w:cs="Times New Roman"/>
          <w:noProof/>
          <w:lang w:val="en-GB"/>
        </w:rPr>
        <w:tab/>
        <w:t>Early childhood education and care:</w:t>
      </w:r>
    </w:p>
    <w:p w14:paraId="75E60777" w14:textId="77777777" w:rsidR="00B803E9" w:rsidRPr="00291374" w:rsidRDefault="00B803E9" w:rsidP="00B803E9">
      <w:pPr>
        <w:pStyle w:val="Standard"/>
        <w:spacing w:before="240"/>
        <w:jc w:val="both"/>
        <w:rPr>
          <w:rFonts w:ascii="Times New Roman" w:hAnsi="Times New Roman" w:cs="Times New Roman"/>
          <w:noProof/>
          <w:u w:val="single"/>
          <w:lang w:val="en-GB"/>
        </w:rPr>
      </w:pPr>
      <w:r w:rsidRPr="00291374">
        <w:rPr>
          <w:rFonts w:ascii="Times New Roman" w:hAnsi="Times New Roman" w:cs="Times New Roman"/>
          <w:noProof/>
          <w:u w:val="single"/>
          <w:lang w:val="en-GB"/>
        </w:rPr>
        <w:t>Investment 1a. Construction and equipping of crèches</w:t>
      </w:r>
    </w:p>
    <w:p w14:paraId="14B95905"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increase the capacity of the early-childhood education system by constructing crèches. </w:t>
      </w:r>
    </w:p>
    <w:p w14:paraId="2598C0CD"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the construction and equipping of crèches. </w:t>
      </w:r>
    </w:p>
    <w:p w14:paraId="702943D9"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complements investment 1 in the non-repayable financial support compartment.</w:t>
      </w:r>
    </w:p>
    <w:p w14:paraId="7A1CD1B1" w14:textId="77777777" w:rsidR="00B803E9" w:rsidRPr="00291374" w:rsidRDefault="00B803E9" w:rsidP="00B803E9">
      <w:pPr>
        <w:numPr>
          <w:ilvl w:val="0"/>
          <w:numId w:val="76"/>
        </w:numPr>
        <w:spacing w:before="120" w:after="120" w:line="240" w:lineRule="auto"/>
        <w:ind w:left="709" w:hanging="425"/>
        <w:jc w:val="both"/>
        <w:rPr>
          <w:rFonts w:ascii="Times New Roman" w:hAnsi="Times New Roman" w:cs="Times New Roman"/>
          <w:noProof/>
          <w:lang w:val="en-GB"/>
        </w:rPr>
      </w:pPr>
      <w:r w:rsidRPr="00291374">
        <w:rPr>
          <w:rFonts w:ascii="Times New Roman" w:hAnsi="Times New Roman" w:cs="Times New Roman"/>
          <w:noProof/>
          <w:lang w:val="en-GB"/>
        </w:rPr>
        <w:t xml:space="preserve">Vocational education and training (VET) and dual education: </w:t>
      </w:r>
    </w:p>
    <w:p w14:paraId="3EA568DD" w14:textId="77777777" w:rsidR="00B803E9" w:rsidRPr="00291374" w:rsidRDefault="00B803E9" w:rsidP="00B803E9">
      <w:pPr>
        <w:pStyle w:val="Standard"/>
        <w:spacing w:before="240"/>
        <w:jc w:val="both"/>
        <w:rPr>
          <w:rFonts w:ascii="Times New Roman" w:hAnsi="Times New Roman" w:cs="Times New Roman"/>
          <w:noProof/>
          <w:u w:val="single"/>
          <w:lang w:val="en-GB"/>
        </w:rPr>
      </w:pPr>
      <w:r w:rsidRPr="00291374">
        <w:rPr>
          <w:rFonts w:ascii="Times New Roman" w:hAnsi="Times New Roman" w:cs="Times New Roman"/>
          <w:noProof/>
          <w:u w:val="single"/>
          <w:lang w:val="en-GB"/>
        </w:rPr>
        <w:t xml:space="preserve">Investment 13. Equipping of IT laboratories in vocational education and training (VET) schools </w:t>
      </w:r>
    </w:p>
    <w:p w14:paraId="6AB4BFF9" w14:textId="77777777" w:rsidR="00B803E9" w:rsidRPr="00291374" w:rsidRDefault="00B803E9" w:rsidP="00B803E9">
      <w:pPr>
        <w:pStyle w:val="Standard"/>
        <w:spacing w:before="240"/>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the investment is to support the digital transformation of schools belonging to the VET network. </w:t>
      </w:r>
    </w:p>
    <w:p w14:paraId="33359D8E" w14:textId="77777777" w:rsidR="00B803E9" w:rsidRPr="00291374" w:rsidRDefault="00B803E9" w:rsidP="00B803E9">
      <w:pPr>
        <w:pStyle w:val="Standard"/>
        <w:spacing w:before="240"/>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purchasing digital equipment for VET schools. </w:t>
      </w:r>
    </w:p>
    <w:p w14:paraId="2AEA3238" w14:textId="77777777" w:rsidR="00B803E9" w:rsidRPr="00291374" w:rsidRDefault="00B803E9" w:rsidP="00B803E9">
      <w:pPr>
        <w:numPr>
          <w:ilvl w:val="0"/>
          <w:numId w:val="76"/>
        </w:numPr>
        <w:spacing w:before="120" w:after="120" w:line="240" w:lineRule="auto"/>
        <w:ind w:left="709" w:hanging="283"/>
        <w:jc w:val="both"/>
        <w:rPr>
          <w:rFonts w:ascii="Times New Roman" w:hAnsi="Times New Roman" w:cs="Times New Roman"/>
          <w:noProof/>
          <w:lang w:val="en-GB"/>
        </w:rPr>
      </w:pPr>
      <w:r w:rsidRPr="00291374">
        <w:rPr>
          <w:rFonts w:ascii="Times New Roman" w:hAnsi="Times New Roman" w:cs="Times New Roman"/>
          <w:noProof/>
          <w:lang w:val="en-GB"/>
        </w:rPr>
        <w:t xml:space="preserve">Digitalisation of education: </w:t>
      </w:r>
    </w:p>
    <w:p w14:paraId="75955BD1" w14:textId="77777777" w:rsidR="00B803E9" w:rsidRPr="00291374" w:rsidRDefault="00B803E9" w:rsidP="00B803E9">
      <w:pPr>
        <w:spacing w:before="120" w:after="120" w:line="240" w:lineRule="auto"/>
        <w:jc w:val="both"/>
        <w:rPr>
          <w:rFonts w:ascii="Times New Roman" w:hAnsi="Times New Roman" w:cs="Times New Roman"/>
          <w:noProof/>
          <w:u w:val="single"/>
          <w:lang w:val="en-GB"/>
        </w:rPr>
      </w:pPr>
      <w:r w:rsidRPr="00291374">
        <w:rPr>
          <w:rFonts w:ascii="Times New Roman" w:hAnsi="Times New Roman" w:cs="Times New Roman"/>
          <w:noProof/>
          <w:u w:val="single"/>
          <w:lang w:val="en-GB"/>
        </w:rPr>
        <w:t>Investment 16. Digitisation of universities and their preparation for the digital professions of the future</w:t>
      </w:r>
    </w:p>
    <w:p w14:paraId="7DF05A15"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increase digital infrastructure and the digital competences of students and university teaching staff. </w:t>
      </w:r>
    </w:p>
    <w:p w14:paraId="08BCCCE5"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complements investment 16a in the non-repayable financial support compartment.</w:t>
      </w:r>
    </w:p>
    <w:p w14:paraId="4E0D2B02" w14:textId="77777777" w:rsidR="00B803E9" w:rsidRPr="00291374" w:rsidRDefault="00B803E9" w:rsidP="00B803E9">
      <w:pPr>
        <w:pStyle w:val="ListParagraph"/>
        <w:numPr>
          <w:ilvl w:val="0"/>
          <w:numId w:val="76"/>
        </w:numPr>
        <w:spacing w:before="120" w:after="120" w:line="240" w:lineRule="auto"/>
        <w:ind w:left="709" w:hanging="425"/>
        <w:jc w:val="both"/>
        <w:rPr>
          <w:rFonts w:ascii="Times New Roman" w:hAnsi="Times New Roman" w:cs="Times New Roman"/>
          <w:noProof/>
          <w:sz w:val="24"/>
          <w:lang w:val="en-GB"/>
        </w:rPr>
      </w:pPr>
      <w:r w:rsidRPr="00291374">
        <w:rPr>
          <w:rFonts w:ascii="Times New Roman" w:hAnsi="Times New Roman" w:cs="Times New Roman"/>
          <w:noProof/>
          <w:sz w:val="24"/>
          <w:lang w:val="en-GB"/>
        </w:rPr>
        <w:t xml:space="preserve">Infrastructure: </w:t>
      </w:r>
    </w:p>
    <w:p w14:paraId="6A37BFF2" w14:textId="77777777" w:rsidR="00B803E9" w:rsidRPr="00291374" w:rsidRDefault="00B803E9" w:rsidP="00B803E9">
      <w:pPr>
        <w:pStyle w:val="Standard"/>
        <w:spacing w:before="240"/>
        <w:jc w:val="both"/>
        <w:rPr>
          <w:rFonts w:ascii="Times New Roman" w:eastAsiaTheme="majorEastAsia" w:hAnsi="Times New Roman" w:cs="Times New Roman"/>
          <w:bCs/>
          <w:noProof/>
          <w:u w:val="single"/>
          <w:lang w:val="en-GB"/>
        </w:rPr>
      </w:pPr>
      <w:r w:rsidRPr="00291374">
        <w:rPr>
          <w:rFonts w:ascii="Times New Roman" w:hAnsi="Times New Roman" w:cs="Times New Roman"/>
          <w:noProof/>
          <w:u w:val="single"/>
          <w:lang w:val="en-GB"/>
        </w:rPr>
        <w:t>Investment 10a. Green-schools network construction</w:t>
      </w:r>
    </w:p>
    <w:p w14:paraId="77CB870B"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to ensure the sustainability of pre-university schools through the transition to green schools. </w:t>
      </w:r>
    </w:p>
    <w:p w14:paraId="5608B2EC"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investment consists in building green schools. </w:t>
      </w:r>
    </w:p>
    <w:p w14:paraId="26C4E060" w14:textId="5733BF70"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This measure complements investment 10 in the</w:t>
      </w:r>
      <w:r w:rsidR="00D23D91">
        <w:rPr>
          <w:rFonts w:ascii="Times New Roman" w:hAnsi="Times New Roman" w:cs="Times New Roman"/>
          <w:noProof/>
          <w:lang w:val="en-GB"/>
        </w:rPr>
        <w:t xml:space="preserve"> </w:t>
      </w:r>
      <w:r w:rsidRPr="00291374">
        <w:rPr>
          <w:rFonts w:ascii="Times New Roman" w:hAnsi="Times New Roman" w:cs="Times New Roman"/>
          <w:noProof/>
          <w:lang w:val="en-GB"/>
        </w:rPr>
        <w:t>non-repayable financial support compartment.</w:t>
      </w:r>
    </w:p>
    <w:p w14:paraId="69E09824" w14:textId="77777777" w:rsidR="00B803E9" w:rsidRPr="00291374" w:rsidRDefault="00B803E9" w:rsidP="00B803E9">
      <w:pPr>
        <w:pStyle w:val="Standard"/>
        <w:spacing w:before="240"/>
        <w:jc w:val="both"/>
        <w:rPr>
          <w:rFonts w:ascii="Times New Roman" w:eastAsiaTheme="majorEastAsia" w:hAnsi="Times New Roman" w:cs="Times New Roman"/>
          <w:noProof/>
          <w:u w:val="single"/>
          <w:lang w:val="en-GB"/>
        </w:rPr>
      </w:pPr>
      <w:r w:rsidRPr="00291374">
        <w:rPr>
          <w:rFonts w:ascii="Times New Roman" w:hAnsi="Times New Roman" w:cs="Times New Roman"/>
          <w:noProof/>
          <w:u w:val="single"/>
          <w:lang w:val="en-GB"/>
        </w:rPr>
        <w:t>Investment 17. Ensuring university infrastructure (accommodation, canteens, recreation facilities)</w:t>
      </w:r>
    </w:p>
    <w:p w14:paraId="6839920A"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 xml:space="preserve">The objective of this investment is the construction and modernisation of three types of infrastructures in university campuses. </w:t>
      </w:r>
    </w:p>
    <w:p w14:paraId="03A4783B" w14:textId="77777777" w:rsidR="00B803E9" w:rsidRPr="00291374" w:rsidRDefault="00B803E9" w:rsidP="00B803E9">
      <w:pPr>
        <w:spacing w:before="120" w:after="120" w:line="240" w:lineRule="auto"/>
        <w:jc w:val="both"/>
        <w:rPr>
          <w:rFonts w:ascii="Times New Roman" w:hAnsi="Times New Roman" w:cs="Times New Roman"/>
          <w:noProof/>
          <w:lang w:val="en-GB"/>
        </w:rPr>
      </w:pPr>
      <w:r w:rsidRPr="00291374">
        <w:rPr>
          <w:rFonts w:ascii="Times New Roman" w:hAnsi="Times New Roman" w:cs="Times New Roman"/>
          <w:noProof/>
          <w:lang w:val="en-GB"/>
        </w:rPr>
        <w:t>The investment consists in the construction and modernisation of recreational and reading places, canteens and accommodation places in university campuses.</w:t>
      </w:r>
    </w:p>
    <w:p w14:paraId="57A526CE" w14:textId="77777777" w:rsidR="00B803E9" w:rsidRPr="00291374" w:rsidRDefault="00B803E9" w:rsidP="00B803E9">
      <w:pPr>
        <w:tabs>
          <w:tab w:val="left" w:pos="1290"/>
        </w:tabs>
        <w:rPr>
          <w:rFonts w:ascii="Times New Roman" w:hAnsi="Times New Roman" w:cs="Times New Roman"/>
          <w:noProof/>
          <w:lang w:val="en-GB"/>
        </w:rPr>
      </w:pPr>
    </w:p>
    <w:p w14:paraId="75CE8F97" w14:textId="77777777" w:rsidR="00B803E9" w:rsidRPr="00291374" w:rsidRDefault="00B803E9" w:rsidP="00B803E9">
      <w:pPr>
        <w:tabs>
          <w:tab w:val="left" w:pos="1290"/>
        </w:tabs>
        <w:rPr>
          <w:rFonts w:ascii="Times New Roman" w:hAnsi="Times New Roman" w:cs="Times New Roman"/>
          <w:noProof/>
          <w:lang w:val="en-GB"/>
        </w:rPr>
        <w:sectPr w:rsidR="00B803E9" w:rsidRPr="00291374" w:rsidSect="00B803E9">
          <w:headerReference w:type="even" r:id="rId347"/>
          <w:headerReference w:type="default" r:id="rId348"/>
          <w:footerReference w:type="even" r:id="rId349"/>
          <w:footerReference w:type="default" r:id="rId350"/>
          <w:headerReference w:type="first" r:id="rId351"/>
          <w:footerReference w:type="first" r:id="rId352"/>
          <w:pgSz w:w="11907" w:h="16839"/>
          <w:pgMar w:top="1134" w:right="1134" w:bottom="1134" w:left="1134" w:header="567" w:footer="567" w:gutter="0"/>
          <w:cols w:space="720"/>
          <w:docGrid w:linePitch="360"/>
        </w:sectPr>
      </w:pPr>
      <w:r w:rsidRPr="00291374">
        <w:rPr>
          <w:rFonts w:ascii="Times New Roman" w:hAnsi="Times New Roman" w:cs="Times New Roman"/>
          <w:noProof/>
          <w:lang w:val="en-GB"/>
        </w:rPr>
        <w:tab/>
      </w:r>
    </w:p>
    <w:p w14:paraId="10677D22" w14:textId="77777777" w:rsidR="00B803E9" w:rsidRPr="00291374" w:rsidRDefault="00B803E9" w:rsidP="00B803E9">
      <w:pPr>
        <w:keepNext/>
        <w:spacing w:before="120" w:after="120" w:line="240" w:lineRule="auto"/>
        <w:jc w:val="both"/>
        <w:outlineLvl w:val="1"/>
        <w:rPr>
          <w:rFonts w:ascii="Times New Roman" w:eastAsiaTheme="majorEastAsia" w:hAnsi="Times New Roman" w:cs="Times New Roman"/>
          <w:b/>
          <w:bCs/>
          <w:noProof/>
          <w:lang w:val="en-GB"/>
        </w:rPr>
      </w:pPr>
      <w:r w:rsidRPr="00291374">
        <w:rPr>
          <w:rFonts w:ascii="Times New Roman" w:hAnsi="Times New Roman" w:cs="Times New Roman"/>
          <w:b/>
          <w:noProof/>
          <w:lang w:val="en-GB"/>
        </w:rPr>
        <w:t xml:space="preserve">O.4. </w:t>
      </w:r>
      <w:r w:rsidRPr="00291374">
        <w:rPr>
          <w:rFonts w:ascii="Times New Roman" w:hAnsi="Times New Roman" w:cs="Times New Roman"/>
          <w:noProof/>
          <w:lang w:val="en-GB"/>
        </w:rPr>
        <w:tab/>
      </w:r>
      <w:r w:rsidRPr="00291374">
        <w:rPr>
          <w:rFonts w:ascii="Times New Roman" w:hAnsi="Times New Roman" w:cs="Times New Roman"/>
          <w:b/>
          <w:noProof/>
          <w:lang w:val="en-GB"/>
        </w:rPr>
        <w:t xml:space="preserve">Milestones, targets, indicators, and timetable for monitoring and implementation for the loan </w:t>
      </w:r>
    </w:p>
    <w:tbl>
      <w:tblPr>
        <w:tblW w:w="15972" w:type="dxa"/>
        <w:jc w:val="center"/>
        <w:tblLayout w:type="fixed"/>
        <w:tblCellMar>
          <w:left w:w="28" w:type="dxa"/>
          <w:right w:w="28" w:type="dxa"/>
        </w:tblCellMar>
        <w:tblLook w:val="04A0" w:firstRow="1" w:lastRow="0" w:firstColumn="1" w:lastColumn="0" w:noHBand="0" w:noVBand="1"/>
      </w:tblPr>
      <w:tblGrid>
        <w:gridCol w:w="835"/>
        <w:gridCol w:w="2204"/>
        <w:gridCol w:w="1106"/>
        <w:gridCol w:w="1658"/>
        <w:gridCol w:w="1383"/>
        <w:gridCol w:w="968"/>
        <w:gridCol w:w="1272"/>
        <w:gridCol w:w="909"/>
        <w:gridCol w:w="1124"/>
        <w:gridCol w:w="1106"/>
        <w:gridCol w:w="3407"/>
      </w:tblGrid>
      <w:tr w:rsidR="00382D78" w:rsidRPr="001B1E82" w14:paraId="1EFFF4FE" w14:textId="77777777" w:rsidTr="001B1E82">
        <w:trPr>
          <w:trHeight w:val="668"/>
          <w:tblHeader/>
          <w:jc w:val="center"/>
        </w:trPr>
        <w:tc>
          <w:tcPr>
            <w:tcW w:w="835"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6D383CC4" w14:textId="400F968A" w:rsidR="00B803E9" w:rsidRPr="001B1E82" w:rsidRDefault="001B1E82">
            <w:pPr>
              <w:spacing w:after="0" w:line="240" w:lineRule="auto"/>
              <w:jc w:val="center"/>
              <w:rPr>
                <w:rFonts w:ascii="Times New Roman" w:eastAsia="Times New Roman" w:hAnsi="Times New Roman" w:cs="Times New Roman"/>
                <w:b/>
                <w:noProof/>
                <w:sz w:val="20"/>
                <w:szCs w:val="20"/>
                <w:lang w:val="en-GB"/>
              </w:rPr>
            </w:pPr>
            <w:r w:rsidRPr="001B1E82">
              <w:rPr>
                <w:rFonts w:ascii="Times New Roman" w:eastAsia="Times New Roman" w:hAnsi="Times New Roman" w:cs="Times New Roman"/>
                <w:b/>
                <w:noProof/>
                <w:sz w:val="20"/>
                <w:szCs w:val="20"/>
                <w:lang w:val="en-GB"/>
              </w:rPr>
              <w:t xml:space="preserve">Seq. Num. </w:t>
            </w:r>
          </w:p>
        </w:tc>
        <w:tc>
          <w:tcPr>
            <w:tcW w:w="2204"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21802CFB"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Related Measure (Reform or Investment)</w:t>
            </w:r>
          </w:p>
        </w:tc>
        <w:tc>
          <w:tcPr>
            <w:tcW w:w="1106"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4D4A63BD" w14:textId="6645A663"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Milestone/</w:t>
            </w:r>
            <w:r w:rsidR="001B1E82">
              <w:rPr>
                <w:rFonts w:ascii="Times New Roman" w:hAnsi="Times New Roman" w:cs="Times New Roman"/>
                <w:b/>
                <w:noProof/>
                <w:sz w:val="20"/>
                <w:szCs w:val="20"/>
                <w:lang w:val="en-GB"/>
              </w:rPr>
              <w:t xml:space="preserve"> </w:t>
            </w:r>
            <w:r w:rsidRPr="001B1E82">
              <w:rPr>
                <w:rFonts w:ascii="Times New Roman" w:hAnsi="Times New Roman" w:cs="Times New Roman"/>
                <w:b/>
                <w:noProof/>
                <w:sz w:val="20"/>
                <w:szCs w:val="20"/>
                <w:lang w:val="en-GB"/>
              </w:rPr>
              <w:t>Target</w:t>
            </w:r>
          </w:p>
        </w:tc>
        <w:tc>
          <w:tcPr>
            <w:tcW w:w="1658"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39E1193C"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Name</w:t>
            </w:r>
          </w:p>
        </w:tc>
        <w:tc>
          <w:tcPr>
            <w:tcW w:w="1383"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0B91E8E5"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 xml:space="preserve">Qualitative </w:t>
            </w:r>
          </w:p>
          <w:p w14:paraId="77A0415A"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indicators</w:t>
            </w:r>
            <w:r w:rsidRPr="001B1E82">
              <w:rPr>
                <w:rFonts w:ascii="Times New Roman" w:hAnsi="Times New Roman" w:cs="Times New Roman"/>
                <w:noProof/>
                <w:sz w:val="20"/>
                <w:szCs w:val="20"/>
                <w:lang w:val="en-GB"/>
              </w:rPr>
              <w:t xml:space="preserve"> </w:t>
            </w:r>
            <w:r w:rsidRPr="001B1E82">
              <w:rPr>
                <w:rFonts w:ascii="Times New Roman" w:hAnsi="Times New Roman" w:cs="Times New Roman"/>
                <w:noProof/>
                <w:sz w:val="20"/>
                <w:szCs w:val="20"/>
                <w:lang w:val="en-GB"/>
              </w:rPr>
              <w:br/>
            </w:r>
            <w:r w:rsidRPr="001B1E82">
              <w:rPr>
                <w:rFonts w:ascii="Times New Roman" w:hAnsi="Times New Roman" w:cs="Times New Roman"/>
                <w:b/>
                <w:noProof/>
                <w:sz w:val="20"/>
                <w:szCs w:val="20"/>
                <w:lang w:val="en-GB"/>
              </w:rPr>
              <w:t>(for milestones)</w:t>
            </w:r>
          </w:p>
        </w:tc>
        <w:tc>
          <w:tcPr>
            <w:tcW w:w="3149"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1A5788B9" w14:textId="54D06DCE" w:rsidR="00B803E9" w:rsidRPr="001B1E82" w:rsidRDefault="00B803E9" w:rsidP="001B1E82">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 xml:space="preserve">Quantitative indicators </w:t>
            </w:r>
            <w:r w:rsidRPr="001B1E82">
              <w:rPr>
                <w:rFonts w:ascii="Times New Roman" w:hAnsi="Times New Roman" w:cs="Times New Roman"/>
                <w:noProof/>
                <w:sz w:val="20"/>
                <w:szCs w:val="20"/>
                <w:lang w:val="en-GB"/>
              </w:rPr>
              <w:br/>
            </w:r>
            <w:r w:rsidRPr="001B1E82">
              <w:rPr>
                <w:rFonts w:ascii="Times New Roman" w:hAnsi="Times New Roman" w:cs="Times New Roman"/>
                <w:b/>
                <w:noProof/>
                <w:sz w:val="20"/>
                <w:szCs w:val="20"/>
                <w:lang w:val="en-GB"/>
              </w:rPr>
              <w:t>(for targets)</w:t>
            </w:r>
          </w:p>
        </w:tc>
        <w:tc>
          <w:tcPr>
            <w:tcW w:w="2230"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4153147A" w14:textId="5B1167B4" w:rsidR="00B803E9" w:rsidRPr="001B1E82" w:rsidRDefault="00B803E9" w:rsidP="001B1E82">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 xml:space="preserve">Indicative timeline for completion </w:t>
            </w:r>
          </w:p>
        </w:tc>
        <w:tc>
          <w:tcPr>
            <w:tcW w:w="3407"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2B455CA5"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Description of each milestone and target</w:t>
            </w:r>
          </w:p>
        </w:tc>
      </w:tr>
      <w:tr w:rsidR="00382D78" w:rsidRPr="001B1E82" w14:paraId="63F1034C" w14:textId="77777777" w:rsidTr="001B1E82">
        <w:trPr>
          <w:trHeight w:val="800"/>
          <w:tblHeader/>
          <w:jc w:val="center"/>
        </w:trPr>
        <w:tc>
          <w:tcPr>
            <w:tcW w:w="835" w:type="dxa"/>
            <w:vMerge/>
            <w:tcBorders>
              <w:top w:val="single" w:sz="4" w:space="0" w:color="auto"/>
              <w:left w:val="single" w:sz="4" w:space="0" w:color="auto"/>
              <w:bottom w:val="single" w:sz="4" w:space="0" w:color="auto"/>
              <w:right w:val="single" w:sz="4" w:space="0" w:color="auto"/>
            </w:tcBorders>
            <w:noWrap/>
            <w:vAlign w:val="center"/>
          </w:tcPr>
          <w:p w14:paraId="5C667FF3"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eastAsia="en-GB"/>
              </w:rPr>
            </w:pPr>
          </w:p>
        </w:tc>
        <w:tc>
          <w:tcPr>
            <w:tcW w:w="2204" w:type="dxa"/>
            <w:vMerge/>
            <w:tcBorders>
              <w:top w:val="single" w:sz="4" w:space="0" w:color="auto"/>
              <w:left w:val="single" w:sz="4" w:space="0" w:color="auto"/>
              <w:bottom w:val="single" w:sz="4" w:space="0" w:color="auto"/>
              <w:right w:val="single" w:sz="4" w:space="0" w:color="auto"/>
            </w:tcBorders>
            <w:noWrap/>
            <w:vAlign w:val="center"/>
          </w:tcPr>
          <w:p w14:paraId="634778A6" w14:textId="77777777" w:rsidR="00B803E9" w:rsidRPr="001B1E82" w:rsidRDefault="00B803E9">
            <w:pPr>
              <w:spacing w:after="0" w:line="240" w:lineRule="auto"/>
              <w:jc w:val="both"/>
              <w:rPr>
                <w:rFonts w:ascii="Times New Roman" w:eastAsia="Times New Roman" w:hAnsi="Times New Roman" w:cs="Times New Roman"/>
                <w:b/>
                <w:noProof/>
                <w:sz w:val="20"/>
                <w:szCs w:val="20"/>
                <w:lang w:val="en-GB" w:eastAsia="en-GB"/>
              </w:rPr>
            </w:pPr>
          </w:p>
        </w:tc>
        <w:tc>
          <w:tcPr>
            <w:tcW w:w="1106" w:type="dxa"/>
            <w:vMerge/>
            <w:tcBorders>
              <w:top w:val="single" w:sz="4" w:space="0" w:color="auto"/>
              <w:left w:val="single" w:sz="4" w:space="0" w:color="auto"/>
              <w:bottom w:val="single" w:sz="4" w:space="0" w:color="auto"/>
              <w:right w:val="single" w:sz="4" w:space="0" w:color="auto"/>
            </w:tcBorders>
            <w:noWrap/>
            <w:vAlign w:val="center"/>
          </w:tcPr>
          <w:p w14:paraId="47EC5D4F" w14:textId="77777777" w:rsidR="00B803E9" w:rsidRPr="001B1E82" w:rsidRDefault="00B803E9">
            <w:pPr>
              <w:spacing w:after="0" w:line="240" w:lineRule="auto"/>
              <w:jc w:val="both"/>
              <w:rPr>
                <w:rFonts w:ascii="Times New Roman" w:eastAsia="Times New Roman" w:hAnsi="Times New Roman" w:cs="Times New Roman"/>
                <w:b/>
                <w:noProof/>
                <w:sz w:val="20"/>
                <w:szCs w:val="20"/>
                <w:lang w:val="en-GB" w:eastAsia="en-GB"/>
              </w:rPr>
            </w:pPr>
          </w:p>
        </w:tc>
        <w:tc>
          <w:tcPr>
            <w:tcW w:w="1658" w:type="dxa"/>
            <w:vMerge/>
            <w:tcBorders>
              <w:top w:val="single" w:sz="4" w:space="0" w:color="auto"/>
              <w:left w:val="single" w:sz="4" w:space="0" w:color="auto"/>
              <w:bottom w:val="single" w:sz="4" w:space="0" w:color="auto"/>
              <w:right w:val="single" w:sz="4" w:space="0" w:color="auto"/>
            </w:tcBorders>
            <w:noWrap/>
            <w:vAlign w:val="center"/>
          </w:tcPr>
          <w:p w14:paraId="51C473D8" w14:textId="77777777" w:rsidR="00B803E9" w:rsidRPr="001B1E82" w:rsidRDefault="00B803E9">
            <w:pPr>
              <w:spacing w:after="0" w:line="240" w:lineRule="auto"/>
              <w:jc w:val="both"/>
              <w:rPr>
                <w:rFonts w:ascii="Times New Roman" w:eastAsia="Times New Roman" w:hAnsi="Times New Roman" w:cs="Times New Roman"/>
                <w:b/>
                <w:noProof/>
                <w:sz w:val="20"/>
                <w:szCs w:val="20"/>
                <w:lang w:val="en-GB" w:eastAsia="en-GB"/>
              </w:rPr>
            </w:pPr>
          </w:p>
        </w:tc>
        <w:tc>
          <w:tcPr>
            <w:tcW w:w="1383" w:type="dxa"/>
            <w:vMerge/>
            <w:tcBorders>
              <w:top w:val="single" w:sz="4" w:space="0" w:color="auto"/>
              <w:left w:val="single" w:sz="4" w:space="0" w:color="auto"/>
              <w:bottom w:val="single" w:sz="4" w:space="0" w:color="auto"/>
              <w:right w:val="single" w:sz="4" w:space="0" w:color="auto"/>
            </w:tcBorders>
            <w:noWrap/>
            <w:vAlign w:val="center"/>
          </w:tcPr>
          <w:p w14:paraId="789CFEA1"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eastAsia="en-GB"/>
              </w:rPr>
            </w:pPr>
          </w:p>
        </w:tc>
        <w:tc>
          <w:tcPr>
            <w:tcW w:w="968" w:type="dxa"/>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5D24FE30" w14:textId="77DC2DA8" w:rsidR="00B803E9" w:rsidRPr="001B1E82" w:rsidRDefault="00B803E9" w:rsidP="001B1E82">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Unit of measure</w:t>
            </w:r>
          </w:p>
        </w:tc>
        <w:tc>
          <w:tcPr>
            <w:tcW w:w="1272" w:type="dxa"/>
            <w:tcBorders>
              <w:top w:val="single" w:sz="4" w:space="0" w:color="auto"/>
              <w:left w:val="nil"/>
              <w:bottom w:val="single" w:sz="4" w:space="0" w:color="auto"/>
              <w:right w:val="single" w:sz="4" w:space="0" w:color="auto"/>
            </w:tcBorders>
            <w:shd w:val="clear" w:color="auto" w:fill="DAE9F7" w:themeFill="text2" w:themeFillTint="1A"/>
            <w:noWrap/>
            <w:vAlign w:val="center"/>
          </w:tcPr>
          <w:p w14:paraId="6F385EC3"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 xml:space="preserve">Baseline </w:t>
            </w:r>
          </w:p>
        </w:tc>
        <w:tc>
          <w:tcPr>
            <w:tcW w:w="909" w:type="dxa"/>
            <w:tcBorders>
              <w:top w:val="single" w:sz="4" w:space="0" w:color="auto"/>
              <w:left w:val="nil"/>
              <w:bottom w:val="single" w:sz="4" w:space="0" w:color="auto"/>
              <w:right w:val="single" w:sz="4" w:space="0" w:color="auto"/>
            </w:tcBorders>
            <w:shd w:val="clear" w:color="auto" w:fill="DAE9F7" w:themeFill="text2" w:themeFillTint="1A"/>
            <w:noWrap/>
            <w:vAlign w:val="center"/>
          </w:tcPr>
          <w:p w14:paraId="60984B2F"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 xml:space="preserve">Goal </w:t>
            </w:r>
          </w:p>
        </w:tc>
        <w:tc>
          <w:tcPr>
            <w:tcW w:w="1124" w:type="dxa"/>
            <w:tcBorders>
              <w:top w:val="single" w:sz="4" w:space="0" w:color="auto"/>
              <w:left w:val="nil"/>
              <w:bottom w:val="single" w:sz="4" w:space="0" w:color="auto"/>
              <w:right w:val="single" w:sz="4" w:space="0" w:color="auto"/>
            </w:tcBorders>
            <w:shd w:val="clear" w:color="auto" w:fill="DAE9F7" w:themeFill="text2" w:themeFillTint="1A"/>
            <w:noWrap/>
            <w:vAlign w:val="center"/>
          </w:tcPr>
          <w:p w14:paraId="4D893D17"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Quarter</w:t>
            </w:r>
          </w:p>
        </w:tc>
        <w:tc>
          <w:tcPr>
            <w:tcW w:w="1106" w:type="dxa"/>
            <w:tcBorders>
              <w:top w:val="single" w:sz="4" w:space="0" w:color="auto"/>
              <w:left w:val="nil"/>
              <w:bottom w:val="single" w:sz="4" w:space="0" w:color="auto"/>
              <w:right w:val="single" w:sz="4" w:space="0" w:color="auto"/>
            </w:tcBorders>
            <w:shd w:val="clear" w:color="auto" w:fill="DAE9F7" w:themeFill="text2" w:themeFillTint="1A"/>
            <w:noWrap/>
            <w:vAlign w:val="center"/>
          </w:tcPr>
          <w:p w14:paraId="24F96E3A" w14:textId="77777777" w:rsidR="00B803E9" w:rsidRPr="001B1E82" w:rsidRDefault="00B803E9">
            <w:pPr>
              <w:spacing w:after="0" w:line="240" w:lineRule="auto"/>
              <w:jc w:val="center"/>
              <w:rPr>
                <w:rFonts w:ascii="Times New Roman" w:eastAsia="Times New Roman" w:hAnsi="Times New Roman" w:cs="Times New Roman"/>
                <w:b/>
                <w:noProof/>
                <w:sz w:val="20"/>
                <w:szCs w:val="20"/>
                <w:lang w:val="en-GB"/>
              </w:rPr>
            </w:pPr>
            <w:r w:rsidRPr="001B1E82">
              <w:rPr>
                <w:rFonts w:ascii="Times New Roman" w:hAnsi="Times New Roman" w:cs="Times New Roman"/>
                <w:b/>
                <w:noProof/>
                <w:sz w:val="20"/>
                <w:szCs w:val="20"/>
                <w:lang w:val="en-GB"/>
              </w:rPr>
              <w:t>Year</w:t>
            </w:r>
          </w:p>
        </w:tc>
        <w:tc>
          <w:tcPr>
            <w:tcW w:w="3407" w:type="dxa"/>
            <w:vMerge/>
            <w:tcBorders>
              <w:top w:val="single" w:sz="4" w:space="0" w:color="auto"/>
              <w:bottom w:val="single" w:sz="4" w:space="0" w:color="auto"/>
              <w:right w:val="single" w:sz="4" w:space="0" w:color="auto"/>
            </w:tcBorders>
            <w:noWrap/>
            <w:vAlign w:val="center"/>
          </w:tcPr>
          <w:p w14:paraId="10067CDE" w14:textId="77777777" w:rsidR="00B803E9" w:rsidRPr="001B1E82" w:rsidRDefault="00B803E9">
            <w:pPr>
              <w:spacing w:after="0" w:line="240" w:lineRule="auto"/>
              <w:jc w:val="both"/>
              <w:rPr>
                <w:rFonts w:ascii="Times New Roman" w:eastAsia="Times New Roman" w:hAnsi="Times New Roman" w:cs="Times New Roman"/>
                <w:b/>
                <w:noProof/>
                <w:sz w:val="20"/>
                <w:szCs w:val="20"/>
                <w:lang w:val="en-GB" w:eastAsia="en-GB"/>
              </w:rPr>
            </w:pPr>
          </w:p>
        </w:tc>
      </w:tr>
      <w:tr w:rsidR="00B803E9" w:rsidRPr="001B1E82" w14:paraId="50D7610F" w14:textId="77777777" w:rsidTr="001B1E82">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301872B9"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457a</w:t>
            </w:r>
          </w:p>
        </w:tc>
        <w:tc>
          <w:tcPr>
            <w:tcW w:w="2204" w:type="dxa"/>
            <w:tcBorders>
              <w:top w:val="single" w:sz="4" w:space="0" w:color="auto"/>
              <w:left w:val="nil"/>
              <w:bottom w:val="single" w:sz="4" w:space="0" w:color="auto"/>
              <w:right w:val="single" w:sz="4" w:space="0" w:color="auto"/>
            </w:tcBorders>
            <w:shd w:val="clear" w:color="auto" w:fill="C6EFCE"/>
            <w:noWrap/>
          </w:tcPr>
          <w:p w14:paraId="34F5DD34"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1a. Construction and equipping of crèches</w:t>
            </w:r>
          </w:p>
        </w:tc>
        <w:tc>
          <w:tcPr>
            <w:tcW w:w="1106" w:type="dxa"/>
            <w:tcBorders>
              <w:top w:val="single" w:sz="4" w:space="0" w:color="auto"/>
              <w:left w:val="nil"/>
              <w:bottom w:val="single" w:sz="4" w:space="0" w:color="auto"/>
              <w:right w:val="single" w:sz="4" w:space="0" w:color="auto"/>
            </w:tcBorders>
            <w:shd w:val="clear" w:color="auto" w:fill="C6EFCE"/>
            <w:noWrap/>
          </w:tcPr>
          <w:p w14:paraId="5733DDFE"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Target</w:t>
            </w:r>
          </w:p>
        </w:tc>
        <w:tc>
          <w:tcPr>
            <w:tcW w:w="1658" w:type="dxa"/>
            <w:tcBorders>
              <w:top w:val="single" w:sz="4" w:space="0" w:color="auto"/>
              <w:left w:val="nil"/>
              <w:bottom w:val="single" w:sz="4" w:space="0" w:color="auto"/>
              <w:right w:val="single" w:sz="4" w:space="0" w:color="auto"/>
            </w:tcBorders>
            <w:shd w:val="clear" w:color="auto" w:fill="C6EFCE"/>
            <w:noWrap/>
          </w:tcPr>
          <w:p w14:paraId="7BD84BC3" w14:textId="06C5E708"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Built and equipped</w:t>
            </w:r>
            <w:r w:rsidR="00D23D91" w:rsidRPr="001B1E82">
              <w:rPr>
                <w:rFonts w:ascii="Times New Roman" w:hAnsi="Times New Roman" w:cs="Times New Roman"/>
                <w:noProof/>
                <w:sz w:val="20"/>
                <w:szCs w:val="20"/>
                <w:lang w:val="en-GB"/>
              </w:rPr>
              <w:t xml:space="preserve"> </w:t>
            </w:r>
            <w:r w:rsidRPr="001B1E82">
              <w:rPr>
                <w:rFonts w:ascii="Times New Roman" w:hAnsi="Times New Roman" w:cs="Times New Roman"/>
                <w:noProof/>
                <w:sz w:val="20"/>
                <w:szCs w:val="20"/>
                <w:lang w:val="en-GB"/>
              </w:rPr>
              <w:t>crèches</w:t>
            </w:r>
          </w:p>
        </w:tc>
        <w:tc>
          <w:tcPr>
            <w:tcW w:w="1383" w:type="dxa"/>
            <w:tcBorders>
              <w:top w:val="single" w:sz="4" w:space="0" w:color="auto"/>
              <w:left w:val="nil"/>
              <w:bottom w:val="single" w:sz="4" w:space="0" w:color="auto"/>
              <w:right w:val="single" w:sz="4" w:space="0" w:color="auto"/>
            </w:tcBorders>
            <w:shd w:val="clear" w:color="auto" w:fill="C6EFCE"/>
            <w:noWrap/>
          </w:tcPr>
          <w:p w14:paraId="33DF66A9" w14:textId="77777777" w:rsidR="00B803E9" w:rsidRPr="001B1E82" w:rsidRDefault="00B803E9">
            <w:pPr>
              <w:spacing w:after="0" w:line="240" w:lineRule="auto"/>
              <w:jc w:val="center"/>
              <w:rPr>
                <w:rFonts w:ascii="Times New Roman" w:hAnsi="Times New Roman" w:cs="Times New Roman"/>
                <w:noProof/>
                <w:sz w:val="20"/>
                <w:szCs w:val="20"/>
                <w:lang w:val="en-GB"/>
              </w:rPr>
            </w:pPr>
          </w:p>
        </w:tc>
        <w:tc>
          <w:tcPr>
            <w:tcW w:w="968" w:type="dxa"/>
            <w:tcBorders>
              <w:top w:val="single" w:sz="4" w:space="0" w:color="auto"/>
              <w:left w:val="nil"/>
              <w:bottom w:val="single" w:sz="4" w:space="0" w:color="auto"/>
              <w:right w:val="single" w:sz="4" w:space="0" w:color="auto"/>
            </w:tcBorders>
            <w:shd w:val="clear" w:color="auto" w:fill="C6EFCE"/>
            <w:noWrap/>
          </w:tcPr>
          <w:p w14:paraId="1C722DC0"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Number</w:t>
            </w:r>
          </w:p>
        </w:tc>
        <w:tc>
          <w:tcPr>
            <w:tcW w:w="1272" w:type="dxa"/>
            <w:tcBorders>
              <w:top w:val="single" w:sz="4" w:space="0" w:color="auto"/>
              <w:left w:val="nil"/>
              <w:bottom w:val="single" w:sz="4" w:space="0" w:color="auto"/>
              <w:right w:val="single" w:sz="4" w:space="0" w:color="auto"/>
            </w:tcBorders>
            <w:shd w:val="clear" w:color="auto" w:fill="C6EFCE"/>
            <w:noWrap/>
          </w:tcPr>
          <w:p w14:paraId="6351D5BF"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0</w:t>
            </w:r>
          </w:p>
        </w:tc>
        <w:tc>
          <w:tcPr>
            <w:tcW w:w="909" w:type="dxa"/>
            <w:tcBorders>
              <w:top w:val="single" w:sz="4" w:space="0" w:color="auto"/>
              <w:left w:val="nil"/>
              <w:bottom w:val="single" w:sz="4" w:space="0" w:color="auto"/>
              <w:right w:val="single" w:sz="4" w:space="0" w:color="auto"/>
            </w:tcBorders>
            <w:shd w:val="clear" w:color="auto" w:fill="C6EFCE"/>
            <w:noWrap/>
          </w:tcPr>
          <w:p w14:paraId="5581E6AA"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30</w:t>
            </w:r>
          </w:p>
        </w:tc>
        <w:tc>
          <w:tcPr>
            <w:tcW w:w="1124" w:type="dxa"/>
            <w:tcBorders>
              <w:top w:val="single" w:sz="4" w:space="0" w:color="auto"/>
              <w:left w:val="nil"/>
              <w:bottom w:val="single" w:sz="4" w:space="0" w:color="auto"/>
              <w:right w:val="single" w:sz="4" w:space="0" w:color="auto"/>
            </w:tcBorders>
            <w:shd w:val="clear" w:color="auto" w:fill="C6EFCE"/>
            <w:noWrap/>
          </w:tcPr>
          <w:p w14:paraId="737ADF45"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Q2</w:t>
            </w:r>
          </w:p>
          <w:p w14:paraId="4BD46043" w14:textId="77777777" w:rsidR="00B803E9" w:rsidRPr="001B1E82" w:rsidRDefault="00B803E9">
            <w:pPr>
              <w:spacing w:after="0" w:line="240" w:lineRule="auto"/>
              <w:jc w:val="center"/>
              <w:rPr>
                <w:rFonts w:ascii="Times New Roman" w:hAnsi="Times New Roman" w:cs="Times New Roman"/>
                <w:noProof/>
                <w:sz w:val="20"/>
                <w:szCs w:val="20"/>
                <w:lang w:val="en-GB"/>
              </w:rPr>
            </w:pPr>
          </w:p>
        </w:tc>
        <w:tc>
          <w:tcPr>
            <w:tcW w:w="1106" w:type="dxa"/>
            <w:tcBorders>
              <w:top w:val="single" w:sz="4" w:space="0" w:color="auto"/>
              <w:left w:val="nil"/>
              <w:bottom w:val="single" w:sz="4" w:space="0" w:color="auto"/>
              <w:right w:val="single" w:sz="4" w:space="0" w:color="auto"/>
            </w:tcBorders>
            <w:shd w:val="clear" w:color="auto" w:fill="C6EFCE"/>
            <w:noWrap/>
          </w:tcPr>
          <w:p w14:paraId="2D7DD078"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2026</w:t>
            </w:r>
          </w:p>
        </w:tc>
        <w:tc>
          <w:tcPr>
            <w:tcW w:w="3407" w:type="dxa"/>
            <w:tcBorders>
              <w:top w:val="single" w:sz="4" w:space="0" w:color="auto"/>
              <w:left w:val="nil"/>
              <w:bottom w:val="single" w:sz="4" w:space="0" w:color="auto"/>
              <w:right w:val="single" w:sz="4" w:space="0" w:color="auto"/>
            </w:tcBorders>
            <w:shd w:val="clear" w:color="auto" w:fill="C6EFCE"/>
            <w:noWrap/>
          </w:tcPr>
          <w:p w14:paraId="4EB3552C"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rPr>
              <w:t xml:space="preserve">30 </w:t>
            </w:r>
            <w:r w:rsidRPr="001B1E82">
              <w:rPr>
                <w:rFonts w:ascii="Times New Roman" w:hAnsi="Times New Roman" w:cs="Times New Roman"/>
                <w:noProof/>
                <w:sz w:val="20"/>
                <w:szCs w:val="20"/>
                <w:lang w:val="en-GB"/>
              </w:rPr>
              <w:t>crèches</w:t>
            </w:r>
            <w:r w:rsidRPr="001B1E82">
              <w:rPr>
                <w:rFonts w:ascii="Times New Roman" w:hAnsi="Times New Roman" w:cs="Times New Roman"/>
                <w:noProof/>
                <w:sz w:val="20"/>
                <w:szCs w:val="20"/>
              </w:rPr>
              <w:t xml:space="preserve"> have been built and equipped.</w:t>
            </w:r>
          </w:p>
        </w:tc>
      </w:tr>
      <w:tr w:rsidR="00B803E9" w:rsidRPr="001B1E82" w14:paraId="274ED918" w14:textId="77777777" w:rsidTr="001B1E82">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B361C0"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488</w:t>
            </w:r>
          </w:p>
        </w:tc>
        <w:tc>
          <w:tcPr>
            <w:tcW w:w="2204" w:type="dxa"/>
            <w:tcBorders>
              <w:top w:val="single" w:sz="4" w:space="0" w:color="auto"/>
              <w:left w:val="nil"/>
              <w:bottom w:val="single" w:sz="4" w:space="0" w:color="auto"/>
              <w:right w:val="single" w:sz="4" w:space="0" w:color="auto"/>
            </w:tcBorders>
            <w:shd w:val="clear" w:color="auto" w:fill="C6EFCE"/>
            <w:noWrap/>
          </w:tcPr>
          <w:p w14:paraId="09B9F2C5"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Investment 10a. Green-schools network construction </w:t>
            </w:r>
          </w:p>
        </w:tc>
        <w:tc>
          <w:tcPr>
            <w:tcW w:w="1106" w:type="dxa"/>
            <w:tcBorders>
              <w:top w:val="single" w:sz="4" w:space="0" w:color="auto"/>
              <w:left w:val="nil"/>
              <w:bottom w:val="single" w:sz="4" w:space="0" w:color="auto"/>
              <w:right w:val="single" w:sz="4" w:space="0" w:color="auto"/>
            </w:tcBorders>
            <w:shd w:val="clear" w:color="auto" w:fill="C6EFCE"/>
            <w:noWrap/>
          </w:tcPr>
          <w:p w14:paraId="3DA33852"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Target</w:t>
            </w:r>
          </w:p>
        </w:tc>
        <w:tc>
          <w:tcPr>
            <w:tcW w:w="1658" w:type="dxa"/>
            <w:tcBorders>
              <w:top w:val="single" w:sz="4" w:space="0" w:color="auto"/>
              <w:left w:val="nil"/>
              <w:bottom w:val="single" w:sz="4" w:space="0" w:color="auto"/>
              <w:right w:val="single" w:sz="4" w:space="0" w:color="auto"/>
            </w:tcBorders>
            <w:shd w:val="clear" w:color="auto" w:fill="C6EFCE"/>
            <w:noWrap/>
          </w:tcPr>
          <w:p w14:paraId="39B489F1"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New Green School area built </w:t>
            </w:r>
          </w:p>
        </w:tc>
        <w:tc>
          <w:tcPr>
            <w:tcW w:w="1383" w:type="dxa"/>
            <w:tcBorders>
              <w:top w:val="single" w:sz="4" w:space="0" w:color="auto"/>
              <w:left w:val="nil"/>
              <w:bottom w:val="single" w:sz="4" w:space="0" w:color="auto"/>
              <w:right w:val="single" w:sz="4" w:space="0" w:color="auto"/>
            </w:tcBorders>
            <w:shd w:val="clear" w:color="auto" w:fill="C6EFCE"/>
            <w:noWrap/>
          </w:tcPr>
          <w:p w14:paraId="5E1CA875" w14:textId="77777777" w:rsidR="00B803E9" w:rsidRPr="001B1E82" w:rsidRDefault="00B803E9">
            <w:pPr>
              <w:spacing w:after="0" w:line="240" w:lineRule="auto"/>
              <w:jc w:val="center"/>
              <w:rPr>
                <w:rFonts w:ascii="Times New Roman" w:hAnsi="Times New Roman" w:cs="Times New Roman"/>
                <w:noProof/>
                <w:sz w:val="20"/>
                <w:szCs w:val="20"/>
                <w:lang w:val="en-GB"/>
              </w:rPr>
            </w:pPr>
          </w:p>
        </w:tc>
        <w:tc>
          <w:tcPr>
            <w:tcW w:w="968" w:type="dxa"/>
            <w:tcBorders>
              <w:top w:val="single" w:sz="4" w:space="0" w:color="auto"/>
              <w:left w:val="nil"/>
              <w:bottom w:val="single" w:sz="4" w:space="0" w:color="auto"/>
              <w:right w:val="single" w:sz="4" w:space="0" w:color="auto"/>
            </w:tcBorders>
            <w:shd w:val="clear" w:color="auto" w:fill="C6EFCE"/>
            <w:noWrap/>
          </w:tcPr>
          <w:p w14:paraId="0C777C67"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Number of m</w:t>
            </w:r>
            <w:r w:rsidRPr="001B1E82">
              <w:rPr>
                <w:rFonts w:ascii="Times New Roman" w:hAnsi="Times New Roman" w:cs="Times New Roman"/>
                <w:noProof/>
                <w:sz w:val="20"/>
                <w:szCs w:val="20"/>
                <w:vertAlign w:val="superscript"/>
                <w:lang w:val="en-GB"/>
              </w:rPr>
              <w:t>2</w:t>
            </w:r>
          </w:p>
        </w:tc>
        <w:tc>
          <w:tcPr>
            <w:tcW w:w="1272" w:type="dxa"/>
            <w:tcBorders>
              <w:top w:val="single" w:sz="4" w:space="0" w:color="auto"/>
              <w:left w:val="nil"/>
              <w:bottom w:val="single" w:sz="4" w:space="0" w:color="auto"/>
              <w:right w:val="single" w:sz="4" w:space="0" w:color="auto"/>
            </w:tcBorders>
            <w:shd w:val="clear" w:color="auto" w:fill="C6EFCE"/>
            <w:noWrap/>
          </w:tcPr>
          <w:p w14:paraId="5EEC4479"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0</w:t>
            </w:r>
          </w:p>
        </w:tc>
        <w:tc>
          <w:tcPr>
            <w:tcW w:w="909" w:type="dxa"/>
            <w:tcBorders>
              <w:top w:val="single" w:sz="4" w:space="0" w:color="auto"/>
              <w:left w:val="nil"/>
              <w:bottom w:val="single" w:sz="4" w:space="0" w:color="auto"/>
              <w:right w:val="single" w:sz="4" w:space="0" w:color="auto"/>
            </w:tcBorders>
            <w:shd w:val="clear" w:color="auto" w:fill="C6EFCE"/>
            <w:noWrap/>
          </w:tcPr>
          <w:p w14:paraId="290BB39E" w14:textId="26637A1E"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32</w:t>
            </w:r>
            <w:r w:rsidR="00F21442" w:rsidRPr="001B1E82">
              <w:rPr>
                <w:rFonts w:ascii="Times New Roman" w:hAnsi="Times New Roman" w:cs="Times New Roman"/>
                <w:noProof/>
                <w:sz w:val="20"/>
                <w:szCs w:val="20"/>
                <w:lang w:val="en-GB"/>
              </w:rPr>
              <w:t> </w:t>
            </w:r>
            <w:r w:rsidRPr="001B1E82">
              <w:rPr>
                <w:rFonts w:ascii="Times New Roman" w:hAnsi="Times New Roman" w:cs="Times New Roman"/>
                <w:noProof/>
                <w:sz w:val="20"/>
                <w:szCs w:val="20"/>
                <w:lang w:val="en-GB"/>
              </w:rPr>
              <w:t>764</w:t>
            </w:r>
          </w:p>
        </w:tc>
        <w:tc>
          <w:tcPr>
            <w:tcW w:w="1124" w:type="dxa"/>
            <w:tcBorders>
              <w:top w:val="single" w:sz="4" w:space="0" w:color="auto"/>
              <w:left w:val="nil"/>
              <w:bottom w:val="single" w:sz="4" w:space="0" w:color="auto"/>
              <w:right w:val="single" w:sz="4" w:space="0" w:color="auto"/>
            </w:tcBorders>
            <w:shd w:val="clear" w:color="auto" w:fill="C6EFCE"/>
            <w:noWrap/>
          </w:tcPr>
          <w:p w14:paraId="40F6903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Q3</w:t>
            </w:r>
          </w:p>
        </w:tc>
        <w:tc>
          <w:tcPr>
            <w:tcW w:w="1106" w:type="dxa"/>
            <w:tcBorders>
              <w:top w:val="single" w:sz="4" w:space="0" w:color="auto"/>
              <w:left w:val="nil"/>
              <w:bottom w:val="single" w:sz="4" w:space="0" w:color="auto"/>
              <w:right w:val="single" w:sz="4" w:space="0" w:color="auto"/>
            </w:tcBorders>
            <w:shd w:val="clear" w:color="auto" w:fill="C6EFCE"/>
            <w:noWrap/>
          </w:tcPr>
          <w:p w14:paraId="4E064878"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2026</w:t>
            </w:r>
          </w:p>
        </w:tc>
        <w:tc>
          <w:tcPr>
            <w:tcW w:w="3407" w:type="dxa"/>
            <w:tcBorders>
              <w:top w:val="single" w:sz="4" w:space="0" w:color="auto"/>
              <w:left w:val="nil"/>
              <w:bottom w:val="single" w:sz="4" w:space="0" w:color="auto"/>
              <w:right w:val="single" w:sz="4" w:space="0" w:color="auto"/>
            </w:tcBorders>
            <w:shd w:val="clear" w:color="auto" w:fill="C6EFCE"/>
            <w:noWrap/>
          </w:tcPr>
          <w:p w14:paraId="621704ED" w14:textId="43A70061" w:rsidR="00B803E9" w:rsidRPr="001B1E82" w:rsidRDefault="00B803E9">
            <w:pPr>
              <w:spacing w:after="0" w:line="240" w:lineRule="auto"/>
              <w:jc w:val="both"/>
              <w:rPr>
                <w:rFonts w:ascii="Times New Roman" w:hAnsi="Times New Roman" w:cs="Times New Roman"/>
                <w:noProof/>
                <w:sz w:val="20"/>
                <w:szCs w:val="20"/>
              </w:rPr>
            </w:pPr>
            <w:r w:rsidRPr="001B1E82">
              <w:rPr>
                <w:rFonts w:ascii="Times New Roman" w:hAnsi="Times New Roman" w:cs="Times New Roman"/>
                <w:noProof/>
                <w:sz w:val="20"/>
                <w:szCs w:val="20"/>
              </w:rPr>
              <w:t>Works completion reception certificates shall confirm that</w:t>
            </w:r>
            <w:r w:rsidR="00D23D91" w:rsidRPr="001B1E82">
              <w:rPr>
                <w:rFonts w:ascii="Times New Roman" w:hAnsi="Times New Roman" w:cs="Times New Roman"/>
                <w:noProof/>
                <w:sz w:val="20"/>
                <w:szCs w:val="20"/>
              </w:rPr>
              <w:t xml:space="preserve"> </w:t>
            </w:r>
            <w:r w:rsidRPr="001B1E82">
              <w:rPr>
                <w:rFonts w:ascii="Times New Roman" w:hAnsi="Times New Roman" w:cs="Times New Roman"/>
                <w:noProof/>
                <w:sz w:val="20"/>
                <w:szCs w:val="20"/>
                <w:lang w:val="en-GB"/>
              </w:rPr>
              <w:t>green schools with a total surface of at least 32 764 m</w:t>
            </w:r>
            <w:r w:rsidRPr="001B1E82">
              <w:rPr>
                <w:rFonts w:ascii="Times New Roman" w:hAnsi="Times New Roman" w:cs="Times New Roman"/>
                <w:noProof/>
                <w:sz w:val="20"/>
                <w:szCs w:val="20"/>
                <w:vertAlign w:val="superscript"/>
                <w:lang w:val="en-GB"/>
              </w:rPr>
              <w:t>2</w:t>
            </w:r>
            <w:r w:rsidRPr="001B1E82">
              <w:rPr>
                <w:rFonts w:ascii="Times New Roman" w:hAnsi="Times New Roman" w:cs="Times New Roman"/>
                <w:noProof/>
                <w:sz w:val="20"/>
                <w:szCs w:val="20"/>
                <w:lang w:val="en-GB"/>
              </w:rPr>
              <w:t xml:space="preserve"> have been built</w:t>
            </w:r>
            <w:r w:rsidRPr="001B1E82">
              <w:rPr>
                <w:rFonts w:ascii="Times New Roman" w:hAnsi="Times New Roman" w:cs="Times New Roman"/>
                <w:noProof/>
                <w:sz w:val="20"/>
                <w:szCs w:val="20"/>
              </w:rPr>
              <w:t>.</w:t>
            </w:r>
          </w:p>
          <w:p w14:paraId="2824D011"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Newly constructed green schools shall comply with the objective of achieving a primary energy demand (PED) at least 20% lower than the NZEB requirement according to national guidelines, which shall be demonstrated through energy performance certificates. </w:t>
            </w:r>
          </w:p>
        </w:tc>
      </w:tr>
      <w:tr w:rsidR="00B803E9" w:rsidRPr="001B1E82" w14:paraId="38370C09" w14:textId="77777777" w:rsidTr="001B1E82">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6EB3B0C"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 496</w:t>
            </w:r>
          </w:p>
        </w:tc>
        <w:tc>
          <w:tcPr>
            <w:tcW w:w="2204" w:type="dxa"/>
            <w:tcBorders>
              <w:top w:val="single" w:sz="4" w:space="0" w:color="auto"/>
              <w:left w:val="nil"/>
              <w:bottom w:val="single" w:sz="4" w:space="0" w:color="auto"/>
              <w:right w:val="single" w:sz="4" w:space="0" w:color="auto"/>
            </w:tcBorders>
            <w:shd w:val="clear" w:color="auto" w:fill="C6EFCE"/>
            <w:noWrap/>
          </w:tcPr>
          <w:p w14:paraId="59450038"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13. Equipping of IT laboratories in vocational education and training (VET) schools</w:t>
            </w:r>
          </w:p>
        </w:tc>
        <w:tc>
          <w:tcPr>
            <w:tcW w:w="1106" w:type="dxa"/>
            <w:tcBorders>
              <w:top w:val="single" w:sz="4" w:space="0" w:color="auto"/>
              <w:left w:val="nil"/>
              <w:bottom w:val="single" w:sz="4" w:space="0" w:color="auto"/>
              <w:right w:val="single" w:sz="4" w:space="0" w:color="auto"/>
            </w:tcBorders>
            <w:shd w:val="clear" w:color="auto" w:fill="C6EFCE"/>
            <w:noWrap/>
          </w:tcPr>
          <w:p w14:paraId="47263B69"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1658" w:type="dxa"/>
            <w:tcBorders>
              <w:top w:val="single" w:sz="4" w:space="0" w:color="auto"/>
              <w:left w:val="nil"/>
              <w:bottom w:val="single" w:sz="4" w:space="0" w:color="auto"/>
              <w:right w:val="single" w:sz="4" w:space="0" w:color="auto"/>
            </w:tcBorders>
            <w:shd w:val="clear" w:color="auto" w:fill="C6EFCE"/>
            <w:noWrap/>
          </w:tcPr>
          <w:p w14:paraId="20C20789"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VET schools </w:t>
            </w:r>
            <w:r w:rsidRPr="001B1E82" w:rsidDel="00885C24">
              <w:rPr>
                <w:rFonts w:ascii="Times New Roman" w:hAnsi="Times New Roman" w:cs="Times New Roman"/>
                <w:noProof/>
                <w:sz w:val="20"/>
                <w:szCs w:val="20"/>
                <w:lang w:val="en-GB"/>
              </w:rPr>
              <w:t>equipped with</w:t>
            </w:r>
            <w:r w:rsidRPr="001B1E82">
              <w:rPr>
                <w:rFonts w:ascii="Times New Roman" w:hAnsi="Times New Roman" w:cs="Times New Roman"/>
                <w:noProof/>
                <w:sz w:val="20"/>
                <w:szCs w:val="20"/>
                <w:lang w:val="en-GB"/>
              </w:rPr>
              <w:t xml:space="preserve"> digital equipment for IT laboratories </w:t>
            </w:r>
          </w:p>
        </w:tc>
        <w:tc>
          <w:tcPr>
            <w:tcW w:w="1383" w:type="dxa"/>
            <w:tcBorders>
              <w:top w:val="single" w:sz="4" w:space="0" w:color="auto"/>
              <w:left w:val="nil"/>
              <w:bottom w:val="single" w:sz="4" w:space="0" w:color="auto"/>
              <w:right w:val="single" w:sz="4" w:space="0" w:color="auto"/>
            </w:tcBorders>
            <w:shd w:val="clear" w:color="auto" w:fill="C6EFCE"/>
            <w:noWrap/>
          </w:tcPr>
          <w:p w14:paraId="4EA7C4D2"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VET schools </w:t>
            </w:r>
            <w:r w:rsidRPr="001B1E82" w:rsidDel="00885C24">
              <w:rPr>
                <w:rFonts w:ascii="Times New Roman" w:hAnsi="Times New Roman" w:cs="Times New Roman"/>
                <w:noProof/>
                <w:sz w:val="20"/>
                <w:szCs w:val="20"/>
                <w:lang w:val="en-GB"/>
              </w:rPr>
              <w:t>equipped with</w:t>
            </w:r>
            <w:r w:rsidRPr="001B1E82">
              <w:rPr>
                <w:rFonts w:ascii="Times New Roman" w:hAnsi="Times New Roman" w:cs="Times New Roman"/>
                <w:noProof/>
                <w:sz w:val="20"/>
                <w:szCs w:val="20"/>
                <w:lang w:val="en-GB"/>
              </w:rPr>
              <w:t xml:space="preserve"> digital equipment for IT laboratories</w:t>
            </w:r>
          </w:p>
        </w:tc>
        <w:tc>
          <w:tcPr>
            <w:tcW w:w="968" w:type="dxa"/>
            <w:tcBorders>
              <w:top w:val="single" w:sz="4" w:space="0" w:color="auto"/>
              <w:left w:val="nil"/>
              <w:bottom w:val="single" w:sz="4" w:space="0" w:color="auto"/>
              <w:right w:val="single" w:sz="4" w:space="0" w:color="auto"/>
            </w:tcBorders>
            <w:shd w:val="clear" w:color="auto" w:fill="C6EFCE"/>
            <w:noWrap/>
          </w:tcPr>
          <w:p w14:paraId="15369305" w14:textId="77777777" w:rsidR="00B803E9" w:rsidRPr="001B1E82" w:rsidRDefault="00B803E9">
            <w:pPr>
              <w:spacing w:after="0" w:line="240" w:lineRule="auto"/>
              <w:jc w:val="center"/>
              <w:rPr>
                <w:rFonts w:ascii="Times New Roman" w:hAnsi="Times New Roman" w:cs="Times New Roman"/>
                <w:noProof/>
                <w:sz w:val="20"/>
                <w:szCs w:val="20"/>
                <w:lang w:val="en-GB"/>
              </w:rPr>
            </w:pPr>
          </w:p>
        </w:tc>
        <w:tc>
          <w:tcPr>
            <w:tcW w:w="1272" w:type="dxa"/>
            <w:tcBorders>
              <w:top w:val="single" w:sz="4" w:space="0" w:color="auto"/>
              <w:left w:val="nil"/>
              <w:bottom w:val="single" w:sz="4" w:space="0" w:color="auto"/>
              <w:right w:val="single" w:sz="4" w:space="0" w:color="auto"/>
            </w:tcBorders>
            <w:shd w:val="clear" w:color="auto" w:fill="C6EFCE"/>
            <w:noWrap/>
          </w:tcPr>
          <w:p w14:paraId="69B2DB6A" w14:textId="77777777" w:rsidR="00B803E9" w:rsidRPr="001B1E82" w:rsidRDefault="00B803E9">
            <w:pPr>
              <w:spacing w:after="0" w:line="240" w:lineRule="auto"/>
              <w:jc w:val="center"/>
              <w:rPr>
                <w:rFonts w:ascii="Times New Roman" w:hAnsi="Times New Roman" w:cs="Times New Roman"/>
                <w:noProof/>
                <w:sz w:val="20"/>
                <w:szCs w:val="20"/>
                <w:lang w:val="en-GB"/>
              </w:rPr>
            </w:pPr>
          </w:p>
        </w:tc>
        <w:tc>
          <w:tcPr>
            <w:tcW w:w="909" w:type="dxa"/>
            <w:tcBorders>
              <w:top w:val="single" w:sz="4" w:space="0" w:color="auto"/>
              <w:left w:val="nil"/>
              <w:bottom w:val="single" w:sz="4" w:space="0" w:color="auto"/>
              <w:right w:val="single" w:sz="4" w:space="0" w:color="auto"/>
            </w:tcBorders>
            <w:shd w:val="clear" w:color="auto" w:fill="C6EFCE"/>
            <w:noWrap/>
          </w:tcPr>
          <w:p w14:paraId="0D985EFB" w14:textId="77777777" w:rsidR="00B803E9" w:rsidRPr="001B1E82" w:rsidRDefault="00B803E9">
            <w:pPr>
              <w:spacing w:after="0" w:line="240" w:lineRule="auto"/>
              <w:jc w:val="center"/>
              <w:rPr>
                <w:rFonts w:ascii="Times New Roman" w:hAnsi="Times New Roman" w:cs="Times New Roman"/>
                <w:noProof/>
                <w:sz w:val="20"/>
                <w:szCs w:val="20"/>
                <w:lang w:val="en-GB"/>
              </w:rPr>
            </w:pPr>
          </w:p>
        </w:tc>
        <w:tc>
          <w:tcPr>
            <w:tcW w:w="1124" w:type="dxa"/>
            <w:tcBorders>
              <w:top w:val="single" w:sz="4" w:space="0" w:color="auto"/>
              <w:left w:val="nil"/>
              <w:bottom w:val="single" w:sz="4" w:space="0" w:color="auto"/>
              <w:right w:val="single" w:sz="4" w:space="0" w:color="auto"/>
            </w:tcBorders>
            <w:shd w:val="clear" w:color="auto" w:fill="C6EFCE"/>
            <w:noWrap/>
          </w:tcPr>
          <w:p w14:paraId="2980851F"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Q4</w:t>
            </w:r>
          </w:p>
        </w:tc>
        <w:tc>
          <w:tcPr>
            <w:tcW w:w="1106" w:type="dxa"/>
            <w:tcBorders>
              <w:top w:val="single" w:sz="4" w:space="0" w:color="auto"/>
              <w:left w:val="nil"/>
              <w:bottom w:val="single" w:sz="4" w:space="0" w:color="auto"/>
              <w:right w:val="single" w:sz="4" w:space="0" w:color="auto"/>
            </w:tcBorders>
            <w:shd w:val="clear" w:color="auto" w:fill="C6EFCE"/>
            <w:noWrap/>
          </w:tcPr>
          <w:p w14:paraId="427FCA1B"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2025</w:t>
            </w:r>
          </w:p>
        </w:tc>
        <w:tc>
          <w:tcPr>
            <w:tcW w:w="3407" w:type="dxa"/>
            <w:tcBorders>
              <w:top w:val="single" w:sz="4" w:space="0" w:color="auto"/>
              <w:left w:val="nil"/>
              <w:bottom w:val="single" w:sz="4" w:space="0" w:color="auto"/>
              <w:right w:val="single" w:sz="4" w:space="0" w:color="auto"/>
            </w:tcBorders>
            <w:shd w:val="clear" w:color="auto" w:fill="C6EFCE"/>
            <w:noWrap/>
          </w:tcPr>
          <w:p w14:paraId="3B795177"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Acceptance certificates proving the delivery and commissioning of the digital equipment for 500 IT laboratories in VET schools.</w:t>
            </w:r>
          </w:p>
        </w:tc>
      </w:tr>
      <w:tr w:rsidR="00B803E9" w:rsidRPr="001B1E82" w14:paraId="7D630838" w14:textId="77777777" w:rsidTr="001B1E82">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32D58BE3"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500</w:t>
            </w:r>
          </w:p>
        </w:tc>
        <w:tc>
          <w:tcPr>
            <w:tcW w:w="2204" w:type="dxa"/>
            <w:tcBorders>
              <w:top w:val="single" w:sz="4" w:space="0" w:color="auto"/>
              <w:left w:val="nil"/>
              <w:bottom w:val="single" w:sz="4" w:space="0" w:color="auto"/>
              <w:right w:val="single" w:sz="4" w:space="0" w:color="auto"/>
            </w:tcBorders>
            <w:shd w:val="clear" w:color="auto" w:fill="C6EFCE"/>
            <w:noWrap/>
          </w:tcPr>
          <w:p w14:paraId="45645C68"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16. Digitalisation of universities and preparation for the digital professions of the future</w:t>
            </w:r>
          </w:p>
        </w:tc>
        <w:tc>
          <w:tcPr>
            <w:tcW w:w="1106" w:type="dxa"/>
            <w:tcBorders>
              <w:top w:val="single" w:sz="4" w:space="0" w:color="auto"/>
              <w:left w:val="nil"/>
              <w:bottom w:val="single" w:sz="4" w:space="0" w:color="auto"/>
              <w:right w:val="single" w:sz="4" w:space="0" w:color="auto"/>
            </w:tcBorders>
            <w:shd w:val="clear" w:color="auto" w:fill="C6EFCE"/>
            <w:noWrap/>
          </w:tcPr>
          <w:p w14:paraId="3639CC9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1658" w:type="dxa"/>
            <w:tcBorders>
              <w:top w:val="single" w:sz="4" w:space="0" w:color="auto"/>
              <w:left w:val="nil"/>
              <w:bottom w:val="single" w:sz="4" w:space="0" w:color="auto"/>
              <w:right w:val="single" w:sz="4" w:space="0" w:color="auto"/>
            </w:tcBorders>
            <w:shd w:val="clear" w:color="auto" w:fill="C6EFCE"/>
            <w:noWrap/>
          </w:tcPr>
          <w:p w14:paraId="62696E6D"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Signature of contracts for grants for innovative technology centres in universities</w:t>
            </w:r>
          </w:p>
        </w:tc>
        <w:tc>
          <w:tcPr>
            <w:tcW w:w="1383" w:type="dxa"/>
            <w:tcBorders>
              <w:top w:val="single" w:sz="4" w:space="0" w:color="auto"/>
              <w:left w:val="nil"/>
              <w:bottom w:val="single" w:sz="4" w:space="0" w:color="auto"/>
              <w:right w:val="single" w:sz="4" w:space="0" w:color="auto"/>
            </w:tcBorders>
            <w:shd w:val="clear" w:color="auto" w:fill="C6EFCE"/>
            <w:noWrap/>
          </w:tcPr>
          <w:p w14:paraId="01BE3BB2"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Signature of contracts</w:t>
            </w:r>
          </w:p>
        </w:tc>
        <w:tc>
          <w:tcPr>
            <w:tcW w:w="968" w:type="dxa"/>
            <w:tcBorders>
              <w:top w:val="single" w:sz="4" w:space="0" w:color="auto"/>
              <w:left w:val="nil"/>
              <w:bottom w:val="single" w:sz="4" w:space="0" w:color="auto"/>
              <w:right w:val="single" w:sz="4" w:space="0" w:color="auto"/>
            </w:tcBorders>
            <w:shd w:val="clear" w:color="auto" w:fill="C6EFCE"/>
            <w:noWrap/>
          </w:tcPr>
          <w:p w14:paraId="7A04C4F2" w14:textId="77777777" w:rsidR="00B803E9" w:rsidRPr="001B1E82" w:rsidRDefault="00B803E9">
            <w:pPr>
              <w:spacing w:after="0" w:line="240" w:lineRule="auto"/>
              <w:jc w:val="center"/>
              <w:rPr>
                <w:rFonts w:ascii="Times New Roman" w:hAnsi="Times New Roman" w:cs="Times New Roman"/>
                <w:noProof/>
                <w:sz w:val="20"/>
                <w:szCs w:val="20"/>
                <w:lang w:val="en-GB"/>
              </w:rPr>
            </w:pPr>
          </w:p>
        </w:tc>
        <w:tc>
          <w:tcPr>
            <w:tcW w:w="1272" w:type="dxa"/>
            <w:tcBorders>
              <w:top w:val="single" w:sz="4" w:space="0" w:color="auto"/>
              <w:left w:val="nil"/>
              <w:bottom w:val="single" w:sz="4" w:space="0" w:color="auto"/>
              <w:right w:val="single" w:sz="4" w:space="0" w:color="auto"/>
            </w:tcBorders>
            <w:shd w:val="clear" w:color="auto" w:fill="C6EFCE"/>
            <w:noWrap/>
          </w:tcPr>
          <w:p w14:paraId="24047B58" w14:textId="77777777" w:rsidR="00B803E9" w:rsidRPr="001B1E82" w:rsidRDefault="00B803E9">
            <w:pPr>
              <w:spacing w:after="0" w:line="240" w:lineRule="auto"/>
              <w:jc w:val="center"/>
              <w:rPr>
                <w:rFonts w:ascii="Times New Roman" w:hAnsi="Times New Roman" w:cs="Times New Roman"/>
                <w:noProof/>
                <w:sz w:val="20"/>
                <w:szCs w:val="20"/>
                <w:lang w:val="en-GB"/>
              </w:rPr>
            </w:pPr>
          </w:p>
        </w:tc>
        <w:tc>
          <w:tcPr>
            <w:tcW w:w="909" w:type="dxa"/>
            <w:tcBorders>
              <w:top w:val="single" w:sz="4" w:space="0" w:color="auto"/>
              <w:left w:val="nil"/>
              <w:bottom w:val="single" w:sz="4" w:space="0" w:color="auto"/>
              <w:right w:val="single" w:sz="4" w:space="0" w:color="auto"/>
            </w:tcBorders>
            <w:shd w:val="clear" w:color="auto" w:fill="C6EFCE"/>
            <w:noWrap/>
          </w:tcPr>
          <w:p w14:paraId="5AFC9A16" w14:textId="77777777" w:rsidR="00B803E9" w:rsidRPr="001B1E82" w:rsidRDefault="00B803E9">
            <w:pPr>
              <w:spacing w:after="0" w:line="240" w:lineRule="auto"/>
              <w:jc w:val="center"/>
              <w:rPr>
                <w:rFonts w:ascii="Times New Roman" w:hAnsi="Times New Roman" w:cs="Times New Roman"/>
                <w:noProof/>
                <w:sz w:val="20"/>
                <w:szCs w:val="20"/>
                <w:lang w:val="en-GB"/>
              </w:rPr>
            </w:pPr>
          </w:p>
        </w:tc>
        <w:tc>
          <w:tcPr>
            <w:tcW w:w="1124" w:type="dxa"/>
            <w:tcBorders>
              <w:top w:val="single" w:sz="4" w:space="0" w:color="auto"/>
              <w:left w:val="nil"/>
              <w:bottom w:val="single" w:sz="4" w:space="0" w:color="auto"/>
              <w:right w:val="single" w:sz="4" w:space="0" w:color="auto"/>
            </w:tcBorders>
            <w:shd w:val="clear" w:color="auto" w:fill="C6EFCE"/>
            <w:noWrap/>
          </w:tcPr>
          <w:p w14:paraId="27B023E5"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Q2</w:t>
            </w:r>
          </w:p>
        </w:tc>
        <w:tc>
          <w:tcPr>
            <w:tcW w:w="1106" w:type="dxa"/>
            <w:tcBorders>
              <w:top w:val="single" w:sz="4" w:space="0" w:color="auto"/>
              <w:left w:val="nil"/>
              <w:bottom w:val="single" w:sz="4" w:space="0" w:color="auto"/>
              <w:right w:val="single" w:sz="4" w:space="0" w:color="auto"/>
            </w:tcBorders>
            <w:shd w:val="clear" w:color="auto" w:fill="C6EFCE"/>
            <w:noWrap/>
          </w:tcPr>
          <w:p w14:paraId="2B5DE33B"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2022</w:t>
            </w:r>
          </w:p>
        </w:tc>
        <w:tc>
          <w:tcPr>
            <w:tcW w:w="3407" w:type="dxa"/>
            <w:tcBorders>
              <w:top w:val="single" w:sz="4" w:space="0" w:color="auto"/>
              <w:left w:val="nil"/>
              <w:bottom w:val="single" w:sz="4" w:space="0" w:color="auto"/>
              <w:right w:val="single" w:sz="4" w:space="0" w:color="auto"/>
            </w:tcBorders>
            <w:shd w:val="clear" w:color="auto" w:fill="C6EFCE"/>
            <w:noWrap/>
          </w:tcPr>
          <w:p w14:paraId="4BE31C82"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Signature of contracts for grants to 60 universities to finance integrated measures to improve digital infrastructure and develop the competences of students and university teaching staff:</w:t>
            </w:r>
          </w:p>
          <w:p w14:paraId="62C98B67" w14:textId="77777777" w:rsidR="00B803E9" w:rsidRPr="001B1E82" w:rsidRDefault="00B803E9" w:rsidP="00B803E9">
            <w:pPr>
              <w:numPr>
                <w:ilvl w:val="0"/>
                <w:numId w:val="77"/>
              </w:numPr>
              <w:spacing w:before="120" w:after="0" w:line="240" w:lineRule="auto"/>
              <w:ind w:left="262" w:hanging="218"/>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operationalisation of University Digital Centres, </w:t>
            </w:r>
          </w:p>
          <w:p w14:paraId="68F5E900" w14:textId="77777777" w:rsidR="00B803E9" w:rsidRPr="001B1E82" w:rsidRDefault="00B803E9" w:rsidP="00B803E9">
            <w:pPr>
              <w:numPr>
                <w:ilvl w:val="0"/>
                <w:numId w:val="77"/>
              </w:numPr>
              <w:spacing w:before="120" w:after="0" w:line="240" w:lineRule="auto"/>
              <w:ind w:left="262" w:hanging="218"/>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digital competence training programmes, </w:t>
            </w:r>
          </w:p>
          <w:p w14:paraId="3CF88522" w14:textId="77777777" w:rsidR="00B803E9" w:rsidRPr="001B1E82" w:rsidRDefault="00B803E9" w:rsidP="00B803E9">
            <w:pPr>
              <w:numPr>
                <w:ilvl w:val="0"/>
                <w:numId w:val="77"/>
              </w:numPr>
              <w:spacing w:before="120" w:after="0" w:line="240" w:lineRule="auto"/>
              <w:ind w:left="262" w:hanging="218"/>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development of students entrepreneurial skills for the digital sector, </w:t>
            </w:r>
          </w:p>
          <w:p w14:paraId="251844EA" w14:textId="77777777" w:rsidR="00B803E9" w:rsidRPr="001B1E82" w:rsidRDefault="00B803E9" w:rsidP="00B803E9">
            <w:pPr>
              <w:numPr>
                <w:ilvl w:val="0"/>
                <w:numId w:val="77"/>
              </w:numPr>
              <w:spacing w:before="120" w:after="0" w:line="240" w:lineRule="auto"/>
              <w:ind w:left="262" w:hanging="218"/>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career guidance programmes for students with a view to choosing emerging ICT occupations, </w:t>
            </w:r>
          </w:p>
          <w:p w14:paraId="2F189D80" w14:textId="77777777" w:rsidR="00B803E9" w:rsidRPr="001B1E82" w:rsidRDefault="00B803E9" w:rsidP="00B803E9">
            <w:pPr>
              <w:numPr>
                <w:ilvl w:val="0"/>
                <w:numId w:val="77"/>
              </w:numPr>
              <w:spacing w:before="120" w:after="0" w:line="240" w:lineRule="auto"/>
              <w:ind w:left="262" w:hanging="218"/>
              <w:contextualSpacing/>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training programmes for new teaching/assessment skills in a hybrid system,</w:t>
            </w:r>
          </w:p>
          <w:p w14:paraId="5E5EFED5"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advanced digital skills development for 1 000 undergraduate and master’s students. </w:t>
            </w:r>
          </w:p>
        </w:tc>
      </w:tr>
      <w:tr w:rsidR="00B803E9" w:rsidRPr="001B1E82" w14:paraId="2BE2D6BC" w14:textId="77777777" w:rsidTr="001B1E82">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B3F3A30"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503</w:t>
            </w:r>
          </w:p>
        </w:tc>
        <w:tc>
          <w:tcPr>
            <w:tcW w:w="2204" w:type="dxa"/>
            <w:tcBorders>
              <w:top w:val="single" w:sz="4" w:space="0" w:color="auto"/>
              <w:left w:val="nil"/>
              <w:bottom w:val="single" w:sz="4" w:space="0" w:color="auto"/>
              <w:right w:val="single" w:sz="4" w:space="0" w:color="auto"/>
            </w:tcBorders>
            <w:shd w:val="clear" w:color="auto" w:fill="C6EFCE"/>
            <w:noWrap/>
          </w:tcPr>
          <w:p w14:paraId="23A8285E"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Investment 17. Ensuring university infrastructure (accommodation, canteens, recreation facilities)</w:t>
            </w:r>
          </w:p>
        </w:tc>
        <w:tc>
          <w:tcPr>
            <w:tcW w:w="1106" w:type="dxa"/>
            <w:tcBorders>
              <w:top w:val="single" w:sz="4" w:space="0" w:color="auto"/>
              <w:left w:val="nil"/>
              <w:bottom w:val="single" w:sz="4" w:space="0" w:color="auto"/>
              <w:right w:val="single" w:sz="4" w:space="0" w:color="auto"/>
            </w:tcBorders>
            <w:shd w:val="clear" w:color="auto" w:fill="C6EFCE"/>
            <w:noWrap/>
          </w:tcPr>
          <w:p w14:paraId="05216B54"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Milestone</w:t>
            </w:r>
          </w:p>
        </w:tc>
        <w:tc>
          <w:tcPr>
            <w:tcW w:w="1658" w:type="dxa"/>
            <w:tcBorders>
              <w:top w:val="single" w:sz="4" w:space="0" w:color="auto"/>
              <w:left w:val="nil"/>
              <w:bottom w:val="single" w:sz="4" w:space="0" w:color="auto"/>
              <w:right w:val="single" w:sz="4" w:space="0" w:color="auto"/>
            </w:tcBorders>
            <w:shd w:val="clear" w:color="auto" w:fill="C6EFCE"/>
            <w:noWrap/>
          </w:tcPr>
          <w:p w14:paraId="6E1F2C70"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Construction and modernisation of recreational and reading places, canteens and accommodation places </w:t>
            </w:r>
          </w:p>
        </w:tc>
        <w:tc>
          <w:tcPr>
            <w:tcW w:w="1383" w:type="dxa"/>
            <w:tcBorders>
              <w:top w:val="single" w:sz="4" w:space="0" w:color="auto"/>
              <w:left w:val="nil"/>
              <w:bottom w:val="single" w:sz="4" w:space="0" w:color="auto"/>
              <w:right w:val="single" w:sz="4" w:space="0" w:color="auto"/>
            </w:tcBorders>
            <w:shd w:val="clear" w:color="auto" w:fill="C6EFCE"/>
            <w:noWrap/>
          </w:tcPr>
          <w:p w14:paraId="3CF8A3FF" w14:textId="77777777" w:rsidR="00B803E9" w:rsidRPr="001B1E82" w:rsidRDefault="00B803E9">
            <w:pPr>
              <w:spacing w:after="0" w:line="240" w:lineRule="auto"/>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Construction and modernisation of recreational and reading places, canteens and accommodation places </w:t>
            </w:r>
          </w:p>
        </w:tc>
        <w:tc>
          <w:tcPr>
            <w:tcW w:w="968" w:type="dxa"/>
            <w:tcBorders>
              <w:top w:val="single" w:sz="4" w:space="0" w:color="auto"/>
              <w:left w:val="nil"/>
              <w:bottom w:val="single" w:sz="4" w:space="0" w:color="auto"/>
              <w:right w:val="single" w:sz="4" w:space="0" w:color="auto"/>
            </w:tcBorders>
            <w:shd w:val="clear" w:color="auto" w:fill="C6EFCE"/>
            <w:noWrap/>
          </w:tcPr>
          <w:p w14:paraId="29B84947" w14:textId="77777777" w:rsidR="00B803E9" w:rsidRPr="001B1E82" w:rsidRDefault="00B803E9">
            <w:pPr>
              <w:spacing w:after="0" w:line="240" w:lineRule="auto"/>
              <w:jc w:val="center"/>
              <w:rPr>
                <w:rFonts w:ascii="Times New Roman" w:hAnsi="Times New Roman" w:cs="Times New Roman"/>
                <w:noProof/>
                <w:sz w:val="20"/>
                <w:szCs w:val="20"/>
                <w:lang w:val="en-GB"/>
              </w:rPr>
            </w:pPr>
          </w:p>
        </w:tc>
        <w:tc>
          <w:tcPr>
            <w:tcW w:w="1272" w:type="dxa"/>
            <w:tcBorders>
              <w:top w:val="single" w:sz="4" w:space="0" w:color="auto"/>
              <w:left w:val="nil"/>
              <w:bottom w:val="single" w:sz="4" w:space="0" w:color="auto"/>
              <w:right w:val="single" w:sz="4" w:space="0" w:color="auto"/>
            </w:tcBorders>
            <w:shd w:val="clear" w:color="auto" w:fill="C6EFCE"/>
            <w:noWrap/>
          </w:tcPr>
          <w:p w14:paraId="1DDFE1E4" w14:textId="77777777" w:rsidR="00B803E9" w:rsidRPr="001B1E82" w:rsidRDefault="00B803E9">
            <w:pPr>
              <w:spacing w:after="0" w:line="240" w:lineRule="auto"/>
              <w:jc w:val="center"/>
              <w:rPr>
                <w:rFonts w:ascii="Times New Roman" w:hAnsi="Times New Roman" w:cs="Times New Roman"/>
                <w:noProof/>
                <w:sz w:val="20"/>
                <w:szCs w:val="20"/>
                <w:lang w:val="en-GB"/>
              </w:rPr>
            </w:pPr>
          </w:p>
        </w:tc>
        <w:tc>
          <w:tcPr>
            <w:tcW w:w="909" w:type="dxa"/>
            <w:tcBorders>
              <w:top w:val="single" w:sz="4" w:space="0" w:color="auto"/>
              <w:left w:val="nil"/>
              <w:bottom w:val="single" w:sz="4" w:space="0" w:color="auto"/>
              <w:right w:val="single" w:sz="4" w:space="0" w:color="auto"/>
            </w:tcBorders>
            <w:shd w:val="clear" w:color="auto" w:fill="C6EFCE"/>
            <w:noWrap/>
          </w:tcPr>
          <w:p w14:paraId="30E9AB0A" w14:textId="77777777" w:rsidR="00B803E9" w:rsidRPr="001B1E82" w:rsidRDefault="00B803E9">
            <w:pPr>
              <w:spacing w:after="0" w:line="240" w:lineRule="auto"/>
              <w:jc w:val="center"/>
              <w:rPr>
                <w:rFonts w:ascii="Times New Roman" w:hAnsi="Times New Roman" w:cs="Times New Roman"/>
                <w:noProof/>
                <w:sz w:val="20"/>
                <w:szCs w:val="20"/>
                <w:lang w:val="en-GB"/>
              </w:rPr>
            </w:pPr>
          </w:p>
        </w:tc>
        <w:tc>
          <w:tcPr>
            <w:tcW w:w="1124" w:type="dxa"/>
            <w:tcBorders>
              <w:top w:val="single" w:sz="4" w:space="0" w:color="auto"/>
              <w:left w:val="nil"/>
              <w:bottom w:val="single" w:sz="4" w:space="0" w:color="auto"/>
              <w:right w:val="single" w:sz="4" w:space="0" w:color="auto"/>
            </w:tcBorders>
            <w:shd w:val="clear" w:color="auto" w:fill="C6EFCE"/>
            <w:noWrap/>
          </w:tcPr>
          <w:p w14:paraId="0F5375DA"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Q3</w:t>
            </w:r>
          </w:p>
        </w:tc>
        <w:tc>
          <w:tcPr>
            <w:tcW w:w="1106" w:type="dxa"/>
            <w:tcBorders>
              <w:top w:val="single" w:sz="4" w:space="0" w:color="auto"/>
              <w:left w:val="nil"/>
              <w:bottom w:val="single" w:sz="4" w:space="0" w:color="auto"/>
              <w:right w:val="single" w:sz="4" w:space="0" w:color="auto"/>
            </w:tcBorders>
            <w:shd w:val="clear" w:color="auto" w:fill="C6EFCE"/>
            <w:noWrap/>
          </w:tcPr>
          <w:p w14:paraId="0FDCF029" w14:textId="77777777" w:rsidR="00B803E9" w:rsidRPr="001B1E82" w:rsidRDefault="00B803E9">
            <w:pPr>
              <w:spacing w:after="0" w:line="240" w:lineRule="auto"/>
              <w:jc w:val="center"/>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2026</w:t>
            </w:r>
          </w:p>
        </w:tc>
        <w:tc>
          <w:tcPr>
            <w:tcW w:w="3407" w:type="dxa"/>
            <w:tcBorders>
              <w:top w:val="single" w:sz="4" w:space="0" w:color="auto"/>
              <w:left w:val="nil"/>
              <w:bottom w:val="single" w:sz="4" w:space="0" w:color="auto"/>
              <w:right w:val="single" w:sz="4" w:space="0" w:color="auto"/>
            </w:tcBorders>
            <w:shd w:val="clear" w:color="auto" w:fill="C6EFCE"/>
            <w:noWrap/>
          </w:tcPr>
          <w:p w14:paraId="29F5FEB5" w14:textId="7F041441"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Construction of 3</w:t>
            </w:r>
            <w:r w:rsidR="00F21442" w:rsidRPr="001B1E82">
              <w:rPr>
                <w:rFonts w:ascii="Times New Roman" w:hAnsi="Times New Roman" w:cs="Times New Roman"/>
                <w:noProof/>
                <w:sz w:val="20"/>
                <w:szCs w:val="20"/>
                <w:lang w:val="en-GB"/>
              </w:rPr>
              <w:t> </w:t>
            </w:r>
            <w:r w:rsidRPr="001B1E82">
              <w:rPr>
                <w:rFonts w:ascii="Times New Roman" w:hAnsi="Times New Roman" w:cs="Times New Roman"/>
                <w:noProof/>
                <w:sz w:val="20"/>
                <w:szCs w:val="20"/>
                <w:lang w:val="en-GB"/>
              </w:rPr>
              <w:t>687 recreational and reading places, 852 canteens and 1 853 accommodation places; and modernisation of 2 813 recreational and reading places, 1</w:t>
            </w:r>
            <w:r w:rsidR="00F21442" w:rsidRPr="001B1E82">
              <w:rPr>
                <w:rFonts w:ascii="Times New Roman" w:hAnsi="Times New Roman" w:cs="Times New Roman"/>
                <w:noProof/>
                <w:sz w:val="20"/>
                <w:szCs w:val="20"/>
                <w:lang w:val="en-GB"/>
              </w:rPr>
              <w:t> </w:t>
            </w:r>
            <w:r w:rsidRPr="001B1E82">
              <w:rPr>
                <w:rFonts w:ascii="Times New Roman" w:hAnsi="Times New Roman" w:cs="Times New Roman"/>
                <w:noProof/>
                <w:sz w:val="20"/>
                <w:szCs w:val="20"/>
                <w:lang w:val="en-GB"/>
              </w:rPr>
              <w:t>983 canteens and 11</w:t>
            </w:r>
            <w:r w:rsidR="00F21442" w:rsidRPr="001B1E82">
              <w:rPr>
                <w:rFonts w:ascii="Times New Roman" w:hAnsi="Times New Roman" w:cs="Times New Roman"/>
                <w:noProof/>
                <w:sz w:val="20"/>
                <w:szCs w:val="20"/>
                <w:lang w:val="en-GB"/>
              </w:rPr>
              <w:t> </w:t>
            </w:r>
            <w:r w:rsidRPr="001B1E82">
              <w:rPr>
                <w:rFonts w:ascii="Times New Roman" w:hAnsi="Times New Roman" w:cs="Times New Roman"/>
                <w:noProof/>
                <w:sz w:val="20"/>
                <w:szCs w:val="20"/>
                <w:lang w:val="en-GB"/>
              </w:rPr>
              <w:t>440 accommodation places</w:t>
            </w:r>
            <w:r w:rsidR="00D23D91" w:rsidRPr="001B1E82">
              <w:rPr>
                <w:rFonts w:ascii="Times New Roman" w:hAnsi="Times New Roman" w:cs="Times New Roman"/>
                <w:noProof/>
                <w:sz w:val="20"/>
                <w:szCs w:val="20"/>
                <w:lang w:val="en-GB"/>
              </w:rPr>
              <w:t xml:space="preserve"> </w:t>
            </w:r>
            <w:r w:rsidRPr="001B1E82">
              <w:rPr>
                <w:rFonts w:ascii="Times New Roman" w:hAnsi="Times New Roman" w:cs="Times New Roman"/>
                <w:noProof/>
                <w:sz w:val="20"/>
                <w:szCs w:val="20"/>
                <w:lang w:val="en-GB"/>
              </w:rPr>
              <w:t>in university campuses demonstrated through w</w:t>
            </w:r>
            <w:r w:rsidRPr="001B1E82">
              <w:rPr>
                <w:rFonts w:ascii="Times New Roman" w:hAnsi="Times New Roman" w:cs="Times New Roman"/>
                <w:noProof/>
                <w:sz w:val="20"/>
                <w:szCs w:val="20"/>
              </w:rPr>
              <w:t>orks completion reception certificates</w:t>
            </w:r>
            <w:r w:rsidRPr="001B1E82">
              <w:rPr>
                <w:rFonts w:ascii="Times New Roman" w:hAnsi="Times New Roman" w:cs="Times New Roman"/>
                <w:noProof/>
                <w:sz w:val="20"/>
                <w:szCs w:val="20"/>
                <w:lang w:val="en-GB"/>
              </w:rPr>
              <w:t xml:space="preserve">. </w:t>
            </w:r>
          </w:p>
          <w:p w14:paraId="5D3926DD"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Renovated infrastructure shall deliver an increase of 30% primary energy savings compared to the pre-renovation state to be demonstrated through ex ante and ex post energy performance certificates. </w:t>
            </w:r>
          </w:p>
          <w:p w14:paraId="7494E691" w14:textId="77777777"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Newly constructed infrastructure shall comply with the objective of achieving a primary energy demand (PED) at least 20% lower than the NZEB requirement according to national guidelines, to be demonstrated through energy performance certificates.</w:t>
            </w:r>
          </w:p>
          <w:p w14:paraId="0F5E334D" w14:textId="502D24F5" w:rsidR="00B803E9" w:rsidRPr="001B1E82" w:rsidRDefault="00B803E9">
            <w:pPr>
              <w:spacing w:after="0" w:line="240" w:lineRule="auto"/>
              <w:jc w:val="both"/>
              <w:rPr>
                <w:rFonts w:ascii="Times New Roman" w:hAnsi="Times New Roman" w:cs="Times New Roman"/>
                <w:noProof/>
                <w:sz w:val="20"/>
                <w:szCs w:val="20"/>
                <w:lang w:val="en-GB"/>
              </w:rPr>
            </w:pPr>
            <w:r w:rsidRPr="001B1E82">
              <w:rPr>
                <w:rFonts w:ascii="Times New Roman" w:hAnsi="Times New Roman" w:cs="Times New Roman"/>
                <w:noProof/>
                <w:sz w:val="20"/>
                <w:szCs w:val="20"/>
                <w:lang w:val="en-GB"/>
              </w:rPr>
              <w:t xml:space="preserve">At least 40% of the total number of </w:t>
            </w:r>
            <w:r w:rsidR="00B120A7">
              <w:rPr>
                <w:rFonts w:ascii="Times New Roman" w:hAnsi="Times New Roman" w:cs="Times New Roman"/>
                <w:noProof/>
                <w:sz w:val="20"/>
                <w:szCs w:val="20"/>
                <w:lang w:val="en-GB"/>
              </w:rPr>
              <w:t>13</w:t>
            </w:r>
            <w:r w:rsidRPr="001B1E82">
              <w:rPr>
                <w:rFonts w:ascii="Times New Roman" w:hAnsi="Times New Roman" w:cs="Times New Roman"/>
                <w:noProof/>
                <w:sz w:val="20"/>
                <w:szCs w:val="20"/>
                <w:lang w:val="en-GB"/>
              </w:rPr>
              <w:t xml:space="preserve"> </w:t>
            </w:r>
            <w:r w:rsidR="00B120A7">
              <w:rPr>
                <w:rFonts w:ascii="Times New Roman" w:hAnsi="Times New Roman" w:cs="Times New Roman"/>
                <w:noProof/>
                <w:sz w:val="20"/>
                <w:szCs w:val="20"/>
                <w:lang w:val="en-GB"/>
              </w:rPr>
              <w:t>293</w:t>
            </w:r>
            <w:r w:rsidRPr="001B1E82">
              <w:rPr>
                <w:rFonts w:ascii="Times New Roman" w:hAnsi="Times New Roman" w:cs="Times New Roman"/>
                <w:noProof/>
                <w:sz w:val="20"/>
                <w:szCs w:val="20"/>
                <w:lang w:val="en-GB"/>
              </w:rPr>
              <w:t xml:space="preserve"> rcreational and reading spaces,</w:t>
            </w:r>
            <w:r w:rsidR="00D23D91" w:rsidRPr="001B1E82">
              <w:rPr>
                <w:rFonts w:ascii="Times New Roman" w:hAnsi="Times New Roman" w:cs="Times New Roman"/>
                <w:noProof/>
                <w:sz w:val="20"/>
                <w:szCs w:val="20"/>
                <w:lang w:val="en-GB"/>
              </w:rPr>
              <w:t xml:space="preserve"> </w:t>
            </w:r>
            <w:r w:rsidRPr="001B1E82">
              <w:rPr>
                <w:rFonts w:ascii="Times New Roman" w:hAnsi="Times New Roman" w:cs="Times New Roman"/>
                <w:noProof/>
                <w:sz w:val="20"/>
                <w:szCs w:val="20"/>
                <w:lang w:val="en-GB"/>
              </w:rPr>
              <w:t>canteens and</w:t>
            </w:r>
            <w:r w:rsidR="00D23D91" w:rsidRPr="001B1E82">
              <w:rPr>
                <w:rFonts w:ascii="Times New Roman" w:hAnsi="Times New Roman" w:cs="Times New Roman"/>
                <w:noProof/>
                <w:sz w:val="20"/>
                <w:szCs w:val="20"/>
                <w:lang w:val="en-GB"/>
              </w:rPr>
              <w:t xml:space="preserve"> </w:t>
            </w:r>
            <w:r w:rsidRPr="001B1E82">
              <w:rPr>
                <w:rFonts w:ascii="Times New Roman" w:hAnsi="Times New Roman" w:cs="Times New Roman"/>
                <w:noProof/>
                <w:sz w:val="20"/>
                <w:szCs w:val="20"/>
                <w:lang w:val="en-GB"/>
              </w:rPr>
              <w:t>accommodation places shall be for students from disadvantaged background.</w:t>
            </w:r>
          </w:p>
        </w:tc>
      </w:tr>
    </w:tbl>
    <w:p w14:paraId="3854A1E5" w14:textId="77777777" w:rsidR="00B803E9" w:rsidRPr="00291374" w:rsidRDefault="00B803E9" w:rsidP="00B803E9">
      <w:pPr>
        <w:rPr>
          <w:rFonts w:ascii="Times New Roman" w:hAnsi="Times New Roman" w:cs="Times New Roman"/>
          <w:noProof/>
          <w:lang w:val="en-GB"/>
        </w:rPr>
      </w:pPr>
    </w:p>
    <w:p w14:paraId="21D39F7E" w14:textId="77777777" w:rsidR="00B803E9" w:rsidRPr="00291374" w:rsidRDefault="00B803E9" w:rsidP="00B803E9">
      <w:pPr>
        <w:tabs>
          <w:tab w:val="left" w:pos="1945"/>
        </w:tabs>
        <w:rPr>
          <w:rFonts w:ascii="Times New Roman" w:hAnsi="Times New Roman" w:cs="Times New Roman"/>
          <w:noProof/>
          <w:lang w:val="en-GB"/>
        </w:rPr>
        <w:sectPr w:rsidR="00B803E9" w:rsidRPr="00291374" w:rsidSect="00B803E9">
          <w:headerReference w:type="even" r:id="rId353"/>
          <w:headerReference w:type="default" r:id="rId354"/>
          <w:footerReference w:type="even" r:id="rId355"/>
          <w:footerReference w:type="default" r:id="rId356"/>
          <w:headerReference w:type="first" r:id="rId357"/>
          <w:footerReference w:type="first" r:id="rId358"/>
          <w:pgSz w:w="16839" w:h="11907" w:orient="landscape"/>
          <w:pgMar w:top="1134" w:right="1134" w:bottom="1134" w:left="1134" w:header="567" w:footer="567" w:gutter="0"/>
          <w:cols w:space="720"/>
          <w:docGrid w:linePitch="360"/>
        </w:sectPr>
      </w:pPr>
    </w:p>
    <w:p w14:paraId="16943B9E" w14:textId="77777777" w:rsidR="00F54DA9" w:rsidRPr="00F54DA9" w:rsidRDefault="00F54DA9" w:rsidP="00F54DA9">
      <w:pPr>
        <w:keepNext/>
        <w:numPr>
          <w:ilvl w:val="0"/>
          <w:numId w:val="107"/>
        </w:numPr>
        <w:tabs>
          <w:tab w:val="left" w:pos="850"/>
        </w:tabs>
        <w:spacing w:before="360" w:after="120" w:line="240" w:lineRule="auto"/>
        <w:jc w:val="both"/>
        <w:outlineLvl w:val="0"/>
        <w:rPr>
          <w:rFonts w:ascii="Times New Roman" w:eastAsia="Aptos" w:hAnsi="Times New Roman" w:cs="Times New Roman"/>
          <w:b/>
          <w:bCs/>
          <w:smallCaps/>
          <w:noProof/>
          <w:kern w:val="2"/>
          <w:lang w:val="en-GB" w:eastAsia="en-US"/>
          <w14:ligatures w14:val="standardContextual"/>
        </w:rPr>
      </w:pPr>
      <w:r w:rsidRPr="00F54DA9">
        <w:rPr>
          <w:rFonts w:ascii="Times New Roman" w:eastAsia="Aptos" w:hAnsi="Times New Roman" w:cs="Times New Roman"/>
          <w:b/>
          <w:smallCaps/>
          <w:noProof/>
          <w:kern w:val="2"/>
          <w:szCs w:val="22"/>
          <w:lang w:val="en-GB" w:eastAsia="en-US"/>
          <w14:ligatures w14:val="standardContextual"/>
        </w:rPr>
        <w:t>COMPONENT 16: REPowerEU</w:t>
      </w:r>
    </w:p>
    <w:p w14:paraId="4FBFDEC9" w14:textId="77777777" w:rsidR="00F54DA9" w:rsidRPr="00F54DA9" w:rsidRDefault="00F54DA9" w:rsidP="00F54DA9">
      <w:pPr>
        <w:tabs>
          <w:tab w:val="left" w:pos="312"/>
        </w:tabs>
        <w:spacing w:before="120" w:after="120" w:line="240" w:lineRule="auto"/>
        <w:jc w:val="both"/>
        <w:rPr>
          <w:rFonts w:ascii="Times New Roman" w:eastAsia="Times New Roman"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 xml:space="preserve">The aim of the REPowerEU chapter is to contribute to reducing reliance on fossil fuels in Romania, by supporting the deployment of renewable energy sources and energy efficiency renovations, in particular targeting the most vulnerable consumers and increasing the capacity of the electricity transmission network to integrate renewable energy sources. </w:t>
      </w:r>
    </w:p>
    <w:p w14:paraId="0ED29C50" w14:textId="77777777" w:rsidR="00F54DA9" w:rsidRPr="00F54DA9" w:rsidRDefault="00F54DA9" w:rsidP="00F54DA9">
      <w:pPr>
        <w:spacing w:before="120" w:after="120" w:line="240" w:lineRule="auto"/>
        <w:jc w:val="both"/>
        <w:rPr>
          <w:rFonts w:ascii="Times New Roman" w:eastAsia="Times New Roman"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The component addresses the country-specific recommendations to reduce overall reliance on fossil fuels addressed to Romania in 2022 and 2023. Notably, it helps accelerate the clean energy transition, in particular by deploying renewable energy faster and improving grid capacity to allow the new-built capacity to operate in the market. It also helps increase the pace and ambition of energy renovations to improve the energy efficiency of the building stock, including by providing better access to information and sustainable finance options. Finally, it contributes to the provision and acquisition of skills and competences needed for the green transition (country-specific recommendations 3 2022 and 3 2023).</w:t>
      </w:r>
    </w:p>
    <w:p w14:paraId="40C373FE" w14:textId="77777777" w:rsidR="00F54DA9" w:rsidRPr="00F54DA9" w:rsidRDefault="00F54DA9" w:rsidP="00F54DA9">
      <w:pPr>
        <w:spacing w:before="120" w:after="120" w:line="240" w:lineRule="auto"/>
        <w:jc w:val="both"/>
        <w:rPr>
          <w:rFonts w:ascii="Times New Roman" w:eastAsia="Aptos"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(C(2023) 6454 final).</w:t>
      </w:r>
    </w:p>
    <w:p w14:paraId="2545A354" w14:textId="77777777" w:rsidR="00F54DA9" w:rsidRPr="00F54DA9" w:rsidRDefault="00F54DA9" w:rsidP="00F54DA9">
      <w:pPr>
        <w:spacing w:before="120" w:after="120" w:line="240" w:lineRule="auto"/>
        <w:jc w:val="both"/>
        <w:rPr>
          <w:rFonts w:ascii="Times New Roman" w:eastAsia="Times New Roman" w:hAnsi="Times New Roman" w:cs="Times New Roman"/>
          <w:noProof/>
          <w:kern w:val="2"/>
          <w:lang w:val="en-GB" w:eastAsia="en-US"/>
          <w14:ligatures w14:val="standardContextual"/>
        </w:rPr>
      </w:pPr>
    </w:p>
    <w:p w14:paraId="7B978F00" w14:textId="77777777" w:rsidR="00F54DA9" w:rsidRPr="00F54DA9" w:rsidRDefault="00F54DA9" w:rsidP="00F54DA9">
      <w:pPr>
        <w:keepNext/>
        <w:spacing w:before="120" w:after="120" w:line="240" w:lineRule="auto"/>
        <w:jc w:val="both"/>
        <w:outlineLvl w:val="1"/>
        <w:rPr>
          <w:rFonts w:ascii="Times New Roman" w:eastAsia="Yu Gothic Light" w:hAnsi="Times New Roman" w:cs="Times New Roman"/>
          <w:b/>
          <w:bCs/>
          <w:noProof/>
          <w:kern w:val="2"/>
          <w:lang w:val="en-GB" w:eastAsia="en-US"/>
          <w14:ligatures w14:val="standardContextual"/>
        </w:rPr>
      </w:pPr>
      <w:r w:rsidRPr="00F54DA9">
        <w:rPr>
          <w:rFonts w:ascii="Times New Roman" w:eastAsia="Aptos" w:hAnsi="Times New Roman" w:cs="Times New Roman"/>
          <w:b/>
          <w:noProof/>
          <w:kern w:val="2"/>
          <w:szCs w:val="22"/>
          <w:lang w:val="en-GB" w:eastAsia="en-US"/>
          <w14:ligatures w14:val="standardContextual"/>
        </w:rPr>
        <w:t>P.1.</w:t>
      </w:r>
      <w:r w:rsidRPr="00F54DA9">
        <w:rPr>
          <w:rFonts w:ascii="Times New Roman" w:eastAsia="Aptos" w:hAnsi="Times New Roman" w:cs="Times New Roman"/>
          <w:noProof/>
          <w:kern w:val="2"/>
          <w:lang w:val="en-GB" w:eastAsia="en-US"/>
          <w14:ligatures w14:val="standardContextual"/>
        </w:rPr>
        <w:tab/>
      </w:r>
      <w:r w:rsidRPr="00F54DA9">
        <w:rPr>
          <w:rFonts w:ascii="Times New Roman" w:eastAsia="Aptos" w:hAnsi="Times New Roman" w:cs="Times New Roman"/>
          <w:b/>
          <w:noProof/>
          <w:kern w:val="2"/>
          <w:szCs w:val="22"/>
          <w:lang w:val="en-GB" w:eastAsia="en-US"/>
          <w14:ligatures w14:val="standardContextual"/>
        </w:rPr>
        <w:t>Description of the reforms and investments for non-repayable financial support</w:t>
      </w:r>
    </w:p>
    <w:p w14:paraId="0055E9C4" w14:textId="77777777" w:rsidR="00F54DA9" w:rsidRPr="00F54DA9" w:rsidRDefault="00F54DA9" w:rsidP="00F54DA9">
      <w:pPr>
        <w:spacing w:before="120" w:after="120" w:line="240" w:lineRule="auto"/>
        <w:jc w:val="both"/>
        <w:rPr>
          <w:rFonts w:ascii="Times New Roman" w:eastAsia="Aptos" w:hAnsi="Times New Roman" w:cs="Times New Roman"/>
          <w:noProof/>
          <w:kern w:val="2"/>
          <w:u w:val="single"/>
          <w:lang w:val="en-GB" w:eastAsia="en-US"/>
          <w14:ligatures w14:val="standardContextual"/>
        </w:rPr>
      </w:pPr>
    </w:p>
    <w:p w14:paraId="7AF5B3EE" w14:textId="77777777" w:rsidR="00F54DA9" w:rsidRPr="00F54DA9" w:rsidRDefault="00F54DA9" w:rsidP="00F54DA9">
      <w:pPr>
        <w:spacing w:before="120" w:after="120" w:line="240" w:lineRule="auto"/>
        <w:jc w:val="both"/>
        <w:rPr>
          <w:rFonts w:ascii="Times New Roman" w:eastAsia="Times New Roman" w:hAnsi="Times New Roman" w:cs="Times New Roman"/>
          <w:noProof/>
          <w:kern w:val="2"/>
          <w:u w:val="single"/>
          <w:lang w:val="en-GB" w:eastAsia="en-US"/>
          <w14:ligatures w14:val="standardContextual"/>
        </w:rPr>
      </w:pPr>
      <w:r w:rsidRPr="00F54DA9">
        <w:rPr>
          <w:rFonts w:ascii="Times New Roman" w:eastAsia="Aptos" w:hAnsi="Times New Roman" w:cs="Times New Roman"/>
          <w:noProof/>
          <w:kern w:val="2"/>
          <w:u w:val="single"/>
          <w:lang w:val="en-GB" w:eastAsia="en-US"/>
          <w14:ligatures w14:val="standardContextual"/>
        </w:rPr>
        <w:t xml:space="preserve">Reform 1: Creating a legal framework for the use of state land as acceleration areas for RES investments </w:t>
      </w:r>
    </w:p>
    <w:p w14:paraId="3F04A65A" w14:textId="77777777" w:rsidR="00F54DA9" w:rsidRPr="00F54DA9" w:rsidRDefault="00F54DA9" w:rsidP="00F54DA9">
      <w:pPr>
        <w:spacing w:before="120" w:after="120" w:line="240" w:lineRule="auto"/>
        <w:jc w:val="both"/>
        <w:rPr>
          <w:rFonts w:ascii="Times New Roman" w:eastAsia="Aptos"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 xml:space="preserve">The objective of this reform is to put in place dedicated legal acts and regulatory framework for acceleration areas for renewables, with short and simple permitting processes. </w:t>
      </w:r>
    </w:p>
    <w:p w14:paraId="306E9A58" w14:textId="77777777" w:rsidR="00F54DA9" w:rsidRPr="00F54DA9" w:rsidRDefault="00F54DA9" w:rsidP="00F54DA9">
      <w:pPr>
        <w:spacing w:before="120" w:after="120" w:line="240" w:lineRule="auto"/>
        <w:jc w:val="both"/>
        <w:rPr>
          <w:rFonts w:ascii="Times New Roman" w:eastAsia="Aptos"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 xml:space="preserve">The reform consists also in the setting up of a </w:t>
      </w:r>
      <w:r w:rsidRPr="0061489A">
        <w:rPr>
          <w:rFonts w:ascii="Times New Roman" w:eastAsia="Aptos" w:hAnsi="Times New Roman" w:cs="Times New Roman"/>
          <w:noProof/>
          <w:kern w:val="2"/>
          <w:lang w:val="en-GB" w:eastAsia="en-US"/>
          <w14:ligatures w14:val="standardContextual"/>
        </w:rPr>
        <w:t>single national register for the state-owned land.</w:t>
      </w:r>
    </w:p>
    <w:p w14:paraId="1E23FF08" w14:textId="77777777" w:rsidR="00F54DA9" w:rsidRPr="00F54DA9" w:rsidRDefault="00F54DA9" w:rsidP="00F54DA9">
      <w:pPr>
        <w:spacing w:before="120" w:after="120" w:line="240" w:lineRule="auto"/>
        <w:jc w:val="both"/>
        <w:rPr>
          <w:rFonts w:ascii="Times New Roman" w:eastAsia="Aptos" w:hAnsi="Times New Roman" w:cs="Times New Roman"/>
          <w:noProof/>
          <w:kern w:val="2"/>
          <w:u w:val="single"/>
          <w:lang w:val="en-GB" w:eastAsia="en-US"/>
          <w14:ligatures w14:val="standardContextual"/>
        </w:rPr>
      </w:pPr>
    </w:p>
    <w:p w14:paraId="65FBA04F" w14:textId="77777777" w:rsidR="00F54DA9" w:rsidRPr="00F54DA9" w:rsidRDefault="00F54DA9" w:rsidP="00F54DA9">
      <w:pPr>
        <w:spacing w:before="120" w:after="120" w:line="240" w:lineRule="auto"/>
        <w:jc w:val="both"/>
        <w:rPr>
          <w:rFonts w:ascii="Times New Roman" w:eastAsia="Times New Roman" w:hAnsi="Times New Roman" w:cs="Times New Roman"/>
          <w:noProof/>
          <w:kern w:val="2"/>
          <w:u w:val="single"/>
          <w:lang w:val="en-GB" w:eastAsia="en-US"/>
          <w14:ligatures w14:val="standardContextual"/>
        </w:rPr>
      </w:pPr>
      <w:r w:rsidRPr="00F54DA9">
        <w:rPr>
          <w:rFonts w:ascii="Times New Roman" w:eastAsia="Aptos" w:hAnsi="Times New Roman" w:cs="Times New Roman"/>
          <w:noProof/>
          <w:kern w:val="2"/>
          <w:u w:val="single"/>
          <w:lang w:val="en-GB" w:eastAsia="en-US"/>
          <w14:ligatures w14:val="standardContextual"/>
        </w:rPr>
        <w:t xml:space="preserve">Reform 2: Setting up one-stop-shops (OSS) to provide energy advisory services </w:t>
      </w:r>
    </w:p>
    <w:p w14:paraId="0141DEB4" w14:textId="77777777" w:rsidR="00F54DA9" w:rsidRPr="00F54DA9" w:rsidRDefault="00F54DA9" w:rsidP="00F54DA9">
      <w:pPr>
        <w:spacing w:line="259" w:lineRule="auto"/>
        <w:jc w:val="both"/>
        <w:rPr>
          <w:rFonts w:ascii="Times New Roman" w:eastAsia="Times New Roman" w:hAnsi="Times New Roman" w:cs="Times New Roman"/>
          <w:noProof/>
          <w:kern w:val="2"/>
          <w:lang w:val="en-GB" w:eastAsia="en-US"/>
          <w14:ligatures w14:val="standardContextual"/>
        </w:rPr>
      </w:pPr>
      <w:r w:rsidRPr="00F54DA9">
        <w:rPr>
          <w:rFonts w:ascii="Times New Roman" w:eastAsia="Times New Roman" w:hAnsi="Times New Roman" w:cs="Times New Roman"/>
          <w:noProof/>
          <w:kern w:val="2"/>
          <w:lang w:val="en-GB" w:eastAsia="en-US"/>
          <w14:ligatures w14:val="standardContextual"/>
        </w:rPr>
        <w:t xml:space="preserve">The reform objective is to establish dedicated one-stop-shop (OSS) offices for energy advisory services to raise awareness and facilitate energy efficiency renovations and renewable energy installations among homeowners. </w:t>
      </w:r>
    </w:p>
    <w:p w14:paraId="5709575C" w14:textId="77777777" w:rsidR="00F54DA9" w:rsidRPr="00F54DA9" w:rsidRDefault="00F54DA9" w:rsidP="00F54DA9">
      <w:pPr>
        <w:spacing w:before="120" w:after="120" w:line="240" w:lineRule="auto"/>
        <w:jc w:val="both"/>
        <w:rPr>
          <w:rFonts w:ascii="Times New Roman" w:eastAsia="Times New Roman"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 xml:space="preserve">The reform </w:t>
      </w:r>
      <w:r w:rsidRPr="00F54DA9">
        <w:rPr>
          <w:rFonts w:ascii="Times New Roman" w:eastAsia="Times New Roman" w:hAnsi="Times New Roman" w:cs="Times New Roman"/>
          <w:noProof/>
          <w:kern w:val="2"/>
          <w:lang w:val="en-GB" w:eastAsia="en-US"/>
          <w14:ligatures w14:val="standardContextual"/>
        </w:rPr>
        <w:t xml:space="preserve">consists in the set up of physical offices and an online contact point to streamline the documentation process for these renovations and installations of </w:t>
      </w:r>
      <w:r w:rsidRPr="00F54DA9">
        <w:rPr>
          <w:rFonts w:ascii="Times New Roman" w:eastAsia="Times New Roman" w:hAnsi="Times New Roman" w:cs="Times New Roman"/>
          <w:noProof/>
          <w:kern w:val="2"/>
          <w:lang w:val="en-IE" w:eastAsia="en-US"/>
          <w14:ligatures w14:val="standardContextual"/>
        </w:rPr>
        <w:t>renewables</w:t>
      </w:r>
      <w:r w:rsidRPr="00F54DA9">
        <w:rPr>
          <w:rFonts w:ascii="Times New Roman" w:eastAsia="Times New Roman" w:hAnsi="Times New Roman" w:cs="Times New Roman"/>
          <w:noProof/>
          <w:kern w:val="2"/>
          <w:lang w:val="en-GB" w:eastAsia="en-US"/>
          <w14:ligatures w14:val="standardContextual"/>
        </w:rPr>
        <w:t>.</w:t>
      </w:r>
    </w:p>
    <w:p w14:paraId="1C695890" w14:textId="77777777" w:rsidR="00F54DA9" w:rsidRPr="00F54DA9" w:rsidRDefault="00F54DA9" w:rsidP="00F54DA9">
      <w:pPr>
        <w:spacing w:before="120" w:after="120" w:line="240" w:lineRule="auto"/>
        <w:rPr>
          <w:rFonts w:ascii="Times New Roman" w:eastAsia="Aptos" w:hAnsi="Times New Roman" w:cs="Times New Roman"/>
          <w:noProof/>
          <w:kern w:val="2"/>
          <w:u w:val="single"/>
          <w:lang w:val="en-GB" w:eastAsia="en-US"/>
          <w14:ligatures w14:val="standardContextual"/>
        </w:rPr>
      </w:pPr>
    </w:p>
    <w:p w14:paraId="10776016" w14:textId="77777777" w:rsidR="00F54DA9" w:rsidRPr="00F54DA9" w:rsidRDefault="00F54DA9" w:rsidP="00F54DA9">
      <w:pPr>
        <w:spacing w:before="120" w:after="120" w:line="240" w:lineRule="auto"/>
        <w:rPr>
          <w:rFonts w:ascii="Times New Roman" w:eastAsia="Times New Roman" w:hAnsi="Times New Roman" w:cs="Times New Roman"/>
          <w:noProof/>
          <w:kern w:val="2"/>
          <w:u w:val="single"/>
          <w:lang w:val="en-GB" w:eastAsia="en-US"/>
          <w14:ligatures w14:val="standardContextual"/>
        </w:rPr>
      </w:pPr>
      <w:r w:rsidRPr="00F54DA9">
        <w:rPr>
          <w:rFonts w:ascii="Times New Roman" w:eastAsia="Aptos" w:hAnsi="Times New Roman" w:cs="Times New Roman"/>
          <w:noProof/>
          <w:kern w:val="2"/>
          <w:u w:val="single"/>
          <w:lang w:val="en-GB" w:eastAsia="en-US"/>
          <w14:ligatures w14:val="standardContextual"/>
        </w:rPr>
        <w:t xml:space="preserve">Investment 2: New capacities for electricity generation from renewable sources </w:t>
      </w:r>
    </w:p>
    <w:p w14:paraId="4EADE251" w14:textId="77777777" w:rsidR="00F54DA9" w:rsidRPr="00F54DA9" w:rsidRDefault="00F54DA9" w:rsidP="00F54DA9">
      <w:pPr>
        <w:spacing w:before="120" w:after="120" w:line="240" w:lineRule="auto"/>
        <w:jc w:val="both"/>
        <w:rPr>
          <w:rFonts w:ascii="Times New Roman" w:eastAsia="Aptos"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 xml:space="preserve">The objective of the investment is the installation of renewable power production capacity. </w:t>
      </w:r>
    </w:p>
    <w:p w14:paraId="7FD00B59" w14:textId="77777777" w:rsidR="00F54DA9" w:rsidRPr="00F54DA9" w:rsidRDefault="00F54DA9" w:rsidP="00F54DA9">
      <w:pPr>
        <w:spacing w:before="120" w:after="120" w:line="240" w:lineRule="auto"/>
        <w:jc w:val="both"/>
        <w:rPr>
          <w:rFonts w:ascii="Times New Roman" w:eastAsia="Aptos"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 xml:space="preserve">The investment consists in the installation of 950MW capacity from renewable energy sources. </w:t>
      </w:r>
    </w:p>
    <w:p w14:paraId="6B5051EF" w14:textId="77777777" w:rsidR="00F54DA9" w:rsidRPr="00F54DA9" w:rsidRDefault="00F54DA9" w:rsidP="00F54DA9">
      <w:pPr>
        <w:spacing w:before="120" w:after="120" w:line="240" w:lineRule="auto"/>
        <w:jc w:val="both"/>
        <w:rPr>
          <w:rFonts w:ascii="Times New Roman" w:eastAsia="Aptos" w:hAnsi="Times New Roman" w:cs="Times New Roman"/>
          <w:noProof/>
          <w:kern w:val="2"/>
          <w:u w:val="single"/>
          <w:lang w:val="en-GB" w:eastAsia="en-US"/>
          <w14:ligatures w14:val="standardContextual"/>
        </w:rPr>
      </w:pPr>
    </w:p>
    <w:p w14:paraId="036440BA" w14:textId="77777777" w:rsidR="00F54DA9" w:rsidRPr="00F54DA9" w:rsidRDefault="00F54DA9" w:rsidP="00F54DA9">
      <w:pPr>
        <w:spacing w:before="120" w:after="120" w:line="240" w:lineRule="auto"/>
        <w:jc w:val="both"/>
        <w:rPr>
          <w:rFonts w:ascii="Times New Roman" w:eastAsia="Times New Roman" w:hAnsi="Times New Roman" w:cs="Times New Roman"/>
          <w:noProof/>
          <w:kern w:val="2"/>
          <w:u w:val="single"/>
          <w:lang w:val="en-GB" w:eastAsia="en-US"/>
          <w14:ligatures w14:val="standardContextual"/>
        </w:rPr>
      </w:pPr>
      <w:r w:rsidRPr="00F54DA9">
        <w:rPr>
          <w:rFonts w:ascii="Times New Roman" w:eastAsia="Aptos" w:hAnsi="Times New Roman" w:cs="Times New Roman"/>
          <w:noProof/>
          <w:kern w:val="2"/>
          <w:u w:val="single"/>
          <w:lang w:val="en-GB" w:eastAsia="en-US"/>
          <w14:ligatures w14:val="standardContextual"/>
        </w:rPr>
        <w:t xml:space="preserve">Investment 4: Grant Vouchers to accelerate the rollout of renewable energy by households </w:t>
      </w:r>
    </w:p>
    <w:p w14:paraId="3813DFA3" w14:textId="77777777" w:rsidR="00F54DA9" w:rsidRPr="00F54DA9" w:rsidRDefault="00F54DA9" w:rsidP="00F54DA9">
      <w:pPr>
        <w:spacing w:before="120" w:after="120" w:line="240" w:lineRule="auto"/>
        <w:jc w:val="both"/>
        <w:rPr>
          <w:rFonts w:ascii="Times New Roman" w:eastAsia="Aptos"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 xml:space="preserve">The investment aims to increase the rollout of renewable energy by providing homeowners with financial support. </w:t>
      </w:r>
    </w:p>
    <w:p w14:paraId="6D772F4D" w14:textId="5DBE79C7" w:rsidR="00F54DA9" w:rsidRPr="00F54DA9" w:rsidRDefault="00F54DA9" w:rsidP="00F54DA9">
      <w:pPr>
        <w:spacing w:before="120" w:after="120" w:line="240" w:lineRule="auto"/>
        <w:jc w:val="both"/>
        <w:rPr>
          <w:rFonts w:ascii="Times New Roman" w:eastAsia="Times New Roman"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This investment consists in the disburstment of vouchers for the installation of solar panels</w:t>
      </w:r>
      <w:r w:rsidR="00D23D91">
        <w:rPr>
          <w:rFonts w:ascii="Times New Roman" w:eastAsia="Aptos" w:hAnsi="Times New Roman" w:cs="Times New Roman"/>
          <w:noProof/>
          <w:kern w:val="2"/>
          <w:lang w:val="en-GB" w:eastAsia="en-US"/>
          <w14:ligatures w14:val="standardContextual"/>
        </w:rPr>
        <w:t xml:space="preserve"> </w:t>
      </w:r>
      <w:r w:rsidRPr="00F54DA9">
        <w:rPr>
          <w:rFonts w:ascii="Times New Roman" w:eastAsia="Aptos" w:hAnsi="Times New Roman" w:cs="Times New Roman"/>
          <w:noProof/>
          <w:kern w:val="2"/>
          <w:lang w:val="en-GB" w:eastAsia="en-US"/>
          <w14:ligatures w14:val="standardContextual"/>
        </w:rPr>
        <w:t xml:space="preserve">or electricity storage systems. </w:t>
      </w:r>
    </w:p>
    <w:p w14:paraId="105E9AEE" w14:textId="77777777" w:rsidR="00F54DA9" w:rsidRPr="00F54DA9" w:rsidRDefault="00F54DA9" w:rsidP="00F54DA9">
      <w:pPr>
        <w:spacing w:before="120" w:after="120" w:line="240" w:lineRule="auto"/>
        <w:jc w:val="both"/>
        <w:rPr>
          <w:rFonts w:ascii="Times New Roman" w:eastAsia="Aptos" w:hAnsi="Times New Roman" w:cs="Times New Roman"/>
          <w:noProof/>
          <w:kern w:val="2"/>
          <w:u w:val="single"/>
          <w:lang w:val="en-GB" w:eastAsia="en-US"/>
          <w14:ligatures w14:val="standardContextual"/>
        </w:rPr>
      </w:pPr>
    </w:p>
    <w:p w14:paraId="186A5CFA" w14:textId="77777777" w:rsidR="00F54DA9" w:rsidRPr="00F54DA9" w:rsidRDefault="00F54DA9" w:rsidP="00F54DA9">
      <w:pPr>
        <w:spacing w:before="120" w:after="120" w:line="240" w:lineRule="auto"/>
        <w:jc w:val="both"/>
        <w:rPr>
          <w:rFonts w:ascii="Times New Roman" w:eastAsia="Times New Roman" w:hAnsi="Times New Roman" w:cs="Times New Roman"/>
          <w:noProof/>
          <w:kern w:val="2"/>
          <w:u w:val="single"/>
          <w:lang w:val="en-GB" w:eastAsia="en-US"/>
          <w14:ligatures w14:val="standardContextual"/>
        </w:rPr>
      </w:pPr>
      <w:r w:rsidRPr="00F54DA9">
        <w:rPr>
          <w:rFonts w:ascii="Times New Roman" w:eastAsia="Aptos" w:hAnsi="Times New Roman" w:cs="Times New Roman"/>
          <w:noProof/>
          <w:kern w:val="2"/>
          <w:u w:val="single"/>
          <w:lang w:val="en-GB" w:eastAsia="en-US"/>
          <w14:ligatures w14:val="standardContextual"/>
        </w:rPr>
        <w:t>Investment 5: Digitalisation and modernisation of the national electricity transmission network</w:t>
      </w:r>
    </w:p>
    <w:p w14:paraId="437DA55B" w14:textId="77777777" w:rsidR="00F54DA9" w:rsidRPr="00F54DA9" w:rsidRDefault="00F54DA9" w:rsidP="00F54DA9">
      <w:pPr>
        <w:spacing w:before="120" w:after="120" w:line="240" w:lineRule="auto"/>
        <w:jc w:val="both"/>
        <w:rPr>
          <w:rFonts w:ascii="Times New Roman" w:eastAsia="Aptos"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 xml:space="preserve">The objective of the investment is to increase the flexibility and address the bottlenecks of the electricity grid managed by the transmission system operator (TSO). </w:t>
      </w:r>
    </w:p>
    <w:p w14:paraId="463D7949" w14:textId="77777777" w:rsidR="00F54DA9" w:rsidRPr="00F54DA9" w:rsidRDefault="00F54DA9" w:rsidP="00F54DA9">
      <w:pPr>
        <w:spacing w:before="120" w:after="120" w:line="240" w:lineRule="auto"/>
        <w:jc w:val="both"/>
        <w:rPr>
          <w:rFonts w:ascii="Times New Roman" w:eastAsia="Times New Roman"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The investment consists in the i</w:t>
      </w:r>
      <w:r w:rsidRPr="00F54DA9">
        <w:rPr>
          <w:rFonts w:ascii="Times New Roman" w:eastAsia="Times New Roman" w:hAnsi="Times New Roman" w:cs="Times New Roman"/>
          <w:noProof/>
          <w:kern w:val="2"/>
          <w:lang w:val="en-GB" w:eastAsia="en-US"/>
          <w14:ligatures w14:val="standardContextual"/>
        </w:rPr>
        <w:t>nstallation of solar panels and electricity storage facilities in TSO’s power substations to reduce the own consumption of electricity, purchase of equipment to reduce</w:t>
      </w:r>
      <w:r w:rsidRPr="00F54DA9">
        <w:rPr>
          <w:rFonts w:ascii="Times New Roman" w:eastAsia="Aptos" w:hAnsi="Times New Roman" w:cs="Times New Roman"/>
          <w:noProof/>
          <w:kern w:val="2"/>
          <w:lang w:val="en-GB" w:eastAsia="en-US"/>
          <w14:ligatures w14:val="standardContextual"/>
        </w:rPr>
        <w:t xml:space="preserve"> the average duration of interventions on the TSO’s network,</w:t>
      </w:r>
      <w:r w:rsidRPr="00F54DA9">
        <w:rPr>
          <w:rFonts w:ascii="Times New Roman" w:eastAsia="Times New Roman" w:hAnsi="Times New Roman" w:cs="Times New Roman"/>
          <w:noProof/>
          <w:kern w:val="2"/>
          <w:lang w:val="en-GB" w:eastAsia="en-US"/>
          <w14:ligatures w14:val="standardContextual"/>
        </w:rPr>
        <w:t xml:space="preserve"> and </w:t>
      </w:r>
      <w:r w:rsidRPr="00F54DA9">
        <w:rPr>
          <w:rFonts w:ascii="Times New Roman" w:eastAsia="Aptos" w:hAnsi="Times New Roman" w:cs="Times New Roman"/>
          <w:noProof/>
          <w:kern w:val="2"/>
          <w:lang w:val="en-GB" w:eastAsia="en-US"/>
          <w14:ligatures w14:val="standardContextual"/>
        </w:rPr>
        <w:t xml:space="preserve">the </w:t>
      </w:r>
      <w:r w:rsidRPr="00F54DA9">
        <w:rPr>
          <w:rFonts w:ascii="Times New Roman" w:eastAsia="Times New Roman" w:hAnsi="Times New Roman" w:cs="Times New Roman"/>
          <w:noProof/>
          <w:kern w:val="2"/>
          <w:lang w:val="en-GB" w:eastAsia="en-US"/>
          <w14:ligatures w14:val="standardContextual"/>
        </w:rPr>
        <w:t>equipment of a data centre.</w:t>
      </w:r>
    </w:p>
    <w:p w14:paraId="3F62CE92" w14:textId="77777777" w:rsidR="00F54DA9" w:rsidRPr="00F54DA9" w:rsidRDefault="00F54DA9" w:rsidP="00F54DA9">
      <w:pPr>
        <w:spacing w:before="120" w:after="120" w:line="240" w:lineRule="auto"/>
        <w:jc w:val="both"/>
        <w:rPr>
          <w:rFonts w:ascii="Times New Roman" w:eastAsia="Aptos" w:hAnsi="Times New Roman" w:cs="Times New Roman"/>
          <w:noProof/>
          <w:kern w:val="2"/>
          <w:u w:val="single"/>
          <w:lang w:val="en-GB" w:eastAsia="en-US"/>
          <w14:ligatures w14:val="standardContextual"/>
        </w:rPr>
      </w:pPr>
    </w:p>
    <w:p w14:paraId="4C9B83D7" w14:textId="77777777" w:rsidR="00F54DA9" w:rsidRPr="00F54DA9" w:rsidRDefault="00F54DA9" w:rsidP="00F54DA9">
      <w:pPr>
        <w:spacing w:before="120" w:after="120" w:line="240" w:lineRule="auto"/>
        <w:jc w:val="both"/>
        <w:rPr>
          <w:rFonts w:ascii="Times New Roman" w:eastAsia="Aptos" w:hAnsi="Times New Roman" w:cs="Times New Roman"/>
          <w:noProof/>
          <w:kern w:val="2"/>
          <w:u w:val="single"/>
          <w:lang w:val="en-GB" w:eastAsia="en-US"/>
          <w14:ligatures w14:val="standardContextual"/>
        </w:rPr>
      </w:pPr>
      <w:r w:rsidRPr="00F54DA9">
        <w:rPr>
          <w:rFonts w:ascii="Times New Roman" w:eastAsia="Aptos" w:hAnsi="Times New Roman" w:cs="Times New Roman"/>
          <w:noProof/>
          <w:kern w:val="2"/>
          <w:u w:val="single"/>
          <w:lang w:val="en-GB" w:eastAsia="en-US"/>
          <w14:ligatures w14:val="standardContextual"/>
        </w:rPr>
        <w:t>Investment 7: Grant Vouchers to support households’ energy efficiency upgrades</w:t>
      </w:r>
    </w:p>
    <w:p w14:paraId="051DAFEB" w14:textId="77777777" w:rsidR="00F54DA9" w:rsidRPr="00F54DA9" w:rsidRDefault="00F54DA9" w:rsidP="00F54DA9">
      <w:pPr>
        <w:spacing w:before="120" w:after="120" w:line="240" w:lineRule="auto"/>
        <w:jc w:val="both"/>
        <w:rPr>
          <w:rFonts w:ascii="Times New Roman" w:eastAsia="Aptos"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This investment aims at decreasing primary energy demand of households by providing homeowners with financial support for combined energy efficiency renovation and installation of solar panels on single-family residential buildings only for energy poor households and vulnerable energy consumers.</w:t>
      </w:r>
    </w:p>
    <w:p w14:paraId="5EF2718F" w14:textId="77777777" w:rsidR="00F54DA9" w:rsidRPr="00F54DA9" w:rsidRDefault="00F54DA9" w:rsidP="00F54DA9">
      <w:pPr>
        <w:spacing w:before="120" w:after="120" w:line="240" w:lineRule="auto"/>
        <w:jc w:val="both"/>
        <w:rPr>
          <w:rFonts w:ascii="Times New Roman" w:eastAsia="Aptos"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The investment consists in disbursement of vouchers to make energy-efficiency-renovations to their homes.</w:t>
      </w:r>
    </w:p>
    <w:p w14:paraId="15FB54B7" w14:textId="77777777" w:rsidR="00F54DA9" w:rsidRPr="00F54DA9" w:rsidRDefault="00F54DA9" w:rsidP="00F54DA9">
      <w:pPr>
        <w:spacing w:before="120" w:after="120" w:line="240" w:lineRule="auto"/>
        <w:jc w:val="both"/>
        <w:rPr>
          <w:rFonts w:ascii="Times New Roman" w:eastAsia="Aptos" w:hAnsi="Times New Roman" w:cs="Times New Roman"/>
          <w:noProof/>
          <w:kern w:val="2"/>
          <w:u w:val="single"/>
          <w:lang w:val="en-GB" w:eastAsia="en-US"/>
          <w14:ligatures w14:val="standardContextual"/>
        </w:rPr>
      </w:pPr>
    </w:p>
    <w:p w14:paraId="65EDBB2F" w14:textId="77777777" w:rsidR="00F54DA9" w:rsidRPr="00F54DA9" w:rsidRDefault="00F54DA9" w:rsidP="00F54DA9">
      <w:pPr>
        <w:spacing w:before="120" w:after="120" w:line="240" w:lineRule="auto"/>
        <w:jc w:val="both"/>
        <w:rPr>
          <w:rFonts w:ascii="Times New Roman" w:eastAsia="Aptos" w:hAnsi="Times New Roman" w:cs="Times New Roman"/>
          <w:noProof/>
          <w:kern w:val="2"/>
          <w:u w:val="single"/>
          <w:lang w:val="en-GB" w:eastAsia="en-US"/>
          <w14:ligatures w14:val="standardContextual"/>
        </w:rPr>
      </w:pPr>
      <w:r w:rsidRPr="00F54DA9">
        <w:rPr>
          <w:rFonts w:ascii="Times New Roman" w:eastAsia="Aptos" w:hAnsi="Times New Roman" w:cs="Times New Roman"/>
          <w:noProof/>
          <w:kern w:val="2"/>
          <w:u w:val="single"/>
          <w:lang w:val="en-GB" w:eastAsia="en-US"/>
          <w14:ligatures w14:val="standardContextual"/>
        </w:rPr>
        <w:t>Investment 9: New electricity storage capacities</w:t>
      </w:r>
    </w:p>
    <w:p w14:paraId="6C32D795" w14:textId="77777777" w:rsidR="00F54DA9" w:rsidRPr="00F54DA9" w:rsidRDefault="00F54DA9" w:rsidP="00F54DA9">
      <w:pPr>
        <w:spacing w:before="120" w:after="120" w:line="240" w:lineRule="auto"/>
        <w:jc w:val="both"/>
        <w:rPr>
          <w:rFonts w:ascii="Times New Roman" w:eastAsia="Aptos"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The objective of the investment is to increase the flexibility and stability of the electricity grids.</w:t>
      </w:r>
    </w:p>
    <w:p w14:paraId="75856357" w14:textId="52DF25C9" w:rsidR="00F54DA9" w:rsidRPr="00F54DA9" w:rsidRDefault="00F54DA9" w:rsidP="00F54DA9">
      <w:pPr>
        <w:spacing w:before="120" w:after="120" w:line="240" w:lineRule="auto"/>
        <w:jc w:val="both"/>
        <w:rPr>
          <w:rFonts w:ascii="Times New Roman" w:eastAsia="Aptos"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The investment consists in the installation and connection of</w:t>
      </w:r>
      <w:r w:rsidR="00D23D91">
        <w:rPr>
          <w:rFonts w:ascii="Times New Roman" w:eastAsia="Aptos" w:hAnsi="Times New Roman" w:cs="Times New Roman"/>
          <w:noProof/>
          <w:kern w:val="2"/>
          <w:lang w:val="en-GB" w:eastAsia="en-US"/>
          <w14:ligatures w14:val="standardContextual"/>
        </w:rPr>
        <w:t xml:space="preserve"> </w:t>
      </w:r>
      <w:r w:rsidRPr="00F54DA9">
        <w:rPr>
          <w:rFonts w:ascii="Times New Roman" w:eastAsia="Aptos" w:hAnsi="Times New Roman" w:cs="Times New Roman"/>
          <w:noProof/>
          <w:kern w:val="2"/>
          <w:lang w:val="en-GB" w:eastAsia="en-US"/>
          <w14:ligatures w14:val="standardContextual"/>
        </w:rPr>
        <w:t xml:space="preserve">electricity storage capacities. </w:t>
      </w:r>
    </w:p>
    <w:p w14:paraId="1940F652" w14:textId="77777777" w:rsidR="00F54DA9" w:rsidRPr="00F54DA9" w:rsidRDefault="00F54DA9" w:rsidP="00F54DA9">
      <w:pPr>
        <w:spacing w:before="120" w:after="120" w:line="240" w:lineRule="auto"/>
        <w:jc w:val="both"/>
        <w:rPr>
          <w:rFonts w:ascii="Times New Roman" w:eastAsia="Aptos" w:hAnsi="Times New Roman" w:cs="Times New Roman"/>
          <w:noProof/>
          <w:kern w:val="2"/>
          <w:u w:val="single"/>
          <w:lang w:val="en-GB" w:eastAsia="en-US"/>
          <w14:ligatures w14:val="standardContextual"/>
        </w:rPr>
      </w:pPr>
    </w:p>
    <w:p w14:paraId="6C36690D" w14:textId="77777777" w:rsidR="00F54DA9" w:rsidRPr="00F54DA9" w:rsidRDefault="00F54DA9" w:rsidP="00F54DA9">
      <w:pPr>
        <w:spacing w:before="120" w:after="120" w:line="240" w:lineRule="auto"/>
        <w:jc w:val="both"/>
        <w:rPr>
          <w:rFonts w:ascii="Times New Roman" w:eastAsia="Aptos" w:hAnsi="Times New Roman" w:cs="Times New Roman"/>
          <w:noProof/>
          <w:kern w:val="2"/>
          <w:u w:val="single"/>
          <w:lang w:val="en-GB" w:eastAsia="en-US"/>
          <w14:ligatures w14:val="standardContextual"/>
        </w:rPr>
      </w:pPr>
      <w:r w:rsidRPr="00F54DA9">
        <w:rPr>
          <w:rFonts w:ascii="Times New Roman" w:eastAsia="Aptos" w:hAnsi="Times New Roman" w:cs="Times New Roman"/>
          <w:noProof/>
          <w:kern w:val="2"/>
          <w:u w:val="single"/>
          <w:lang w:val="en-GB" w:eastAsia="en-US"/>
          <w14:ligatures w14:val="standardContextual"/>
        </w:rPr>
        <w:t>Investment 10: Ensuring energy efficiency in the industrial sector</w:t>
      </w:r>
    </w:p>
    <w:p w14:paraId="7E68F993" w14:textId="77777777" w:rsidR="00F54DA9" w:rsidRPr="00F54DA9" w:rsidRDefault="00F54DA9" w:rsidP="00F54DA9">
      <w:pPr>
        <w:spacing w:before="120" w:after="120" w:line="240" w:lineRule="auto"/>
        <w:jc w:val="both"/>
        <w:rPr>
          <w:rFonts w:ascii="Times New Roman" w:eastAsia="Aptos"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The objective of the investment is to increase the energy efficiency of the industry.</w:t>
      </w:r>
    </w:p>
    <w:p w14:paraId="1C3B854D" w14:textId="77777777" w:rsidR="00F54DA9" w:rsidRPr="00F54DA9" w:rsidRDefault="00F54DA9" w:rsidP="00F54DA9">
      <w:pPr>
        <w:spacing w:before="120" w:after="120" w:line="240" w:lineRule="auto"/>
        <w:jc w:val="both"/>
        <w:rPr>
          <w:rFonts w:ascii="Times New Roman" w:eastAsia="Aptos"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The investment consists in</w:t>
      </w:r>
      <w:r w:rsidRPr="00F54DA9">
        <w:rPr>
          <w:rFonts w:ascii="Aptos" w:eastAsia="Aptos" w:hAnsi="Aptos" w:cs="Arial"/>
          <w:noProof/>
          <w:kern w:val="2"/>
          <w:sz w:val="22"/>
          <w:szCs w:val="22"/>
          <w:lang w:val="en-IE" w:eastAsia="en-US"/>
          <w14:ligatures w14:val="standardContextual"/>
        </w:rPr>
        <w:t xml:space="preserve"> </w:t>
      </w:r>
      <w:r w:rsidRPr="00F54DA9">
        <w:rPr>
          <w:rFonts w:ascii="Times New Roman" w:eastAsia="Aptos" w:hAnsi="Times New Roman" w:cs="Times New Roman"/>
          <w:noProof/>
          <w:kern w:val="2"/>
          <w:lang w:val="en-GB" w:eastAsia="en-US"/>
          <w14:ligatures w14:val="standardContextual"/>
        </w:rPr>
        <w:t>the delivery of at least 30 energy efficiency projects in industry.</w:t>
      </w:r>
    </w:p>
    <w:p w14:paraId="3275890E" w14:textId="77777777" w:rsidR="00F54DA9" w:rsidRPr="00F54DA9" w:rsidRDefault="00F54DA9" w:rsidP="00F54DA9">
      <w:pPr>
        <w:spacing w:before="120" w:after="120" w:line="240" w:lineRule="auto"/>
        <w:jc w:val="both"/>
        <w:rPr>
          <w:rFonts w:ascii="Times New Roman" w:eastAsia="Aptos" w:hAnsi="Times New Roman" w:cs="Times New Roman"/>
          <w:noProof/>
          <w:kern w:val="2"/>
          <w:lang w:val="en-GB" w:eastAsia="en-US"/>
          <w14:ligatures w14:val="standardContextual"/>
        </w:rPr>
      </w:pPr>
    </w:p>
    <w:p w14:paraId="6217ACC2" w14:textId="77777777" w:rsidR="00F54DA9" w:rsidRPr="00F54DA9" w:rsidRDefault="00F54DA9" w:rsidP="00F54DA9">
      <w:pPr>
        <w:spacing w:before="120" w:after="120" w:line="240" w:lineRule="auto"/>
        <w:jc w:val="both"/>
        <w:rPr>
          <w:rFonts w:ascii="Times New Roman" w:eastAsia="Aptos" w:hAnsi="Times New Roman" w:cs="Times New Roman"/>
          <w:noProof/>
          <w:kern w:val="2"/>
          <w:lang w:val="en-GB" w:eastAsia="en-US"/>
          <w14:ligatures w14:val="standardContextual"/>
        </w:rPr>
        <w:sectPr w:rsidR="00F54DA9" w:rsidRPr="00F54DA9" w:rsidSect="00F54DA9">
          <w:headerReference w:type="even" r:id="rId359"/>
          <w:headerReference w:type="default" r:id="rId360"/>
          <w:footerReference w:type="even" r:id="rId361"/>
          <w:footerReference w:type="default" r:id="rId362"/>
          <w:headerReference w:type="first" r:id="rId363"/>
          <w:footerReference w:type="first" r:id="rId364"/>
          <w:pgSz w:w="11907" w:h="16839" w:code="1"/>
          <w:pgMar w:top="1134" w:right="1134" w:bottom="1134" w:left="1134" w:header="567" w:footer="567" w:gutter="0"/>
          <w:cols w:space="720"/>
          <w:docGrid w:linePitch="360"/>
        </w:sectPr>
      </w:pPr>
    </w:p>
    <w:p w14:paraId="414B840A" w14:textId="77777777" w:rsidR="00F54DA9" w:rsidRPr="00F54DA9" w:rsidRDefault="00F54DA9" w:rsidP="00F54DA9">
      <w:pPr>
        <w:keepNext/>
        <w:spacing w:before="120" w:after="120" w:line="240" w:lineRule="auto"/>
        <w:jc w:val="both"/>
        <w:outlineLvl w:val="1"/>
        <w:rPr>
          <w:rFonts w:ascii="Times New Roman" w:eastAsia="Yu Gothic Light" w:hAnsi="Times New Roman" w:cs="Times New Roman"/>
          <w:b/>
          <w:bCs/>
          <w:noProof/>
          <w:kern w:val="2"/>
          <w:lang w:val="en-GB" w:eastAsia="en-US"/>
          <w14:ligatures w14:val="standardContextual"/>
        </w:rPr>
      </w:pPr>
      <w:r w:rsidRPr="00F54DA9">
        <w:rPr>
          <w:rFonts w:ascii="Times New Roman" w:eastAsia="Aptos" w:hAnsi="Times New Roman" w:cs="Times New Roman"/>
          <w:b/>
          <w:bCs/>
          <w:noProof/>
          <w:kern w:val="2"/>
          <w:lang w:val="en-GB" w:eastAsia="en-US"/>
          <w14:ligatures w14:val="standardContextual"/>
        </w:rPr>
        <w:t xml:space="preserve">P.2. Milestones, targets, indicators, and timetable for monitoring and implementation for non-repayable financial support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A0" w:firstRow="1" w:lastRow="0" w:firstColumn="1" w:lastColumn="0" w:noHBand="1" w:noVBand="1"/>
      </w:tblPr>
      <w:tblGrid>
        <w:gridCol w:w="955"/>
        <w:gridCol w:w="1800"/>
        <w:gridCol w:w="1320"/>
        <w:gridCol w:w="1590"/>
        <w:gridCol w:w="1290"/>
        <w:gridCol w:w="1200"/>
        <w:gridCol w:w="960"/>
        <w:gridCol w:w="960"/>
        <w:gridCol w:w="977"/>
        <w:gridCol w:w="567"/>
        <w:gridCol w:w="2942"/>
      </w:tblGrid>
      <w:tr w:rsidR="00F54DA9" w:rsidRPr="001B1E82" w14:paraId="14716F1E" w14:textId="77777777" w:rsidTr="00BD01A2">
        <w:trPr>
          <w:trHeight w:val="300"/>
          <w:tblHeader/>
          <w:jc w:val="center"/>
        </w:trPr>
        <w:tc>
          <w:tcPr>
            <w:tcW w:w="955" w:type="dxa"/>
            <w:vMerge w:val="restart"/>
            <w:shd w:val="clear" w:color="auto" w:fill="C5D9F0"/>
            <w:tcMar>
              <w:left w:w="57" w:type="dxa"/>
              <w:right w:w="57" w:type="dxa"/>
            </w:tcMar>
            <w:vAlign w:val="center"/>
          </w:tcPr>
          <w:p w14:paraId="09154D40" w14:textId="2CA9690A" w:rsidR="00F54DA9" w:rsidRPr="001B1E82" w:rsidRDefault="00F54DA9" w:rsidP="00F54DA9">
            <w:pPr>
              <w:spacing w:after="0" w:line="245"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Seq. Num</w:t>
            </w:r>
            <w:r w:rsidR="001B1E82">
              <w:rPr>
                <w:rFonts w:ascii="Times New Roman" w:eastAsia="Aptos" w:hAnsi="Times New Roman" w:cs="Times New Roman"/>
                <w:b/>
                <w:noProof/>
                <w:kern w:val="2"/>
                <w:sz w:val="20"/>
                <w:szCs w:val="20"/>
                <w:lang w:val="en-GB" w:eastAsia="en-US"/>
                <w14:ligatures w14:val="standardContextual"/>
              </w:rPr>
              <w:t>.</w:t>
            </w:r>
          </w:p>
        </w:tc>
        <w:tc>
          <w:tcPr>
            <w:tcW w:w="1800" w:type="dxa"/>
            <w:vMerge w:val="restart"/>
            <w:shd w:val="clear" w:color="auto" w:fill="C5D9F0"/>
            <w:tcMar>
              <w:left w:w="57" w:type="dxa"/>
              <w:right w:w="57" w:type="dxa"/>
            </w:tcMar>
            <w:vAlign w:val="center"/>
          </w:tcPr>
          <w:p w14:paraId="11414D05" w14:textId="75F0244D" w:rsidR="00F54DA9" w:rsidRPr="001B1E82" w:rsidRDefault="001B1E82" w:rsidP="00F54DA9">
            <w:pPr>
              <w:spacing w:after="0" w:line="252"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hAnsi="Times New Roman" w:cs="Times New Roman"/>
                <w:b/>
                <w:noProof/>
                <w:sz w:val="20"/>
                <w:szCs w:val="20"/>
                <w:lang w:val="en-GB"/>
              </w:rPr>
              <w:t>Related Measure (Reform or Investment)</w:t>
            </w:r>
          </w:p>
        </w:tc>
        <w:tc>
          <w:tcPr>
            <w:tcW w:w="1320" w:type="dxa"/>
            <w:vMerge w:val="restart"/>
            <w:shd w:val="clear" w:color="auto" w:fill="C5D9F0"/>
            <w:tcMar>
              <w:left w:w="57" w:type="dxa"/>
              <w:right w:w="57" w:type="dxa"/>
            </w:tcMar>
            <w:vAlign w:val="center"/>
          </w:tcPr>
          <w:p w14:paraId="11347835" w14:textId="2443604D" w:rsidR="00F54DA9" w:rsidRPr="001B1E82" w:rsidRDefault="00F54DA9" w:rsidP="00F54DA9">
            <w:pPr>
              <w:spacing w:before="142" w:after="0"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Milestone</w:t>
            </w:r>
            <w:r w:rsidR="001B1E82">
              <w:rPr>
                <w:rFonts w:ascii="Times New Roman" w:eastAsia="Aptos" w:hAnsi="Times New Roman" w:cs="Times New Roman"/>
                <w:b/>
                <w:noProof/>
                <w:kern w:val="2"/>
                <w:sz w:val="20"/>
                <w:szCs w:val="20"/>
                <w:lang w:val="en-GB" w:eastAsia="en-US"/>
                <w14:ligatures w14:val="standardContextual"/>
              </w:rPr>
              <w:t xml:space="preserve">/ </w:t>
            </w:r>
            <w:r w:rsidRPr="001B1E82">
              <w:rPr>
                <w:rFonts w:ascii="Times New Roman" w:eastAsia="Aptos" w:hAnsi="Times New Roman" w:cs="Times New Roman"/>
                <w:b/>
                <w:noProof/>
                <w:kern w:val="2"/>
                <w:sz w:val="20"/>
                <w:szCs w:val="20"/>
                <w:lang w:val="en-GB" w:eastAsia="en-US"/>
                <w14:ligatures w14:val="standardContextual"/>
              </w:rPr>
              <w:t>Target</w:t>
            </w:r>
          </w:p>
        </w:tc>
        <w:tc>
          <w:tcPr>
            <w:tcW w:w="1590" w:type="dxa"/>
            <w:vMerge w:val="restart"/>
            <w:shd w:val="clear" w:color="auto" w:fill="C5D9F0"/>
            <w:tcMar>
              <w:left w:w="57" w:type="dxa"/>
              <w:right w:w="57" w:type="dxa"/>
            </w:tcMar>
            <w:vAlign w:val="center"/>
          </w:tcPr>
          <w:p w14:paraId="24F4565B" w14:textId="77777777" w:rsidR="00F54DA9" w:rsidRPr="001B1E82" w:rsidRDefault="00F54DA9" w:rsidP="00F54DA9">
            <w:pPr>
              <w:spacing w:before="4" w:after="0" w:line="257"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Name</w:t>
            </w:r>
          </w:p>
        </w:tc>
        <w:tc>
          <w:tcPr>
            <w:tcW w:w="1290" w:type="dxa"/>
            <w:vMerge w:val="restart"/>
            <w:shd w:val="clear" w:color="auto" w:fill="C5D9F0"/>
            <w:tcMar>
              <w:left w:w="57" w:type="dxa"/>
              <w:right w:w="57" w:type="dxa"/>
            </w:tcMar>
            <w:vAlign w:val="center"/>
          </w:tcPr>
          <w:p w14:paraId="4CA1B760" w14:textId="77777777" w:rsidR="00F54DA9" w:rsidRPr="001B1E82" w:rsidRDefault="00F54DA9" w:rsidP="00F54DA9">
            <w:pPr>
              <w:spacing w:before="1" w:after="0" w:line="242" w:lineRule="auto"/>
              <w:ind w:firstLine="45"/>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Qualitative indicator (for milestones)</w:t>
            </w:r>
          </w:p>
        </w:tc>
        <w:tc>
          <w:tcPr>
            <w:tcW w:w="3120" w:type="dxa"/>
            <w:gridSpan w:val="3"/>
            <w:shd w:val="clear" w:color="auto" w:fill="C5D9F0"/>
            <w:tcMar>
              <w:left w:w="57" w:type="dxa"/>
              <w:right w:w="57" w:type="dxa"/>
            </w:tcMar>
            <w:vAlign w:val="center"/>
          </w:tcPr>
          <w:p w14:paraId="7304C14D" w14:textId="77777777" w:rsidR="00F54DA9" w:rsidRPr="001B1E82" w:rsidRDefault="00F54DA9" w:rsidP="00F54DA9">
            <w:pPr>
              <w:spacing w:before="142" w:after="0" w:line="223"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 xml:space="preserve">Quantitative indicator </w:t>
            </w:r>
            <w:r w:rsidRPr="001B1E82">
              <w:rPr>
                <w:rFonts w:ascii="Times New Roman" w:eastAsia="Aptos" w:hAnsi="Times New Roman" w:cs="Times New Roman"/>
                <w:noProof/>
                <w:kern w:val="2"/>
                <w:sz w:val="20"/>
                <w:szCs w:val="20"/>
                <w:lang w:val="en-GB" w:eastAsia="en-US"/>
                <w14:ligatures w14:val="standardContextual"/>
              </w:rPr>
              <w:br/>
            </w:r>
            <w:r w:rsidRPr="001B1E82">
              <w:rPr>
                <w:rFonts w:ascii="Times New Roman" w:eastAsia="Aptos" w:hAnsi="Times New Roman" w:cs="Times New Roman"/>
                <w:b/>
                <w:noProof/>
                <w:kern w:val="2"/>
                <w:sz w:val="20"/>
                <w:szCs w:val="20"/>
                <w:lang w:val="en-GB" w:eastAsia="en-US"/>
                <w14:ligatures w14:val="standardContextual"/>
              </w:rPr>
              <w:t>for target</w:t>
            </w:r>
          </w:p>
        </w:tc>
        <w:tc>
          <w:tcPr>
            <w:tcW w:w="1544" w:type="dxa"/>
            <w:gridSpan w:val="2"/>
            <w:shd w:val="clear" w:color="auto" w:fill="C5D9F0"/>
            <w:tcMar>
              <w:left w:w="57" w:type="dxa"/>
              <w:right w:w="57" w:type="dxa"/>
            </w:tcMar>
            <w:vAlign w:val="center"/>
          </w:tcPr>
          <w:p w14:paraId="1878A89A" w14:textId="77777777" w:rsidR="00F54DA9" w:rsidRPr="001B1E82" w:rsidRDefault="00F54DA9" w:rsidP="00F54DA9">
            <w:pPr>
              <w:spacing w:before="1" w:after="0"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Time</w:t>
            </w:r>
          </w:p>
        </w:tc>
        <w:tc>
          <w:tcPr>
            <w:tcW w:w="2942" w:type="dxa"/>
            <w:vMerge w:val="restart"/>
            <w:shd w:val="clear" w:color="auto" w:fill="C5D9F0"/>
            <w:tcMar>
              <w:left w:w="57" w:type="dxa"/>
              <w:right w:w="57" w:type="dxa"/>
            </w:tcMar>
            <w:vAlign w:val="center"/>
          </w:tcPr>
          <w:p w14:paraId="6ACEA3DE"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Description of each milestone and target</w:t>
            </w:r>
          </w:p>
        </w:tc>
      </w:tr>
      <w:tr w:rsidR="00F54DA9" w:rsidRPr="001B1E82" w14:paraId="35B22C20" w14:textId="77777777" w:rsidTr="00BD01A2">
        <w:trPr>
          <w:trHeight w:val="692"/>
          <w:tblHeader/>
          <w:jc w:val="center"/>
        </w:trPr>
        <w:tc>
          <w:tcPr>
            <w:tcW w:w="955" w:type="dxa"/>
            <w:vMerge/>
            <w:tcMar>
              <w:left w:w="57" w:type="dxa"/>
              <w:right w:w="57" w:type="dxa"/>
            </w:tcMar>
            <w:vAlign w:val="center"/>
          </w:tcPr>
          <w:p w14:paraId="5EC081ED" w14:textId="77777777" w:rsidR="00F54DA9" w:rsidRPr="001B1E82" w:rsidRDefault="00F54DA9" w:rsidP="00F54DA9">
            <w:pPr>
              <w:spacing w:line="259" w:lineRule="auto"/>
              <w:rPr>
                <w:rFonts w:ascii="Times New Roman" w:eastAsia="Aptos" w:hAnsi="Times New Roman" w:cs="Times New Roman"/>
                <w:noProof/>
                <w:kern w:val="2"/>
                <w:sz w:val="20"/>
                <w:szCs w:val="20"/>
                <w:lang w:val="en-GB" w:eastAsia="en-US"/>
                <w14:ligatures w14:val="standardContextual"/>
              </w:rPr>
            </w:pPr>
          </w:p>
        </w:tc>
        <w:tc>
          <w:tcPr>
            <w:tcW w:w="1800" w:type="dxa"/>
            <w:vMerge/>
            <w:tcMar>
              <w:left w:w="57" w:type="dxa"/>
              <w:right w:w="57" w:type="dxa"/>
            </w:tcMar>
            <w:vAlign w:val="center"/>
          </w:tcPr>
          <w:p w14:paraId="1A454B80" w14:textId="77777777" w:rsidR="00F54DA9" w:rsidRPr="001B1E82" w:rsidRDefault="00F54DA9" w:rsidP="00F54DA9">
            <w:pPr>
              <w:spacing w:line="259" w:lineRule="auto"/>
              <w:rPr>
                <w:rFonts w:ascii="Times New Roman" w:eastAsia="Aptos" w:hAnsi="Times New Roman" w:cs="Times New Roman"/>
                <w:noProof/>
                <w:kern w:val="2"/>
                <w:sz w:val="20"/>
                <w:szCs w:val="20"/>
                <w:lang w:val="en-GB" w:eastAsia="en-US"/>
                <w14:ligatures w14:val="standardContextual"/>
              </w:rPr>
            </w:pPr>
          </w:p>
        </w:tc>
        <w:tc>
          <w:tcPr>
            <w:tcW w:w="1320" w:type="dxa"/>
            <w:vMerge/>
            <w:tcMar>
              <w:left w:w="57" w:type="dxa"/>
              <w:right w:w="57" w:type="dxa"/>
            </w:tcMar>
            <w:vAlign w:val="center"/>
          </w:tcPr>
          <w:p w14:paraId="6F6E1E47" w14:textId="77777777" w:rsidR="00F54DA9" w:rsidRPr="001B1E82" w:rsidRDefault="00F54DA9" w:rsidP="00F54DA9">
            <w:pPr>
              <w:spacing w:line="259" w:lineRule="auto"/>
              <w:rPr>
                <w:rFonts w:ascii="Times New Roman" w:eastAsia="Aptos" w:hAnsi="Times New Roman" w:cs="Times New Roman"/>
                <w:noProof/>
                <w:kern w:val="2"/>
                <w:sz w:val="20"/>
                <w:szCs w:val="20"/>
                <w:lang w:val="en-GB" w:eastAsia="en-US"/>
                <w14:ligatures w14:val="standardContextual"/>
              </w:rPr>
            </w:pPr>
          </w:p>
        </w:tc>
        <w:tc>
          <w:tcPr>
            <w:tcW w:w="1590" w:type="dxa"/>
            <w:vMerge/>
            <w:tcMar>
              <w:left w:w="57" w:type="dxa"/>
              <w:right w:w="57" w:type="dxa"/>
            </w:tcMar>
            <w:vAlign w:val="center"/>
          </w:tcPr>
          <w:p w14:paraId="6E8C6D25" w14:textId="77777777" w:rsidR="00F54DA9" w:rsidRPr="001B1E82" w:rsidRDefault="00F54DA9" w:rsidP="00F54DA9">
            <w:pPr>
              <w:spacing w:line="259" w:lineRule="auto"/>
              <w:rPr>
                <w:rFonts w:ascii="Times New Roman" w:eastAsia="Aptos" w:hAnsi="Times New Roman" w:cs="Times New Roman"/>
                <w:noProof/>
                <w:kern w:val="2"/>
                <w:sz w:val="20"/>
                <w:szCs w:val="20"/>
                <w:lang w:val="en-GB" w:eastAsia="en-US"/>
                <w14:ligatures w14:val="standardContextual"/>
              </w:rPr>
            </w:pPr>
          </w:p>
        </w:tc>
        <w:tc>
          <w:tcPr>
            <w:tcW w:w="1290" w:type="dxa"/>
            <w:vMerge/>
            <w:tcMar>
              <w:left w:w="57" w:type="dxa"/>
              <w:right w:w="57" w:type="dxa"/>
            </w:tcMar>
            <w:vAlign w:val="center"/>
          </w:tcPr>
          <w:p w14:paraId="1C441F40" w14:textId="77777777" w:rsidR="00F54DA9" w:rsidRPr="001B1E82" w:rsidRDefault="00F54DA9" w:rsidP="00F54DA9">
            <w:pPr>
              <w:spacing w:line="259" w:lineRule="auto"/>
              <w:rPr>
                <w:rFonts w:ascii="Times New Roman" w:eastAsia="Aptos" w:hAnsi="Times New Roman" w:cs="Times New Roman"/>
                <w:noProof/>
                <w:kern w:val="2"/>
                <w:sz w:val="20"/>
                <w:szCs w:val="20"/>
                <w:lang w:val="en-GB" w:eastAsia="en-US"/>
                <w14:ligatures w14:val="standardContextual"/>
              </w:rPr>
            </w:pPr>
          </w:p>
        </w:tc>
        <w:tc>
          <w:tcPr>
            <w:tcW w:w="1200" w:type="dxa"/>
            <w:shd w:val="clear" w:color="auto" w:fill="C5D9F0"/>
            <w:tcMar>
              <w:left w:w="57" w:type="dxa"/>
              <w:right w:w="57" w:type="dxa"/>
            </w:tcMar>
            <w:vAlign w:val="center"/>
          </w:tcPr>
          <w:p w14:paraId="7C6FA8FF" w14:textId="41D02C2B" w:rsidR="00F54DA9" w:rsidRPr="001B1E82" w:rsidRDefault="00F54DA9" w:rsidP="001B1E82">
            <w:pPr>
              <w:spacing w:before="142" w:after="0" w:line="223"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Unit</w:t>
            </w:r>
            <w:r w:rsidR="001B1E82">
              <w:rPr>
                <w:rFonts w:ascii="Times New Roman" w:eastAsia="Aptos" w:hAnsi="Times New Roman" w:cs="Times New Roman"/>
                <w:b/>
                <w:noProof/>
                <w:kern w:val="2"/>
                <w:sz w:val="20"/>
                <w:szCs w:val="20"/>
                <w:lang w:val="en-GB" w:eastAsia="en-US"/>
                <w14:ligatures w14:val="standardContextual"/>
              </w:rPr>
              <w:t xml:space="preserve"> of measure</w:t>
            </w:r>
          </w:p>
        </w:tc>
        <w:tc>
          <w:tcPr>
            <w:tcW w:w="960" w:type="dxa"/>
            <w:shd w:val="clear" w:color="auto" w:fill="C5D9F0"/>
            <w:tcMar>
              <w:left w:w="57" w:type="dxa"/>
              <w:right w:w="57" w:type="dxa"/>
            </w:tcMar>
            <w:vAlign w:val="center"/>
          </w:tcPr>
          <w:p w14:paraId="62B33B2A" w14:textId="77777777" w:rsidR="00F54DA9" w:rsidRPr="001B1E82" w:rsidRDefault="00F54DA9" w:rsidP="001B1E82">
            <w:pPr>
              <w:spacing w:before="142" w:after="0" w:line="223"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Baseline</w:t>
            </w:r>
          </w:p>
        </w:tc>
        <w:tc>
          <w:tcPr>
            <w:tcW w:w="960" w:type="dxa"/>
            <w:shd w:val="clear" w:color="auto" w:fill="C5D9F0"/>
            <w:tcMar>
              <w:left w:w="57" w:type="dxa"/>
              <w:right w:w="57" w:type="dxa"/>
            </w:tcMar>
            <w:vAlign w:val="center"/>
          </w:tcPr>
          <w:p w14:paraId="10F1B644" w14:textId="561E872A" w:rsidR="00F54DA9" w:rsidRPr="001B1E82" w:rsidRDefault="00F54DA9" w:rsidP="001B1E82">
            <w:pPr>
              <w:spacing w:before="142" w:after="0" w:line="223"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Goal</w:t>
            </w:r>
          </w:p>
        </w:tc>
        <w:tc>
          <w:tcPr>
            <w:tcW w:w="977" w:type="dxa"/>
            <w:shd w:val="clear" w:color="auto" w:fill="C5D9F0"/>
            <w:tcMar>
              <w:left w:w="57" w:type="dxa"/>
              <w:right w:w="57" w:type="dxa"/>
            </w:tcMar>
            <w:vAlign w:val="center"/>
          </w:tcPr>
          <w:p w14:paraId="66EBE7A5" w14:textId="77777777" w:rsidR="00F54DA9" w:rsidRPr="001B1E82" w:rsidRDefault="00F54DA9" w:rsidP="001B1E82">
            <w:pPr>
              <w:spacing w:before="142" w:after="0" w:line="223" w:lineRule="auto"/>
              <w:jc w:val="center"/>
              <w:rPr>
                <w:rFonts w:ascii="Times New Roman" w:eastAsia="Aptos" w:hAnsi="Times New Roman" w:cs="Times New Roman"/>
                <w:b/>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Quarter</w:t>
            </w:r>
          </w:p>
        </w:tc>
        <w:tc>
          <w:tcPr>
            <w:tcW w:w="567" w:type="dxa"/>
            <w:shd w:val="clear" w:color="auto" w:fill="C5D9F0"/>
            <w:tcMar>
              <w:left w:w="57" w:type="dxa"/>
              <w:right w:w="57" w:type="dxa"/>
            </w:tcMar>
            <w:vAlign w:val="center"/>
          </w:tcPr>
          <w:p w14:paraId="5E43E65E" w14:textId="77777777" w:rsidR="00F54DA9" w:rsidRPr="001B1E82" w:rsidRDefault="00F54DA9" w:rsidP="001B1E82">
            <w:pPr>
              <w:spacing w:before="142" w:after="0" w:line="223" w:lineRule="auto"/>
              <w:jc w:val="center"/>
              <w:rPr>
                <w:rFonts w:ascii="Times New Roman" w:eastAsia="Aptos" w:hAnsi="Times New Roman" w:cs="Times New Roman"/>
                <w:b/>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Year</w:t>
            </w:r>
          </w:p>
        </w:tc>
        <w:tc>
          <w:tcPr>
            <w:tcW w:w="2942" w:type="dxa"/>
            <w:vMerge/>
            <w:tcMar>
              <w:left w:w="57" w:type="dxa"/>
              <w:right w:w="57" w:type="dxa"/>
            </w:tcMar>
            <w:vAlign w:val="center"/>
          </w:tcPr>
          <w:p w14:paraId="6DE9997C" w14:textId="77777777" w:rsidR="00F54DA9" w:rsidRPr="001B1E82" w:rsidRDefault="00F54DA9" w:rsidP="00F54DA9">
            <w:pPr>
              <w:spacing w:line="259" w:lineRule="auto"/>
              <w:rPr>
                <w:rFonts w:ascii="Times New Roman" w:eastAsia="Aptos" w:hAnsi="Times New Roman" w:cs="Times New Roman"/>
                <w:noProof/>
                <w:kern w:val="2"/>
                <w:sz w:val="20"/>
                <w:szCs w:val="20"/>
                <w:lang w:val="en-GB" w:eastAsia="en-US"/>
                <w14:ligatures w14:val="standardContextual"/>
              </w:rPr>
            </w:pPr>
          </w:p>
        </w:tc>
      </w:tr>
      <w:tr w:rsidR="00F54DA9" w:rsidRPr="001B1E82" w14:paraId="0B62A4F3"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F5387B1"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508</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2895065" w14:textId="77777777" w:rsidR="00F54DA9" w:rsidRPr="001B1E82" w:rsidRDefault="00F54DA9" w:rsidP="00F54DA9">
            <w:pPr>
              <w:spacing w:after="0" w:line="245"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Reform 1. Creating a legal framework for the use of state land as acceleration areas for RES investments</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8DDE3EC"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Milestone</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37D952C"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Equipment for State Domains Agency (ADS)</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3D09AEA"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Equipment delivered</w:t>
            </w: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4D3EC5C"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11F47E1"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815875C"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CF6C1BE"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Q2</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1737063"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2026</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4AB620D"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 xml:space="preserve">Delivery certificates for the following equipment have been issued: </w:t>
            </w:r>
          </w:p>
          <w:p w14:paraId="2DDD6FA1"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1. at least two servers supporting the new performing digital system and four laptops equipped with softwares (for example, Self-CAD, TopoLT, DIGI I Terra);</w:t>
            </w:r>
          </w:p>
          <w:p w14:paraId="23104457"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2. at least four drones with RTK transmission stations;</w:t>
            </w:r>
          </w:p>
          <w:p w14:paraId="421A70B5"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3. at least four zero-emission off-road vehicles.</w:t>
            </w:r>
          </w:p>
        </w:tc>
      </w:tr>
      <w:tr w:rsidR="00F54DA9" w:rsidRPr="001B1E82" w14:paraId="44A1B305"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25EC5E8"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509</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8DB47FF" w14:textId="77777777" w:rsidR="00F54DA9" w:rsidRPr="001B1E82" w:rsidRDefault="00F54DA9" w:rsidP="00F54DA9">
            <w:pPr>
              <w:spacing w:after="0" w:line="245"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Reform 1. Creating a legal framework for the use of state land as acceleration areas for RES investments</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F65DEFF"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Milestone</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228C2EA"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Entry into force of legal act(s)</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0CA6286"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Provision on entry into force</w:t>
            </w: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F328E83"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1921DA5"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D88058D"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 xml:space="preserve"> </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649DE6B"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Q2</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AE693CE"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2026</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AC0ECB9" w14:textId="5305A94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The amendments to legal and regulatory acts, shall enter into force and introduce a framework for the use of state land</w:t>
            </w:r>
            <w:r w:rsidRPr="001B1E82">
              <w:rPr>
                <w:rFonts w:ascii="Times New Roman" w:eastAsia="Aptos" w:hAnsi="Times New Roman" w:cs="Times New Roman"/>
                <w:noProof/>
                <w:kern w:val="2"/>
                <w:sz w:val="20"/>
                <w:szCs w:val="20"/>
                <w:lang w:val="en-IE" w:eastAsia="en-US"/>
                <w14:ligatures w14:val="standardContextual"/>
              </w:rPr>
              <w:t xml:space="preserve"> </w:t>
            </w:r>
            <w:r w:rsidRPr="001B1E82">
              <w:rPr>
                <w:rFonts w:ascii="Times New Roman" w:eastAsia="Aptos" w:hAnsi="Times New Roman" w:cs="Times New Roman"/>
                <w:noProof/>
                <w:kern w:val="2"/>
                <w:sz w:val="20"/>
                <w:szCs w:val="20"/>
                <w:lang w:val="en-GB" w:eastAsia="en-US"/>
                <w14:ligatures w14:val="standardContextual"/>
              </w:rPr>
              <w:t>under the administration of State Domains Agency (ADS) as acceleration areas for renewable energy sources (RES) investments.</w:t>
            </w:r>
            <w:r w:rsidR="006467B8">
              <w:rPr>
                <w:rFonts w:ascii="Times New Roman" w:eastAsia="Aptos" w:hAnsi="Times New Roman" w:cs="Times New Roman"/>
                <w:noProof/>
                <w:kern w:val="2"/>
                <w:sz w:val="20"/>
                <w:szCs w:val="20"/>
                <w:lang w:val="en-GB" w:eastAsia="en-US"/>
                <w14:ligatures w14:val="standardContextual"/>
              </w:rPr>
              <w:t xml:space="preserve"> </w:t>
            </w:r>
            <w:r w:rsidRPr="001B1E82">
              <w:rPr>
                <w:rFonts w:ascii="Times New Roman" w:eastAsia="Aptos" w:hAnsi="Times New Roman" w:cs="Times New Roman"/>
                <w:noProof/>
                <w:kern w:val="2"/>
                <w:sz w:val="20"/>
                <w:szCs w:val="20"/>
                <w:lang w:val="en-GB" w:eastAsia="en-US"/>
                <w14:ligatures w14:val="standardContextual"/>
              </w:rPr>
              <w:t>The legal framework</w:t>
            </w:r>
            <w:r w:rsidR="00D23D91" w:rsidRPr="001B1E82">
              <w:rPr>
                <w:rFonts w:ascii="Times New Roman" w:eastAsia="Aptos" w:hAnsi="Times New Roman" w:cs="Times New Roman"/>
                <w:noProof/>
                <w:kern w:val="2"/>
                <w:sz w:val="20"/>
                <w:szCs w:val="20"/>
                <w:lang w:val="en-GB" w:eastAsia="en-US"/>
                <w14:ligatures w14:val="standardContextual"/>
              </w:rPr>
              <w:t xml:space="preserve"> </w:t>
            </w:r>
            <w:r w:rsidRPr="001B1E82">
              <w:rPr>
                <w:rFonts w:ascii="Times New Roman" w:eastAsia="Aptos" w:hAnsi="Times New Roman" w:cs="Times New Roman"/>
                <w:noProof/>
                <w:kern w:val="2"/>
                <w:sz w:val="20"/>
                <w:szCs w:val="20"/>
                <w:lang w:val="en-GB" w:eastAsia="en-US"/>
                <w14:ligatures w14:val="standardContextual"/>
              </w:rPr>
              <w:t>shall include provisions on :</w:t>
            </w:r>
          </w:p>
          <w:p w14:paraId="66465976" w14:textId="77777777" w:rsidR="00F54DA9" w:rsidRPr="001B1E82" w:rsidRDefault="00F54DA9" w:rsidP="00F54DA9">
            <w:pPr>
              <w:numPr>
                <w:ilvl w:val="0"/>
                <w:numId w:val="108"/>
              </w:numPr>
              <w:spacing w:after="0" w:line="259" w:lineRule="auto"/>
              <w:contextualSpacing/>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designation of renewable acceleration areas on degraded land;</w:t>
            </w:r>
          </w:p>
          <w:p w14:paraId="33E2DF0E" w14:textId="77777777" w:rsidR="00F54DA9" w:rsidRPr="001B1E82" w:rsidRDefault="00F54DA9" w:rsidP="00F54DA9">
            <w:pPr>
              <w:numPr>
                <w:ilvl w:val="0"/>
                <w:numId w:val="108"/>
              </w:numPr>
              <w:spacing w:after="0" w:line="259" w:lineRule="auto"/>
              <w:contextualSpacing/>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permitting processes authorized within six months;</w:t>
            </w:r>
          </w:p>
          <w:p w14:paraId="2193F81A" w14:textId="77777777" w:rsidR="00F54DA9" w:rsidRPr="001B1E82" w:rsidRDefault="00F54DA9" w:rsidP="00F54DA9">
            <w:pPr>
              <w:numPr>
                <w:ilvl w:val="0"/>
                <w:numId w:val="108"/>
              </w:numPr>
              <w:spacing w:after="0" w:line="259" w:lineRule="auto"/>
              <w:contextualSpacing/>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digitalisation of the permitting (one stop shop).</w:t>
            </w:r>
          </w:p>
        </w:tc>
      </w:tr>
      <w:tr w:rsidR="00F54DA9" w:rsidRPr="001B1E82" w14:paraId="6ACFA1BE"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A5D9BCA"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510</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42E471C" w14:textId="77777777" w:rsidR="00F54DA9" w:rsidRPr="001B1E82" w:rsidRDefault="00F54DA9" w:rsidP="00F54DA9">
            <w:pPr>
              <w:spacing w:after="0" w:line="245"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Reform 1. Creating a legal framework for the use of state land as acceleration areas for RES investments</w:t>
            </w:r>
          </w:p>
          <w:p w14:paraId="3E6AD5E3" w14:textId="77777777" w:rsidR="00F54DA9" w:rsidRPr="001B1E82" w:rsidRDefault="00F54DA9" w:rsidP="00F54DA9">
            <w:pPr>
              <w:spacing w:after="0" w:line="245" w:lineRule="auto"/>
              <w:ind w:firstLine="4"/>
              <w:jc w:val="both"/>
              <w:rPr>
                <w:rFonts w:ascii="Times New Roman" w:eastAsia="Aptos" w:hAnsi="Times New Roman" w:cs="Times New Roman"/>
                <w:noProof/>
                <w:kern w:val="2"/>
                <w:sz w:val="20"/>
                <w:szCs w:val="20"/>
                <w:lang w:val="en-GB" w:eastAsia="en-US"/>
                <w14:ligatures w14:val="standardContextual"/>
              </w:rPr>
            </w:pP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39C41B4"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Milestone</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C9160DF" w14:textId="77777777" w:rsidR="00F54DA9" w:rsidRPr="001B1E82" w:rsidRDefault="00F54DA9" w:rsidP="00F54DA9">
            <w:pPr>
              <w:spacing w:after="0" w:line="254" w:lineRule="auto"/>
              <w:jc w:val="both"/>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Setting-up of a single national register for the state-owned land</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03E139E"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Single national register set up and in service</w:t>
            </w: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8836E9C" w14:textId="77777777" w:rsidR="00F54DA9" w:rsidRPr="001B1E82" w:rsidRDefault="00F54DA9" w:rsidP="00F54DA9">
            <w:pPr>
              <w:spacing w:after="0" w:line="259" w:lineRule="auto"/>
              <w:jc w:val="both"/>
              <w:rPr>
                <w:rFonts w:ascii="Times New Roman" w:eastAsia="Times New Roman" w:hAnsi="Times New Roman" w:cs="Times New Roman"/>
                <w:noProof/>
                <w:kern w:val="2"/>
                <w:sz w:val="20"/>
                <w:szCs w:val="20"/>
                <w:lang w:val="en-GB" w:eastAsia="en-US"/>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5374B2F" w14:textId="77777777" w:rsidR="00F54DA9" w:rsidRPr="001B1E82" w:rsidRDefault="00F54DA9" w:rsidP="00F54DA9">
            <w:pPr>
              <w:spacing w:after="0" w:line="259" w:lineRule="auto"/>
              <w:ind w:left="360"/>
              <w:contextualSpacing/>
              <w:jc w:val="both"/>
              <w:rPr>
                <w:rFonts w:ascii="Times New Roman" w:eastAsia="Times New Roman" w:hAnsi="Times New Roman" w:cs="Times New Roman"/>
                <w:noProof/>
                <w:kern w:val="2"/>
                <w:sz w:val="20"/>
                <w:szCs w:val="20"/>
                <w:lang w:val="en-GB" w:eastAsia="en-US"/>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54C3538" w14:textId="77777777" w:rsidR="00F54DA9" w:rsidRPr="001B1E82" w:rsidRDefault="00F54DA9" w:rsidP="00F54DA9">
            <w:pPr>
              <w:spacing w:after="0" w:line="259" w:lineRule="auto"/>
              <w:jc w:val="both"/>
              <w:rPr>
                <w:rFonts w:ascii="Times New Roman" w:eastAsia="Times New Roman" w:hAnsi="Times New Roman" w:cs="Times New Roman"/>
                <w:noProof/>
                <w:kern w:val="2"/>
                <w:sz w:val="20"/>
                <w:szCs w:val="20"/>
                <w:lang w:val="en-GB" w:eastAsia="en-US"/>
                <w14:ligatures w14:val="standardContextual"/>
              </w:rPr>
            </w:pP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7A29BCF" w14:textId="77777777" w:rsidR="00F54DA9" w:rsidRPr="001B1E82" w:rsidRDefault="00F54DA9" w:rsidP="00F54DA9">
            <w:pPr>
              <w:spacing w:after="0" w:line="259" w:lineRule="auto"/>
              <w:jc w:val="both"/>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Q1</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4400E6C" w14:textId="77777777" w:rsidR="00F54DA9" w:rsidRPr="001B1E82" w:rsidRDefault="00F54DA9" w:rsidP="00F54DA9">
            <w:pPr>
              <w:spacing w:after="0" w:line="259" w:lineRule="auto"/>
              <w:jc w:val="both"/>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2026</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875FDE2" w14:textId="77777777" w:rsidR="00F54DA9" w:rsidRPr="001B1E82" w:rsidRDefault="00F54DA9" w:rsidP="00F54DA9">
            <w:pPr>
              <w:spacing w:after="0" w:line="252"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 xml:space="preserve">The </w:t>
            </w:r>
            <w:r w:rsidRPr="001B1E82">
              <w:rPr>
                <w:rFonts w:ascii="Times New Roman" w:eastAsia="Aptos" w:hAnsi="Times New Roman" w:cs="Times New Roman"/>
                <w:noProof/>
                <w:kern w:val="2"/>
                <w:sz w:val="20"/>
                <w:szCs w:val="20"/>
                <w:lang w:val="en-IE" w:eastAsia="en-US"/>
                <w14:ligatures w14:val="standardContextual"/>
              </w:rPr>
              <w:t>fulfilment </w:t>
            </w:r>
            <w:r w:rsidRPr="001B1E82">
              <w:rPr>
                <w:rFonts w:ascii="Times New Roman" w:eastAsia="Aptos" w:hAnsi="Times New Roman" w:cs="Times New Roman"/>
                <w:noProof/>
                <w:kern w:val="2"/>
                <w:sz w:val="20"/>
                <w:szCs w:val="20"/>
                <w:lang w:val="en-GB" w:eastAsia="en-US"/>
                <w14:ligatures w14:val="standardContextual"/>
              </w:rPr>
              <w:t>of the milestone shall require :</w:t>
            </w:r>
          </w:p>
          <w:p w14:paraId="519986DD" w14:textId="6EEFA7FD" w:rsidR="00F54DA9" w:rsidRPr="001B1E82" w:rsidRDefault="00F54DA9" w:rsidP="00F54DA9">
            <w:pPr>
              <w:numPr>
                <w:ilvl w:val="0"/>
                <w:numId w:val="109"/>
              </w:numPr>
              <w:spacing w:after="0" w:line="252" w:lineRule="auto"/>
              <w:contextualSpacing/>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 xml:space="preserve">A single national register for the state-owned land set up and in service; </w:t>
            </w:r>
          </w:p>
          <w:p w14:paraId="09D7BC3B" w14:textId="77777777" w:rsidR="00F54DA9" w:rsidRPr="001B1E82" w:rsidRDefault="00F54DA9" w:rsidP="00F54DA9">
            <w:pPr>
              <w:numPr>
                <w:ilvl w:val="0"/>
                <w:numId w:val="109"/>
              </w:numPr>
              <w:spacing w:after="0" w:line="252" w:lineRule="auto"/>
              <w:contextualSpacing/>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Pedological studies conducted for 84 000 hectares of land managed by ADS;</w:t>
            </w:r>
          </w:p>
          <w:p w14:paraId="345CE526" w14:textId="761C5648" w:rsidR="00F54DA9" w:rsidRPr="001B1E82" w:rsidRDefault="00F54DA9" w:rsidP="00F54DA9">
            <w:pPr>
              <w:numPr>
                <w:ilvl w:val="0"/>
                <w:numId w:val="109"/>
              </w:numPr>
              <w:spacing w:after="0" w:line="252" w:lineRule="auto"/>
              <w:contextualSpacing/>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Designation of 32</w:t>
            </w:r>
            <w:r w:rsidR="006818E7">
              <w:rPr>
                <w:rFonts w:ascii="Times New Roman" w:eastAsia="Aptos" w:hAnsi="Times New Roman" w:cs="Times New Roman"/>
                <w:noProof/>
                <w:kern w:val="2"/>
                <w:sz w:val="20"/>
                <w:szCs w:val="20"/>
                <w:lang w:val="en-GB" w:eastAsia="en-US"/>
                <w14:ligatures w14:val="standardContextual"/>
              </w:rPr>
              <w:t xml:space="preserve"> </w:t>
            </w:r>
            <w:r w:rsidRPr="001B1E82">
              <w:rPr>
                <w:rFonts w:ascii="Times New Roman" w:eastAsia="Aptos" w:hAnsi="Times New Roman" w:cs="Times New Roman"/>
                <w:noProof/>
                <w:kern w:val="2"/>
                <w:sz w:val="20"/>
                <w:szCs w:val="20"/>
                <w:lang w:val="en-GB" w:eastAsia="en-US"/>
                <w14:ligatures w14:val="standardContextual"/>
              </w:rPr>
              <w:t>000 hectares of land managed by ADS</w:t>
            </w:r>
            <w:r w:rsidR="00D23D91" w:rsidRPr="001B1E82">
              <w:rPr>
                <w:rFonts w:ascii="Times New Roman" w:eastAsia="Aptos" w:hAnsi="Times New Roman" w:cs="Times New Roman"/>
                <w:noProof/>
                <w:kern w:val="2"/>
                <w:sz w:val="20"/>
                <w:szCs w:val="20"/>
                <w:lang w:val="en-GB" w:eastAsia="en-US"/>
                <w14:ligatures w14:val="standardContextual"/>
              </w:rPr>
              <w:t xml:space="preserve"> </w:t>
            </w:r>
            <w:r w:rsidRPr="001B1E82">
              <w:rPr>
                <w:rFonts w:ascii="Times New Roman" w:eastAsia="Aptos" w:hAnsi="Times New Roman" w:cs="Times New Roman"/>
                <w:noProof/>
                <w:kern w:val="2"/>
                <w:sz w:val="20"/>
                <w:szCs w:val="20"/>
                <w:lang w:val="en-GB" w:eastAsia="en-US"/>
                <w14:ligatures w14:val="standardContextual"/>
              </w:rPr>
              <w:t xml:space="preserve">as acceleration areas for RES. </w:t>
            </w:r>
          </w:p>
        </w:tc>
      </w:tr>
      <w:tr w:rsidR="00F54DA9" w:rsidRPr="001B1E82" w14:paraId="186A901E"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A7CE60B"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516</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491FCC0" w14:textId="77777777" w:rsidR="00F54DA9" w:rsidRPr="001B1E82" w:rsidRDefault="00F54DA9" w:rsidP="00F54DA9">
            <w:pPr>
              <w:spacing w:after="0" w:line="245" w:lineRule="auto"/>
              <w:ind w:firstLine="4"/>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Investment 4. Grant Vouchers to accelerate the rollout of renewable energy by households</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F9A39E6" w14:textId="77777777" w:rsidR="00F54DA9" w:rsidRPr="001B1E82" w:rsidRDefault="00F54DA9" w:rsidP="00F54DA9">
            <w:pPr>
              <w:spacing w:after="0" w:line="254" w:lineRule="auto"/>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Target</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AAC18D3"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Installation of solar panels and electricity storage systems by households</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741428C" w14:textId="77777777" w:rsidR="00F54DA9" w:rsidRPr="001B1E82" w:rsidRDefault="00F54DA9" w:rsidP="00F54DA9">
            <w:pPr>
              <w:spacing w:before="138" w:after="0" w:line="254" w:lineRule="auto"/>
              <w:jc w:val="both"/>
              <w:rPr>
                <w:rFonts w:ascii="Times New Roman" w:eastAsia="Aptos" w:hAnsi="Times New Roman" w:cs="Times New Roman"/>
                <w:noProof/>
                <w:kern w:val="2"/>
                <w:sz w:val="20"/>
                <w:szCs w:val="20"/>
                <w:lang w:val="en-GB" w:eastAsia="en-US"/>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DA2E447"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Number of vouchers</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D1C5573"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0</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3071EEE" w14:textId="7CE46091" w:rsidR="00F54DA9" w:rsidRPr="001B1E82" w:rsidRDefault="00F54DA9" w:rsidP="00F54DA9">
            <w:pPr>
              <w:spacing w:after="0" w:line="257"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122</w:t>
            </w:r>
            <w:r w:rsidR="001B1E82">
              <w:rPr>
                <w:rFonts w:ascii="Times New Roman" w:eastAsia="Aptos" w:hAnsi="Times New Roman" w:cs="Times New Roman"/>
                <w:noProof/>
                <w:kern w:val="2"/>
                <w:sz w:val="20"/>
                <w:szCs w:val="20"/>
                <w:lang w:val="en-GB" w:eastAsia="en-US"/>
                <w14:ligatures w14:val="standardContextual"/>
              </w:rPr>
              <w:t> </w:t>
            </w:r>
            <w:r w:rsidRPr="001B1E82">
              <w:rPr>
                <w:rFonts w:ascii="Times New Roman" w:eastAsia="Aptos" w:hAnsi="Times New Roman" w:cs="Times New Roman"/>
                <w:noProof/>
                <w:kern w:val="2"/>
                <w:sz w:val="20"/>
                <w:szCs w:val="20"/>
                <w:lang w:val="en-GB" w:eastAsia="en-US"/>
                <w14:ligatures w14:val="standardContextual"/>
              </w:rPr>
              <w:t>000</w:t>
            </w:r>
          </w:p>
          <w:p w14:paraId="033A5792"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lang w:val="en-GB" w:eastAsia="en-US"/>
                <w14:ligatures w14:val="standardContextual"/>
              </w:rPr>
            </w:pP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03E3DF9"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Q2</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EDC73AB" w14:textId="77777777" w:rsidR="00F54DA9" w:rsidRPr="001B1E82" w:rsidRDefault="00F54DA9" w:rsidP="00F54DA9">
            <w:pPr>
              <w:spacing w:after="0" w:line="259" w:lineRule="auto"/>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2026</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A4E3B6B" w14:textId="77777777" w:rsidR="00F54DA9" w:rsidRPr="001B1E82" w:rsidRDefault="00F54DA9" w:rsidP="00F54DA9">
            <w:pPr>
              <w:spacing w:after="0" w:line="252"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IE" w:eastAsia="en-US"/>
                <w14:ligatures w14:val="standardContextual"/>
              </w:rPr>
              <w:t>Disbursement of vouchers shall be evidenced per household by acceptance certificates confirming the installation of solar panels (with a net capacity of at least 3 kW) or electricity storage systems (with a usable capacity of at least 5 kWh). Standalone electricity storage systems shall be eligible for support only where the homeowner already owns a solar PV system with a net capacity of at least 3 kW</w:t>
            </w:r>
            <w:r w:rsidRPr="001B1E82">
              <w:rPr>
                <w:rFonts w:ascii="Times New Roman" w:eastAsia="Aptos" w:hAnsi="Times New Roman" w:cs="Times New Roman"/>
                <w:noProof/>
                <w:kern w:val="2"/>
                <w:sz w:val="20"/>
                <w:szCs w:val="20"/>
                <w:lang w:val="en-GB" w:eastAsia="en-US"/>
                <w14:ligatures w14:val="standardContextual"/>
              </w:rPr>
              <w:t>.</w:t>
            </w:r>
          </w:p>
          <w:p w14:paraId="764A389B" w14:textId="77777777" w:rsidR="00F54DA9" w:rsidRPr="001B1E82" w:rsidRDefault="00F54DA9" w:rsidP="00F54DA9">
            <w:pPr>
              <w:spacing w:after="0" w:line="252" w:lineRule="auto"/>
              <w:jc w:val="both"/>
              <w:rPr>
                <w:rFonts w:ascii="Times New Roman" w:eastAsia="Aptos" w:hAnsi="Times New Roman" w:cs="Times New Roman"/>
                <w:noProof/>
                <w:kern w:val="2"/>
                <w:sz w:val="20"/>
                <w:szCs w:val="20"/>
                <w:lang w:val="en-GB" w:eastAsia="en-US"/>
                <w14:ligatures w14:val="standardContextual"/>
              </w:rPr>
            </w:pPr>
          </w:p>
        </w:tc>
      </w:tr>
      <w:tr w:rsidR="00F54DA9" w:rsidRPr="001B1E82" w14:paraId="0E13832C"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B27817A"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523</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59EF019" w14:textId="77777777" w:rsidR="00F54DA9" w:rsidRPr="001B1E82" w:rsidRDefault="00F54DA9" w:rsidP="00F54DA9">
            <w:pPr>
              <w:spacing w:after="0" w:line="245" w:lineRule="auto"/>
              <w:ind w:firstLine="4"/>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 xml:space="preserve">Reform 2. Set-up of one-stop-shops (OSS) to provide energy advisory services </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D6DD38F" w14:textId="77777777" w:rsidR="00F54DA9" w:rsidRPr="001B1E82" w:rsidRDefault="00F54DA9" w:rsidP="00F54DA9">
            <w:pPr>
              <w:spacing w:after="0" w:line="254" w:lineRule="auto"/>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Milestone</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95A050A"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Entry into force of legal and regulatory acts for the establishment of OSS offices to provide energy advisory services</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D8046A6"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Provision on entry into force</w:t>
            </w: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D230515"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lang w:val="en-GB" w:eastAsia="en-US"/>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vAlign w:val="center"/>
          </w:tcPr>
          <w:p w14:paraId="1386A1A4"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lang w:val="en-GB" w:eastAsia="en-US"/>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EF3CE18"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lang w:val="en-GB" w:eastAsia="en-US"/>
                <w14:ligatures w14:val="standardContextual"/>
              </w:rPr>
            </w:pP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A364D6D"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Q1</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0453F36" w14:textId="77777777" w:rsidR="00F54DA9" w:rsidRPr="001B1E82" w:rsidRDefault="00F54DA9" w:rsidP="00F54DA9">
            <w:pPr>
              <w:spacing w:after="0" w:line="259" w:lineRule="auto"/>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2024</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B96FB0C" w14:textId="77777777" w:rsidR="00F54DA9" w:rsidRPr="001B1E82" w:rsidRDefault="00F54DA9" w:rsidP="00F54DA9">
            <w:pPr>
              <w:spacing w:after="0" w:line="252"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Entry into force of legal and regulatory acts providing the framework for the establishment of physical OSS offices, tasked with providing energy advisory services to homeowners.</w:t>
            </w:r>
          </w:p>
          <w:p w14:paraId="5A29BBB9" w14:textId="77777777" w:rsidR="00F54DA9" w:rsidRPr="001B1E82" w:rsidRDefault="00F54DA9" w:rsidP="00F54DA9">
            <w:pPr>
              <w:spacing w:before="138" w:after="0" w:line="252"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The framework established by the legal acts shall contain provisions specifying the tasks, governance and financing structure of the OSS offices.</w:t>
            </w:r>
          </w:p>
        </w:tc>
      </w:tr>
      <w:tr w:rsidR="00F54DA9" w:rsidRPr="001B1E82" w14:paraId="2347E8CC"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D9BF618"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Times New Roman" w:hAnsi="Times New Roman" w:cs="Times New Roman"/>
                <w:noProof/>
                <w:kern w:val="2"/>
                <w:sz w:val="20"/>
                <w:szCs w:val="20"/>
                <w:lang w:val="en-GB" w:eastAsia="en-US"/>
                <w14:ligatures w14:val="standardContextual"/>
              </w:rPr>
              <w:t>524</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33CB8A9" w14:textId="77777777" w:rsidR="00F54DA9" w:rsidRPr="001B1E82" w:rsidRDefault="00F54DA9" w:rsidP="00F54DA9">
            <w:pPr>
              <w:spacing w:after="0" w:line="245" w:lineRule="auto"/>
              <w:ind w:firstLine="4"/>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 xml:space="preserve">Reform 2. Set-up of one-stop-shops (OSS) to provide energy advisory services </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B84D8E0" w14:textId="77777777" w:rsidR="00F54DA9" w:rsidRPr="001B1E82" w:rsidRDefault="00F54DA9" w:rsidP="00F54DA9">
            <w:pPr>
              <w:spacing w:after="0" w:line="254" w:lineRule="auto"/>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Target</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280ED08"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Training of OSS staff</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7122CB6"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F4A3608"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Number</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D07AAAC"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0</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A2B5330"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84</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B2335F2"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Q1</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0D97922" w14:textId="77777777" w:rsidR="00F54DA9" w:rsidRPr="001B1E82" w:rsidRDefault="00F54DA9" w:rsidP="00F54DA9">
            <w:pPr>
              <w:spacing w:after="0" w:line="259" w:lineRule="auto"/>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2024</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208B657" w14:textId="2193BF6A" w:rsidR="00F54DA9" w:rsidRPr="001B1E82" w:rsidRDefault="00F54DA9" w:rsidP="00F54DA9">
            <w:pPr>
              <w:spacing w:after="0" w:line="252"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Certificates of completion of training for</w:t>
            </w:r>
            <w:r w:rsidR="00D23D91" w:rsidRPr="001B1E82">
              <w:rPr>
                <w:rFonts w:ascii="Times New Roman" w:eastAsia="Aptos" w:hAnsi="Times New Roman" w:cs="Times New Roman"/>
                <w:noProof/>
                <w:kern w:val="2"/>
                <w:sz w:val="20"/>
                <w:szCs w:val="20"/>
                <w:lang w:val="en-GB" w:eastAsia="en-US"/>
                <w14:ligatures w14:val="standardContextual"/>
              </w:rPr>
              <w:t xml:space="preserve"> </w:t>
            </w:r>
            <w:r w:rsidRPr="001B1E82">
              <w:rPr>
                <w:rFonts w:ascii="Times New Roman" w:eastAsia="Aptos" w:hAnsi="Times New Roman" w:cs="Times New Roman"/>
                <w:noProof/>
                <w:kern w:val="2"/>
                <w:sz w:val="20"/>
                <w:szCs w:val="20"/>
                <w:lang w:val="en-GB" w:eastAsia="en-US"/>
                <w14:ligatures w14:val="standardContextual"/>
              </w:rPr>
              <w:t>84 OSS staff members to perform different roles in OSS offices.</w:t>
            </w:r>
          </w:p>
        </w:tc>
      </w:tr>
      <w:tr w:rsidR="00F54DA9" w:rsidRPr="001B1E82" w14:paraId="33E0A72C"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8BA8EA4"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Times New Roman" w:hAnsi="Times New Roman" w:cs="Times New Roman"/>
                <w:noProof/>
                <w:kern w:val="2"/>
                <w:sz w:val="20"/>
                <w:szCs w:val="20"/>
                <w:lang w:val="en-GB" w:eastAsia="en-US"/>
                <w14:ligatures w14:val="standardContextual"/>
              </w:rPr>
              <w:t>525</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7FEDA5B" w14:textId="77777777" w:rsidR="00F54DA9" w:rsidRPr="001B1E82" w:rsidRDefault="00F54DA9" w:rsidP="00F54DA9">
            <w:pPr>
              <w:spacing w:after="0" w:line="245" w:lineRule="auto"/>
              <w:ind w:firstLine="4"/>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Reform 2. Set-up of one-stop-shops (OSS) to provide energy advisory services for energy efficiency renovations and energy production from renewable sources for prosumers</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70BB86B" w14:textId="77777777" w:rsidR="00F54DA9" w:rsidRPr="001B1E82" w:rsidRDefault="00F54DA9" w:rsidP="00F54DA9">
            <w:pPr>
              <w:spacing w:after="0" w:line="254" w:lineRule="auto"/>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Target</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7AE8ECE"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Opening of physical OSS offices</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EA93593"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C791FD7"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Number</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DC77A55"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0</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8ACF933"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42</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EE11011"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Q1</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B321D70" w14:textId="77777777" w:rsidR="00F54DA9" w:rsidRPr="001B1E82" w:rsidRDefault="00F54DA9" w:rsidP="00F54DA9">
            <w:pPr>
              <w:spacing w:after="0" w:line="259" w:lineRule="auto"/>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2026</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CA0338C"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42 physical OSS Offices shall be service-ready and open to citizens.</w:t>
            </w:r>
          </w:p>
          <w:p w14:paraId="78E63DE0" w14:textId="77777777" w:rsidR="00F54DA9" w:rsidRPr="001B1E82" w:rsidRDefault="00F54DA9" w:rsidP="00F54DA9">
            <w:pPr>
              <w:spacing w:after="0" w:line="252" w:lineRule="auto"/>
              <w:jc w:val="both"/>
              <w:rPr>
                <w:rFonts w:ascii="Times New Roman" w:eastAsia="Aptos" w:hAnsi="Times New Roman" w:cs="Times New Roman"/>
                <w:noProof/>
                <w:kern w:val="2"/>
                <w:sz w:val="20"/>
                <w:szCs w:val="20"/>
                <w:lang w:val="en-GB" w:eastAsia="en-US"/>
                <w14:ligatures w14:val="standardContextual"/>
              </w:rPr>
            </w:pPr>
          </w:p>
        </w:tc>
      </w:tr>
      <w:tr w:rsidR="00F54DA9" w:rsidRPr="001B1E82" w14:paraId="39BAE85C"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C7A12EF"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124</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2352D66"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Investment 2. New capacities for electricity generation from renewable sources</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D1B5BF9" w14:textId="77777777" w:rsidR="00F54DA9" w:rsidRPr="001B1E82" w:rsidRDefault="00F54DA9" w:rsidP="00F54DA9">
            <w:pPr>
              <w:spacing w:after="0" w:line="252" w:lineRule="auto"/>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Milestone</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DA448F6" w14:textId="77777777" w:rsidR="00F54DA9" w:rsidRPr="001B1E82" w:rsidRDefault="00F54DA9" w:rsidP="00F54DA9">
            <w:pPr>
              <w:spacing w:after="0" w:line="252"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Opening a call for tender for projects for the production of energy from renewable sources (wind and solar)</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28FC642" w14:textId="77777777" w:rsidR="00F54DA9" w:rsidRPr="001B1E82" w:rsidRDefault="00F54DA9" w:rsidP="00F54DA9">
            <w:pPr>
              <w:spacing w:after="0" w:line="252" w:lineRule="auto"/>
              <w:jc w:val="both"/>
              <w:rPr>
                <w:rFonts w:ascii="Times New Roman" w:eastAsia="Aptos" w:hAnsi="Times New Roman" w:cs="Times New Roman"/>
                <w:noProof/>
                <w:kern w:val="2"/>
                <w:sz w:val="20"/>
                <w:szCs w:val="20"/>
                <w:lang w:val="en-GB" w:eastAsia="en-US"/>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0B590FE"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lang w:val="en-GB" w:eastAsia="en-US"/>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08830E6" w14:textId="77777777" w:rsidR="00F54DA9" w:rsidRPr="001B1E82" w:rsidRDefault="00F54DA9" w:rsidP="00F54DA9">
            <w:pPr>
              <w:spacing w:after="0" w:line="259" w:lineRule="auto"/>
              <w:jc w:val="center"/>
              <w:rPr>
                <w:rFonts w:ascii="Times New Roman" w:eastAsia="Times New Roman" w:hAnsi="Times New Roman" w:cs="Times New Roman"/>
                <w:noProof/>
                <w:kern w:val="2"/>
                <w:sz w:val="20"/>
                <w:szCs w:val="20"/>
                <w:lang w:val="en-GB" w:eastAsia="en-US"/>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3C8AC1D" w14:textId="77777777" w:rsidR="00F54DA9" w:rsidRPr="001B1E82" w:rsidRDefault="00F54DA9" w:rsidP="00F54DA9">
            <w:pPr>
              <w:spacing w:after="0" w:line="259" w:lineRule="auto"/>
              <w:jc w:val="center"/>
              <w:rPr>
                <w:rFonts w:ascii="Times New Roman" w:eastAsia="Times New Roman" w:hAnsi="Times New Roman" w:cs="Times New Roman"/>
                <w:noProof/>
                <w:kern w:val="2"/>
                <w:sz w:val="20"/>
                <w:szCs w:val="20"/>
                <w:lang w:val="en-GB" w:eastAsia="en-US"/>
                <w14:ligatures w14:val="standardContextual"/>
              </w:rPr>
            </w:pP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47FB619" w14:textId="77777777" w:rsidR="00F54DA9" w:rsidRPr="001B1E82" w:rsidRDefault="00F54DA9" w:rsidP="00F54DA9">
            <w:pPr>
              <w:spacing w:after="0" w:line="259" w:lineRule="auto"/>
              <w:jc w:val="center"/>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Q1</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2797D3A"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2022</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9C5F0FC" w14:textId="77777777" w:rsidR="00F54DA9" w:rsidRPr="001B1E82" w:rsidRDefault="00F54DA9" w:rsidP="00F54DA9">
            <w:pPr>
              <w:spacing w:after="0" w:line="264"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A call for tender for the selection of projects for the production of energy from renewable sources (wind and solar) is published. The selection criteria shall ensure compliance with the ‘do no significant harm’ Technical Guidance (C(2023) 6454 final). The call shall be open for both SMEs and large investors.</w:t>
            </w:r>
          </w:p>
        </w:tc>
      </w:tr>
      <w:tr w:rsidR="00F54DA9" w:rsidRPr="001B1E82" w14:paraId="62C4D639"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270F227"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125</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206AF1D" w14:textId="77777777" w:rsidR="00F54DA9" w:rsidRPr="001B1E82" w:rsidDel="00280D4A"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 xml:space="preserve">Investment 2. New capacities for electricity generation from renewable sources </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578C96B" w14:textId="77777777" w:rsidR="00F54DA9" w:rsidRPr="001B1E82" w:rsidRDefault="00F54DA9" w:rsidP="00F54DA9">
            <w:pPr>
              <w:spacing w:after="0" w:line="252" w:lineRule="auto"/>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Target</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5D3FE90" w14:textId="2A178F46" w:rsidR="00F54DA9" w:rsidRPr="001B1E82" w:rsidRDefault="00F54DA9" w:rsidP="00F54DA9">
            <w:pPr>
              <w:spacing w:after="0" w:line="252"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Capacity installed</w:t>
            </w:r>
            <w:r w:rsidR="00D23D91" w:rsidRPr="001B1E82">
              <w:rPr>
                <w:rFonts w:ascii="Times New Roman" w:eastAsia="Aptos" w:hAnsi="Times New Roman" w:cs="Times New Roman"/>
                <w:noProof/>
                <w:kern w:val="2"/>
                <w:sz w:val="20"/>
                <w:szCs w:val="20"/>
                <w:lang w:val="en-GB" w:eastAsia="en-US"/>
                <w14:ligatures w14:val="standardContextual"/>
              </w:rPr>
              <w:t xml:space="preserve"> </w:t>
            </w:r>
            <w:r w:rsidRPr="001B1E82">
              <w:rPr>
                <w:rFonts w:ascii="Times New Roman" w:eastAsia="Aptos" w:hAnsi="Times New Roman" w:cs="Times New Roman"/>
                <w:noProof/>
                <w:kern w:val="2"/>
                <w:sz w:val="20"/>
                <w:szCs w:val="20"/>
                <w:lang w:val="en-GB" w:eastAsia="en-US"/>
                <w14:ligatures w14:val="standardContextual"/>
              </w:rPr>
              <w:t>and connected to the grid</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0D9BB59" w14:textId="77777777" w:rsidR="00F54DA9" w:rsidRPr="001B1E82" w:rsidRDefault="00F54DA9" w:rsidP="00F54DA9">
            <w:pPr>
              <w:spacing w:after="0" w:line="252" w:lineRule="auto"/>
              <w:jc w:val="both"/>
              <w:rPr>
                <w:rFonts w:ascii="Times New Roman" w:eastAsia="Aptos" w:hAnsi="Times New Roman" w:cs="Times New Roman"/>
                <w:noProof/>
                <w:kern w:val="2"/>
                <w:sz w:val="20"/>
                <w:szCs w:val="20"/>
                <w:lang w:val="en-GB" w:eastAsia="en-US"/>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BF5016E"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Megawatts (MW)</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1447FFF" w14:textId="77777777" w:rsidR="00F54DA9" w:rsidRPr="001B1E82" w:rsidRDefault="00F54DA9" w:rsidP="00F54DA9">
            <w:pPr>
              <w:spacing w:after="0" w:line="259" w:lineRule="auto"/>
              <w:jc w:val="center"/>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0</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BEF4BD4" w14:textId="77777777" w:rsidR="00F54DA9" w:rsidRPr="001B1E82" w:rsidRDefault="00F54DA9" w:rsidP="00F54DA9">
            <w:pPr>
              <w:spacing w:after="0" w:line="259" w:lineRule="auto"/>
              <w:jc w:val="center"/>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950</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63CD6F6" w14:textId="77777777" w:rsidR="00F54DA9" w:rsidRPr="001B1E82" w:rsidRDefault="00F54DA9" w:rsidP="00F54DA9">
            <w:pPr>
              <w:spacing w:after="0" w:line="259" w:lineRule="auto"/>
              <w:jc w:val="center"/>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Q2</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70F7821"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2026</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7805EE3" w14:textId="08DF09A7" w:rsidR="00F54DA9" w:rsidRPr="001B1E82" w:rsidRDefault="00F54DA9" w:rsidP="00F54DA9">
            <w:pPr>
              <w:spacing w:after="0" w:line="264"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Acceptance certificates of installation for at least 950 MW of capacity from renewable sources (wind and solar), together with notification of energisation (NTP)</w:t>
            </w:r>
            <w:r w:rsidRPr="001B1E82">
              <w:rPr>
                <w:rFonts w:ascii="Times New Roman" w:eastAsia="Aptos" w:hAnsi="Times New Roman" w:cs="Times New Roman"/>
                <w:noProof/>
                <w:kern w:val="2"/>
                <w:sz w:val="20"/>
                <w:szCs w:val="20"/>
                <w:lang w:val="en-IE" w:eastAsia="en-US"/>
                <w14:ligatures w14:val="standardContextual"/>
              </w:rPr>
              <w:t xml:space="preserve"> </w:t>
            </w:r>
            <w:r w:rsidRPr="001B1E82">
              <w:rPr>
                <w:rFonts w:ascii="Times New Roman" w:eastAsia="Aptos" w:hAnsi="Times New Roman" w:cs="Times New Roman"/>
                <w:noProof/>
                <w:kern w:val="2"/>
                <w:sz w:val="20"/>
                <w:szCs w:val="20"/>
                <w:lang w:val="en-GB" w:eastAsia="en-US"/>
                <w14:ligatures w14:val="standardContextual"/>
              </w:rPr>
              <w:t>or connection certificate, certifying the connection of the installation to the electricity transmission or distribution grid</w:t>
            </w:r>
            <w:r w:rsidR="00D23D91" w:rsidRPr="001B1E82">
              <w:rPr>
                <w:rFonts w:ascii="Times New Roman" w:eastAsia="Aptos" w:hAnsi="Times New Roman" w:cs="Times New Roman"/>
                <w:noProof/>
                <w:kern w:val="2"/>
                <w:sz w:val="20"/>
                <w:szCs w:val="20"/>
                <w:lang w:val="en-GB" w:eastAsia="en-US"/>
                <w14:ligatures w14:val="standardContextual"/>
              </w:rPr>
              <w:t xml:space="preserve"> </w:t>
            </w:r>
            <w:r w:rsidRPr="001B1E82">
              <w:rPr>
                <w:rFonts w:ascii="Times New Roman" w:eastAsia="Aptos" w:hAnsi="Times New Roman" w:cs="Times New Roman"/>
                <w:noProof/>
                <w:kern w:val="2"/>
                <w:sz w:val="20"/>
                <w:szCs w:val="20"/>
                <w:lang w:val="en-GB" w:eastAsia="en-US"/>
                <w14:ligatures w14:val="standardContextual"/>
              </w:rPr>
              <w:t xml:space="preserve">shall be issued. </w:t>
            </w:r>
          </w:p>
        </w:tc>
      </w:tr>
      <w:tr w:rsidR="00F54DA9" w:rsidRPr="001B1E82" w14:paraId="72052A46"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45B258B" w14:textId="77777777" w:rsidR="00F54DA9" w:rsidRPr="001B1E82" w:rsidRDefault="00F54DA9" w:rsidP="00F54DA9">
            <w:pPr>
              <w:spacing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518</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7BC215C" w14:textId="77777777" w:rsidR="00F54DA9" w:rsidRPr="001B1E82" w:rsidRDefault="00F54DA9" w:rsidP="00F54DA9">
            <w:pPr>
              <w:spacing w:line="245"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Investment 5: Digitalisation and modernisation of the national electricity transmission network</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758946B" w14:textId="77777777" w:rsidR="00F54DA9" w:rsidRPr="001B1E82" w:rsidRDefault="00F54DA9" w:rsidP="00F54DA9">
            <w:pPr>
              <w:spacing w:line="245" w:lineRule="auto"/>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Target</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C42D073" w14:textId="77777777" w:rsidR="00F54DA9" w:rsidRPr="001B1E82" w:rsidRDefault="00F54DA9" w:rsidP="00F54DA9">
            <w:pPr>
              <w:spacing w:line="252"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Reduction of annual electricity consumption</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A437DC1" w14:textId="77777777" w:rsidR="00F54DA9" w:rsidRPr="001B1E82" w:rsidRDefault="00F54DA9" w:rsidP="00F54DA9">
            <w:pPr>
              <w:spacing w:line="252" w:lineRule="auto"/>
              <w:jc w:val="both"/>
              <w:rPr>
                <w:rFonts w:ascii="Times New Roman" w:eastAsia="Aptos" w:hAnsi="Times New Roman" w:cs="Times New Roman"/>
                <w:noProof/>
                <w:kern w:val="2"/>
                <w:sz w:val="20"/>
                <w:szCs w:val="20"/>
                <w:lang w:val="en-GB" w:eastAsia="en-US"/>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A3C34E0" w14:textId="77777777" w:rsidR="00F54DA9" w:rsidRPr="001B1E82" w:rsidRDefault="00F54DA9" w:rsidP="00F54DA9">
            <w:pPr>
              <w:spacing w:line="259" w:lineRule="auto"/>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GWh</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2C52E19" w14:textId="77777777" w:rsidR="00F54DA9" w:rsidRPr="001B1E82" w:rsidRDefault="00F54DA9" w:rsidP="00F54DA9">
            <w:pPr>
              <w:spacing w:line="259" w:lineRule="auto"/>
              <w:jc w:val="center"/>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18</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1863BD1" w14:textId="77777777" w:rsidR="00F54DA9" w:rsidRPr="001B1E82" w:rsidRDefault="00F54DA9" w:rsidP="00F54DA9">
            <w:pPr>
              <w:spacing w:line="257"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9</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5B18663" w14:textId="77777777" w:rsidR="00F54DA9" w:rsidRPr="001B1E82" w:rsidRDefault="00F54DA9" w:rsidP="00F54DA9">
            <w:pPr>
              <w:spacing w:line="259" w:lineRule="auto"/>
              <w:jc w:val="center"/>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Q2</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67D460E"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2026</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EF54282" w14:textId="42315C69" w:rsidR="00F54DA9" w:rsidRPr="001B1E82" w:rsidRDefault="00F54DA9" w:rsidP="00F54DA9">
            <w:pPr>
              <w:spacing w:after="0" w:line="252"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Acceptance certificate(s) shall be issued for the installation of 1</w:t>
            </w:r>
            <w:r w:rsidR="00A06E42">
              <w:rPr>
                <w:rFonts w:ascii="Times New Roman" w:eastAsia="Aptos" w:hAnsi="Times New Roman" w:cs="Times New Roman"/>
                <w:noProof/>
                <w:kern w:val="2"/>
                <w:sz w:val="20"/>
                <w:szCs w:val="20"/>
                <w:lang w:val="en-GB" w:eastAsia="en-US"/>
                <w14:ligatures w14:val="standardContextual"/>
              </w:rPr>
              <w:t>0</w:t>
            </w:r>
            <w:r w:rsidRPr="001B1E82">
              <w:rPr>
                <w:rFonts w:ascii="Times New Roman" w:eastAsia="Aptos" w:hAnsi="Times New Roman" w:cs="Times New Roman"/>
                <w:noProof/>
                <w:kern w:val="2"/>
                <w:sz w:val="20"/>
                <w:szCs w:val="20"/>
                <w:lang w:val="en-GB" w:eastAsia="en-US"/>
                <w14:ligatures w14:val="standardContextual"/>
              </w:rPr>
              <w:t>.</w:t>
            </w:r>
            <w:r w:rsidR="00E80C76">
              <w:rPr>
                <w:rFonts w:ascii="Times New Roman" w:eastAsia="Aptos" w:hAnsi="Times New Roman" w:cs="Times New Roman"/>
                <w:noProof/>
                <w:kern w:val="2"/>
                <w:sz w:val="20"/>
                <w:szCs w:val="20"/>
                <w:lang w:val="en-GB" w:eastAsia="en-US"/>
                <w14:ligatures w14:val="standardContextual"/>
              </w:rPr>
              <w:t>76</w:t>
            </w:r>
            <w:r w:rsidRPr="001B1E82">
              <w:rPr>
                <w:rFonts w:ascii="Times New Roman" w:eastAsia="Aptos" w:hAnsi="Times New Roman" w:cs="Times New Roman"/>
                <w:noProof/>
                <w:kern w:val="2"/>
                <w:sz w:val="20"/>
                <w:szCs w:val="20"/>
                <w:lang w:val="en-GB" w:eastAsia="en-US"/>
                <w14:ligatures w14:val="standardContextual"/>
              </w:rPr>
              <w:t xml:space="preserve"> MW of solar photovoltaic panels and </w:t>
            </w:r>
            <w:r w:rsidR="00A005B8">
              <w:rPr>
                <w:rFonts w:ascii="Times New Roman" w:eastAsia="Aptos" w:hAnsi="Times New Roman" w:cs="Times New Roman"/>
                <w:noProof/>
                <w:kern w:val="2"/>
                <w:sz w:val="20"/>
                <w:szCs w:val="20"/>
                <w:lang w:val="en-GB" w:eastAsia="en-US"/>
                <w14:ligatures w14:val="standardContextual"/>
              </w:rPr>
              <w:t>12</w:t>
            </w:r>
            <w:r w:rsidRPr="001B1E82">
              <w:rPr>
                <w:rFonts w:ascii="Times New Roman" w:eastAsia="Aptos" w:hAnsi="Times New Roman" w:cs="Times New Roman"/>
                <w:noProof/>
                <w:kern w:val="2"/>
                <w:sz w:val="20"/>
                <w:szCs w:val="20"/>
                <w:lang w:val="en-GB" w:eastAsia="en-US"/>
                <w14:ligatures w14:val="standardContextual"/>
              </w:rPr>
              <w:t xml:space="preserve"> MW of energy storage capacity (in 29 substations), accompanied by an independent expert report certifying an estimated 50% reduction in annual electricity consumption compared to the 2022 baseline.</w:t>
            </w:r>
          </w:p>
        </w:tc>
      </w:tr>
      <w:tr w:rsidR="00F54DA9" w:rsidRPr="001B1E82" w14:paraId="668CB503"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B33B059" w14:textId="77777777" w:rsidR="00F54DA9" w:rsidRPr="001B1E82" w:rsidRDefault="00F54DA9" w:rsidP="00F54DA9">
            <w:pPr>
              <w:spacing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520</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90115FC" w14:textId="77777777" w:rsidR="00F54DA9" w:rsidRPr="001B1E82" w:rsidRDefault="00F54DA9" w:rsidP="00F54DA9">
            <w:pPr>
              <w:spacing w:line="245"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Investment 5: Digitalisation and modernisation of the national electricity transmission network</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9B51B3E" w14:textId="77777777" w:rsidR="00F54DA9" w:rsidRPr="001B1E82" w:rsidRDefault="00F54DA9" w:rsidP="00F54DA9">
            <w:pPr>
              <w:spacing w:line="245" w:lineRule="auto"/>
              <w:rPr>
                <w:rFonts w:ascii="Times New Roman" w:eastAsia="Aptos" w:hAnsi="Times New Roman" w:cs="Times New Roman"/>
                <w:noProof/>
                <w:kern w:val="2"/>
                <w:sz w:val="20"/>
                <w:szCs w:val="20"/>
                <w:lang w:val="en-GB" w:eastAsia="en-US"/>
                <w14:ligatures w14:val="standardContextual"/>
              </w:rPr>
            </w:pPr>
            <w:r w:rsidRPr="001B1E82" w:rsidDel="009564B3">
              <w:rPr>
                <w:rFonts w:ascii="Times New Roman" w:eastAsia="Aptos" w:hAnsi="Times New Roman" w:cs="Times New Roman"/>
                <w:noProof/>
                <w:kern w:val="2"/>
                <w:sz w:val="20"/>
                <w:szCs w:val="20"/>
                <w:lang w:val="en-GB" w:eastAsia="en-US"/>
                <w14:ligatures w14:val="standardContextual"/>
              </w:rPr>
              <w:t>Target</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3E30A4B" w14:textId="77777777" w:rsidR="00F54DA9" w:rsidRPr="001B1E82" w:rsidRDefault="00F54DA9" w:rsidP="00F54DA9">
            <w:pPr>
              <w:spacing w:line="252"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Average duration of interventions on the TSO’s network</w:t>
            </w:r>
          </w:p>
          <w:p w14:paraId="080EA0E3" w14:textId="77777777" w:rsidR="00F54DA9" w:rsidRPr="001B1E82" w:rsidRDefault="00F54DA9" w:rsidP="00F54DA9">
            <w:pPr>
              <w:spacing w:line="252" w:lineRule="auto"/>
              <w:jc w:val="both"/>
              <w:rPr>
                <w:rFonts w:ascii="Times New Roman" w:eastAsia="Aptos" w:hAnsi="Times New Roman" w:cs="Times New Roman"/>
                <w:noProof/>
                <w:kern w:val="2"/>
                <w:sz w:val="20"/>
                <w:szCs w:val="20"/>
                <w:lang w:val="en-GB" w:eastAsia="en-US"/>
                <w14:ligatures w14:val="standardContextual"/>
              </w:rPr>
            </w:pP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43EDC70" w14:textId="77777777" w:rsidR="00F54DA9" w:rsidRPr="001B1E82" w:rsidRDefault="00F54DA9" w:rsidP="00F54DA9">
            <w:pPr>
              <w:spacing w:line="252" w:lineRule="auto"/>
              <w:jc w:val="both"/>
              <w:rPr>
                <w:rFonts w:ascii="Times New Roman" w:eastAsia="Aptos" w:hAnsi="Times New Roman" w:cs="Times New Roman"/>
                <w:noProof/>
                <w:kern w:val="2"/>
                <w:sz w:val="20"/>
                <w:szCs w:val="20"/>
                <w:lang w:val="en-GB" w:eastAsia="en-US"/>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A9B8276" w14:textId="77777777" w:rsidR="00F54DA9" w:rsidRPr="001B1E82" w:rsidRDefault="00F54DA9" w:rsidP="00F54DA9">
            <w:pPr>
              <w:spacing w:line="259" w:lineRule="auto"/>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Times New Roman" w:hAnsi="Times New Roman" w:cs="Times New Roman"/>
                <w:noProof/>
                <w:kern w:val="2"/>
                <w:sz w:val="20"/>
                <w:szCs w:val="20"/>
                <w:lang w:val="en-GB" w:eastAsia="en-US"/>
                <w14:ligatures w14:val="standardContextual"/>
              </w:rPr>
              <w:t>Percentage (%)</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AE8D789" w14:textId="77777777" w:rsidR="00F54DA9" w:rsidRPr="001B1E82" w:rsidRDefault="00F54DA9" w:rsidP="00F54DA9">
            <w:pPr>
              <w:spacing w:line="259" w:lineRule="auto"/>
              <w:jc w:val="center"/>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 xml:space="preserve">100% </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1A1877A" w14:textId="77777777" w:rsidR="00F54DA9" w:rsidRPr="001B1E82" w:rsidRDefault="00F54DA9" w:rsidP="00F54DA9">
            <w:pPr>
              <w:spacing w:line="257" w:lineRule="auto"/>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 xml:space="preserve">50% </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CD70B98" w14:textId="77777777" w:rsidR="00F54DA9" w:rsidRPr="001B1E82" w:rsidRDefault="00F54DA9" w:rsidP="00F54DA9">
            <w:pPr>
              <w:spacing w:line="259" w:lineRule="auto"/>
              <w:jc w:val="center"/>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Q2</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0E48981" w14:textId="77777777" w:rsidR="00F54DA9" w:rsidRPr="001B1E82" w:rsidRDefault="00F54DA9" w:rsidP="00F54DA9">
            <w:pPr>
              <w:spacing w:line="259" w:lineRule="auto"/>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2026</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A7C038C" w14:textId="6734B67C" w:rsidR="00F54DA9" w:rsidRPr="001B1E82" w:rsidRDefault="00F54DA9" w:rsidP="00F54DA9">
            <w:pPr>
              <w:spacing w:after="0" w:line="252"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An independent expert report shall certify the reduction in the average duration of interventions on the TSO’s network, together with</w:t>
            </w:r>
            <w:r w:rsidR="00D23D91" w:rsidRPr="001B1E82">
              <w:rPr>
                <w:rFonts w:ascii="Times New Roman" w:eastAsia="Aptos" w:hAnsi="Times New Roman" w:cs="Times New Roman"/>
                <w:noProof/>
                <w:kern w:val="2"/>
                <w:sz w:val="20"/>
                <w:szCs w:val="20"/>
                <w:lang w:val="en-GB" w:eastAsia="en-US"/>
                <w14:ligatures w14:val="standardContextual"/>
              </w:rPr>
              <w:t xml:space="preserve"> </w:t>
            </w:r>
            <w:r w:rsidRPr="001B1E82">
              <w:rPr>
                <w:rFonts w:ascii="Times New Roman" w:eastAsia="Aptos" w:hAnsi="Times New Roman" w:cs="Times New Roman"/>
                <w:noProof/>
                <w:kern w:val="2"/>
                <w:sz w:val="20"/>
                <w:szCs w:val="20"/>
                <w:lang w:val="en-GB" w:eastAsia="en-US"/>
                <w14:ligatures w14:val="standardContextual"/>
              </w:rPr>
              <w:t>certificates of delivery and installation of equipment for the maintenance of transmission lines and substations (which may include, but is not limited to,</w:t>
            </w:r>
            <w:r w:rsidRPr="001B1E82">
              <w:rPr>
                <w:rFonts w:ascii="Times New Roman" w:eastAsia="Aptos" w:hAnsi="Times New Roman" w:cs="Times New Roman"/>
                <w:noProof/>
                <w:kern w:val="2"/>
                <w:sz w:val="20"/>
                <w:szCs w:val="20"/>
                <w:lang w:val="en-IE" w:eastAsia="en-US"/>
                <w14:ligatures w14:val="standardContextual"/>
              </w:rPr>
              <w:t xml:space="preserve"> </w:t>
            </w:r>
            <w:r w:rsidRPr="001B1E82">
              <w:rPr>
                <w:rFonts w:ascii="Times New Roman" w:eastAsia="Aptos" w:hAnsi="Times New Roman" w:cs="Times New Roman"/>
                <w:noProof/>
                <w:kern w:val="2"/>
                <w:sz w:val="20"/>
                <w:szCs w:val="20"/>
                <w:lang w:val="en-GB" w:eastAsia="en-US"/>
                <w14:ligatures w14:val="standardContextual"/>
              </w:rPr>
              <w:t>measuring and control devices of power lines, transformers, insulations,</w:t>
            </w:r>
            <w:r w:rsidRPr="001B1E82">
              <w:rPr>
                <w:rFonts w:ascii="Times New Roman" w:eastAsia="Aptos" w:hAnsi="Times New Roman" w:cs="Times New Roman"/>
                <w:noProof/>
                <w:kern w:val="2"/>
                <w:sz w:val="20"/>
                <w:szCs w:val="20"/>
                <w:lang w:val="en-IE" w:eastAsia="en-US"/>
                <w14:ligatures w14:val="standardContextual"/>
              </w:rPr>
              <w:t xml:space="preserve"> </w:t>
            </w:r>
            <w:r w:rsidRPr="001B1E82">
              <w:rPr>
                <w:rFonts w:ascii="Times New Roman" w:eastAsia="Aptos" w:hAnsi="Times New Roman" w:cs="Times New Roman"/>
                <w:noProof/>
                <w:kern w:val="2"/>
                <w:sz w:val="20"/>
                <w:szCs w:val="20"/>
                <w:lang w:val="en-GB" w:eastAsia="en-US"/>
                <w14:ligatures w14:val="standardContextual"/>
              </w:rPr>
              <w:t xml:space="preserve">electrical grounding or mobile elevated working platforms and cranes). </w:t>
            </w:r>
          </w:p>
          <w:p w14:paraId="32A106C0" w14:textId="77777777" w:rsidR="00F54DA9" w:rsidRPr="001B1E82" w:rsidRDefault="00F54DA9" w:rsidP="00F54DA9">
            <w:pPr>
              <w:spacing w:after="0" w:line="252"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 xml:space="preserve">As a rule, all vehicles shall be zero-emission. However, where zero-emission technology is not available for a given category, only the best available low-emission technology shall be used. </w:t>
            </w:r>
          </w:p>
        </w:tc>
      </w:tr>
      <w:tr w:rsidR="00F54DA9" w:rsidRPr="001B1E82" w14:paraId="4B30DFCD"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F0915F2" w14:textId="77777777" w:rsidR="00F54DA9" w:rsidRPr="001B1E82" w:rsidRDefault="00F54DA9" w:rsidP="00F54DA9">
            <w:pPr>
              <w:spacing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522</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A9BC74B" w14:textId="77777777" w:rsidR="00F54DA9" w:rsidRPr="001B1E82" w:rsidRDefault="00F54DA9" w:rsidP="00F54DA9">
            <w:pPr>
              <w:spacing w:line="245"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Investment 5: Digitalisation and modernisation of the national electricity transmission network</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539750B" w14:textId="77777777" w:rsidR="00F54DA9" w:rsidRPr="001B1E82" w:rsidRDefault="00F54DA9" w:rsidP="00F54DA9">
            <w:pPr>
              <w:spacing w:line="245" w:lineRule="auto"/>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Milestone</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84BF6F2" w14:textId="77777777" w:rsidR="00F54DA9" w:rsidRPr="001B1E82" w:rsidRDefault="00F54DA9" w:rsidP="00F54DA9">
            <w:pPr>
              <w:spacing w:line="252"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Data centre in use</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54D747D" w14:textId="77777777" w:rsidR="00F54DA9" w:rsidRPr="001B1E82" w:rsidRDefault="00F54DA9" w:rsidP="00F54DA9">
            <w:pPr>
              <w:spacing w:line="252"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 xml:space="preserve">Data centre set up and in use </w:t>
            </w: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77A9955" w14:textId="77777777" w:rsidR="00F54DA9" w:rsidRPr="001B1E82" w:rsidRDefault="00F54DA9" w:rsidP="00F54DA9">
            <w:pPr>
              <w:spacing w:line="259" w:lineRule="auto"/>
              <w:rPr>
                <w:rFonts w:ascii="Times New Roman" w:eastAsia="Times New Roman" w:hAnsi="Times New Roman" w:cs="Times New Roman"/>
                <w:noProof/>
                <w:kern w:val="2"/>
                <w:sz w:val="20"/>
                <w:szCs w:val="20"/>
                <w:lang w:val="en-GB" w:eastAsia="en-US"/>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5591505" w14:textId="77777777" w:rsidR="00F54DA9" w:rsidRPr="001B1E82" w:rsidRDefault="00F54DA9" w:rsidP="00F54DA9">
            <w:pPr>
              <w:spacing w:line="259" w:lineRule="auto"/>
              <w:jc w:val="center"/>
              <w:rPr>
                <w:rFonts w:ascii="Times New Roman" w:eastAsia="Times New Roman" w:hAnsi="Times New Roman" w:cs="Times New Roman"/>
                <w:noProof/>
                <w:kern w:val="2"/>
                <w:sz w:val="20"/>
                <w:szCs w:val="20"/>
                <w:lang w:val="en-GB" w:eastAsia="en-US"/>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5880AB4" w14:textId="77777777" w:rsidR="00F54DA9" w:rsidRPr="001B1E82" w:rsidRDefault="00F54DA9" w:rsidP="00F54DA9">
            <w:pPr>
              <w:spacing w:line="257" w:lineRule="auto"/>
              <w:jc w:val="center"/>
              <w:rPr>
                <w:rFonts w:ascii="Times New Roman" w:eastAsia="Aptos" w:hAnsi="Times New Roman" w:cs="Times New Roman"/>
                <w:noProof/>
                <w:kern w:val="2"/>
                <w:sz w:val="20"/>
                <w:szCs w:val="20"/>
                <w:lang w:val="en-GB" w:eastAsia="en-US"/>
                <w14:ligatures w14:val="standardContextual"/>
              </w:rPr>
            </w:pP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F0F637A" w14:textId="77777777" w:rsidR="00F54DA9" w:rsidRPr="001B1E82" w:rsidRDefault="00F54DA9" w:rsidP="00F54DA9">
            <w:pPr>
              <w:spacing w:line="252"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Q1</w:t>
            </w:r>
          </w:p>
          <w:p w14:paraId="5C67E8C1" w14:textId="77777777" w:rsidR="00F54DA9" w:rsidRPr="001B1E82" w:rsidRDefault="00F54DA9" w:rsidP="00F54DA9">
            <w:pPr>
              <w:spacing w:line="259" w:lineRule="auto"/>
              <w:jc w:val="center"/>
              <w:rPr>
                <w:rFonts w:ascii="Times New Roman" w:eastAsia="Times New Roman" w:hAnsi="Times New Roman" w:cs="Times New Roman"/>
                <w:noProof/>
                <w:kern w:val="2"/>
                <w:sz w:val="20"/>
                <w:szCs w:val="20"/>
                <w:lang w:val="en-GB" w:eastAsia="en-US"/>
                <w14:ligatures w14:val="standardContextual"/>
              </w:rPr>
            </w:pP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9591F1D" w14:textId="77777777" w:rsidR="00F54DA9" w:rsidRPr="001B1E82" w:rsidRDefault="00F54DA9" w:rsidP="00F54DA9">
            <w:pPr>
              <w:spacing w:line="252"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2026</w:t>
            </w:r>
          </w:p>
          <w:p w14:paraId="0B0B5DB3" w14:textId="77777777" w:rsidR="00F54DA9" w:rsidRPr="001B1E82" w:rsidRDefault="00F54DA9" w:rsidP="00F54DA9">
            <w:pPr>
              <w:spacing w:line="259" w:lineRule="auto"/>
              <w:rPr>
                <w:rFonts w:ascii="Times New Roman" w:eastAsia="Times New Roman" w:hAnsi="Times New Roman" w:cs="Times New Roman"/>
                <w:noProof/>
                <w:kern w:val="2"/>
                <w:sz w:val="20"/>
                <w:szCs w:val="20"/>
                <w:lang w:val="en-GB" w:eastAsia="en-US"/>
                <w14:ligatures w14:val="standardContextual"/>
              </w:rPr>
            </w:pP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E165E6A" w14:textId="766B6FA5" w:rsidR="00F54DA9" w:rsidRPr="001B1E82" w:rsidRDefault="00F54DA9" w:rsidP="00F54DA9">
            <w:pPr>
              <w:spacing w:after="0" w:line="252"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An independent expert report shall certify the set-up of the data center, complemented by certificates of delivery and installation of the equipment and software</w:t>
            </w:r>
            <w:r w:rsidR="00D23D91" w:rsidRPr="001B1E82">
              <w:rPr>
                <w:rFonts w:ascii="Times New Roman" w:eastAsia="Aptos" w:hAnsi="Times New Roman" w:cs="Times New Roman"/>
                <w:noProof/>
                <w:kern w:val="2"/>
                <w:sz w:val="20"/>
                <w:szCs w:val="20"/>
                <w:lang w:val="en-GB" w:eastAsia="en-US"/>
                <w14:ligatures w14:val="standardContextual"/>
              </w:rPr>
              <w:t xml:space="preserve"> </w:t>
            </w:r>
            <w:r w:rsidRPr="001B1E82">
              <w:rPr>
                <w:rFonts w:ascii="Times New Roman" w:eastAsia="Aptos" w:hAnsi="Times New Roman" w:cs="Times New Roman"/>
                <w:noProof/>
                <w:kern w:val="2"/>
                <w:sz w:val="20"/>
                <w:szCs w:val="20"/>
                <w:lang w:val="en-GB" w:eastAsia="en-US"/>
                <w14:ligatures w14:val="standardContextual"/>
              </w:rPr>
              <w:t>(including among others: servers, routers, firewalls, power containers), network traffic analysis (including</w:t>
            </w:r>
            <w:r w:rsidR="00D23D91" w:rsidRPr="001B1E82">
              <w:rPr>
                <w:rFonts w:ascii="Times New Roman" w:eastAsia="Aptos" w:hAnsi="Times New Roman" w:cs="Times New Roman"/>
                <w:noProof/>
                <w:kern w:val="2"/>
                <w:sz w:val="20"/>
                <w:szCs w:val="20"/>
                <w:lang w:val="en-GB" w:eastAsia="en-US"/>
                <w14:ligatures w14:val="standardContextual"/>
              </w:rPr>
              <w:t xml:space="preserve"> </w:t>
            </w:r>
            <w:r w:rsidRPr="001B1E82">
              <w:rPr>
                <w:rFonts w:ascii="Times New Roman" w:eastAsia="Aptos" w:hAnsi="Times New Roman" w:cs="Times New Roman"/>
                <w:noProof/>
                <w:kern w:val="2"/>
                <w:sz w:val="20"/>
                <w:szCs w:val="20"/>
                <w:lang w:val="en-GB" w:eastAsia="en-US"/>
                <w14:ligatures w14:val="standardContextual"/>
              </w:rPr>
              <w:t>among others L2-7 traffic analyser; four SFP ports; multi-mode SFP and single mode SFP transceivers) and network security (including among others firewalls, PoE switches, distribution routers).</w:t>
            </w:r>
          </w:p>
        </w:tc>
      </w:tr>
      <w:tr w:rsidR="00F54DA9" w:rsidRPr="001B1E82" w14:paraId="50757C76"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D068667" w14:textId="77777777" w:rsidR="00F54DA9" w:rsidRPr="001B1E82" w:rsidRDefault="00F54DA9" w:rsidP="00F54DA9">
            <w:pPr>
              <w:spacing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529</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E5EE978" w14:textId="77777777" w:rsidR="00F54DA9" w:rsidRPr="001B1E82" w:rsidRDefault="00F54DA9" w:rsidP="00F54DA9">
            <w:pPr>
              <w:spacing w:line="259" w:lineRule="auto"/>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Investment 7. Grant Vouchers to support households’ energy efficiency upgrades</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A2F8872" w14:textId="77777777" w:rsidR="00F54DA9" w:rsidRPr="001B1E82" w:rsidRDefault="00F54DA9" w:rsidP="00F54DA9">
            <w:pPr>
              <w:spacing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Target</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C924DF7" w14:textId="77777777" w:rsidR="00F54DA9" w:rsidRPr="001B1E82" w:rsidDel="007A1B0A" w:rsidRDefault="00F54DA9" w:rsidP="00F54DA9">
            <w:pPr>
              <w:spacing w:line="259" w:lineRule="auto"/>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Energy renovation of dwellings</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3C5BA53" w14:textId="77777777" w:rsidR="00F54DA9" w:rsidRPr="001B1E82" w:rsidDel="007A1B0A" w:rsidRDefault="00F54DA9" w:rsidP="00F54DA9">
            <w:pPr>
              <w:spacing w:line="259" w:lineRule="auto"/>
              <w:jc w:val="center"/>
              <w:rPr>
                <w:rFonts w:ascii="Times New Roman" w:eastAsia="Aptos" w:hAnsi="Times New Roman" w:cs="Times New Roman"/>
                <w:noProof/>
                <w:kern w:val="2"/>
                <w:sz w:val="20"/>
                <w:szCs w:val="20"/>
                <w:lang w:val="en-GB" w:eastAsia="en-US"/>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389C178" w14:textId="77777777" w:rsidR="00F54DA9" w:rsidRPr="001B1E82" w:rsidRDefault="00F54DA9" w:rsidP="00F54DA9">
            <w:pPr>
              <w:spacing w:line="259" w:lineRule="auto"/>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Number (dwellings)</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6CFDEBB" w14:textId="77777777" w:rsidR="00F54DA9" w:rsidRPr="001B1E82" w:rsidRDefault="00F54DA9" w:rsidP="00F54DA9">
            <w:pPr>
              <w:spacing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 xml:space="preserve">0 </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FA06002" w14:textId="06DAA750" w:rsidR="00F54DA9" w:rsidRPr="001B1E82" w:rsidRDefault="00F54DA9" w:rsidP="00F54DA9">
            <w:pPr>
              <w:spacing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8</w:t>
            </w:r>
            <w:r w:rsidR="00F21442" w:rsidRPr="001B1E82">
              <w:rPr>
                <w:rFonts w:ascii="Times New Roman" w:eastAsia="Aptos" w:hAnsi="Times New Roman" w:cs="Times New Roman"/>
                <w:noProof/>
                <w:kern w:val="2"/>
                <w:sz w:val="20"/>
                <w:szCs w:val="20"/>
                <w:lang w:val="en-GB" w:eastAsia="en-US"/>
                <w14:ligatures w14:val="standardContextual"/>
              </w:rPr>
              <w:t> </w:t>
            </w:r>
            <w:r w:rsidRPr="001B1E82">
              <w:rPr>
                <w:rFonts w:ascii="Times New Roman" w:eastAsia="Aptos" w:hAnsi="Times New Roman" w:cs="Times New Roman"/>
                <w:noProof/>
                <w:kern w:val="2"/>
                <w:sz w:val="20"/>
                <w:szCs w:val="20"/>
                <w:lang w:val="en-GB" w:eastAsia="en-US"/>
                <w14:ligatures w14:val="standardContextual"/>
              </w:rPr>
              <w:t>260</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6900FC9" w14:textId="77777777" w:rsidR="00F54DA9" w:rsidRPr="001B1E82" w:rsidRDefault="00F54DA9" w:rsidP="00F54DA9">
            <w:pPr>
              <w:spacing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Q3</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FBA4A70" w14:textId="77777777" w:rsidR="00F54DA9" w:rsidRPr="001B1E82" w:rsidRDefault="00F54DA9" w:rsidP="00F54DA9">
            <w:pPr>
              <w:spacing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2026</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8C6A247" w14:textId="03DE5E12" w:rsidR="00F54DA9" w:rsidRPr="001B1E82" w:rsidRDefault="00F54DA9" w:rsidP="00F54DA9">
            <w:pPr>
              <w:spacing w:after="0" w:line="259" w:lineRule="auto"/>
              <w:jc w:val="both"/>
              <w:rPr>
                <w:rFonts w:ascii="Times New Roman" w:eastAsia="Aptos" w:hAnsi="Times New Roman" w:cs="Times New Roman"/>
                <w:noProof/>
                <w:kern w:val="2"/>
                <w:sz w:val="20"/>
                <w:szCs w:val="20"/>
                <w:lang w:val="en-IE"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Work completion reception certificate</w:t>
            </w:r>
            <w:r w:rsidRPr="001B1E82" w:rsidDel="00FC2007">
              <w:rPr>
                <w:rFonts w:ascii="Times New Roman" w:eastAsia="Aptos" w:hAnsi="Times New Roman" w:cs="Times New Roman"/>
                <w:noProof/>
                <w:kern w:val="2"/>
                <w:sz w:val="20"/>
                <w:szCs w:val="20"/>
                <w:lang w:val="en-GB" w:eastAsia="en-US"/>
                <w14:ligatures w14:val="standardContextual"/>
              </w:rPr>
              <w:t xml:space="preserve"> </w:t>
            </w:r>
            <w:r w:rsidRPr="001B1E82">
              <w:rPr>
                <w:rFonts w:ascii="Times New Roman" w:eastAsia="Aptos" w:hAnsi="Times New Roman" w:cs="Times New Roman"/>
                <w:noProof/>
                <w:kern w:val="2"/>
                <w:sz w:val="20"/>
                <w:szCs w:val="20"/>
                <w:lang w:val="en-GB" w:eastAsia="en-US"/>
                <w14:ligatures w14:val="standardContextual"/>
              </w:rPr>
              <w:t>of renovation works for at least 8</w:t>
            </w:r>
            <w:r w:rsidR="00F21442" w:rsidRPr="001B1E82">
              <w:rPr>
                <w:rFonts w:ascii="Times New Roman" w:eastAsia="Aptos" w:hAnsi="Times New Roman" w:cs="Times New Roman"/>
                <w:noProof/>
                <w:kern w:val="2"/>
                <w:sz w:val="20"/>
                <w:szCs w:val="20"/>
                <w:lang w:val="en-GB" w:eastAsia="en-US"/>
                <w14:ligatures w14:val="standardContextual"/>
              </w:rPr>
              <w:t> </w:t>
            </w:r>
            <w:r w:rsidRPr="001B1E82">
              <w:rPr>
                <w:rFonts w:ascii="Times New Roman" w:eastAsia="Aptos" w:hAnsi="Times New Roman" w:cs="Times New Roman"/>
                <w:noProof/>
                <w:kern w:val="2"/>
                <w:sz w:val="20"/>
                <w:szCs w:val="20"/>
                <w:lang w:val="en-GB" w:eastAsia="en-US"/>
                <w14:ligatures w14:val="standardContextual"/>
              </w:rPr>
              <w:t>260 dwellings together with ex-ante and ex-post energy performance certificates demonstrating a minimum of 30% primary energy savings per dwelling.</w:t>
            </w:r>
            <w:r w:rsidRPr="001B1E82">
              <w:rPr>
                <w:rFonts w:ascii="Times New Roman" w:eastAsia="Aptos" w:hAnsi="Times New Roman" w:cs="Times New Roman"/>
                <w:noProof/>
                <w:kern w:val="2"/>
                <w:sz w:val="20"/>
                <w:szCs w:val="20"/>
                <w:lang w:val="en-IE" w:eastAsia="en-US"/>
                <w14:ligatures w14:val="standardContextual"/>
              </w:rPr>
              <w:t xml:space="preserve"> </w:t>
            </w:r>
            <w:r w:rsidRPr="001B1E82">
              <w:rPr>
                <w:rFonts w:ascii="Times New Roman" w:eastAsia="Aptos" w:hAnsi="Times New Roman" w:cs="Times New Roman"/>
                <w:noProof/>
                <w:kern w:val="2"/>
                <w:sz w:val="20"/>
                <w:szCs w:val="20"/>
                <w:lang w:val="en-GB" w:eastAsia="en-US"/>
                <w14:ligatures w14:val="standardContextual"/>
              </w:rPr>
              <w:t>as well as certification of the installation of solar panels with a net capacity of at least 3 kW.</w:t>
            </w:r>
          </w:p>
          <w:p w14:paraId="474C2D5F" w14:textId="77777777" w:rsidR="00F54DA9" w:rsidRPr="001B1E82" w:rsidDel="004E26A7" w:rsidRDefault="00F54DA9" w:rsidP="00F54DA9">
            <w:pPr>
              <w:spacing w:after="0" w:line="259" w:lineRule="auto"/>
              <w:jc w:val="both"/>
              <w:rPr>
                <w:rFonts w:ascii="Times New Roman" w:eastAsia="Aptos" w:hAnsi="Times New Roman" w:cs="Times New Roman"/>
                <w:noProof/>
                <w:kern w:val="2"/>
                <w:sz w:val="20"/>
                <w:szCs w:val="20"/>
                <w:lang w:val="en-IE"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 xml:space="preserve">Only vulnerable and poor households as well as dwellings in energy efficiency categories G, F, E or D shall be eligible. Dwellings classified in the seismic risk classes RsI and RsII shall be excluded from financing energy efficiency interventions. </w:t>
            </w:r>
          </w:p>
        </w:tc>
      </w:tr>
      <w:tr w:rsidR="00F54DA9" w:rsidRPr="001B1E82" w14:paraId="057E3997"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634AABC" w14:textId="77777777" w:rsidR="00F54DA9" w:rsidRPr="001B1E82" w:rsidRDefault="00F54DA9" w:rsidP="00F54DA9">
            <w:pPr>
              <w:spacing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IE" w:eastAsia="en-US"/>
                <w14:ligatures w14:val="standardContextual"/>
              </w:rPr>
              <w:t xml:space="preserve">139 </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D86CF67" w14:textId="77777777" w:rsidR="00F54DA9" w:rsidRPr="001B1E82" w:rsidRDefault="00F54DA9" w:rsidP="00F54DA9">
            <w:pPr>
              <w:spacing w:line="245"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IE" w:eastAsia="en-US"/>
                <w14:ligatures w14:val="standardContextual"/>
              </w:rPr>
              <w:t>Investment 9. New electricity storage capacities</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7CF8BD7" w14:textId="77777777" w:rsidR="00F54DA9" w:rsidRPr="001B1E82" w:rsidRDefault="00F54DA9" w:rsidP="00F54DA9">
            <w:pPr>
              <w:spacing w:line="245" w:lineRule="auto"/>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IE" w:eastAsia="en-US"/>
                <w14:ligatures w14:val="standardContextual"/>
              </w:rPr>
              <w:t xml:space="preserve">Target </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034A6D3" w14:textId="77777777" w:rsidR="00F54DA9" w:rsidRPr="001B1E82" w:rsidRDefault="00F54DA9" w:rsidP="00F54DA9">
            <w:pPr>
              <w:spacing w:line="252"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IE" w:eastAsia="en-US"/>
                <w14:ligatures w14:val="standardContextual"/>
              </w:rPr>
              <w:t>Electricity storage capacity installed</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EF0BFD3" w14:textId="77777777" w:rsidR="00F54DA9" w:rsidRPr="001B1E82" w:rsidRDefault="00F54DA9" w:rsidP="00F54DA9">
            <w:pPr>
              <w:spacing w:line="252" w:lineRule="auto"/>
              <w:jc w:val="both"/>
              <w:rPr>
                <w:rFonts w:ascii="Times New Roman" w:eastAsia="Aptos" w:hAnsi="Times New Roman" w:cs="Times New Roman"/>
                <w:noProof/>
                <w:kern w:val="2"/>
                <w:sz w:val="20"/>
                <w:szCs w:val="20"/>
                <w:lang w:val="en-GB" w:eastAsia="en-US"/>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4FBCCF5" w14:textId="77777777" w:rsidR="00F54DA9" w:rsidRPr="001B1E82" w:rsidRDefault="00F54DA9" w:rsidP="00F54DA9">
            <w:pPr>
              <w:spacing w:line="259" w:lineRule="auto"/>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IE" w:eastAsia="en-US"/>
                <w14:ligatures w14:val="standardContextual"/>
              </w:rPr>
              <w:t>Megawatts (MW)</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AF29B89" w14:textId="77777777" w:rsidR="00F54DA9" w:rsidRPr="001B1E82" w:rsidRDefault="00F54DA9" w:rsidP="00F54DA9">
            <w:pPr>
              <w:spacing w:line="259" w:lineRule="auto"/>
              <w:jc w:val="center"/>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IE" w:eastAsia="en-US"/>
                <w14:ligatures w14:val="standardContextual"/>
              </w:rPr>
              <w:t>0</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845AA03" w14:textId="77777777" w:rsidR="00F54DA9" w:rsidRPr="001B1E82" w:rsidRDefault="00F54DA9" w:rsidP="00F54DA9">
            <w:pPr>
              <w:spacing w:line="257"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IE" w:eastAsia="en-US"/>
                <w14:ligatures w14:val="standardContextual"/>
              </w:rPr>
              <w:t>240</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3982DB9" w14:textId="77777777" w:rsidR="00F54DA9" w:rsidRPr="001B1E82" w:rsidRDefault="00F54DA9" w:rsidP="00F54DA9">
            <w:pPr>
              <w:spacing w:line="252"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IE" w:eastAsia="en-US"/>
                <w14:ligatures w14:val="standardContextual"/>
              </w:rPr>
              <w:t>Q2</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01EFCFC" w14:textId="77777777" w:rsidR="00F54DA9" w:rsidRPr="001B1E82" w:rsidRDefault="00F54DA9" w:rsidP="00F54DA9">
            <w:pPr>
              <w:spacing w:line="252"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IE" w:eastAsia="en-US"/>
                <w14:ligatures w14:val="standardContextual"/>
              </w:rPr>
              <w:t>2026</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FDBFCCF" w14:textId="77777777" w:rsidR="00F54DA9" w:rsidRPr="001B1E82" w:rsidRDefault="00F54DA9" w:rsidP="00F54DA9">
            <w:pPr>
              <w:spacing w:line="252"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IE" w:eastAsia="en-US"/>
                <w14:ligatures w14:val="standardContextual"/>
              </w:rPr>
              <w:t>Acceptance certificates proving the installation of at least 240 MW of electricity storage capacity, together with a notification of energisation (NPT), certifying the connection of the installation to the electricity transmission or distribution grid shall be issued by the Distribution System Operator or Transmission System Operator. The investment shall be implemented in accordance with conditions set out in the “Do No Significant Harm” Technical Guidance (2021/C58/01), in particular through the use of exclusions in the areas of waste management and mining of raw materials.</w:t>
            </w:r>
          </w:p>
        </w:tc>
      </w:tr>
      <w:tr w:rsidR="00F54DA9" w:rsidRPr="001B1E82" w14:paraId="3773B500"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67405A9" w14:textId="77777777" w:rsidR="00F54DA9" w:rsidRPr="001B1E82" w:rsidRDefault="00F54DA9" w:rsidP="00F54DA9">
            <w:pPr>
              <w:spacing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141</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C09F9E3" w14:textId="77777777" w:rsidR="00F54DA9" w:rsidRPr="001B1E82" w:rsidRDefault="00F54DA9" w:rsidP="00F54DA9">
            <w:pPr>
              <w:spacing w:line="245"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Investment 10. Ensuring energy efficiency in the industrial sector</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5C45CF8" w14:textId="77777777" w:rsidR="00F54DA9" w:rsidRPr="001B1E82" w:rsidRDefault="00F54DA9" w:rsidP="00F54DA9">
            <w:pPr>
              <w:spacing w:line="245" w:lineRule="auto"/>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 xml:space="preserve">Target </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92F7853" w14:textId="77777777" w:rsidR="00F54DA9" w:rsidRPr="001B1E82" w:rsidRDefault="00F54DA9" w:rsidP="00F54DA9">
            <w:pPr>
              <w:spacing w:line="252"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Delivery of energy efficiency projects</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D27E702" w14:textId="77777777" w:rsidR="00F54DA9" w:rsidRPr="001B1E82" w:rsidRDefault="00F54DA9" w:rsidP="00F54DA9">
            <w:pPr>
              <w:spacing w:line="252"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 xml:space="preserve"> </w:t>
            </w: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ED63648" w14:textId="77777777" w:rsidR="00F54DA9" w:rsidRPr="001B1E82" w:rsidRDefault="00F54DA9" w:rsidP="00F54DA9">
            <w:pPr>
              <w:spacing w:line="259" w:lineRule="auto"/>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Number</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AED3A0D" w14:textId="77777777" w:rsidR="00F54DA9" w:rsidRPr="001B1E82" w:rsidRDefault="00F54DA9" w:rsidP="00F54DA9">
            <w:pPr>
              <w:spacing w:line="259" w:lineRule="auto"/>
              <w:jc w:val="center"/>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0</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9D8F305" w14:textId="77777777" w:rsidR="00F54DA9" w:rsidRPr="001B1E82" w:rsidRDefault="00F54DA9" w:rsidP="00F54DA9">
            <w:pPr>
              <w:spacing w:line="257"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30</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2EFC8AF" w14:textId="77777777" w:rsidR="00F54DA9" w:rsidRPr="001B1E82" w:rsidRDefault="00F54DA9" w:rsidP="00F54DA9">
            <w:pPr>
              <w:spacing w:line="252"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Q4</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3F28816" w14:textId="77777777" w:rsidR="00F54DA9" w:rsidRPr="001B1E82" w:rsidRDefault="00F54DA9" w:rsidP="00F54DA9">
            <w:pPr>
              <w:spacing w:line="252"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2025</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A5B9BC5" w14:textId="77777777" w:rsidR="00F54DA9" w:rsidRPr="001B1E82" w:rsidRDefault="00F54DA9" w:rsidP="00F54DA9">
            <w:pPr>
              <w:spacing w:line="252"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 xml:space="preserve">Delivery of at least 30 energy efficiency projects, in industry audited by an external party, achieving at least 30 % reduction in indirect and direct GHG emissions compared to the ex-ante emissions to be monitored through an IT platform for centralising and analysing national energy consumption. </w:t>
            </w:r>
          </w:p>
        </w:tc>
      </w:tr>
    </w:tbl>
    <w:p w14:paraId="6CF39212" w14:textId="77777777" w:rsidR="00F54DA9" w:rsidRPr="00F54DA9" w:rsidRDefault="00F54DA9" w:rsidP="00F54DA9">
      <w:pPr>
        <w:spacing w:before="20" w:after="20" w:line="257" w:lineRule="auto"/>
        <w:jc w:val="both"/>
        <w:rPr>
          <w:rFonts w:ascii="Times New Roman" w:eastAsia="Times New Roman" w:hAnsi="Times New Roman" w:cs="Times New Roman"/>
          <w:noProof/>
          <w:kern w:val="2"/>
          <w:lang w:val="en-GB" w:eastAsia="en-US"/>
          <w14:ligatures w14:val="standardContextual"/>
        </w:rPr>
      </w:pPr>
    </w:p>
    <w:p w14:paraId="5737AAE8" w14:textId="77777777" w:rsidR="00F54DA9" w:rsidRPr="00F54DA9" w:rsidRDefault="00F54DA9" w:rsidP="00F54DA9">
      <w:pPr>
        <w:spacing w:before="20" w:after="20" w:line="257" w:lineRule="auto"/>
        <w:jc w:val="both"/>
        <w:rPr>
          <w:rFonts w:ascii="Times New Roman" w:eastAsia="Times New Roman" w:hAnsi="Times New Roman" w:cs="Times New Roman"/>
          <w:noProof/>
          <w:kern w:val="2"/>
          <w:lang w:val="en-GB" w:eastAsia="en-US"/>
          <w14:ligatures w14:val="standardContextual"/>
        </w:rPr>
        <w:sectPr w:rsidR="00F54DA9" w:rsidRPr="00F54DA9" w:rsidSect="00F54DA9">
          <w:headerReference w:type="even" r:id="rId365"/>
          <w:headerReference w:type="default" r:id="rId366"/>
          <w:footerReference w:type="even" r:id="rId367"/>
          <w:footerReference w:type="default" r:id="rId368"/>
          <w:headerReference w:type="first" r:id="rId369"/>
          <w:footerReference w:type="first" r:id="rId370"/>
          <w:pgSz w:w="16839" w:h="11907" w:orient="landscape" w:code="1"/>
          <w:pgMar w:top="1134" w:right="1134" w:bottom="1134" w:left="1134" w:header="567" w:footer="567" w:gutter="0"/>
          <w:cols w:space="720"/>
          <w:docGrid w:linePitch="360"/>
        </w:sectPr>
      </w:pPr>
    </w:p>
    <w:p w14:paraId="0DA4758E" w14:textId="77777777" w:rsidR="00F54DA9" w:rsidRPr="00F54DA9" w:rsidRDefault="00F54DA9" w:rsidP="00F54DA9">
      <w:pPr>
        <w:keepNext/>
        <w:spacing w:before="120" w:after="120" w:line="240" w:lineRule="auto"/>
        <w:jc w:val="both"/>
        <w:outlineLvl w:val="1"/>
        <w:rPr>
          <w:rFonts w:ascii="Times New Roman" w:eastAsia="Yu Gothic Light" w:hAnsi="Times New Roman" w:cs="Times New Roman"/>
          <w:b/>
          <w:bCs/>
          <w:noProof/>
          <w:kern w:val="2"/>
          <w:lang w:val="en-GB" w:eastAsia="en-US"/>
          <w14:ligatures w14:val="standardContextual"/>
        </w:rPr>
      </w:pPr>
      <w:r w:rsidRPr="00F54DA9">
        <w:rPr>
          <w:rFonts w:ascii="Times New Roman" w:eastAsia="Aptos" w:hAnsi="Times New Roman" w:cs="Times New Roman"/>
          <w:b/>
          <w:noProof/>
          <w:kern w:val="2"/>
          <w:lang w:val="en-GB" w:eastAsia="en-US"/>
          <w14:ligatures w14:val="standardContextual"/>
        </w:rPr>
        <w:t>P.3. Description of the reforms and investments for the loan</w:t>
      </w:r>
    </w:p>
    <w:p w14:paraId="4946BC7C" w14:textId="77777777" w:rsidR="00F54DA9" w:rsidRPr="00F54DA9" w:rsidRDefault="00F54DA9" w:rsidP="00F54DA9">
      <w:pPr>
        <w:spacing w:before="120" w:after="120" w:line="240" w:lineRule="auto"/>
        <w:jc w:val="both"/>
        <w:rPr>
          <w:rFonts w:ascii="Times New Roman" w:eastAsia="Aptos" w:hAnsi="Times New Roman" w:cs="Times New Roman"/>
          <w:noProof/>
          <w:kern w:val="2"/>
          <w:u w:val="single"/>
          <w:lang w:val="en-GB" w:eastAsia="en-US"/>
          <w14:ligatures w14:val="standardContextual"/>
        </w:rPr>
      </w:pPr>
    </w:p>
    <w:p w14:paraId="39B9BEB5" w14:textId="77777777" w:rsidR="00F54DA9" w:rsidRPr="00F54DA9" w:rsidRDefault="00F54DA9" w:rsidP="00F54DA9">
      <w:pPr>
        <w:spacing w:before="120" w:after="120" w:line="240" w:lineRule="auto"/>
        <w:jc w:val="both"/>
        <w:rPr>
          <w:rFonts w:ascii="Times New Roman" w:eastAsia="Aptos" w:hAnsi="Times New Roman" w:cs="Times New Roman"/>
          <w:noProof/>
          <w:kern w:val="2"/>
          <w:u w:val="single"/>
          <w:lang w:val="en-GB" w:eastAsia="en-US"/>
          <w14:ligatures w14:val="standardContextual"/>
        </w:rPr>
      </w:pPr>
      <w:r w:rsidRPr="00F54DA9">
        <w:rPr>
          <w:rFonts w:ascii="Times New Roman" w:eastAsia="Aptos" w:hAnsi="Times New Roman" w:cs="Times New Roman"/>
          <w:noProof/>
          <w:kern w:val="2"/>
          <w:u w:val="single"/>
          <w:lang w:val="en-GB" w:eastAsia="en-US"/>
          <w14:ligatures w14:val="standardContextual"/>
        </w:rPr>
        <w:t>Investment 7a: Grant Vouchers to support energy renovations for households</w:t>
      </w:r>
    </w:p>
    <w:p w14:paraId="25D6018B" w14:textId="77777777" w:rsidR="00F54DA9" w:rsidRPr="00F54DA9" w:rsidRDefault="00F54DA9" w:rsidP="00F54DA9">
      <w:pPr>
        <w:spacing w:before="120" w:after="120" w:line="240" w:lineRule="auto"/>
        <w:jc w:val="both"/>
        <w:rPr>
          <w:rFonts w:ascii="Times New Roman" w:eastAsia="Aptos"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This investment aims at decreasing primary energy demand of households by providing homeowners with financial support for combined energy efficiency renovation and installation of solar panels.</w:t>
      </w:r>
    </w:p>
    <w:p w14:paraId="1E05F888" w14:textId="77777777" w:rsidR="00F54DA9" w:rsidRPr="00F54DA9" w:rsidRDefault="00F54DA9" w:rsidP="00F54DA9">
      <w:pPr>
        <w:spacing w:before="120" w:after="120" w:line="240" w:lineRule="auto"/>
        <w:jc w:val="both"/>
        <w:rPr>
          <w:rFonts w:ascii="Times New Roman" w:eastAsia="Aptos"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The investment consists in the authorisation of disbursement of vouchers to make energy-efficiency-renovations to households.</w:t>
      </w:r>
    </w:p>
    <w:p w14:paraId="661C345F" w14:textId="77777777" w:rsidR="00F54DA9" w:rsidRPr="00F54DA9" w:rsidRDefault="00F54DA9" w:rsidP="00F54DA9">
      <w:pPr>
        <w:spacing w:before="120" w:after="120" w:line="240" w:lineRule="auto"/>
        <w:jc w:val="both"/>
        <w:rPr>
          <w:rFonts w:ascii="Times New Roman" w:eastAsia="Times New Roman" w:hAnsi="Times New Roman" w:cs="Times New Roman"/>
          <w:noProof/>
          <w:kern w:val="2"/>
          <w:lang w:val="en-GB" w:eastAsia="en-US"/>
          <w14:ligatures w14:val="standardContextual"/>
        </w:rPr>
      </w:pPr>
    </w:p>
    <w:p w14:paraId="63121ED7" w14:textId="77777777" w:rsidR="00F54DA9" w:rsidRPr="00F54DA9" w:rsidRDefault="00F54DA9" w:rsidP="00F54DA9">
      <w:pPr>
        <w:spacing w:before="120" w:after="120" w:line="240" w:lineRule="auto"/>
        <w:jc w:val="both"/>
        <w:rPr>
          <w:rFonts w:ascii="Times New Roman" w:eastAsia="Aptos" w:hAnsi="Times New Roman" w:cs="Times New Roman"/>
          <w:noProof/>
          <w:kern w:val="2"/>
          <w:u w:val="single"/>
          <w:lang w:val="en-GB" w:eastAsia="en-US"/>
          <w14:ligatures w14:val="standardContextual"/>
        </w:rPr>
      </w:pPr>
      <w:r w:rsidRPr="00F54DA9">
        <w:rPr>
          <w:rFonts w:ascii="Times New Roman" w:eastAsia="Aptos" w:hAnsi="Times New Roman" w:cs="Times New Roman"/>
          <w:noProof/>
          <w:kern w:val="2"/>
          <w:u w:val="single"/>
          <w:lang w:val="en-GB" w:eastAsia="en-US"/>
          <w14:ligatures w14:val="standardContextual"/>
        </w:rPr>
        <w:t xml:space="preserve">Investment 8: Contracts for Difference allocation </w:t>
      </w:r>
    </w:p>
    <w:p w14:paraId="49360163" w14:textId="77777777" w:rsidR="00F54DA9" w:rsidRPr="00F54DA9" w:rsidRDefault="00F54DA9" w:rsidP="00F54DA9">
      <w:pPr>
        <w:spacing w:before="120" w:after="120" w:line="240" w:lineRule="auto"/>
        <w:jc w:val="both"/>
        <w:rPr>
          <w:rFonts w:ascii="Times New Roman" w:eastAsia="Aptos"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 xml:space="preserve">The objective of this investment is the support of the deployment of onshore wind capacities thorugh a Contracts for Difference (CfD) allocation round. </w:t>
      </w:r>
    </w:p>
    <w:p w14:paraId="37E0004B" w14:textId="77777777" w:rsidR="00F54DA9" w:rsidRPr="00F54DA9" w:rsidRDefault="00F54DA9" w:rsidP="00F54DA9">
      <w:pPr>
        <w:spacing w:before="120" w:after="120" w:line="240" w:lineRule="auto"/>
        <w:jc w:val="both"/>
        <w:rPr>
          <w:rFonts w:ascii="Times New Roman" w:eastAsia="Aptos" w:hAnsi="Times New Roman" w:cs="Times New Roman"/>
          <w:noProof/>
          <w:kern w:val="2"/>
          <w:lang w:val="en-GB" w:eastAsia="en-US"/>
          <w14:ligatures w14:val="standardContextual"/>
        </w:rPr>
      </w:pPr>
      <w:r w:rsidRPr="00F54DA9">
        <w:rPr>
          <w:rFonts w:ascii="Times New Roman" w:eastAsia="Aptos" w:hAnsi="Times New Roman" w:cs="Times New Roman"/>
          <w:noProof/>
          <w:kern w:val="2"/>
          <w:lang w:val="en-GB" w:eastAsia="en-US"/>
          <w14:ligatures w14:val="standardContextual"/>
        </w:rPr>
        <w:t>This investment consists in the signature of CfDs with the successful project developers.</w:t>
      </w:r>
    </w:p>
    <w:p w14:paraId="2778021B" w14:textId="77777777" w:rsidR="00F54DA9" w:rsidRPr="00F54DA9" w:rsidRDefault="00F54DA9" w:rsidP="00F54DA9">
      <w:pPr>
        <w:spacing w:before="120" w:after="120" w:line="240" w:lineRule="auto"/>
        <w:jc w:val="both"/>
        <w:rPr>
          <w:rFonts w:ascii="Times New Roman" w:eastAsia="Times New Roman" w:hAnsi="Times New Roman" w:cs="Times New Roman"/>
          <w:b/>
          <w:bCs/>
          <w:noProof/>
          <w:kern w:val="2"/>
          <w:sz w:val="22"/>
          <w:szCs w:val="22"/>
          <w:u w:val="single"/>
          <w:lang w:val="en-GB" w:eastAsia="en-US"/>
          <w14:ligatures w14:val="standardContextual"/>
        </w:rPr>
      </w:pPr>
    </w:p>
    <w:p w14:paraId="41F59CE0" w14:textId="77777777" w:rsidR="00F54DA9" w:rsidRPr="00F54DA9" w:rsidRDefault="00F54DA9" w:rsidP="00F54DA9">
      <w:pPr>
        <w:spacing w:before="120" w:after="120" w:line="240" w:lineRule="auto"/>
        <w:jc w:val="both"/>
        <w:rPr>
          <w:rFonts w:ascii="Times New Roman" w:eastAsia="Times New Roman" w:hAnsi="Times New Roman" w:cs="Times New Roman"/>
          <w:b/>
          <w:bCs/>
          <w:noProof/>
          <w:kern w:val="2"/>
          <w:sz w:val="22"/>
          <w:szCs w:val="22"/>
          <w:u w:val="single"/>
          <w:lang w:val="en-GB" w:eastAsia="en-US"/>
          <w14:ligatures w14:val="standardContextual"/>
        </w:rPr>
        <w:sectPr w:rsidR="00F54DA9" w:rsidRPr="00F54DA9" w:rsidSect="00F54DA9">
          <w:headerReference w:type="even" r:id="rId371"/>
          <w:headerReference w:type="default" r:id="rId372"/>
          <w:footerReference w:type="even" r:id="rId373"/>
          <w:footerReference w:type="default" r:id="rId374"/>
          <w:headerReference w:type="first" r:id="rId375"/>
          <w:footerReference w:type="first" r:id="rId376"/>
          <w:pgSz w:w="11907" w:h="16839" w:code="1"/>
          <w:pgMar w:top="1134" w:right="1134" w:bottom="1134" w:left="1134" w:header="567" w:footer="567" w:gutter="0"/>
          <w:cols w:space="720"/>
          <w:docGrid w:linePitch="360"/>
        </w:sectPr>
      </w:pPr>
    </w:p>
    <w:p w14:paraId="069019C4" w14:textId="77777777" w:rsidR="00F54DA9" w:rsidRPr="00F54DA9" w:rsidRDefault="00F54DA9" w:rsidP="00F54DA9">
      <w:pPr>
        <w:keepNext/>
        <w:spacing w:before="120" w:after="120" w:line="240" w:lineRule="auto"/>
        <w:jc w:val="both"/>
        <w:outlineLvl w:val="1"/>
        <w:rPr>
          <w:rFonts w:ascii="Times New Roman" w:eastAsia="Yu Gothic Light" w:hAnsi="Times New Roman" w:cs="Times New Roman"/>
          <w:b/>
          <w:bCs/>
          <w:noProof/>
          <w:kern w:val="2"/>
          <w:lang w:val="en-GB" w:eastAsia="en-US"/>
          <w14:ligatures w14:val="standardContextual"/>
        </w:rPr>
      </w:pPr>
      <w:r w:rsidRPr="00F54DA9">
        <w:rPr>
          <w:rFonts w:ascii="Times New Roman" w:eastAsia="Aptos" w:hAnsi="Times New Roman" w:cs="Times New Roman"/>
          <w:b/>
          <w:bCs/>
          <w:noProof/>
          <w:kern w:val="2"/>
          <w:lang w:val="en-GB" w:eastAsia="en-US"/>
          <w14:ligatures w14:val="standardContextual"/>
        </w:rPr>
        <w:t>P.4. Milestones, targets, indicators, and timetable for monitoring and implementation for the loan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6A0" w:firstRow="1" w:lastRow="0" w:firstColumn="1" w:lastColumn="0" w:noHBand="1" w:noVBand="1"/>
      </w:tblPr>
      <w:tblGrid>
        <w:gridCol w:w="837"/>
        <w:gridCol w:w="2015"/>
        <w:gridCol w:w="1104"/>
        <w:gridCol w:w="1736"/>
        <w:gridCol w:w="1407"/>
        <w:gridCol w:w="1287"/>
        <w:gridCol w:w="877"/>
        <w:gridCol w:w="1014"/>
        <w:gridCol w:w="865"/>
        <w:gridCol w:w="536"/>
        <w:gridCol w:w="2883"/>
      </w:tblGrid>
      <w:tr w:rsidR="00F54DA9" w:rsidRPr="001B1E82" w14:paraId="5C835EAA" w14:textId="77777777" w:rsidTr="001B1E82">
        <w:trPr>
          <w:trHeight w:val="585"/>
          <w:tblHeader/>
        </w:trPr>
        <w:tc>
          <w:tcPr>
            <w:tcW w:w="287" w:type="pct"/>
            <w:vMerge w:val="restart"/>
            <w:shd w:val="clear" w:color="auto" w:fill="C5D9F0"/>
            <w:tcMar>
              <w:left w:w="57" w:type="dxa"/>
              <w:right w:w="57" w:type="dxa"/>
            </w:tcMar>
            <w:vAlign w:val="center"/>
          </w:tcPr>
          <w:p w14:paraId="61392641" w14:textId="77777777" w:rsidR="00F54DA9" w:rsidRPr="001B1E82" w:rsidRDefault="00F54DA9" w:rsidP="00F54DA9">
            <w:pPr>
              <w:spacing w:after="0" w:line="245"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Seq Num</w:t>
            </w:r>
          </w:p>
        </w:tc>
        <w:tc>
          <w:tcPr>
            <w:tcW w:w="692" w:type="pct"/>
            <w:vMerge w:val="restart"/>
            <w:shd w:val="clear" w:color="auto" w:fill="C5D9F0"/>
            <w:tcMar>
              <w:left w:w="57" w:type="dxa"/>
              <w:right w:w="57" w:type="dxa"/>
            </w:tcMar>
            <w:vAlign w:val="center"/>
          </w:tcPr>
          <w:p w14:paraId="687D7256" w14:textId="29F263E2" w:rsidR="00F54DA9" w:rsidRPr="001B1E82" w:rsidRDefault="001B1E82" w:rsidP="00F54DA9">
            <w:pPr>
              <w:spacing w:after="0" w:line="252"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hAnsi="Times New Roman" w:cs="Times New Roman"/>
                <w:b/>
                <w:noProof/>
                <w:sz w:val="20"/>
                <w:szCs w:val="20"/>
                <w:lang w:val="en-GB"/>
              </w:rPr>
              <w:t>Related Measure (Reform or Investment)</w:t>
            </w:r>
          </w:p>
        </w:tc>
        <w:tc>
          <w:tcPr>
            <w:tcW w:w="379" w:type="pct"/>
            <w:vMerge w:val="restart"/>
            <w:shd w:val="clear" w:color="auto" w:fill="C5D9F0"/>
            <w:tcMar>
              <w:left w:w="57" w:type="dxa"/>
              <w:right w:w="57" w:type="dxa"/>
            </w:tcMar>
            <w:vAlign w:val="center"/>
          </w:tcPr>
          <w:p w14:paraId="2F984E92" w14:textId="69BAED60" w:rsidR="00F54DA9" w:rsidRPr="001B1E82" w:rsidRDefault="00F54DA9" w:rsidP="00F54DA9">
            <w:pPr>
              <w:spacing w:before="142" w:after="0"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Milestone/ Target</w:t>
            </w:r>
          </w:p>
        </w:tc>
        <w:tc>
          <w:tcPr>
            <w:tcW w:w="596" w:type="pct"/>
            <w:vMerge w:val="restart"/>
            <w:shd w:val="clear" w:color="auto" w:fill="C5D9F0"/>
            <w:tcMar>
              <w:left w:w="57" w:type="dxa"/>
              <w:right w:w="57" w:type="dxa"/>
            </w:tcMar>
            <w:vAlign w:val="center"/>
          </w:tcPr>
          <w:p w14:paraId="010AFE26" w14:textId="77777777" w:rsidR="00F54DA9" w:rsidRPr="001B1E82" w:rsidRDefault="00F54DA9" w:rsidP="00F54DA9">
            <w:pPr>
              <w:spacing w:before="4" w:after="0" w:line="257"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Name</w:t>
            </w:r>
          </w:p>
        </w:tc>
        <w:tc>
          <w:tcPr>
            <w:tcW w:w="483" w:type="pct"/>
            <w:vMerge w:val="restart"/>
            <w:shd w:val="clear" w:color="auto" w:fill="C5D9F0"/>
            <w:tcMar>
              <w:left w:w="57" w:type="dxa"/>
              <w:right w:w="57" w:type="dxa"/>
            </w:tcMar>
            <w:vAlign w:val="center"/>
          </w:tcPr>
          <w:p w14:paraId="1DC4B9BE" w14:textId="77777777" w:rsidR="00F54DA9" w:rsidRPr="001B1E82" w:rsidRDefault="00F54DA9" w:rsidP="00F54DA9">
            <w:pPr>
              <w:spacing w:before="1" w:after="0" w:line="242" w:lineRule="auto"/>
              <w:ind w:firstLine="45"/>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Qualitative indicator (for milestones)</w:t>
            </w:r>
          </w:p>
        </w:tc>
        <w:tc>
          <w:tcPr>
            <w:tcW w:w="1091" w:type="pct"/>
            <w:gridSpan w:val="3"/>
            <w:shd w:val="clear" w:color="auto" w:fill="C5D9F0"/>
            <w:tcMar>
              <w:left w:w="57" w:type="dxa"/>
              <w:right w:w="57" w:type="dxa"/>
            </w:tcMar>
            <w:vAlign w:val="center"/>
          </w:tcPr>
          <w:p w14:paraId="1F1681DF" w14:textId="77777777" w:rsidR="00F54DA9" w:rsidRPr="001B1E82" w:rsidRDefault="00F54DA9" w:rsidP="00F54DA9">
            <w:pPr>
              <w:spacing w:before="142" w:after="0" w:line="223"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 xml:space="preserve">Quantitative indicator </w:t>
            </w:r>
            <w:r w:rsidRPr="001B1E82">
              <w:rPr>
                <w:rFonts w:ascii="Times New Roman" w:eastAsia="Aptos" w:hAnsi="Times New Roman" w:cs="Times New Roman"/>
                <w:noProof/>
                <w:kern w:val="2"/>
                <w:sz w:val="20"/>
                <w:szCs w:val="20"/>
                <w:lang w:val="en-GB" w:eastAsia="en-US"/>
                <w14:ligatures w14:val="standardContextual"/>
              </w:rPr>
              <w:br/>
            </w:r>
            <w:r w:rsidRPr="001B1E82">
              <w:rPr>
                <w:rFonts w:ascii="Times New Roman" w:eastAsia="Aptos" w:hAnsi="Times New Roman" w:cs="Times New Roman"/>
                <w:b/>
                <w:noProof/>
                <w:kern w:val="2"/>
                <w:sz w:val="20"/>
                <w:szCs w:val="20"/>
                <w:lang w:val="en-GB" w:eastAsia="en-US"/>
                <w14:ligatures w14:val="standardContextual"/>
              </w:rPr>
              <w:t>for target</w:t>
            </w:r>
          </w:p>
        </w:tc>
        <w:tc>
          <w:tcPr>
            <w:tcW w:w="481" w:type="pct"/>
            <w:gridSpan w:val="2"/>
            <w:shd w:val="clear" w:color="auto" w:fill="C5D9F0"/>
            <w:tcMar>
              <w:left w:w="57" w:type="dxa"/>
              <w:right w:w="57" w:type="dxa"/>
            </w:tcMar>
            <w:vAlign w:val="center"/>
          </w:tcPr>
          <w:p w14:paraId="3D8110CE" w14:textId="77777777" w:rsidR="00F54DA9" w:rsidRPr="001B1E82" w:rsidRDefault="00F54DA9" w:rsidP="00F54DA9">
            <w:pPr>
              <w:spacing w:before="3"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Time</w:t>
            </w:r>
          </w:p>
        </w:tc>
        <w:tc>
          <w:tcPr>
            <w:tcW w:w="990" w:type="pct"/>
            <w:vMerge w:val="restart"/>
            <w:shd w:val="clear" w:color="auto" w:fill="C5D9F0"/>
            <w:tcMar>
              <w:left w:w="57" w:type="dxa"/>
              <w:right w:w="57" w:type="dxa"/>
            </w:tcMar>
            <w:vAlign w:val="center"/>
          </w:tcPr>
          <w:p w14:paraId="1B6E874B" w14:textId="77777777" w:rsidR="00F54DA9" w:rsidRPr="001B1E82" w:rsidRDefault="00F54DA9" w:rsidP="00F54DA9">
            <w:pPr>
              <w:spacing w:before="6" w:after="0"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 xml:space="preserve"> </w:t>
            </w:r>
          </w:p>
          <w:p w14:paraId="7A48F8F2"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Description of each milestone and target</w:t>
            </w:r>
          </w:p>
        </w:tc>
      </w:tr>
      <w:tr w:rsidR="00F54DA9" w:rsidRPr="001B1E82" w14:paraId="776B1356" w14:textId="77777777" w:rsidTr="001B1E82">
        <w:trPr>
          <w:trHeight w:val="585"/>
          <w:tblHeader/>
        </w:trPr>
        <w:tc>
          <w:tcPr>
            <w:tcW w:w="287" w:type="pct"/>
            <w:vMerge/>
            <w:tcMar>
              <w:left w:w="57" w:type="dxa"/>
              <w:right w:w="57" w:type="dxa"/>
            </w:tcMar>
            <w:vAlign w:val="center"/>
          </w:tcPr>
          <w:p w14:paraId="36D37840" w14:textId="77777777" w:rsidR="00F54DA9" w:rsidRPr="001B1E82" w:rsidRDefault="00F54DA9" w:rsidP="00F54DA9">
            <w:pPr>
              <w:spacing w:line="259" w:lineRule="auto"/>
              <w:rPr>
                <w:rFonts w:ascii="Times New Roman" w:eastAsia="Aptos" w:hAnsi="Times New Roman" w:cs="Times New Roman"/>
                <w:noProof/>
                <w:kern w:val="2"/>
                <w:sz w:val="20"/>
                <w:szCs w:val="20"/>
                <w:lang w:val="en-GB" w:eastAsia="en-US"/>
                <w14:ligatures w14:val="standardContextual"/>
              </w:rPr>
            </w:pPr>
          </w:p>
        </w:tc>
        <w:tc>
          <w:tcPr>
            <w:tcW w:w="692" w:type="pct"/>
            <w:vMerge/>
            <w:tcMar>
              <w:left w:w="57" w:type="dxa"/>
              <w:right w:w="57" w:type="dxa"/>
            </w:tcMar>
            <w:vAlign w:val="center"/>
          </w:tcPr>
          <w:p w14:paraId="69B8F694" w14:textId="77777777" w:rsidR="00F54DA9" w:rsidRPr="001B1E82" w:rsidRDefault="00F54DA9" w:rsidP="00F54DA9">
            <w:pPr>
              <w:spacing w:line="259" w:lineRule="auto"/>
              <w:rPr>
                <w:rFonts w:ascii="Times New Roman" w:eastAsia="Aptos" w:hAnsi="Times New Roman" w:cs="Times New Roman"/>
                <w:noProof/>
                <w:kern w:val="2"/>
                <w:sz w:val="20"/>
                <w:szCs w:val="20"/>
                <w:lang w:val="en-GB" w:eastAsia="en-US"/>
                <w14:ligatures w14:val="standardContextual"/>
              </w:rPr>
            </w:pPr>
          </w:p>
        </w:tc>
        <w:tc>
          <w:tcPr>
            <w:tcW w:w="379" w:type="pct"/>
            <w:vMerge/>
            <w:tcMar>
              <w:left w:w="57" w:type="dxa"/>
              <w:right w:w="57" w:type="dxa"/>
            </w:tcMar>
            <w:vAlign w:val="center"/>
          </w:tcPr>
          <w:p w14:paraId="77D888F8" w14:textId="77777777" w:rsidR="00F54DA9" w:rsidRPr="001B1E82" w:rsidRDefault="00F54DA9" w:rsidP="00F54DA9">
            <w:pPr>
              <w:spacing w:line="259" w:lineRule="auto"/>
              <w:rPr>
                <w:rFonts w:ascii="Times New Roman" w:eastAsia="Aptos" w:hAnsi="Times New Roman" w:cs="Times New Roman"/>
                <w:noProof/>
                <w:kern w:val="2"/>
                <w:sz w:val="20"/>
                <w:szCs w:val="20"/>
                <w:lang w:val="en-GB" w:eastAsia="en-US"/>
                <w14:ligatures w14:val="standardContextual"/>
              </w:rPr>
            </w:pPr>
          </w:p>
        </w:tc>
        <w:tc>
          <w:tcPr>
            <w:tcW w:w="596" w:type="pct"/>
            <w:vMerge/>
            <w:tcMar>
              <w:left w:w="57" w:type="dxa"/>
              <w:right w:w="57" w:type="dxa"/>
            </w:tcMar>
            <w:vAlign w:val="center"/>
          </w:tcPr>
          <w:p w14:paraId="490B7FF0" w14:textId="77777777" w:rsidR="00F54DA9" w:rsidRPr="001B1E82" w:rsidRDefault="00F54DA9" w:rsidP="00F54DA9">
            <w:pPr>
              <w:spacing w:line="259" w:lineRule="auto"/>
              <w:rPr>
                <w:rFonts w:ascii="Times New Roman" w:eastAsia="Aptos" w:hAnsi="Times New Roman" w:cs="Times New Roman"/>
                <w:noProof/>
                <w:kern w:val="2"/>
                <w:sz w:val="20"/>
                <w:szCs w:val="20"/>
                <w:lang w:val="en-GB" w:eastAsia="en-US"/>
                <w14:ligatures w14:val="standardContextual"/>
              </w:rPr>
            </w:pPr>
          </w:p>
        </w:tc>
        <w:tc>
          <w:tcPr>
            <w:tcW w:w="483" w:type="pct"/>
            <w:vMerge/>
            <w:tcMar>
              <w:left w:w="57" w:type="dxa"/>
              <w:right w:w="57" w:type="dxa"/>
            </w:tcMar>
            <w:vAlign w:val="center"/>
          </w:tcPr>
          <w:p w14:paraId="5937FF1D" w14:textId="77777777" w:rsidR="00F54DA9" w:rsidRPr="001B1E82" w:rsidRDefault="00F54DA9" w:rsidP="00F54DA9">
            <w:pPr>
              <w:spacing w:line="259" w:lineRule="auto"/>
              <w:rPr>
                <w:rFonts w:ascii="Times New Roman" w:eastAsia="Aptos" w:hAnsi="Times New Roman" w:cs="Times New Roman"/>
                <w:noProof/>
                <w:kern w:val="2"/>
                <w:sz w:val="20"/>
                <w:szCs w:val="20"/>
                <w:lang w:val="en-GB" w:eastAsia="en-US"/>
                <w14:ligatures w14:val="standardContextual"/>
              </w:rPr>
            </w:pPr>
          </w:p>
        </w:tc>
        <w:tc>
          <w:tcPr>
            <w:tcW w:w="442" w:type="pct"/>
            <w:shd w:val="clear" w:color="auto" w:fill="C5D9F0"/>
            <w:tcMar>
              <w:left w:w="57" w:type="dxa"/>
              <w:right w:w="57" w:type="dxa"/>
            </w:tcMar>
            <w:vAlign w:val="center"/>
          </w:tcPr>
          <w:p w14:paraId="5442EF13" w14:textId="5C70CC42" w:rsidR="00F54DA9" w:rsidRPr="001B1E82" w:rsidRDefault="00F54DA9" w:rsidP="00F54DA9">
            <w:pPr>
              <w:spacing w:before="142" w:after="0" w:line="223"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Unit</w:t>
            </w:r>
            <w:r w:rsidR="001B1E82">
              <w:rPr>
                <w:rFonts w:ascii="Times New Roman" w:eastAsia="Aptos" w:hAnsi="Times New Roman" w:cs="Times New Roman"/>
                <w:b/>
                <w:noProof/>
                <w:kern w:val="2"/>
                <w:sz w:val="20"/>
                <w:szCs w:val="20"/>
                <w:lang w:val="en-GB" w:eastAsia="en-US"/>
                <w14:ligatures w14:val="standardContextual"/>
              </w:rPr>
              <w:t xml:space="preserve"> of measure</w:t>
            </w:r>
          </w:p>
        </w:tc>
        <w:tc>
          <w:tcPr>
            <w:tcW w:w="301" w:type="pct"/>
            <w:shd w:val="clear" w:color="auto" w:fill="C5D9F0"/>
            <w:tcMar>
              <w:left w:w="57" w:type="dxa"/>
              <w:right w:w="57" w:type="dxa"/>
            </w:tcMar>
            <w:vAlign w:val="center"/>
          </w:tcPr>
          <w:p w14:paraId="26DA8931" w14:textId="77777777" w:rsidR="00F54DA9" w:rsidRPr="001B1E82" w:rsidRDefault="00F54DA9" w:rsidP="00F54DA9">
            <w:pPr>
              <w:spacing w:before="142" w:after="0" w:line="223"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Baseline</w:t>
            </w:r>
          </w:p>
        </w:tc>
        <w:tc>
          <w:tcPr>
            <w:tcW w:w="348" w:type="pct"/>
            <w:shd w:val="clear" w:color="auto" w:fill="C5D9F0"/>
            <w:tcMar>
              <w:left w:w="57" w:type="dxa"/>
              <w:right w:w="57" w:type="dxa"/>
            </w:tcMar>
            <w:vAlign w:val="center"/>
          </w:tcPr>
          <w:p w14:paraId="28CDD5BF" w14:textId="77777777" w:rsidR="00F54DA9" w:rsidRPr="001B1E82" w:rsidRDefault="00F54DA9" w:rsidP="00F54DA9">
            <w:pPr>
              <w:spacing w:before="142" w:after="0" w:line="223"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Goal</w:t>
            </w:r>
          </w:p>
        </w:tc>
        <w:tc>
          <w:tcPr>
            <w:tcW w:w="297" w:type="pct"/>
            <w:shd w:val="clear" w:color="auto" w:fill="C5D9F0"/>
            <w:tcMar>
              <w:left w:w="57" w:type="dxa"/>
              <w:right w:w="57" w:type="dxa"/>
            </w:tcMar>
            <w:vAlign w:val="center"/>
          </w:tcPr>
          <w:p w14:paraId="7B8DDC05" w14:textId="77777777" w:rsidR="00F54DA9" w:rsidRPr="001B1E82" w:rsidRDefault="00F54DA9" w:rsidP="00F54DA9">
            <w:pPr>
              <w:spacing w:before="142" w:after="0" w:line="223" w:lineRule="auto"/>
              <w:jc w:val="center"/>
              <w:rPr>
                <w:rFonts w:ascii="Times New Roman" w:eastAsia="Times New Roman" w:hAnsi="Times New Roman" w:cs="Times New Roman"/>
                <w:b/>
                <w:bCs/>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Quarter</w:t>
            </w:r>
          </w:p>
        </w:tc>
        <w:tc>
          <w:tcPr>
            <w:tcW w:w="184" w:type="pct"/>
            <w:shd w:val="clear" w:color="auto" w:fill="C5D9F0"/>
            <w:tcMar>
              <w:left w:w="57" w:type="dxa"/>
              <w:right w:w="57" w:type="dxa"/>
            </w:tcMar>
            <w:vAlign w:val="center"/>
          </w:tcPr>
          <w:p w14:paraId="0C3EB1A4" w14:textId="77777777" w:rsidR="00F54DA9" w:rsidRPr="001B1E82" w:rsidRDefault="00F54DA9" w:rsidP="00F54DA9">
            <w:pPr>
              <w:spacing w:before="142" w:after="0" w:line="223" w:lineRule="auto"/>
              <w:jc w:val="center"/>
              <w:rPr>
                <w:rFonts w:ascii="Times New Roman" w:eastAsia="Times New Roman" w:hAnsi="Times New Roman" w:cs="Times New Roman"/>
                <w:b/>
                <w:bCs/>
                <w:noProof/>
                <w:kern w:val="2"/>
                <w:sz w:val="20"/>
                <w:szCs w:val="20"/>
                <w:lang w:val="en-GB" w:eastAsia="en-US"/>
                <w14:ligatures w14:val="standardContextual"/>
              </w:rPr>
            </w:pPr>
            <w:r w:rsidRPr="001B1E82">
              <w:rPr>
                <w:rFonts w:ascii="Times New Roman" w:eastAsia="Aptos" w:hAnsi="Times New Roman" w:cs="Times New Roman"/>
                <w:b/>
                <w:noProof/>
                <w:kern w:val="2"/>
                <w:sz w:val="20"/>
                <w:szCs w:val="20"/>
                <w:lang w:val="en-GB" w:eastAsia="en-US"/>
                <w14:ligatures w14:val="standardContextual"/>
              </w:rPr>
              <w:t>Year</w:t>
            </w:r>
          </w:p>
        </w:tc>
        <w:tc>
          <w:tcPr>
            <w:tcW w:w="990" w:type="pct"/>
            <w:vMerge/>
            <w:tcMar>
              <w:left w:w="57" w:type="dxa"/>
              <w:right w:w="57" w:type="dxa"/>
            </w:tcMar>
            <w:vAlign w:val="center"/>
          </w:tcPr>
          <w:p w14:paraId="5C31A3F0" w14:textId="77777777" w:rsidR="00F54DA9" w:rsidRPr="001B1E82" w:rsidRDefault="00F54DA9" w:rsidP="00F54DA9">
            <w:pPr>
              <w:spacing w:line="259" w:lineRule="auto"/>
              <w:rPr>
                <w:rFonts w:ascii="Times New Roman" w:eastAsia="Aptos" w:hAnsi="Times New Roman" w:cs="Times New Roman"/>
                <w:noProof/>
                <w:kern w:val="2"/>
                <w:sz w:val="20"/>
                <w:szCs w:val="20"/>
                <w:lang w:val="en-GB" w:eastAsia="en-US"/>
                <w14:ligatures w14:val="standardContextual"/>
              </w:rPr>
            </w:pPr>
          </w:p>
        </w:tc>
      </w:tr>
      <w:tr w:rsidR="00F54DA9" w:rsidRPr="001B1E82" w:rsidDel="009B7467" w14:paraId="58E1C57C" w14:textId="77777777" w:rsidTr="001B1E82">
        <w:trPr>
          <w:trHeight w:val="406"/>
        </w:trPr>
        <w:tc>
          <w:tcPr>
            <w:tcW w:w="287" w:type="pct"/>
            <w:shd w:val="clear" w:color="auto" w:fill="C5EECE"/>
            <w:tcMar>
              <w:left w:w="57" w:type="dxa"/>
              <w:right w:w="57" w:type="dxa"/>
            </w:tcMar>
          </w:tcPr>
          <w:p w14:paraId="5DA9D8B3"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529a</w:t>
            </w:r>
          </w:p>
        </w:tc>
        <w:tc>
          <w:tcPr>
            <w:tcW w:w="692" w:type="pct"/>
            <w:shd w:val="clear" w:color="auto" w:fill="C5EECE"/>
            <w:tcMar>
              <w:left w:w="57" w:type="dxa"/>
              <w:right w:w="57" w:type="dxa"/>
            </w:tcMar>
          </w:tcPr>
          <w:p w14:paraId="57EB2B29" w14:textId="77777777" w:rsidR="00F54DA9" w:rsidRPr="001B1E82" w:rsidRDefault="00F54DA9" w:rsidP="00F54DA9">
            <w:pPr>
              <w:spacing w:after="0" w:line="245"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Investment 7a. Grant Vouchers to support energy renovations for households</w:t>
            </w:r>
          </w:p>
        </w:tc>
        <w:tc>
          <w:tcPr>
            <w:tcW w:w="379" w:type="pct"/>
            <w:shd w:val="clear" w:color="auto" w:fill="C5EECE"/>
            <w:tcMar>
              <w:left w:w="57" w:type="dxa"/>
              <w:right w:w="57" w:type="dxa"/>
            </w:tcMar>
          </w:tcPr>
          <w:p w14:paraId="73E39F74"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Target</w:t>
            </w:r>
          </w:p>
        </w:tc>
        <w:tc>
          <w:tcPr>
            <w:tcW w:w="596" w:type="pct"/>
            <w:shd w:val="clear" w:color="auto" w:fill="C5EECE"/>
            <w:tcMar>
              <w:left w:w="57" w:type="dxa"/>
              <w:right w:w="57" w:type="dxa"/>
            </w:tcMar>
          </w:tcPr>
          <w:p w14:paraId="7E6923FE"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Authorisation of payments for energy renovation of dwellings</w:t>
            </w:r>
          </w:p>
        </w:tc>
        <w:tc>
          <w:tcPr>
            <w:tcW w:w="483" w:type="pct"/>
            <w:shd w:val="clear" w:color="auto" w:fill="C5EECE"/>
            <w:tcMar>
              <w:left w:w="57" w:type="dxa"/>
              <w:right w:w="57" w:type="dxa"/>
            </w:tcMar>
          </w:tcPr>
          <w:p w14:paraId="2296B50C"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p>
        </w:tc>
        <w:tc>
          <w:tcPr>
            <w:tcW w:w="442" w:type="pct"/>
            <w:shd w:val="clear" w:color="auto" w:fill="C5EECE"/>
            <w:tcMar>
              <w:left w:w="57" w:type="dxa"/>
              <w:right w:w="57" w:type="dxa"/>
            </w:tcMar>
          </w:tcPr>
          <w:p w14:paraId="0AAC44E3" w14:textId="77777777" w:rsidR="00F54DA9" w:rsidRPr="001B1E82" w:rsidDel="009B7467"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EUR</w:t>
            </w:r>
          </w:p>
        </w:tc>
        <w:tc>
          <w:tcPr>
            <w:tcW w:w="301" w:type="pct"/>
            <w:shd w:val="clear" w:color="auto" w:fill="C5EECE"/>
            <w:tcMar>
              <w:left w:w="57" w:type="dxa"/>
              <w:right w:w="57" w:type="dxa"/>
            </w:tcMar>
          </w:tcPr>
          <w:p w14:paraId="0DDB5C6F" w14:textId="77777777" w:rsidR="00F54DA9" w:rsidRPr="001B1E82" w:rsidDel="009B7467"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0</w:t>
            </w:r>
          </w:p>
        </w:tc>
        <w:tc>
          <w:tcPr>
            <w:tcW w:w="348" w:type="pct"/>
            <w:shd w:val="clear" w:color="auto" w:fill="C5EECE"/>
            <w:tcMar>
              <w:left w:w="57" w:type="dxa"/>
              <w:right w:w="57" w:type="dxa"/>
            </w:tcMar>
          </w:tcPr>
          <w:p w14:paraId="3375C8FF" w14:textId="52A290CD" w:rsidR="00F54DA9" w:rsidRPr="001B1E82" w:rsidDel="009B7467" w:rsidRDefault="00F54DA9" w:rsidP="00F54DA9">
            <w:pPr>
              <w:spacing w:after="0" w:line="257"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96</w:t>
            </w:r>
            <w:r w:rsidR="00F21442" w:rsidRPr="001B1E82">
              <w:rPr>
                <w:rFonts w:ascii="Times New Roman" w:eastAsia="Aptos" w:hAnsi="Times New Roman" w:cs="Times New Roman"/>
                <w:noProof/>
                <w:kern w:val="2"/>
                <w:sz w:val="20"/>
                <w:szCs w:val="20"/>
                <w:lang w:val="en-GB" w:eastAsia="en-US"/>
                <w14:ligatures w14:val="standardContextual"/>
              </w:rPr>
              <w:t> </w:t>
            </w:r>
            <w:r w:rsidRPr="001B1E82">
              <w:rPr>
                <w:rFonts w:ascii="Times New Roman" w:eastAsia="Aptos" w:hAnsi="Times New Roman" w:cs="Times New Roman"/>
                <w:noProof/>
                <w:kern w:val="2"/>
                <w:sz w:val="20"/>
                <w:szCs w:val="20"/>
                <w:lang w:val="en-GB" w:eastAsia="en-US"/>
                <w14:ligatures w14:val="standardContextual"/>
              </w:rPr>
              <w:t>698</w:t>
            </w:r>
            <w:r w:rsidR="00F21442" w:rsidRPr="001B1E82">
              <w:rPr>
                <w:rFonts w:ascii="Times New Roman" w:eastAsia="Aptos" w:hAnsi="Times New Roman" w:cs="Times New Roman"/>
                <w:noProof/>
                <w:kern w:val="2"/>
                <w:sz w:val="20"/>
                <w:szCs w:val="20"/>
                <w:lang w:val="en-GB" w:eastAsia="en-US"/>
                <w14:ligatures w14:val="standardContextual"/>
              </w:rPr>
              <w:t> </w:t>
            </w:r>
            <w:r w:rsidRPr="001B1E82">
              <w:rPr>
                <w:rFonts w:ascii="Times New Roman" w:eastAsia="Aptos" w:hAnsi="Times New Roman" w:cs="Times New Roman"/>
                <w:noProof/>
                <w:kern w:val="2"/>
                <w:sz w:val="20"/>
                <w:szCs w:val="20"/>
                <w:lang w:val="en-GB" w:eastAsia="en-US"/>
                <w14:ligatures w14:val="standardContextual"/>
              </w:rPr>
              <w:t>120</w:t>
            </w:r>
          </w:p>
        </w:tc>
        <w:tc>
          <w:tcPr>
            <w:tcW w:w="297" w:type="pct"/>
            <w:shd w:val="clear" w:color="auto" w:fill="C5EECE"/>
            <w:tcMar>
              <w:left w:w="57" w:type="dxa"/>
              <w:right w:w="57" w:type="dxa"/>
            </w:tcMar>
          </w:tcPr>
          <w:p w14:paraId="48AC9ABB"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Q3</w:t>
            </w:r>
          </w:p>
        </w:tc>
        <w:tc>
          <w:tcPr>
            <w:tcW w:w="184" w:type="pct"/>
            <w:shd w:val="clear" w:color="auto" w:fill="C5EECE"/>
            <w:tcMar>
              <w:left w:w="57" w:type="dxa"/>
              <w:right w:w="57" w:type="dxa"/>
            </w:tcMar>
          </w:tcPr>
          <w:p w14:paraId="20B8C556"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2026</w:t>
            </w:r>
          </w:p>
        </w:tc>
        <w:tc>
          <w:tcPr>
            <w:tcW w:w="990" w:type="pct"/>
            <w:shd w:val="clear" w:color="auto" w:fill="C5EECE"/>
            <w:tcMar>
              <w:left w:w="57" w:type="dxa"/>
              <w:right w:w="57" w:type="dxa"/>
            </w:tcMar>
          </w:tcPr>
          <w:p w14:paraId="6B774011" w14:textId="3422B0DC"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Decisions to authorise the payments of the grants vouchers for a total amount of EUR 96</w:t>
            </w:r>
            <w:r w:rsidR="00F21442" w:rsidRPr="001B1E82">
              <w:rPr>
                <w:rFonts w:ascii="Times New Roman" w:eastAsia="Aptos" w:hAnsi="Times New Roman" w:cs="Times New Roman"/>
                <w:noProof/>
                <w:kern w:val="2"/>
                <w:sz w:val="20"/>
                <w:szCs w:val="20"/>
                <w:lang w:val="en-GB" w:eastAsia="en-US"/>
                <w14:ligatures w14:val="standardContextual"/>
              </w:rPr>
              <w:t> </w:t>
            </w:r>
            <w:r w:rsidRPr="001B1E82">
              <w:rPr>
                <w:rFonts w:ascii="Times New Roman" w:eastAsia="Aptos" w:hAnsi="Times New Roman" w:cs="Times New Roman"/>
                <w:noProof/>
                <w:kern w:val="2"/>
                <w:sz w:val="20"/>
                <w:szCs w:val="20"/>
                <w:lang w:val="en-GB" w:eastAsia="en-US"/>
                <w14:ligatures w14:val="standardContextual"/>
              </w:rPr>
              <w:t>698</w:t>
            </w:r>
            <w:r w:rsidR="00F21442" w:rsidRPr="001B1E82">
              <w:rPr>
                <w:rFonts w:ascii="Times New Roman" w:eastAsia="Aptos" w:hAnsi="Times New Roman" w:cs="Times New Roman"/>
                <w:noProof/>
                <w:kern w:val="2"/>
                <w:sz w:val="20"/>
                <w:szCs w:val="20"/>
                <w:lang w:val="en-GB" w:eastAsia="en-US"/>
                <w14:ligatures w14:val="standardContextual"/>
              </w:rPr>
              <w:t> </w:t>
            </w:r>
            <w:r w:rsidRPr="001B1E82">
              <w:rPr>
                <w:rFonts w:ascii="Times New Roman" w:eastAsia="Aptos" w:hAnsi="Times New Roman" w:cs="Times New Roman"/>
                <w:noProof/>
                <w:kern w:val="2"/>
                <w:sz w:val="20"/>
                <w:szCs w:val="20"/>
                <w:lang w:val="en-GB" w:eastAsia="en-US"/>
                <w14:ligatures w14:val="standardContextual"/>
              </w:rPr>
              <w:t>120 adopted by the Ministry of EU Funds and Investments.</w:t>
            </w:r>
          </w:p>
        </w:tc>
      </w:tr>
      <w:tr w:rsidR="00F54DA9" w:rsidRPr="001B1E82" w:rsidDel="009B7467" w14:paraId="253E18B5" w14:textId="77777777" w:rsidTr="001B1E82">
        <w:trPr>
          <w:trHeight w:val="406"/>
        </w:trPr>
        <w:tc>
          <w:tcPr>
            <w:tcW w:w="287" w:type="pct"/>
            <w:shd w:val="clear" w:color="auto" w:fill="C5EECE"/>
            <w:tcMar>
              <w:left w:w="57" w:type="dxa"/>
              <w:right w:w="57" w:type="dxa"/>
            </w:tcMar>
          </w:tcPr>
          <w:p w14:paraId="686202E2" w14:textId="77777777" w:rsidR="00F54DA9" w:rsidRPr="001B1E82" w:rsidDel="009B7467" w:rsidRDefault="00F54DA9" w:rsidP="00F54DA9">
            <w:pPr>
              <w:spacing w:after="0" w:line="259" w:lineRule="auto"/>
              <w:jc w:val="center"/>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535</w:t>
            </w:r>
          </w:p>
        </w:tc>
        <w:tc>
          <w:tcPr>
            <w:tcW w:w="692" w:type="pct"/>
            <w:shd w:val="clear" w:color="auto" w:fill="C5EECE"/>
            <w:tcMar>
              <w:left w:w="57" w:type="dxa"/>
              <w:right w:w="57" w:type="dxa"/>
            </w:tcMar>
          </w:tcPr>
          <w:p w14:paraId="131573F7" w14:textId="77777777" w:rsidR="00F54DA9" w:rsidRPr="001B1E82" w:rsidDel="009B7467" w:rsidRDefault="00F54DA9" w:rsidP="00F54DA9">
            <w:pPr>
              <w:spacing w:after="0" w:line="245"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Investment 8. Contracts for Difference allocation</w:t>
            </w:r>
          </w:p>
        </w:tc>
        <w:tc>
          <w:tcPr>
            <w:tcW w:w="379" w:type="pct"/>
            <w:shd w:val="clear" w:color="auto" w:fill="C5EECE"/>
            <w:tcMar>
              <w:left w:w="57" w:type="dxa"/>
              <w:right w:w="57" w:type="dxa"/>
            </w:tcMar>
          </w:tcPr>
          <w:p w14:paraId="390E98BB" w14:textId="77777777" w:rsidR="00F54DA9" w:rsidRPr="001B1E82" w:rsidDel="009B7467"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Milestone</w:t>
            </w:r>
          </w:p>
        </w:tc>
        <w:tc>
          <w:tcPr>
            <w:tcW w:w="596" w:type="pct"/>
            <w:shd w:val="clear" w:color="auto" w:fill="C5EECE"/>
            <w:tcMar>
              <w:left w:w="57" w:type="dxa"/>
              <w:right w:w="57" w:type="dxa"/>
            </w:tcMar>
          </w:tcPr>
          <w:p w14:paraId="00061B26" w14:textId="77777777" w:rsidR="00F54DA9" w:rsidRPr="001B1E82" w:rsidDel="009B7467"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Signature of CfDs for renewble electricty generation projects</w:t>
            </w:r>
          </w:p>
        </w:tc>
        <w:tc>
          <w:tcPr>
            <w:tcW w:w="483" w:type="pct"/>
            <w:shd w:val="clear" w:color="auto" w:fill="C5EECE"/>
            <w:tcMar>
              <w:left w:w="57" w:type="dxa"/>
              <w:right w:w="57" w:type="dxa"/>
            </w:tcMar>
          </w:tcPr>
          <w:p w14:paraId="054C32C9" w14:textId="77777777" w:rsidR="00F54DA9" w:rsidRPr="001B1E82" w:rsidDel="009B7467" w:rsidRDefault="00F54DA9" w:rsidP="00F54DA9">
            <w:pPr>
              <w:spacing w:after="0" w:line="254" w:lineRule="auto"/>
              <w:jc w:val="both"/>
              <w:rPr>
                <w:rFonts w:ascii="Times New Roman" w:eastAsia="Times New Roman"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 xml:space="preserve">Signature of CfDs </w:t>
            </w:r>
          </w:p>
        </w:tc>
        <w:tc>
          <w:tcPr>
            <w:tcW w:w="442" w:type="pct"/>
            <w:shd w:val="clear" w:color="auto" w:fill="C5EECE"/>
            <w:tcMar>
              <w:left w:w="57" w:type="dxa"/>
              <w:right w:w="57" w:type="dxa"/>
            </w:tcMar>
          </w:tcPr>
          <w:p w14:paraId="5745026A" w14:textId="77777777" w:rsidR="00F54DA9" w:rsidRPr="001B1E82" w:rsidDel="009B7467"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p>
        </w:tc>
        <w:tc>
          <w:tcPr>
            <w:tcW w:w="301" w:type="pct"/>
            <w:shd w:val="clear" w:color="auto" w:fill="C5EECE"/>
            <w:tcMar>
              <w:left w:w="57" w:type="dxa"/>
              <w:right w:w="57" w:type="dxa"/>
            </w:tcMar>
          </w:tcPr>
          <w:p w14:paraId="0D7A8940" w14:textId="77777777" w:rsidR="00F54DA9" w:rsidRPr="001B1E82" w:rsidDel="009B7467"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p>
        </w:tc>
        <w:tc>
          <w:tcPr>
            <w:tcW w:w="348" w:type="pct"/>
            <w:shd w:val="clear" w:color="auto" w:fill="C5EECE"/>
            <w:tcMar>
              <w:left w:w="57" w:type="dxa"/>
              <w:right w:w="57" w:type="dxa"/>
            </w:tcMar>
          </w:tcPr>
          <w:p w14:paraId="30F01D5D" w14:textId="77777777" w:rsidR="00F54DA9" w:rsidRPr="001B1E82" w:rsidDel="009B7467" w:rsidRDefault="00F54DA9" w:rsidP="00F54DA9">
            <w:pPr>
              <w:spacing w:after="0" w:line="257" w:lineRule="auto"/>
              <w:jc w:val="both"/>
              <w:rPr>
                <w:rFonts w:ascii="Times New Roman" w:eastAsia="Aptos" w:hAnsi="Times New Roman" w:cs="Times New Roman"/>
                <w:noProof/>
                <w:kern w:val="2"/>
                <w:sz w:val="20"/>
                <w:szCs w:val="20"/>
                <w:lang w:val="en-GB" w:eastAsia="en-US"/>
                <w14:ligatures w14:val="standardContextual"/>
              </w:rPr>
            </w:pPr>
          </w:p>
        </w:tc>
        <w:tc>
          <w:tcPr>
            <w:tcW w:w="297" w:type="pct"/>
            <w:shd w:val="clear" w:color="auto" w:fill="C5EECE"/>
            <w:tcMar>
              <w:left w:w="57" w:type="dxa"/>
              <w:right w:w="57" w:type="dxa"/>
            </w:tcMar>
          </w:tcPr>
          <w:p w14:paraId="06A34CB5" w14:textId="77777777" w:rsidR="00F54DA9" w:rsidRPr="001B1E82" w:rsidDel="009B7467"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Q1</w:t>
            </w:r>
          </w:p>
        </w:tc>
        <w:tc>
          <w:tcPr>
            <w:tcW w:w="184" w:type="pct"/>
            <w:shd w:val="clear" w:color="auto" w:fill="C5EECE"/>
            <w:tcMar>
              <w:left w:w="57" w:type="dxa"/>
              <w:right w:w="57" w:type="dxa"/>
            </w:tcMar>
          </w:tcPr>
          <w:p w14:paraId="41C28004" w14:textId="77777777" w:rsidR="00F54DA9" w:rsidRPr="001B1E82" w:rsidDel="009B7467"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2026</w:t>
            </w:r>
          </w:p>
        </w:tc>
        <w:tc>
          <w:tcPr>
            <w:tcW w:w="990" w:type="pct"/>
            <w:shd w:val="clear" w:color="auto" w:fill="C5EECE"/>
            <w:tcMar>
              <w:left w:w="57" w:type="dxa"/>
              <w:right w:w="57" w:type="dxa"/>
            </w:tcMar>
          </w:tcPr>
          <w:p w14:paraId="5DB5DF23" w14:textId="77777777" w:rsidR="00F54DA9" w:rsidRPr="001B1E82" w:rsidDel="009B7467" w:rsidRDefault="00F54DA9" w:rsidP="00F54DA9">
            <w:pPr>
              <w:spacing w:after="0" w:line="264" w:lineRule="auto"/>
              <w:jc w:val="both"/>
              <w:rPr>
                <w:rFonts w:ascii="Times New Roman" w:eastAsia="Aptos" w:hAnsi="Times New Roman" w:cs="Times New Roman"/>
                <w:noProof/>
                <w:kern w:val="2"/>
                <w:sz w:val="20"/>
                <w:szCs w:val="20"/>
                <w:lang w:val="en-IE" w:eastAsia="en-US"/>
                <w14:ligatures w14:val="standardContextual"/>
              </w:rPr>
            </w:pPr>
            <w:r w:rsidRPr="001B1E82">
              <w:rPr>
                <w:rFonts w:ascii="Times New Roman" w:eastAsia="Aptos" w:hAnsi="Times New Roman" w:cs="Times New Roman"/>
                <w:noProof/>
                <w:kern w:val="2"/>
                <w:sz w:val="20"/>
                <w:szCs w:val="20"/>
                <w:lang w:val="en-GB" w:eastAsia="en-US"/>
                <w14:ligatures w14:val="standardContextual"/>
              </w:rPr>
              <w:t>Signed CfD contracts for renewable projects amounting 315 MW for onshore wind installations.</w:t>
            </w:r>
          </w:p>
        </w:tc>
      </w:tr>
    </w:tbl>
    <w:p w14:paraId="5A46AD2C" w14:textId="77777777" w:rsidR="00F54DA9" w:rsidRPr="00F54DA9" w:rsidRDefault="00F54DA9" w:rsidP="00F54DA9">
      <w:pPr>
        <w:spacing w:line="259" w:lineRule="auto"/>
        <w:rPr>
          <w:rFonts w:ascii="Times New Roman" w:eastAsia="Aptos" w:hAnsi="Times New Roman" w:cs="Times New Roman"/>
          <w:noProof/>
          <w:kern w:val="2"/>
          <w:sz w:val="22"/>
          <w:szCs w:val="22"/>
          <w:lang w:val="en-GB" w:eastAsia="en-US"/>
          <w14:ligatures w14:val="standardContextual"/>
        </w:rPr>
        <w:sectPr w:rsidR="00F54DA9" w:rsidRPr="00F54DA9" w:rsidSect="00F54DA9">
          <w:headerReference w:type="even" r:id="rId377"/>
          <w:headerReference w:type="default" r:id="rId378"/>
          <w:footerReference w:type="even" r:id="rId379"/>
          <w:footerReference w:type="default" r:id="rId380"/>
          <w:headerReference w:type="first" r:id="rId381"/>
          <w:footerReference w:type="first" r:id="rId382"/>
          <w:pgSz w:w="16839" w:h="11907" w:orient="landscape" w:code="1"/>
          <w:pgMar w:top="1134" w:right="1134" w:bottom="1134" w:left="1134" w:header="567" w:footer="567" w:gutter="0"/>
          <w:cols w:space="720"/>
          <w:docGrid w:linePitch="360"/>
        </w:sectPr>
      </w:pPr>
    </w:p>
    <w:p w14:paraId="7ABD505E" w14:textId="77777777" w:rsidR="008C6712" w:rsidRPr="00B154C8" w:rsidRDefault="008C6712" w:rsidP="008C6712">
      <w:pPr>
        <w:spacing w:before="120" w:after="120" w:line="240" w:lineRule="auto"/>
        <w:jc w:val="both"/>
        <w:rPr>
          <w:rFonts w:ascii="Times New Roman" w:hAnsi="Times New Roman" w:cs="Times New Roman"/>
          <w:b/>
          <w:bCs/>
          <w:noProof/>
          <w:color w:val="000000" w:themeColor="text1"/>
        </w:rPr>
      </w:pPr>
      <w:r w:rsidRPr="00B154C8">
        <w:rPr>
          <w:rFonts w:ascii="Times New Roman" w:hAnsi="Times New Roman" w:cs="Times New Roman"/>
          <w:b/>
          <w:bCs/>
          <w:noProof/>
          <w:color w:val="000000" w:themeColor="text1"/>
        </w:rPr>
        <w:t xml:space="preserve">1.2 Estimated total cost of Recovery and resilience plan </w:t>
      </w:r>
    </w:p>
    <w:p w14:paraId="4BC12620" w14:textId="5BCBD980" w:rsidR="008C6712" w:rsidRPr="008C1E41" w:rsidRDefault="008C6712" w:rsidP="008C6712">
      <w:pPr>
        <w:spacing w:before="120" w:after="120" w:line="240" w:lineRule="auto"/>
        <w:ind w:left="850"/>
        <w:jc w:val="both"/>
        <w:rPr>
          <w:rFonts w:ascii="Times New Roman" w:hAnsi="Times New Roman" w:cs="Times New Roman"/>
          <w:noProof/>
        </w:rPr>
      </w:pPr>
      <w:r w:rsidRPr="008C1E41">
        <w:rPr>
          <w:rFonts w:ascii="Times New Roman" w:hAnsi="Times New Roman" w:cs="Times New Roman"/>
          <w:noProof/>
        </w:rPr>
        <w:t>The estimated total cost of the revised recovery and resilience plan of Romania is EUR </w:t>
      </w:r>
      <w:r w:rsidRPr="008C6712">
        <w:rPr>
          <w:rFonts w:ascii="Times New Roman" w:hAnsi="Times New Roman" w:cs="Times New Roman"/>
          <w:noProof/>
        </w:rPr>
        <w:t>20</w:t>
      </w:r>
      <w:r>
        <w:rPr>
          <w:rFonts w:ascii="Times New Roman" w:hAnsi="Times New Roman" w:cs="Times New Roman"/>
          <w:noProof/>
        </w:rPr>
        <w:t> </w:t>
      </w:r>
      <w:r w:rsidR="005B2C67">
        <w:rPr>
          <w:rFonts w:ascii="Times New Roman" w:hAnsi="Times New Roman" w:cs="Times New Roman"/>
          <w:noProof/>
        </w:rPr>
        <w:t>106</w:t>
      </w:r>
      <w:r>
        <w:rPr>
          <w:rFonts w:ascii="Times New Roman" w:hAnsi="Times New Roman" w:cs="Times New Roman"/>
          <w:noProof/>
        </w:rPr>
        <w:t> </w:t>
      </w:r>
      <w:r w:rsidRPr="008C6712">
        <w:rPr>
          <w:rFonts w:ascii="Times New Roman" w:hAnsi="Times New Roman" w:cs="Times New Roman"/>
          <w:noProof/>
        </w:rPr>
        <w:t>860</w:t>
      </w:r>
      <w:r>
        <w:rPr>
          <w:rFonts w:ascii="Times New Roman" w:hAnsi="Times New Roman" w:cs="Times New Roman"/>
          <w:noProof/>
        </w:rPr>
        <w:t> </w:t>
      </w:r>
      <w:r w:rsidRPr="008C6712">
        <w:rPr>
          <w:rFonts w:ascii="Times New Roman" w:hAnsi="Times New Roman" w:cs="Times New Roman"/>
          <w:noProof/>
        </w:rPr>
        <w:t>700</w:t>
      </w:r>
      <w:r w:rsidRPr="008C1E41">
        <w:rPr>
          <w:rFonts w:ascii="Times New Roman" w:hAnsi="Times New Roman" w:cs="Times New Roman"/>
          <w:noProof/>
        </w:rPr>
        <w:t>.</w:t>
      </w:r>
    </w:p>
    <w:p w14:paraId="52FABB88" w14:textId="5C00EBC8" w:rsidR="00137D7A" w:rsidRPr="00137D7A" w:rsidRDefault="00137D7A" w:rsidP="00137D7A">
      <w:pPr>
        <w:keepNext/>
        <w:keepLines/>
        <w:spacing w:before="360" w:after="80" w:line="259" w:lineRule="auto"/>
        <w:outlineLvl w:val="0"/>
        <w:rPr>
          <w:rFonts w:ascii="Times New Roman" w:eastAsia="Times New Roman" w:hAnsi="Times New Roman" w:cs="Times New Roman"/>
          <w:b/>
          <w:bCs/>
          <w:smallCaps/>
          <w:noProof/>
          <w:color w:val="000000"/>
          <w:kern w:val="2"/>
          <w:lang w:val="en-IE" w:eastAsia="en-US"/>
          <w14:ligatures w14:val="standardContextual"/>
        </w:rPr>
      </w:pPr>
      <w:r w:rsidRPr="00137D7A">
        <w:rPr>
          <w:rFonts w:ascii="Times New Roman" w:eastAsia="Times New Roman" w:hAnsi="Times New Roman" w:cs="Times New Roman"/>
          <w:b/>
          <w:bCs/>
          <w:noProof/>
          <w:color w:val="000000"/>
          <w:kern w:val="2"/>
          <w:lang w:val="en-IE" w:eastAsia="en-US"/>
          <w14:ligatures w14:val="standardContextual"/>
        </w:rPr>
        <w:t xml:space="preserve">2. SECTION 2: FINANCIAL SUPPORT </w:t>
      </w:r>
    </w:p>
    <w:p w14:paraId="77F944D7" w14:textId="77777777" w:rsidR="00137D7A" w:rsidRPr="00137D7A" w:rsidRDefault="00137D7A" w:rsidP="00137D7A">
      <w:pPr>
        <w:keepNext/>
        <w:keepLines/>
        <w:numPr>
          <w:ilvl w:val="1"/>
          <w:numId w:val="0"/>
        </w:numPr>
        <w:spacing w:before="160" w:after="80" w:line="259" w:lineRule="auto"/>
        <w:ind w:left="360" w:hanging="360"/>
        <w:outlineLvl w:val="1"/>
        <w:rPr>
          <w:rFonts w:ascii="Times New Roman" w:eastAsia="Times New Roman" w:hAnsi="Times New Roman" w:cs="Times New Roman"/>
          <w:b/>
          <w:noProof/>
          <w:color w:val="000000"/>
          <w:kern w:val="2"/>
          <w:lang w:val="en-IE" w:eastAsia="en-US"/>
          <w14:ligatures w14:val="standardContextual"/>
        </w:rPr>
      </w:pPr>
      <w:r w:rsidRPr="00137D7A">
        <w:rPr>
          <w:rFonts w:ascii="Times New Roman" w:eastAsia="Times New Roman" w:hAnsi="Times New Roman" w:cs="Times New Roman"/>
          <w:noProof/>
          <w:color w:val="000000"/>
          <w:kern w:val="2"/>
          <w:lang w:val="en-IE" w:eastAsia="en-US"/>
          <w14:ligatures w14:val="standardContextual"/>
        </w:rPr>
        <w:t xml:space="preserve">2.1 Financial contribution </w:t>
      </w:r>
    </w:p>
    <w:p w14:paraId="30D2F6A6" w14:textId="77777777" w:rsidR="00137D7A" w:rsidRPr="00137D7A" w:rsidRDefault="00137D7A" w:rsidP="00137D7A">
      <w:pPr>
        <w:spacing w:before="120" w:after="120" w:line="240" w:lineRule="auto"/>
        <w:ind w:left="850"/>
        <w:jc w:val="both"/>
        <w:rPr>
          <w:rFonts w:ascii="Times New Roman" w:eastAsia="Aptos" w:hAnsi="Times New Roman" w:cs="Times New Roman"/>
          <w:noProof/>
          <w:kern w:val="2"/>
          <w:szCs w:val="22"/>
          <w:lang w:val="en-IE" w:eastAsia="en-US"/>
          <w14:ligatures w14:val="standardContextual"/>
        </w:rPr>
      </w:pPr>
      <w:r w:rsidRPr="00137D7A">
        <w:rPr>
          <w:rFonts w:ascii="Times New Roman" w:eastAsia="Aptos" w:hAnsi="Times New Roman" w:cs="Times New Roman"/>
          <w:noProof/>
          <w:kern w:val="2"/>
          <w:szCs w:val="22"/>
          <w:lang w:val="en-IE" w:eastAsia="en-US"/>
          <w14:ligatures w14:val="standardContextual"/>
        </w:rPr>
        <w:t>The instalments referred to in Article 2(2) shall be organised in the following manner:</w:t>
      </w:r>
    </w:p>
    <w:p w14:paraId="284D129A" w14:textId="77777777" w:rsidR="00137D7A" w:rsidRPr="0061489A"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i/>
          <w:noProof/>
          <w:lang w:val="fr-BE" w:eastAsia="en-US"/>
        </w:rPr>
      </w:pPr>
      <w:r w:rsidRPr="0061489A">
        <w:rPr>
          <w:rFonts w:ascii="Times New Roman" w:eastAsia="Times New Roman" w:hAnsi="Times New Roman" w:cs="Times New Roman"/>
          <w:i/>
          <w:noProof/>
          <w:lang w:val="fr-BE" w:eastAsia="en-US"/>
        </w:rPr>
        <w:t xml:space="preserve">2.1.1 First Instalment (non-repayable support): </w:t>
      </w:r>
    </w:p>
    <w:tbl>
      <w:tblPr>
        <w:tblW w:w="9463" w:type="dxa"/>
        <w:tblInd w:w="113" w:type="dxa"/>
        <w:tblLook w:val="04A0" w:firstRow="1" w:lastRow="0" w:firstColumn="1" w:lastColumn="0" w:noHBand="0" w:noVBand="1"/>
      </w:tblPr>
      <w:tblGrid>
        <w:gridCol w:w="1288"/>
        <w:gridCol w:w="3627"/>
        <w:gridCol w:w="1320"/>
        <w:gridCol w:w="3228"/>
      </w:tblGrid>
      <w:tr w:rsidR="00137D7A" w:rsidRPr="00137D7A" w14:paraId="3231E86E" w14:textId="77777777">
        <w:trPr>
          <w:trHeight w:val="906"/>
          <w:tblHeader/>
        </w:trPr>
        <w:tc>
          <w:tcPr>
            <w:tcW w:w="12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FCF5EAF"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Sequential Number</w:t>
            </w:r>
          </w:p>
        </w:tc>
        <w:tc>
          <w:tcPr>
            <w:tcW w:w="36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1703704"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 xml:space="preserve">Related Measure </w:t>
            </w:r>
          </w:p>
          <w:p w14:paraId="08FB6D52"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(Reform or Investment)</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9DA69A"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Milestone / Target</w:t>
            </w:r>
          </w:p>
        </w:tc>
        <w:tc>
          <w:tcPr>
            <w:tcW w:w="32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0D242F"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Name</w:t>
            </w:r>
          </w:p>
        </w:tc>
      </w:tr>
      <w:tr w:rsidR="00137D7A" w:rsidRPr="00137D7A" w14:paraId="6995BE38" w14:textId="77777777">
        <w:trPr>
          <w:trHeight w:val="509"/>
          <w:tblHeader/>
        </w:trPr>
        <w:tc>
          <w:tcPr>
            <w:tcW w:w="1288" w:type="dxa"/>
            <w:vMerge/>
            <w:tcBorders>
              <w:top w:val="single" w:sz="4" w:space="0" w:color="auto"/>
              <w:left w:val="single" w:sz="4" w:space="0" w:color="auto"/>
              <w:bottom w:val="single" w:sz="4" w:space="0" w:color="auto"/>
              <w:right w:val="single" w:sz="4" w:space="0" w:color="auto"/>
            </w:tcBorders>
            <w:vAlign w:val="center"/>
            <w:hideMark/>
          </w:tcPr>
          <w:p w14:paraId="3FAE9722" w14:textId="77777777" w:rsidR="00137D7A" w:rsidRPr="00137D7A" w:rsidRDefault="00137D7A" w:rsidP="00137D7A">
            <w:pPr>
              <w:spacing w:after="0" w:line="259" w:lineRule="auto"/>
              <w:jc w:val="center"/>
              <w:rPr>
                <w:rFonts w:ascii="Times New Roman" w:eastAsia="Times New Roman" w:hAnsi="Times New Roman" w:cs="Times New Roman"/>
                <w:b/>
                <w:bCs/>
                <w:noProof/>
                <w:kern w:val="2"/>
                <w:sz w:val="22"/>
                <w:szCs w:val="22"/>
                <w:lang w:val="en-IE" w:eastAsia="en-GB"/>
                <w14:ligatures w14:val="standardContextual"/>
              </w:rPr>
            </w:pPr>
          </w:p>
        </w:tc>
        <w:tc>
          <w:tcPr>
            <w:tcW w:w="3627" w:type="dxa"/>
            <w:vMerge/>
            <w:tcBorders>
              <w:top w:val="single" w:sz="4" w:space="0" w:color="auto"/>
              <w:left w:val="single" w:sz="4" w:space="0" w:color="auto"/>
              <w:bottom w:val="single" w:sz="4" w:space="0" w:color="auto"/>
              <w:right w:val="single" w:sz="4" w:space="0" w:color="auto"/>
            </w:tcBorders>
            <w:vAlign w:val="center"/>
            <w:hideMark/>
          </w:tcPr>
          <w:p w14:paraId="27E8BEA8" w14:textId="77777777" w:rsidR="00137D7A" w:rsidRPr="00137D7A"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14:paraId="26E6FB90" w14:textId="77777777" w:rsidR="00137D7A" w:rsidRPr="00137D7A" w:rsidRDefault="00137D7A" w:rsidP="00137D7A">
            <w:pPr>
              <w:spacing w:after="0" w:line="259" w:lineRule="auto"/>
              <w:jc w:val="center"/>
              <w:rPr>
                <w:rFonts w:ascii="Times New Roman" w:eastAsia="Times New Roman" w:hAnsi="Times New Roman" w:cs="Times New Roman"/>
                <w:b/>
                <w:bCs/>
                <w:noProof/>
                <w:kern w:val="2"/>
                <w:sz w:val="22"/>
                <w:szCs w:val="22"/>
                <w:lang w:val="en-IE" w:eastAsia="en-GB"/>
                <w14:ligatures w14:val="standardContextual"/>
              </w:rPr>
            </w:pPr>
          </w:p>
        </w:tc>
        <w:tc>
          <w:tcPr>
            <w:tcW w:w="3228" w:type="dxa"/>
            <w:vMerge/>
            <w:tcBorders>
              <w:top w:val="single" w:sz="4" w:space="0" w:color="auto"/>
              <w:left w:val="single" w:sz="4" w:space="0" w:color="auto"/>
              <w:bottom w:val="single" w:sz="4" w:space="0" w:color="auto"/>
              <w:right w:val="single" w:sz="4" w:space="0" w:color="auto"/>
            </w:tcBorders>
            <w:vAlign w:val="center"/>
            <w:hideMark/>
          </w:tcPr>
          <w:p w14:paraId="064D9690"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r>
      <w:tr w:rsidR="00137D7A" w:rsidRPr="00137D7A" w14:paraId="56E9A95F" w14:textId="77777777">
        <w:trPr>
          <w:trHeight w:val="302"/>
        </w:trPr>
        <w:tc>
          <w:tcPr>
            <w:tcW w:w="1288" w:type="dxa"/>
            <w:tcBorders>
              <w:top w:val="single" w:sz="4" w:space="0" w:color="auto"/>
              <w:left w:val="single" w:sz="4" w:space="0" w:color="auto"/>
              <w:bottom w:val="single" w:sz="4" w:space="0" w:color="auto"/>
              <w:right w:val="single" w:sz="4" w:space="0" w:color="auto"/>
            </w:tcBorders>
            <w:shd w:val="clear" w:color="auto" w:fill="C6EFCE"/>
            <w:noWrap/>
          </w:tcPr>
          <w:p w14:paraId="30AF551E"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146</w:t>
            </w:r>
          </w:p>
        </w:tc>
        <w:tc>
          <w:tcPr>
            <w:tcW w:w="3627" w:type="dxa"/>
            <w:tcBorders>
              <w:top w:val="single" w:sz="4" w:space="0" w:color="auto"/>
              <w:left w:val="nil"/>
              <w:bottom w:val="single" w:sz="4" w:space="0" w:color="auto"/>
              <w:right w:val="single" w:sz="4" w:space="0" w:color="auto"/>
            </w:tcBorders>
            <w:shd w:val="clear" w:color="auto" w:fill="C6EFCE"/>
            <w:noWrap/>
          </w:tcPr>
          <w:p w14:paraId="5161338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C7.R2</w:t>
            </w:r>
          </w:p>
          <w:p w14:paraId="1902441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Transition to the EU-2025 connectivity targets and stimulation of the private investment for the deployment of very high-capacity networks </w:t>
            </w:r>
          </w:p>
        </w:tc>
        <w:tc>
          <w:tcPr>
            <w:tcW w:w="1320" w:type="dxa"/>
            <w:tcBorders>
              <w:top w:val="single" w:sz="4" w:space="0" w:color="auto"/>
              <w:left w:val="nil"/>
              <w:bottom w:val="single" w:sz="4" w:space="0" w:color="auto"/>
              <w:right w:val="single" w:sz="4" w:space="0" w:color="auto"/>
            </w:tcBorders>
            <w:shd w:val="clear" w:color="auto" w:fill="C6EFCE"/>
            <w:noWrap/>
          </w:tcPr>
          <w:p w14:paraId="06FA165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228" w:type="dxa"/>
            <w:tcBorders>
              <w:top w:val="single" w:sz="4" w:space="0" w:color="auto"/>
              <w:left w:val="nil"/>
              <w:bottom w:val="single" w:sz="4" w:space="0" w:color="auto"/>
              <w:right w:val="single" w:sz="4" w:space="0" w:color="auto"/>
            </w:tcBorders>
            <w:shd w:val="clear" w:color="auto" w:fill="C6EFCE"/>
            <w:noWrap/>
          </w:tcPr>
          <w:p w14:paraId="43380376"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5G network security law</w:t>
            </w:r>
          </w:p>
        </w:tc>
      </w:tr>
      <w:tr w:rsidR="00137D7A" w:rsidRPr="00137D7A" w14:paraId="34E484D9"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hideMark/>
          </w:tcPr>
          <w:p w14:paraId="5D1383BE"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69</w:t>
            </w:r>
          </w:p>
        </w:tc>
        <w:tc>
          <w:tcPr>
            <w:tcW w:w="3627" w:type="dxa"/>
            <w:tcBorders>
              <w:top w:val="nil"/>
              <w:left w:val="nil"/>
              <w:bottom w:val="single" w:sz="4" w:space="0" w:color="auto"/>
              <w:right w:val="single" w:sz="4" w:space="0" w:color="auto"/>
            </w:tcBorders>
            <w:shd w:val="clear" w:color="auto" w:fill="C6EFCE"/>
            <w:noWrap/>
            <w:hideMark/>
          </w:tcPr>
          <w:p w14:paraId="50B1EEE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C4.R1</w:t>
            </w:r>
          </w:p>
          <w:p w14:paraId="55262C4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Sustainable transport, decarbonisation and road safety /</w:t>
            </w:r>
            <w:r w:rsidRPr="00137D7A">
              <w:rPr>
                <w:rFonts w:ascii="Times New Roman" w:eastAsia="Aptos" w:hAnsi="Times New Roman" w:cs="Times New Roman"/>
                <w:noProof/>
                <w:kern w:val="2"/>
                <w:sz w:val="22"/>
                <w:szCs w:val="22"/>
                <w:lang w:val="en-IE" w:eastAsia="en-US"/>
                <w14:ligatures w14:val="standardContextual"/>
              </w:rPr>
              <w:br/>
              <w:t>Railway infrastructure development and rail traffic management</w:t>
            </w:r>
          </w:p>
        </w:tc>
        <w:tc>
          <w:tcPr>
            <w:tcW w:w="1320" w:type="dxa"/>
            <w:tcBorders>
              <w:top w:val="nil"/>
              <w:left w:val="nil"/>
              <w:bottom w:val="single" w:sz="4" w:space="0" w:color="auto"/>
              <w:right w:val="single" w:sz="4" w:space="0" w:color="auto"/>
            </w:tcBorders>
            <w:shd w:val="clear" w:color="auto" w:fill="C6EFCE"/>
            <w:noWrap/>
            <w:hideMark/>
          </w:tcPr>
          <w:p w14:paraId="347E0B12"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228" w:type="dxa"/>
            <w:tcBorders>
              <w:top w:val="nil"/>
              <w:left w:val="nil"/>
              <w:bottom w:val="single" w:sz="4" w:space="0" w:color="auto"/>
              <w:right w:val="single" w:sz="4" w:space="0" w:color="auto"/>
            </w:tcBorders>
            <w:shd w:val="clear" w:color="auto" w:fill="C6EFCE"/>
            <w:noWrap/>
            <w:hideMark/>
          </w:tcPr>
          <w:p w14:paraId="627B728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Adoption of the strategy for the development of railway infrastructure 2021-2025 and application of the action plan</w:t>
            </w:r>
          </w:p>
        </w:tc>
      </w:tr>
      <w:tr w:rsidR="00137D7A" w:rsidRPr="00137D7A" w14:paraId="5D87B2C8"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hideMark/>
          </w:tcPr>
          <w:p w14:paraId="3DC9455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113</w:t>
            </w:r>
          </w:p>
        </w:tc>
        <w:tc>
          <w:tcPr>
            <w:tcW w:w="3627" w:type="dxa"/>
            <w:tcBorders>
              <w:top w:val="nil"/>
              <w:left w:val="nil"/>
              <w:bottom w:val="single" w:sz="4" w:space="0" w:color="auto"/>
              <w:right w:val="single" w:sz="4" w:space="0" w:color="auto"/>
            </w:tcBorders>
            <w:shd w:val="clear" w:color="auto" w:fill="C6EFCE"/>
            <w:noWrap/>
            <w:hideMark/>
          </w:tcPr>
          <w:p w14:paraId="6D75B92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C6.R1</w:t>
            </w:r>
          </w:p>
          <w:p w14:paraId="584DD16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Electricity market reform, replacement of coal in the energy mix and support for a legislative and regulatory framework for private investment in renewable electricity production</w:t>
            </w:r>
          </w:p>
        </w:tc>
        <w:tc>
          <w:tcPr>
            <w:tcW w:w="1320" w:type="dxa"/>
            <w:tcBorders>
              <w:top w:val="nil"/>
              <w:left w:val="nil"/>
              <w:bottom w:val="single" w:sz="4" w:space="0" w:color="auto"/>
              <w:right w:val="single" w:sz="4" w:space="0" w:color="auto"/>
            </w:tcBorders>
            <w:shd w:val="clear" w:color="auto" w:fill="C6EFCE"/>
            <w:noWrap/>
            <w:hideMark/>
          </w:tcPr>
          <w:p w14:paraId="3C6674F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228" w:type="dxa"/>
            <w:tcBorders>
              <w:top w:val="nil"/>
              <w:left w:val="nil"/>
              <w:bottom w:val="single" w:sz="4" w:space="0" w:color="auto"/>
              <w:right w:val="single" w:sz="4" w:space="0" w:color="auto"/>
            </w:tcBorders>
            <w:shd w:val="clear" w:color="auto" w:fill="C6EFCE"/>
            <w:noWrap/>
            <w:hideMark/>
          </w:tcPr>
          <w:p w14:paraId="41A1214F"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Decommissioning of coal-fired power-production capacity </w:t>
            </w:r>
          </w:p>
        </w:tc>
      </w:tr>
      <w:tr w:rsidR="00137D7A" w:rsidRPr="00137D7A" w14:paraId="5371A589"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39E28FC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142</w:t>
            </w:r>
          </w:p>
        </w:tc>
        <w:tc>
          <w:tcPr>
            <w:tcW w:w="3627" w:type="dxa"/>
            <w:tcBorders>
              <w:top w:val="nil"/>
              <w:left w:val="nil"/>
              <w:bottom w:val="single" w:sz="4" w:space="0" w:color="auto"/>
              <w:right w:val="single" w:sz="4" w:space="0" w:color="auto"/>
            </w:tcBorders>
            <w:shd w:val="clear" w:color="auto" w:fill="C6EFCE"/>
            <w:noWrap/>
          </w:tcPr>
          <w:p w14:paraId="43B1A49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C7.R1 </w:t>
            </w:r>
          </w:p>
          <w:p w14:paraId="11035D7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Development of a unitary framework for defining the architecture of a government cloud system</w:t>
            </w:r>
          </w:p>
        </w:tc>
        <w:tc>
          <w:tcPr>
            <w:tcW w:w="1320" w:type="dxa"/>
            <w:tcBorders>
              <w:top w:val="nil"/>
              <w:left w:val="nil"/>
              <w:bottom w:val="single" w:sz="4" w:space="0" w:color="auto"/>
              <w:right w:val="single" w:sz="4" w:space="0" w:color="auto"/>
            </w:tcBorders>
            <w:shd w:val="clear" w:color="auto" w:fill="C6EFCE"/>
            <w:noWrap/>
          </w:tcPr>
          <w:p w14:paraId="4926663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228" w:type="dxa"/>
            <w:tcBorders>
              <w:top w:val="nil"/>
              <w:left w:val="nil"/>
              <w:bottom w:val="single" w:sz="4" w:space="0" w:color="auto"/>
              <w:right w:val="single" w:sz="4" w:space="0" w:color="auto"/>
            </w:tcBorders>
            <w:shd w:val="clear" w:color="auto" w:fill="C6EFCE"/>
            <w:noWrap/>
          </w:tcPr>
          <w:p w14:paraId="612B4136"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Task-force to implement and monitor Digital Transformation reforms and investments established and operational</w:t>
            </w:r>
          </w:p>
        </w:tc>
      </w:tr>
      <w:tr w:rsidR="00137D7A" w:rsidRPr="00137D7A" w14:paraId="25A94282"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49E8485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150</w:t>
            </w:r>
          </w:p>
        </w:tc>
        <w:tc>
          <w:tcPr>
            <w:tcW w:w="3627" w:type="dxa"/>
            <w:tcBorders>
              <w:top w:val="nil"/>
              <w:left w:val="nil"/>
              <w:bottom w:val="single" w:sz="4" w:space="0" w:color="auto"/>
              <w:right w:val="single" w:sz="4" w:space="0" w:color="auto"/>
            </w:tcBorders>
            <w:shd w:val="clear" w:color="auto" w:fill="C6EFCE"/>
            <w:noWrap/>
          </w:tcPr>
          <w:p w14:paraId="6F2C2E0F"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C7.R3</w:t>
            </w:r>
            <w:r w:rsidRPr="00137D7A">
              <w:rPr>
                <w:rFonts w:ascii="Times New Roman" w:eastAsia="Aptos" w:hAnsi="Times New Roman" w:cs="Times New Roman"/>
                <w:noProof/>
                <w:kern w:val="2"/>
                <w:sz w:val="22"/>
                <w:szCs w:val="22"/>
                <w:lang w:val="en-IE" w:eastAsia="en-US"/>
                <w14:ligatures w14:val="standardContextual"/>
              </w:rPr>
              <w:br/>
              <w:t xml:space="preserve">Ensuring cybersecurity of public and private entities owning critical value infrastructure </w:t>
            </w:r>
          </w:p>
        </w:tc>
        <w:tc>
          <w:tcPr>
            <w:tcW w:w="1320" w:type="dxa"/>
            <w:tcBorders>
              <w:top w:val="nil"/>
              <w:left w:val="nil"/>
              <w:bottom w:val="single" w:sz="4" w:space="0" w:color="auto"/>
              <w:right w:val="single" w:sz="4" w:space="0" w:color="auto"/>
            </w:tcBorders>
            <w:shd w:val="clear" w:color="auto" w:fill="C6EFCE"/>
            <w:noWrap/>
          </w:tcPr>
          <w:p w14:paraId="0CEFEA5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228" w:type="dxa"/>
            <w:tcBorders>
              <w:top w:val="nil"/>
              <w:left w:val="nil"/>
              <w:bottom w:val="single" w:sz="4" w:space="0" w:color="auto"/>
              <w:right w:val="single" w:sz="4" w:space="0" w:color="auto"/>
            </w:tcBorders>
            <w:shd w:val="clear" w:color="auto" w:fill="C6EFCE"/>
            <w:noWrap/>
          </w:tcPr>
          <w:p w14:paraId="6AFDCCD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Adoption of the National Cybersecurity Strategy 2021-2026</w:t>
            </w:r>
          </w:p>
        </w:tc>
      </w:tr>
      <w:tr w:rsidR="00137D7A" w:rsidRPr="00137D7A" w14:paraId="5A4924CB"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69693164"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211</w:t>
            </w:r>
          </w:p>
        </w:tc>
        <w:tc>
          <w:tcPr>
            <w:tcW w:w="3627" w:type="dxa"/>
            <w:tcBorders>
              <w:top w:val="nil"/>
              <w:left w:val="nil"/>
              <w:bottom w:val="single" w:sz="4" w:space="0" w:color="auto"/>
              <w:right w:val="single" w:sz="4" w:space="0" w:color="auto"/>
            </w:tcBorders>
            <w:shd w:val="clear" w:color="auto" w:fill="C6EFCE"/>
            <w:noWrap/>
          </w:tcPr>
          <w:p w14:paraId="0398C41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C8.R6</w:t>
            </w:r>
          </w:p>
          <w:p w14:paraId="16A66186"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Reform of the public pension system</w:t>
            </w:r>
          </w:p>
        </w:tc>
        <w:tc>
          <w:tcPr>
            <w:tcW w:w="1320" w:type="dxa"/>
            <w:tcBorders>
              <w:top w:val="nil"/>
              <w:left w:val="nil"/>
              <w:bottom w:val="single" w:sz="4" w:space="0" w:color="auto"/>
              <w:right w:val="single" w:sz="4" w:space="0" w:color="auto"/>
            </w:tcBorders>
            <w:shd w:val="clear" w:color="auto" w:fill="C6EFCE"/>
            <w:noWrap/>
          </w:tcPr>
          <w:p w14:paraId="07F7FEA4"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228" w:type="dxa"/>
            <w:tcBorders>
              <w:top w:val="nil"/>
              <w:left w:val="nil"/>
              <w:bottom w:val="single" w:sz="4" w:space="0" w:color="auto"/>
              <w:right w:val="single" w:sz="4" w:space="0" w:color="auto"/>
            </w:tcBorders>
            <w:shd w:val="clear" w:color="auto" w:fill="C6EFCE"/>
            <w:noWrap/>
          </w:tcPr>
          <w:p w14:paraId="4FF08C74"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Contract technical assistance provided by an entity that shall be selected according to the national public procurement legislation </w:t>
            </w:r>
          </w:p>
        </w:tc>
      </w:tr>
      <w:tr w:rsidR="00137D7A" w:rsidRPr="00137D7A" w14:paraId="10BB69EA"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431553BE"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212</w:t>
            </w:r>
          </w:p>
        </w:tc>
        <w:tc>
          <w:tcPr>
            <w:tcW w:w="3627" w:type="dxa"/>
            <w:tcBorders>
              <w:top w:val="nil"/>
              <w:left w:val="nil"/>
              <w:bottom w:val="single" w:sz="4" w:space="0" w:color="auto"/>
              <w:right w:val="single" w:sz="4" w:space="0" w:color="auto"/>
            </w:tcBorders>
            <w:shd w:val="clear" w:color="auto" w:fill="C6EFCE"/>
            <w:noWrap/>
          </w:tcPr>
          <w:p w14:paraId="243A6B4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C8.R6 </w:t>
            </w:r>
          </w:p>
          <w:p w14:paraId="70315E2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Reform of the public pension system</w:t>
            </w:r>
          </w:p>
        </w:tc>
        <w:tc>
          <w:tcPr>
            <w:tcW w:w="1320" w:type="dxa"/>
            <w:tcBorders>
              <w:top w:val="nil"/>
              <w:left w:val="nil"/>
              <w:bottom w:val="single" w:sz="4" w:space="0" w:color="auto"/>
              <w:right w:val="single" w:sz="4" w:space="0" w:color="auto"/>
            </w:tcBorders>
            <w:shd w:val="clear" w:color="auto" w:fill="C6EFCE"/>
            <w:noWrap/>
          </w:tcPr>
          <w:p w14:paraId="30F6BBB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228" w:type="dxa"/>
            <w:tcBorders>
              <w:top w:val="nil"/>
              <w:left w:val="nil"/>
              <w:bottom w:val="single" w:sz="4" w:space="0" w:color="auto"/>
              <w:right w:val="single" w:sz="4" w:space="0" w:color="auto"/>
            </w:tcBorders>
            <w:shd w:val="clear" w:color="auto" w:fill="C6EFCE"/>
            <w:noWrap/>
          </w:tcPr>
          <w:p w14:paraId="048C2D8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a minister’s order setting up a monitoring committee in charge of reviewing, with the support of the technical assistance provider the pension system and the policy interventions in the pension system</w:t>
            </w:r>
          </w:p>
        </w:tc>
      </w:tr>
      <w:tr w:rsidR="00137D7A" w:rsidRPr="00137D7A" w14:paraId="329BE467"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00DAEFA2"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220</w:t>
            </w:r>
          </w:p>
        </w:tc>
        <w:tc>
          <w:tcPr>
            <w:tcW w:w="3627" w:type="dxa"/>
            <w:tcBorders>
              <w:top w:val="nil"/>
              <w:left w:val="nil"/>
              <w:bottom w:val="single" w:sz="4" w:space="0" w:color="auto"/>
              <w:right w:val="single" w:sz="4" w:space="0" w:color="auto"/>
            </w:tcBorders>
            <w:shd w:val="clear" w:color="auto" w:fill="C6EFCE"/>
            <w:noWrap/>
          </w:tcPr>
          <w:p w14:paraId="6A27C11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C8.I2 </w:t>
            </w:r>
          </w:p>
          <w:p w14:paraId="12285646" w14:textId="01F7A4F5" w:rsidR="00137D7A" w:rsidRPr="00137D7A" w:rsidRDefault="000679E2"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0679E2">
              <w:rPr>
                <w:rFonts w:ascii="Times New Roman" w:eastAsia="Aptos" w:hAnsi="Times New Roman" w:cs="Times New Roman"/>
                <w:noProof/>
                <w:kern w:val="2"/>
                <w:sz w:val="22"/>
                <w:szCs w:val="22"/>
                <w:lang w:val="en-IE" w:eastAsia="en-US"/>
                <w14:ligatures w14:val="standardContextual"/>
              </w:rPr>
              <w:t>Improving tax and tax administration processes</w:t>
            </w:r>
          </w:p>
        </w:tc>
        <w:tc>
          <w:tcPr>
            <w:tcW w:w="1320" w:type="dxa"/>
            <w:tcBorders>
              <w:top w:val="nil"/>
              <w:left w:val="nil"/>
              <w:bottom w:val="single" w:sz="4" w:space="0" w:color="auto"/>
              <w:right w:val="single" w:sz="4" w:space="0" w:color="auto"/>
            </w:tcBorders>
            <w:shd w:val="clear" w:color="auto" w:fill="C6EFCE"/>
            <w:noWrap/>
          </w:tcPr>
          <w:p w14:paraId="3082671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228" w:type="dxa"/>
            <w:tcBorders>
              <w:top w:val="nil"/>
              <w:left w:val="nil"/>
              <w:bottom w:val="single" w:sz="4" w:space="0" w:color="auto"/>
              <w:right w:val="single" w:sz="4" w:space="0" w:color="auto"/>
            </w:tcBorders>
            <w:shd w:val="clear" w:color="auto" w:fill="C6EFCE"/>
            <w:noWrap/>
          </w:tcPr>
          <w:p w14:paraId="15BA996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Number of cash registers connected to the National Agency for Fiscal Administration IT system </w:t>
            </w:r>
          </w:p>
        </w:tc>
      </w:tr>
      <w:tr w:rsidR="00137D7A" w:rsidRPr="00137D7A" w14:paraId="3E93C93A"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2196110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366</w:t>
            </w:r>
          </w:p>
        </w:tc>
        <w:tc>
          <w:tcPr>
            <w:tcW w:w="3627" w:type="dxa"/>
            <w:tcBorders>
              <w:top w:val="nil"/>
              <w:left w:val="nil"/>
              <w:bottom w:val="single" w:sz="4" w:space="0" w:color="auto"/>
              <w:right w:val="single" w:sz="4" w:space="0" w:color="auto"/>
            </w:tcBorders>
            <w:shd w:val="clear" w:color="auto" w:fill="C6EFCE"/>
            <w:noWrap/>
          </w:tcPr>
          <w:p w14:paraId="1518B3B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C12.I1</w:t>
            </w:r>
          </w:p>
          <w:p w14:paraId="6FB3D38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Pre-hospital medical infrastructure</w:t>
            </w:r>
          </w:p>
        </w:tc>
        <w:tc>
          <w:tcPr>
            <w:tcW w:w="1320" w:type="dxa"/>
            <w:tcBorders>
              <w:top w:val="nil"/>
              <w:left w:val="nil"/>
              <w:bottom w:val="single" w:sz="4" w:space="0" w:color="auto"/>
              <w:right w:val="single" w:sz="4" w:space="0" w:color="auto"/>
            </w:tcBorders>
            <w:shd w:val="clear" w:color="auto" w:fill="C6EFCE"/>
            <w:noWrap/>
          </w:tcPr>
          <w:p w14:paraId="60C64CD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228" w:type="dxa"/>
            <w:tcBorders>
              <w:top w:val="nil"/>
              <w:left w:val="nil"/>
              <w:bottom w:val="single" w:sz="4" w:space="0" w:color="auto"/>
              <w:right w:val="single" w:sz="4" w:space="0" w:color="auto"/>
            </w:tcBorders>
            <w:shd w:val="clear" w:color="auto" w:fill="C6EFCE"/>
            <w:noWrap/>
          </w:tcPr>
          <w:p w14:paraId="327E9E8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Adoption of criteria for prioritising investments in integrated community centres</w:t>
            </w:r>
          </w:p>
        </w:tc>
      </w:tr>
      <w:tr w:rsidR="00137D7A" w:rsidRPr="00137D7A" w14:paraId="6A64FA19"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469B946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426</w:t>
            </w:r>
          </w:p>
        </w:tc>
        <w:tc>
          <w:tcPr>
            <w:tcW w:w="3627" w:type="dxa"/>
            <w:tcBorders>
              <w:top w:val="nil"/>
              <w:left w:val="nil"/>
              <w:bottom w:val="single" w:sz="4" w:space="0" w:color="auto"/>
              <w:right w:val="single" w:sz="4" w:space="0" w:color="auto"/>
            </w:tcBorders>
            <w:shd w:val="clear" w:color="auto" w:fill="C6EFCE"/>
            <w:noWrap/>
          </w:tcPr>
          <w:p w14:paraId="5999278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C14.R6</w:t>
            </w:r>
          </w:p>
          <w:p w14:paraId="638F6141"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Stepping up the fight against corruption </w:t>
            </w:r>
          </w:p>
        </w:tc>
        <w:tc>
          <w:tcPr>
            <w:tcW w:w="1320" w:type="dxa"/>
            <w:tcBorders>
              <w:top w:val="nil"/>
              <w:left w:val="nil"/>
              <w:bottom w:val="single" w:sz="4" w:space="0" w:color="auto"/>
              <w:right w:val="single" w:sz="4" w:space="0" w:color="auto"/>
            </w:tcBorders>
            <w:shd w:val="clear" w:color="auto" w:fill="C6EFCE"/>
            <w:noWrap/>
          </w:tcPr>
          <w:p w14:paraId="0E92DF52"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228" w:type="dxa"/>
            <w:tcBorders>
              <w:top w:val="nil"/>
              <w:left w:val="nil"/>
              <w:bottom w:val="single" w:sz="4" w:space="0" w:color="auto"/>
              <w:right w:val="single" w:sz="4" w:space="0" w:color="auto"/>
            </w:tcBorders>
            <w:shd w:val="clear" w:color="auto" w:fill="C6EFCE"/>
            <w:noWrap/>
          </w:tcPr>
          <w:p w14:paraId="338E051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the government decision approving new National Anti-Corruption Strategy </w:t>
            </w:r>
          </w:p>
        </w:tc>
      </w:tr>
      <w:tr w:rsidR="00137D7A" w:rsidRPr="00137D7A" w14:paraId="34088680"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3EDB6F44"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450</w:t>
            </w:r>
          </w:p>
        </w:tc>
        <w:tc>
          <w:tcPr>
            <w:tcW w:w="3627" w:type="dxa"/>
            <w:tcBorders>
              <w:top w:val="nil"/>
              <w:left w:val="nil"/>
              <w:bottom w:val="single" w:sz="4" w:space="0" w:color="auto"/>
              <w:right w:val="single" w:sz="4" w:space="0" w:color="auto"/>
            </w:tcBorders>
            <w:shd w:val="clear" w:color="auto" w:fill="C6EFCE"/>
            <w:noWrap/>
          </w:tcPr>
          <w:p w14:paraId="034869E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C14.I5 </w:t>
            </w:r>
          </w:p>
          <w:p w14:paraId="0C13B9D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Monitoring and implementation of the plan </w:t>
            </w:r>
          </w:p>
        </w:tc>
        <w:tc>
          <w:tcPr>
            <w:tcW w:w="1320" w:type="dxa"/>
            <w:tcBorders>
              <w:top w:val="nil"/>
              <w:left w:val="nil"/>
              <w:bottom w:val="single" w:sz="4" w:space="0" w:color="auto"/>
              <w:right w:val="single" w:sz="4" w:space="0" w:color="auto"/>
            </w:tcBorders>
            <w:shd w:val="clear" w:color="auto" w:fill="C6EFCE"/>
            <w:noWrap/>
          </w:tcPr>
          <w:p w14:paraId="6BCCDDF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228" w:type="dxa"/>
            <w:tcBorders>
              <w:top w:val="nil"/>
              <w:left w:val="nil"/>
              <w:bottom w:val="single" w:sz="4" w:space="0" w:color="auto"/>
              <w:right w:val="single" w:sz="4" w:space="0" w:color="auto"/>
            </w:tcBorders>
            <w:shd w:val="clear" w:color="auto" w:fill="C6EFCE"/>
            <w:noWrap/>
          </w:tcPr>
          <w:p w14:paraId="2D6C6FC4"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Audit and Controls: information for monitoring implementation of recovery and resilience plan</w:t>
            </w:r>
          </w:p>
        </w:tc>
      </w:tr>
      <w:tr w:rsidR="00137D7A" w:rsidRPr="00137D7A" w14:paraId="242919E4"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461C9D3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451</w:t>
            </w:r>
          </w:p>
        </w:tc>
        <w:tc>
          <w:tcPr>
            <w:tcW w:w="3627" w:type="dxa"/>
            <w:tcBorders>
              <w:top w:val="nil"/>
              <w:left w:val="nil"/>
              <w:bottom w:val="single" w:sz="4" w:space="0" w:color="auto"/>
              <w:right w:val="single" w:sz="4" w:space="0" w:color="auto"/>
            </w:tcBorders>
            <w:shd w:val="clear" w:color="auto" w:fill="C6EFCE"/>
            <w:noWrap/>
          </w:tcPr>
          <w:p w14:paraId="52C9049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C14.I5 </w:t>
            </w:r>
          </w:p>
          <w:p w14:paraId="04C260D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Monitoring and implementation of the plan </w:t>
            </w:r>
          </w:p>
        </w:tc>
        <w:tc>
          <w:tcPr>
            <w:tcW w:w="1320" w:type="dxa"/>
            <w:tcBorders>
              <w:top w:val="nil"/>
              <w:left w:val="nil"/>
              <w:bottom w:val="single" w:sz="4" w:space="0" w:color="auto"/>
              <w:right w:val="single" w:sz="4" w:space="0" w:color="auto"/>
            </w:tcBorders>
            <w:shd w:val="clear" w:color="auto" w:fill="C6EFCE"/>
            <w:noWrap/>
          </w:tcPr>
          <w:p w14:paraId="3008CF60"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228" w:type="dxa"/>
            <w:tcBorders>
              <w:top w:val="nil"/>
              <w:left w:val="nil"/>
              <w:bottom w:val="single" w:sz="4" w:space="0" w:color="auto"/>
              <w:right w:val="single" w:sz="4" w:space="0" w:color="auto"/>
            </w:tcBorders>
            <w:shd w:val="clear" w:color="auto" w:fill="C6EFCE"/>
            <w:noWrap/>
          </w:tcPr>
          <w:p w14:paraId="5D08581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a Government Ordinance enacting the legal mandate of the Ministry of Investments and European Project (MIPE), Ministry of Finance (MoF) and the Audit Authority (AA)</w:t>
            </w:r>
          </w:p>
        </w:tc>
      </w:tr>
      <w:tr w:rsidR="00137D7A" w:rsidRPr="00137D7A" w14:paraId="645109CA"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57D312F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462</w:t>
            </w:r>
          </w:p>
        </w:tc>
        <w:tc>
          <w:tcPr>
            <w:tcW w:w="3627" w:type="dxa"/>
            <w:tcBorders>
              <w:top w:val="nil"/>
              <w:left w:val="nil"/>
              <w:bottom w:val="single" w:sz="4" w:space="0" w:color="auto"/>
              <w:right w:val="single" w:sz="4" w:space="0" w:color="auto"/>
            </w:tcBorders>
            <w:shd w:val="clear" w:color="auto" w:fill="C6EFCE"/>
            <w:noWrap/>
          </w:tcPr>
          <w:p w14:paraId="578CB24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C15.R3</w:t>
            </w:r>
          </w:p>
          <w:p w14:paraId="4BA122D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Reform of the compulsory education system to prevent and reduce early school leaving</w:t>
            </w:r>
          </w:p>
        </w:tc>
        <w:tc>
          <w:tcPr>
            <w:tcW w:w="1320" w:type="dxa"/>
            <w:tcBorders>
              <w:top w:val="nil"/>
              <w:left w:val="nil"/>
              <w:bottom w:val="single" w:sz="4" w:space="0" w:color="auto"/>
              <w:right w:val="single" w:sz="4" w:space="0" w:color="auto"/>
            </w:tcBorders>
            <w:shd w:val="clear" w:color="auto" w:fill="C6EFCE"/>
            <w:noWrap/>
          </w:tcPr>
          <w:p w14:paraId="7FC371E4"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228" w:type="dxa"/>
            <w:tcBorders>
              <w:top w:val="nil"/>
              <w:left w:val="nil"/>
              <w:bottom w:val="single" w:sz="4" w:space="0" w:color="auto"/>
              <w:right w:val="single" w:sz="4" w:space="0" w:color="auto"/>
            </w:tcBorders>
            <w:shd w:val="clear" w:color="auto" w:fill="C6EFCE"/>
            <w:noWrap/>
          </w:tcPr>
          <w:p w14:paraId="07F53077"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Government Decision establishing the implementation of the National Programme to reduce early school leaving</w:t>
            </w:r>
          </w:p>
        </w:tc>
      </w:tr>
      <w:tr w:rsidR="00137D7A" w:rsidRPr="00137D7A" w14:paraId="52556515"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13F16BF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464</w:t>
            </w:r>
          </w:p>
        </w:tc>
        <w:tc>
          <w:tcPr>
            <w:tcW w:w="3627" w:type="dxa"/>
            <w:tcBorders>
              <w:top w:val="nil"/>
              <w:left w:val="nil"/>
              <w:bottom w:val="single" w:sz="4" w:space="0" w:color="auto"/>
              <w:right w:val="single" w:sz="4" w:space="0" w:color="auto"/>
            </w:tcBorders>
            <w:shd w:val="clear" w:color="auto" w:fill="C6EFCE"/>
            <w:noWrap/>
          </w:tcPr>
          <w:p w14:paraId="2FC6C30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C15.I4</w:t>
            </w:r>
          </w:p>
          <w:p w14:paraId="7735ED5D"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Supporting educational establishments with high risk of drop-outs</w:t>
            </w:r>
          </w:p>
        </w:tc>
        <w:tc>
          <w:tcPr>
            <w:tcW w:w="1320" w:type="dxa"/>
            <w:tcBorders>
              <w:top w:val="nil"/>
              <w:left w:val="nil"/>
              <w:bottom w:val="single" w:sz="4" w:space="0" w:color="auto"/>
              <w:right w:val="single" w:sz="4" w:space="0" w:color="auto"/>
            </w:tcBorders>
            <w:shd w:val="clear" w:color="auto" w:fill="C6EFCE"/>
            <w:noWrap/>
          </w:tcPr>
          <w:p w14:paraId="6ADFFD9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228" w:type="dxa"/>
            <w:tcBorders>
              <w:top w:val="nil"/>
              <w:left w:val="nil"/>
              <w:bottom w:val="single" w:sz="4" w:space="0" w:color="auto"/>
              <w:right w:val="single" w:sz="4" w:space="0" w:color="auto"/>
            </w:tcBorders>
            <w:shd w:val="clear" w:color="auto" w:fill="C6EFCE"/>
            <w:noWrap/>
          </w:tcPr>
          <w:p w14:paraId="2E10B751"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Open call for projects for the support of students for the transition from lower to upper secondary education, on the basis of 5 indicators defined in the Early Warning Mechanism in Education</w:t>
            </w:r>
          </w:p>
        </w:tc>
      </w:tr>
      <w:tr w:rsidR="00137D7A" w:rsidRPr="00137D7A" w14:paraId="76C353E8" w14:textId="77777777">
        <w:trPr>
          <w:trHeight w:val="302"/>
        </w:trPr>
        <w:tc>
          <w:tcPr>
            <w:tcW w:w="1288" w:type="dxa"/>
            <w:tcBorders>
              <w:top w:val="single" w:sz="4" w:space="0" w:color="auto"/>
              <w:left w:val="single" w:sz="4" w:space="0" w:color="auto"/>
              <w:bottom w:val="single" w:sz="4" w:space="0" w:color="auto"/>
              <w:right w:val="single" w:sz="4" w:space="0" w:color="auto"/>
            </w:tcBorders>
            <w:shd w:val="clear" w:color="auto" w:fill="C6EFCE"/>
            <w:noWrap/>
          </w:tcPr>
          <w:p w14:paraId="3113BB7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p>
        </w:tc>
        <w:tc>
          <w:tcPr>
            <w:tcW w:w="3627" w:type="dxa"/>
            <w:tcBorders>
              <w:top w:val="single" w:sz="4" w:space="0" w:color="auto"/>
              <w:left w:val="nil"/>
              <w:bottom w:val="single" w:sz="4" w:space="0" w:color="auto"/>
              <w:right w:val="single" w:sz="4" w:space="0" w:color="auto"/>
            </w:tcBorders>
            <w:shd w:val="clear" w:color="auto" w:fill="C6EFCE"/>
            <w:noWrap/>
          </w:tcPr>
          <w:p w14:paraId="5D0C4A41"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p>
        </w:tc>
        <w:tc>
          <w:tcPr>
            <w:tcW w:w="1320" w:type="dxa"/>
            <w:tcBorders>
              <w:top w:val="single" w:sz="4" w:space="0" w:color="auto"/>
              <w:left w:val="nil"/>
              <w:bottom w:val="single" w:sz="4" w:space="0" w:color="auto"/>
              <w:right w:val="single" w:sz="4" w:space="0" w:color="auto"/>
            </w:tcBorders>
            <w:shd w:val="clear" w:color="auto" w:fill="C6EFCE"/>
            <w:noWrap/>
          </w:tcPr>
          <w:p w14:paraId="3B89810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Instalmet Amount</w:t>
            </w:r>
          </w:p>
        </w:tc>
        <w:tc>
          <w:tcPr>
            <w:tcW w:w="3228" w:type="dxa"/>
            <w:tcBorders>
              <w:top w:val="single" w:sz="4" w:space="0" w:color="auto"/>
              <w:left w:val="nil"/>
              <w:bottom w:val="single" w:sz="4" w:space="0" w:color="auto"/>
              <w:right w:val="single" w:sz="4" w:space="0" w:color="auto"/>
            </w:tcBorders>
            <w:shd w:val="clear" w:color="auto" w:fill="C6EFCE"/>
            <w:noWrap/>
            <w:vAlign w:val="center"/>
          </w:tcPr>
          <w:p w14:paraId="25277BC1" w14:textId="77777777" w:rsidR="00137D7A" w:rsidRPr="00137D7A" w:rsidRDefault="00137D7A" w:rsidP="00137D7A">
            <w:pPr>
              <w:spacing w:after="0" w:line="259" w:lineRule="auto"/>
              <w:jc w:val="right"/>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EUR 2 037 146 414</w:t>
            </w:r>
          </w:p>
        </w:tc>
      </w:tr>
    </w:tbl>
    <w:p w14:paraId="3E76DF58" w14:textId="77777777" w:rsidR="00137D7A" w:rsidRPr="00137D7A"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bCs/>
          <w:i/>
          <w:noProof/>
          <w:lang w:val="fr-FR" w:eastAsia="en-US"/>
        </w:rPr>
      </w:pPr>
      <w:r w:rsidRPr="00137D7A">
        <w:rPr>
          <w:rFonts w:ascii="Times New Roman" w:eastAsia="Times New Roman" w:hAnsi="Times New Roman" w:cs="Times New Roman"/>
          <w:bCs/>
          <w:i/>
          <w:noProof/>
          <w:lang w:val="fr-FR" w:eastAsia="en-US"/>
        </w:rPr>
        <w:t xml:space="preserve">2.1.2 Second Instalment (non-repayable support): </w:t>
      </w:r>
    </w:p>
    <w:tbl>
      <w:tblPr>
        <w:tblW w:w="9634" w:type="dxa"/>
        <w:tblInd w:w="113" w:type="dxa"/>
        <w:tblLook w:val="04A0" w:firstRow="1" w:lastRow="0" w:firstColumn="1" w:lastColumn="0" w:noHBand="0" w:noVBand="1"/>
      </w:tblPr>
      <w:tblGrid>
        <w:gridCol w:w="1356"/>
        <w:gridCol w:w="3633"/>
        <w:gridCol w:w="1243"/>
        <w:gridCol w:w="3402"/>
      </w:tblGrid>
      <w:tr w:rsidR="00137D7A" w:rsidRPr="00137D7A" w14:paraId="74E7E989" w14:textId="77777777">
        <w:trPr>
          <w:trHeight w:val="906"/>
          <w:tblHeader/>
        </w:trPr>
        <w:tc>
          <w:tcPr>
            <w:tcW w:w="13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631ABE"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Sequential Number</w:t>
            </w:r>
          </w:p>
        </w:tc>
        <w:tc>
          <w:tcPr>
            <w:tcW w:w="36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205DAD2"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 xml:space="preserve">Related Measure </w:t>
            </w:r>
          </w:p>
          <w:p w14:paraId="35A85E11"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(Reform or Investment)</w:t>
            </w:r>
          </w:p>
        </w:tc>
        <w:tc>
          <w:tcPr>
            <w:tcW w:w="12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72D795D" w14:textId="43317D34"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Milestone/ Target</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959E54"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Name</w:t>
            </w:r>
          </w:p>
        </w:tc>
      </w:tr>
      <w:tr w:rsidR="00137D7A" w:rsidRPr="00137D7A" w14:paraId="01642DC0" w14:textId="77777777">
        <w:trPr>
          <w:trHeight w:val="509"/>
          <w:tblHeader/>
        </w:trPr>
        <w:tc>
          <w:tcPr>
            <w:tcW w:w="1356" w:type="dxa"/>
            <w:vMerge/>
            <w:tcBorders>
              <w:top w:val="single" w:sz="4" w:space="0" w:color="auto"/>
              <w:left w:val="single" w:sz="4" w:space="0" w:color="auto"/>
              <w:bottom w:val="single" w:sz="4" w:space="0" w:color="auto"/>
              <w:right w:val="single" w:sz="4" w:space="0" w:color="auto"/>
            </w:tcBorders>
            <w:vAlign w:val="center"/>
            <w:hideMark/>
          </w:tcPr>
          <w:p w14:paraId="7FF7119F" w14:textId="77777777" w:rsidR="00137D7A" w:rsidRPr="00137D7A" w:rsidRDefault="00137D7A" w:rsidP="00137D7A">
            <w:pPr>
              <w:spacing w:after="0" w:line="259" w:lineRule="auto"/>
              <w:jc w:val="center"/>
              <w:rPr>
                <w:rFonts w:ascii="Times New Roman" w:eastAsia="Times New Roman" w:hAnsi="Times New Roman" w:cs="Times New Roman"/>
                <w:b/>
                <w:bCs/>
                <w:noProof/>
                <w:kern w:val="2"/>
                <w:sz w:val="22"/>
                <w:szCs w:val="22"/>
                <w:lang w:val="en-IE" w:eastAsia="en-GB"/>
                <w14:ligatures w14:val="standardContextual"/>
              </w:rPr>
            </w:pPr>
          </w:p>
        </w:tc>
        <w:tc>
          <w:tcPr>
            <w:tcW w:w="3633" w:type="dxa"/>
            <w:vMerge/>
            <w:tcBorders>
              <w:top w:val="single" w:sz="4" w:space="0" w:color="auto"/>
              <w:left w:val="single" w:sz="4" w:space="0" w:color="auto"/>
              <w:bottom w:val="single" w:sz="4" w:space="0" w:color="auto"/>
              <w:right w:val="single" w:sz="4" w:space="0" w:color="auto"/>
            </w:tcBorders>
            <w:vAlign w:val="center"/>
            <w:hideMark/>
          </w:tcPr>
          <w:p w14:paraId="446BED7C" w14:textId="77777777" w:rsidR="00137D7A" w:rsidRPr="00137D7A"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1243" w:type="dxa"/>
            <w:vMerge/>
            <w:tcBorders>
              <w:top w:val="single" w:sz="4" w:space="0" w:color="auto"/>
              <w:left w:val="single" w:sz="4" w:space="0" w:color="auto"/>
              <w:bottom w:val="single" w:sz="4" w:space="0" w:color="auto"/>
              <w:right w:val="single" w:sz="4" w:space="0" w:color="auto"/>
            </w:tcBorders>
            <w:vAlign w:val="center"/>
            <w:hideMark/>
          </w:tcPr>
          <w:p w14:paraId="7B827719" w14:textId="77777777" w:rsidR="00137D7A" w:rsidRPr="00137D7A" w:rsidRDefault="00137D7A" w:rsidP="00137D7A">
            <w:pPr>
              <w:spacing w:after="0" w:line="259" w:lineRule="auto"/>
              <w:jc w:val="center"/>
              <w:rPr>
                <w:rFonts w:ascii="Times New Roman" w:eastAsia="Times New Roman" w:hAnsi="Times New Roman" w:cs="Times New Roman"/>
                <w:b/>
                <w:bCs/>
                <w:noProof/>
                <w:kern w:val="2"/>
                <w:sz w:val="22"/>
                <w:szCs w:val="22"/>
                <w:lang w:val="en-IE" w:eastAsia="en-GB"/>
                <w14:ligatures w14:val="standardContextual"/>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71FFE1B"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r>
      <w:tr w:rsidR="00137D7A" w:rsidRPr="00137D7A" w14:paraId="1CC9BF36" w14:textId="77777777">
        <w:trPr>
          <w:trHeight w:val="302"/>
        </w:trPr>
        <w:tc>
          <w:tcPr>
            <w:tcW w:w="1356" w:type="dxa"/>
            <w:tcBorders>
              <w:top w:val="single" w:sz="4" w:space="0" w:color="auto"/>
              <w:left w:val="single" w:sz="4" w:space="0" w:color="auto"/>
              <w:bottom w:val="single" w:sz="4" w:space="0" w:color="auto"/>
              <w:right w:val="single" w:sz="4" w:space="0" w:color="auto"/>
            </w:tcBorders>
            <w:shd w:val="clear" w:color="auto" w:fill="C6EFCE"/>
            <w:noWrap/>
            <w:hideMark/>
          </w:tcPr>
          <w:p w14:paraId="7B3BCD5A"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124</w:t>
            </w:r>
          </w:p>
        </w:tc>
        <w:tc>
          <w:tcPr>
            <w:tcW w:w="3633" w:type="dxa"/>
            <w:tcBorders>
              <w:top w:val="single" w:sz="4" w:space="0" w:color="auto"/>
              <w:left w:val="nil"/>
              <w:bottom w:val="single" w:sz="4" w:space="0" w:color="auto"/>
              <w:right w:val="single" w:sz="4" w:space="0" w:color="auto"/>
            </w:tcBorders>
            <w:shd w:val="clear" w:color="auto" w:fill="C6EFCE"/>
            <w:noWrap/>
            <w:hideMark/>
          </w:tcPr>
          <w:p w14:paraId="4041F52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C6.I1</w:t>
            </w:r>
          </w:p>
          <w:p w14:paraId="3D66972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New capacities for electricity generation from renewable sources</w:t>
            </w:r>
          </w:p>
        </w:tc>
        <w:tc>
          <w:tcPr>
            <w:tcW w:w="1243" w:type="dxa"/>
            <w:tcBorders>
              <w:top w:val="single" w:sz="4" w:space="0" w:color="auto"/>
              <w:left w:val="nil"/>
              <w:bottom w:val="single" w:sz="4" w:space="0" w:color="auto"/>
              <w:right w:val="single" w:sz="4" w:space="0" w:color="auto"/>
            </w:tcBorders>
            <w:shd w:val="clear" w:color="auto" w:fill="C6EFCE"/>
            <w:noWrap/>
            <w:hideMark/>
          </w:tcPr>
          <w:p w14:paraId="23C0D582"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single" w:sz="4" w:space="0" w:color="auto"/>
              <w:left w:val="nil"/>
              <w:bottom w:val="single" w:sz="4" w:space="0" w:color="auto"/>
              <w:right w:val="single" w:sz="4" w:space="0" w:color="auto"/>
            </w:tcBorders>
            <w:shd w:val="clear" w:color="auto" w:fill="C6EFCE"/>
            <w:noWrap/>
            <w:hideMark/>
          </w:tcPr>
          <w:p w14:paraId="37CBB41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Opening a call for tender for projects for the production of energy from renewable sources (wind and solar)</w:t>
            </w:r>
          </w:p>
        </w:tc>
      </w:tr>
      <w:tr w:rsidR="00137D7A" w:rsidRPr="00137D7A" w14:paraId="2B2EC83C"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hideMark/>
          </w:tcPr>
          <w:p w14:paraId="02B94C1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143</w:t>
            </w:r>
          </w:p>
        </w:tc>
        <w:tc>
          <w:tcPr>
            <w:tcW w:w="3633" w:type="dxa"/>
            <w:tcBorders>
              <w:top w:val="nil"/>
              <w:left w:val="nil"/>
              <w:bottom w:val="single" w:sz="4" w:space="0" w:color="auto"/>
              <w:right w:val="single" w:sz="4" w:space="0" w:color="auto"/>
            </w:tcBorders>
            <w:shd w:val="clear" w:color="auto" w:fill="C6EFCE"/>
            <w:noWrap/>
            <w:hideMark/>
          </w:tcPr>
          <w:p w14:paraId="19A7ECAA"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C7.R1</w:t>
            </w:r>
          </w:p>
          <w:p w14:paraId="5A2EE9F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Development of a unitary framework for defining the architecture of a government cloud system </w:t>
            </w:r>
          </w:p>
        </w:tc>
        <w:tc>
          <w:tcPr>
            <w:tcW w:w="1243" w:type="dxa"/>
            <w:tcBorders>
              <w:top w:val="nil"/>
              <w:left w:val="nil"/>
              <w:bottom w:val="single" w:sz="4" w:space="0" w:color="auto"/>
              <w:right w:val="single" w:sz="4" w:space="0" w:color="auto"/>
            </w:tcBorders>
            <w:shd w:val="clear" w:color="auto" w:fill="C6EFCE"/>
            <w:noWrap/>
            <w:hideMark/>
          </w:tcPr>
          <w:p w14:paraId="54D34A2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hideMark/>
          </w:tcPr>
          <w:p w14:paraId="48D1943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Completed analysis for the options for the government cloud architecture </w:t>
            </w:r>
          </w:p>
        </w:tc>
      </w:tr>
      <w:tr w:rsidR="00137D7A" w:rsidRPr="00137D7A" w14:paraId="7E1367A8"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3CC4749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191</w:t>
            </w:r>
          </w:p>
        </w:tc>
        <w:tc>
          <w:tcPr>
            <w:tcW w:w="3633" w:type="dxa"/>
            <w:tcBorders>
              <w:top w:val="nil"/>
              <w:left w:val="nil"/>
              <w:bottom w:val="single" w:sz="4" w:space="0" w:color="auto"/>
              <w:right w:val="single" w:sz="4" w:space="0" w:color="auto"/>
            </w:tcBorders>
            <w:shd w:val="clear" w:color="auto" w:fill="C6EFCE"/>
            <w:noWrap/>
          </w:tcPr>
          <w:p w14:paraId="57BAD4E5"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C8.R1</w:t>
            </w:r>
          </w:p>
          <w:p w14:paraId="35864CE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Reform of the National Agency for Fiscal Administration (ANAF) through digitalisation </w:t>
            </w:r>
          </w:p>
        </w:tc>
        <w:tc>
          <w:tcPr>
            <w:tcW w:w="1243" w:type="dxa"/>
            <w:tcBorders>
              <w:top w:val="nil"/>
              <w:left w:val="nil"/>
              <w:bottom w:val="single" w:sz="4" w:space="0" w:color="auto"/>
              <w:right w:val="single" w:sz="4" w:space="0" w:color="auto"/>
            </w:tcBorders>
            <w:shd w:val="clear" w:color="auto" w:fill="C6EFCE"/>
            <w:noWrap/>
          </w:tcPr>
          <w:p w14:paraId="7C4203F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0B9F6C8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legal framework for the compulsory enrolment of legal persons taxpayers in SPV (Virtual Private Space)</w:t>
            </w:r>
          </w:p>
        </w:tc>
      </w:tr>
      <w:tr w:rsidR="00137D7A" w:rsidRPr="00137D7A" w14:paraId="00BD6C03"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497C987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195</w:t>
            </w:r>
          </w:p>
        </w:tc>
        <w:tc>
          <w:tcPr>
            <w:tcW w:w="3633" w:type="dxa"/>
            <w:tcBorders>
              <w:top w:val="nil"/>
              <w:left w:val="nil"/>
              <w:bottom w:val="single" w:sz="4" w:space="0" w:color="auto"/>
              <w:right w:val="single" w:sz="4" w:space="0" w:color="auto"/>
            </w:tcBorders>
            <w:shd w:val="clear" w:color="auto" w:fill="C6EFCE"/>
            <w:noWrap/>
          </w:tcPr>
          <w:p w14:paraId="4BF1A73B"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C8.R1</w:t>
            </w:r>
          </w:p>
          <w:p w14:paraId="10A95D66"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Reform of the National Agency for Fiscal Administration (ANAF) through digitalisation </w:t>
            </w:r>
          </w:p>
        </w:tc>
        <w:tc>
          <w:tcPr>
            <w:tcW w:w="1243" w:type="dxa"/>
            <w:tcBorders>
              <w:top w:val="nil"/>
              <w:left w:val="nil"/>
              <w:bottom w:val="single" w:sz="4" w:space="0" w:color="auto"/>
              <w:right w:val="single" w:sz="4" w:space="0" w:color="auto"/>
            </w:tcBorders>
            <w:shd w:val="clear" w:color="auto" w:fill="C6EFCE"/>
            <w:noWrap/>
          </w:tcPr>
          <w:p w14:paraId="4C70D92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047E23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Operationalization/approval of the Joint Action Plan between the National Agency for Fiscal Administration and Labour Inspection to prevent and limit the phenomenon of grey/black work evasion</w:t>
            </w:r>
          </w:p>
        </w:tc>
      </w:tr>
      <w:tr w:rsidR="00137D7A" w:rsidRPr="00137D7A" w14:paraId="3A317D6B"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7DE56C6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213</w:t>
            </w:r>
          </w:p>
        </w:tc>
        <w:tc>
          <w:tcPr>
            <w:tcW w:w="3633" w:type="dxa"/>
            <w:tcBorders>
              <w:top w:val="nil"/>
              <w:left w:val="nil"/>
              <w:bottom w:val="single" w:sz="4" w:space="0" w:color="auto"/>
              <w:right w:val="single" w:sz="4" w:space="0" w:color="auto"/>
            </w:tcBorders>
            <w:shd w:val="clear" w:color="auto" w:fill="C6EFCE"/>
            <w:noWrap/>
          </w:tcPr>
          <w:p w14:paraId="657BB568"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C8.R6</w:t>
            </w:r>
          </w:p>
          <w:p w14:paraId="55EB3903"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Reform of the public pension system</w:t>
            </w:r>
          </w:p>
        </w:tc>
        <w:tc>
          <w:tcPr>
            <w:tcW w:w="1243" w:type="dxa"/>
            <w:tcBorders>
              <w:top w:val="nil"/>
              <w:left w:val="nil"/>
              <w:bottom w:val="single" w:sz="4" w:space="0" w:color="auto"/>
              <w:right w:val="single" w:sz="4" w:space="0" w:color="auto"/>
            </w:tcBorders>
            <w:shd w:val="clear" w:color="auto" w:fill="C6EFCE"/>
            <w:noWrap/>
          </w:tcPr>
          <w:p w14:paraId="3BF706F3"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0ED27079"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amendments to the regulatory framework to ensure the sustainability of Pillar 2 pensions</w:t>
            </w:r>
          </w:p>
        </w:tc>
      </w:tr>
      <w:tr w:rsidR="00137D7A" w:rsidRPr="00137D7A" w14:paraId="6C11EF8E"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7A532D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387</w:t>
            </w:r>
          </w:p>
        </w:tc>
        <w:tc>
          <w:tcPr>
            <w:tcW w:w="3633" w:type="dxa"/>
            <w:tcBorders>
              <w:top w:val="nil"/>
              <w:left w:val="nil"/>
              <w:bottom w:val="single" w:sz="4" w:space="0" w:color="auto"/>
              <w:right w:val="single" w:sz="4" w:space="0" w:color="auto"/>
            </w:tcBorders>
            <w:shd w:val="clear" w:color="auto" w:fill="C6EFCE"/>
            <w:noWrap/>
          </w:tcPr>
          <w:p w14:paraId="379C01BA"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C13.R4</w:t>
            </w:r>
          </w:p>
          <w:p w14:paraId="76FB0912"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Introduction of work cards and formalisation of work in domestic work</w:t>
            </w:r>
          </w:p>
        </w:tc>
        <w:tc>
          <w:tcPr>
            <w:tcW w:w="1243" w:type="dxa"/>
            <w:tcBorders>
              <w:top w:val="nil"/>
              <w:left w:val="nil"/>
              <w:bottom w:val="single" w:sz="4" w:space="0" w:color="auto"/>
              <w:right w:val="single" w:sz="4" w:space="0" w:color="auto"/>
            </w:tcBorders>
            <w:shd w:val="clear" w:color="auto" w:fill="C6EFCE"/>
            <w:noWrap/>
          </w:tcPr>
          <w:p w14:paraId="1797E2D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38E609C7"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legislation, and its implementing rules, for the domestic workers voucher system </w:t>
            </w:r>
          </w:p>
        </w:tc>
      </w:tr>
      <w:tr w:rsidR="00137D7A" w:rsidRPr="00137D7A" w14:paraId="1A1648B2"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072019BE"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401</w:t>
            </w:r>
          </w:p>
        </w:tc>
        <w:tc>
          <w:tcPr>
            <w:tcW w:w="3633" w:type="dxa"/>
            <w:tcBorders>
              <w:top w:val="nil"/>
              <w:left w:val="nil"/>
              <w:bottom w:val="single" w:sz="4" w:space="0" w:color="auto"/>
              <w:right w:val="single" w:sz="4" w:space="0" w:color="auto"/>
            </w:tcBorders>
            <w:shd w:val="clear" w:color="auto" w:fill="C6EFCE"/>
            <w:noWrap/>
          </w:tcPr>
          <w:p w14:paraId="75884AF0"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C14.R1</w:t>
            </w:r>
          </w:p>
          <w:p w14:paraId="08AFCCE1"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Enhancing the predictability and efficiency of decision-making processes by strengthening the capacity for policy coordination and impact analysis at the level of the government and coordinating ministries, as well as by strengthening the tools to increase the quality of public consultations at all levels of the administration</w:t>
            </w:r>
          </w:p>
        </w:tc>
        <w:tc>
          <w:tcPr>
            <w:tcW w:w="1243" w:type="dxa"/>
            <w:tcBorders>
              <w:top w:val="nil"/>
              <w:left w:val="nil"/>
              <w:bottom w:val="single" w:sz="4" w:space="0" w:color="auto"/>
              <w:right w:val="single" w:sz="4" w:space="0" w:color="auto"/>
            </w:tcBorders>
            <w:shd w:val="clear" w:color="auto" w:fill="C6EFCE"/>
            <w:noWrap/>
          </w:tcPr>
          <w:p w14:paraId="5B53989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3111FCA6"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methodologies and procedures to improve public policy rationale and planning and administrative simplification</w:t>
            </w:r>
          </w:p>
        </w:tc>
      </w:tr>
      <w:tr w:rsidR="00137D7A" w:rsidRPr="00137D7A" w14:paraId="73854AE4"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63EF86B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404</w:t>
            </w:r>
          </w:p>
        </w:tc>
        <w:tc>
          <w:tcPr>
            <w:tcW w:w="3633" w:type="dxa"/>
            <w:tcBorders>
              <w:top w:val="nil"/>
              <w:left w:val="nil"/>
              <w:bottom w:val="single" w:sz="4" w:space="0" w:color="auto"/>
              <w:right w:val="single" w:sz="4" w:space="0" w:color="auto"/>
            </w:tcBorders>
            <w:shd w:val="clear" w:color="auto" w:fill="C6EFCE"/>
            <w:noWrap/>
          </w:tcPr>
          <w:p w14:paraId="77100134"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C14.R1</w:t>
            </w:r>
          </w:p>
          <w:p w14:paraId="3C0B293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Enhancing the predictability and efficiency of decision-making processes by strengthening the capacity for policy coordination and impact analysis at the level of the government and coordinating ministries, as well as by strengthening the tools to increase the quality of public consultations at all levels of the administration</w:t>
            </w:r>
          </w:p>
        </w:tc>
        <w:tc>
          <w:tcPr>
            <w:tcW w:w="1243" w:type="dxa"/>
            <w:tcBorders>
              <w:top w:val="nil"/>
              <w:left w:val="nil"/>
              <w:bottom w:val="single" w:sz="4" w:space="0" w:color="auto"/>
              <w:right w:val="single" w:sz="4" w:space="0" w:color="auto"/>
            </w:tcBorders>
            <w:shd w:val="clear" w:color="auto" w:fill="C6EFCE"/>
            <w:noWrap/>
          </w:tcPr>
          <w:p w14:paraId="1339109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0F3EB3D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a legislative act operationalising a structure to ensure the implementation of an effective regulatory quality control mechanism</w:t>
            </w:r>
          </w:p>
        </w:tc>
      </w:tr>
      <w:tr w:rsidR="00137D7A" w:rsidRPr="00137D7A" w14:paraId="0D01EF20"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5B96F13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421</w:t>
            </w:r>
          </w:p>
        </w:tc>
        <w:tc>
          <w:tcPr>
            <w:tcW w:w="3633" w:type="dxa"/>
            <w:tcBorders>
              <w:top w:val="nil"/>
              <w:left w:val="nil"/>
              <w:bottom w:val="single" w:sz="4" w:space="0" w:color="auto"/>
              <w:right w:val="single" w:sz="4" w:space="0" w:color="auto"/>
            </w:tcBorders>
            <w:shd w:val="clear" w:color="auto" w:fill="C6EFCE"/>
            <w:noWrap/>
          </w:tcPr>
          <w:p w14:paraId="48B14D8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C14.R5</w:t>
            </w:r>
          </w:p>
          <w:p w14:paraId="54F93AB8" w14:textId="2BA4EDBA"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Ensuring the independence of the judiciary, enhancing its quality and efficiency</w:t>
            </w:r>
            <w:r w:rsidR="00D23D91">
              <w:rPr>
                <w:rFonts w:ascii="Times New Roman" w:eastAsia="Aptos" w:hAnsi="Times New Roman" w:cs="Times New Roman"/>
                <w:noProof/>
                <w:kern w:val="2"/>
                <w:sz w:val="22"/>
                <w:szCs w:val="22"/>
                <w:lang w:val="en-IE" w:eastAsia="en-US"/>
                <w14:ligatures w14:val="standardContextual"/>
              </w:rPr>
              <w:t xml:space="preserve"> </w:t>
            </w:r>
          </w:p>
        </w:tc>
        <w:tc>
          <w:tcPr>
            <w:tcW w:w="1243" w:type="dxa"/>
            <w:tcBorders>
              <w:top w:val="nil"/>
              <w:left w:val="nil"/>
              <w:bottom w:val="single" w:sz="4" w:space="0" w:color="auto"/>
              <w:right w:val="single" w:sz="4" w:space="0" w:color="auto"/>
            </w:tcBorders>
            <w:shd w:val="clear" w:color="auto" w:fill="C6EFCE"/>
            <w:noWrap/>
          </w:tcPr>
          <w:p w14:paraId="784E818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76CC0C54"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the governement decision approving the strategy for the development of the judiciary 2022-2025 </w:t>
            </w:r>
          </w:p>
        </w:tc>
      </w:tr>
      <w:tr w:rsidR="00137D7A" w:rsidRPr="00137D7A" w14:paraId="6299E198"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E3F54C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430</w:t>
            </w:r>
          </w:p>
        </w:tc>
        <w:tc>
          <w:tcPr>
            <w:tcW w:w="3633" w:type="dxa"/>
            <w:tcBorders>
              <w:top w:val="nil"/>
              <w:left w:val="nil"/>
              <w:bottom w:val="single" w:sz="4" w:space="0" w:color="auto"/>
              <w:right w:val="single" w:sz="4" w:space="0" w:color="auto"/>
            </w:tcBorders>
            <w:shd w:val="clear" w:color="auto" w:fill="C6EFCE"/>
            <w:noWrap/>
          </w:tcPr>
          <w:p w14:paraId="7EA4FC7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C14.R6</w:t>
            </w:r>
          </w:p>
          <w:p w14:paraId="1A76195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Stepping up the fight against corruption </w:t>
            </w:r>
          </w:p>
        </w:tc>
        <w:tc>
          <w:tcPr>
            <w:tcW w:w="1243" w:type="dxa"/>
            <w:tcBorders>
              <w:top w:val="nil"/>
              <w:left w:val="nil"/>
              <w:bottom w:val="single" w:sz="4" w:space="0" w:color="auto"/>
              <w:right w:val="single" w:sz="4" w:space="0" w:color="auto"/>
            </w:tcBorders>
            <w:shd w:val="clear" w:color="auto" w:fill="C6EFCE"/>
            <w:noWrap/>
          </w:tcPr>
          <w:p w14:paraId="3FB76D7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7AEFF51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law transposing the directive on whistle-blowers’ protection</w:t>
            </w:r>
          </w:p>
        </w:tc>
      </w:tr>
      <w:tr w:rsidR="00137D7A" w:rsidRPr="00137D7A" w14:paraId="7E97974E"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4470829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433</w:t>
            </w:r>
          </w:p>
        </w:tc>
        <w:tc>
          <w:tcPr>
            <w:tcW w:w="3633" w:type="dxa"/>
            <w:tcBorders>
              <w:top w:val="nil"/>
              <w:left w:val="nil"/>
              <w:bottom w:val="single" w:sz="4" w:space="0" w:color="auto"/>
              <w:right w:val="single" w:sz="4" w:space="0" w:color="auto"/>
            </w:tcBorders>
            <w:shd w:val="clear" w:color="auto" w:fill="C6EFCE"/>
            <w:noWrap/>
          </w:tcPr>
          <w:p w14:paraId="2B4FF80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C14.R8</w:t>
            </w:r>
          </w:p>
          <w:p w14:paraId="35EA544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Modernising and streamlining the national public procurement </w:t>
            </w:r>
            <w:r w:rsidRPr="00137D7A" w:rsidDel="00675AEB">
              <w:rPr>
                <w:rFonts w:ascii="Times New Roman" w:eastAsia="Aptos" w:hAnsi="Times New Roman" w:cs="Times New Roman"/>
                <w:noProof/>
                <w:kern w:val="2"/>
                <w:sz w:val="22"/>
                <w:szCs w:val="22"/>
                <w:lang w:val="en-IE" w:eastAsia="en-US"/>
                <w14:ligatures w14:val="standardContextual"/>
              </w:rPr>
              <w:t>system</w:t>
            </w:r>
          </w:p>
        </w:tc>
        <w:tc>
          <w:tcPr>
            <w:tcW w:w="1243" w:type="dxa"/>
            <w:tcBorders>
              <w:top w:val="nil"/>
              <w:left w:val="nil"/>
              <w:bottom w:val="single" w:sz="4" w:space="0" w:color="auto"/>
              <w:right w:val="single" w:sz="4" w:space="0" w:color="auto"/>
            </w:tcBorders>
            <w:shd w:val="clear" w:color="auto" w:fill="C6EFCE"/>
            <w:noWrap/>
          </w:tcPr>
          <w:p w14:paraId="79B0ACD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09E3AE04"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the amendment of national legislation on remedies (Law No. 101/2016) </w:t>
            </w:r>
          </w:p>
        </w:tc>
      </w:tr>
      <w:tr w:rsidR="00137D7A" w:rsidRPr="00137D7A" w14:paraId="23F40A3D"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89492F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465</w:t>
            </w:r>
          </w:p>
        </w:tc>
        <w:tc>
          <w:tcPr>
            <w:tcW w:w="3633" w:type="dxa"/>
            <w:tcBorders>
              <w:top w:val="nil"/>
              <w:left w:val="nil"/>
              <w:bottom w:val="single" w:sz="4" w:space="0" w:color="auto"/>
              <w:right w:val="single" w:sz="4" w:space="0" w:color="auto"/>
            </w:tcBorders>
            <w:shd w:val="clear" w:color="auto" w:fill="C6EFCE"/>
            <w:noWrap/>
          </w:tcPr>
          <w:p w14:paraId="16D69227"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C15.I4</w:t>
            </w:r>
          </w:p>
          <w:p w14:paraId="40B1B12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Supporting educational establishments with high risk of drop-outs</w:t>
            </w:r>
          </w:p>
        </w:tc>
        <w:tc>
          <w:tcPr>
            <w:tcW w:w="1243" w:type="dxa"/>
            <w:tcBorders>
              <w:top w:val="nil"/>
              <w:left w:val="nil"/>
              <w:bottom w:val="single" w:sz="4" w:space="0" w:color="auto"/>
              <w:right w:val="single" w:sz="4" w:space="0" w:color="auto"/>
            </w:tcBorders>
            <w:shd w:val="clear" w:color="auto" w:fill="C6EFCE"/>
            <w:noWrap/>
          </w:tcPr>
          <w:p w14:paraId="7BE59D2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32CAAA4D"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Educational establishments awarded with the grant scheme (Lot 1)</w:t>
            </w:r>
          </w:p>
        </w:tc>
      </w:tr>
      <w:tr w:rsidR="00137D7A" w:rsidRPr="00137D7A" w14:paraId="04A26098"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64399DD3"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477</w:t>
            </w:r>
          </w:p>
        </w:tc>
        <w:tc>
          <w:tcPr>
            <w:tcW w:w="3633" w:type="dxa"/>
            <w:tcBorders>
              <w:top w:val="nil"/>
              <w:left w:val="nil"/>
              <w:bottom w:val="single" w:sz="4" w:space="0" w:color="auto"/>
              <w:right w:val="single" w:sz="4" w:space="0" w:color="auto"/>
            </w:tcBorders>
            <w:shd w:val="clear" w:color="auto" w:fill="C6EFCE"/>
            <w:noWrap/>
          </w:tcPr>
          <w:p w14:paraId="1168956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C15.R5</w:t>
            </w:r>
          </w:p>
          <w:p w14:paraId="74392E0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Adoption of the legislative framework for the digitalisation of education</w:t>
            </w:r>
          </w:p>
        </w:tc>
        <w:tc>
          <w:tcPr>
            <w:tcW w:w="1243" w:type="dxa"/>
            <w:tcBorders>
              <w:top w:val="nil"/>
              <w:left w:val="nil"/>
              <w:bottom w:val="single" w:sz="4" w:space="0" w:color="auto"/>
              <w:right w:val="single" w:sz="4" w:space="0" w:color="auto"/>
            </w:tcBorders>
            <w:shd w:val="clear" w:color="auto" w:fill="C6EFCE"/>
            <w:noWrap/>
          </w:tcPr>
          <w:p w14:paraId="50A845B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6287891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Ministerial Order (MO) to ensure standards for equipping schools with technological equipment and resources for educational purposes online and to ensure a sustainable impact of the proposed investments</w:t>
            </w:r>
          </w:p>
        </w:tc>
      </w:tr>
      <w:tr w:rsidR="00137D7A" w:rsidRPr="00137D7A" w14:paraId="2EAAE9E4"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64604DA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494</w:t>
            </w:r>
          </w:p>
        </w:tc>
        <w:tc>
          <w:tcPr>
            <w:tcW w:w="3633" w:type="dxa"/>
            <w:tcBorders>
              <w:top w:val="nil"/>
              <w:left w:val="nil"/>
              <w:bottom w:val="single" w:sz="4" w:space="0" w:color="auto"/>
              <w:right w:val="single" w:sz="4" w:space="0" w:color="auto"/>
            </w:tcBorders>
            <w:shd w:val="clear" w:color="auto" w:fill="C6EFCE"/>
            <w:noWrap/>
          </w:tcPr>
          <w:p w14:paraId="5D9006D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C15.R7</w:t>
            </w:r>
          </w:p>
          <w:p w14:paraId="796333A7"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Reform of the governance of the pre-university education system and professionalisation of management</w:t>
            </w:r>
          </w:p>
        </w:tc>
        <w:tc>
          <w:tcPr>
            <w:tcW w:w="1243" w:type="dxa"/>
            <w:tcBorders>
              <w:top w:val="nil"/>
              <w:left w:val="nil"/>
              <w:bottom w:val="single" w:sz="4" w:space="0" w:color="auto"/>
              <w:right w:val="single" w:sz="4" w:space="0" w:color="auto"/>
            </w:tcBorders>
            <w:shd w:val="clear" w:color="auto" w:fill="C6EFCE"/>
            <w:noWrap/>
          </w:tcPr>
          <w:p w14:paraId="6DC18DC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356995F7"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Signature of the technical assistance contract for the development of the Governance Reform Action Plan, including the training and coaching programme for managers and inspectors</w:t>
            </w:r>
          </w:p>
        </w:tc>
      </w:tr>
      <w:tr w:rsidR="00137D7A" w:rsidRPr="00137D7A" w14:paraId="1423AA14"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6DDB9C6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65</w:t>
            </w:r>
          </w:p>
        </w:tc>
        <w:tc>
          <w:tcPr>
            <w:tcW w:w="3633" w:type="dxa"/>
            <w:tcBorders>
              <w:top w:val="nil"/>
              <w:left w:val="nil"/>
              <w:bottom w:val="single" w:sz="4" w:space="0" w:color="auto"/>
              <w:right w:val="single" w:sz="4" w:space="0" w:color="auto"/>
            </w:tcBorders>
            <w:shd w:val="clear" w:color="auto" w:fill="C6EFCE"/>
            <w:noWrap/>
          </w:tcPr>
          <w:p w14:paraId="1D0C0DB0"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C4.R1</w:t>
            </w:r>
          </w:p>
          <w:p w14:paraId="7275CC8F"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Sustainable transport, decarbonisation and road safety / Road safety</w:t>
            </w:r>
          </w:p>
        </w:tc>
        <w:tc>
          <w:tcPr>
            <w:tcW w:w="1243" w:type="dxa"/>
            <w:tcBorders>
              <w:top w:val="nil"/>
              <w:left w:val="nil"/>
              <w:bottom w:val="single" w:sz="4" w:space="0" w:color="auto"/>
              <w:right w:val="single" w:sz="4" w:space="0" w:color="auto"/>
            </w:tcBorders>
            <w:shd w:val="clear" w:color="auto" w:fill="C6EFCE"/>
            <w:noWrap/>
          </w:tcPr>
          <w:p w14:paraId="2C358FE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1DDF21E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Adoption of the National Road Safety Strategy</w:t>
            </w:r>
          </w:p>
        </w:tc>
      </w:tr>
      <w:tr w:rsidR="00137D7A" w:rsidRPr="00137D7A" w14:paraId="7CC7AD62"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374085FA"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114</w:t>
            </w:r>
          </w:p>
        </w:tc>
        <w:tc>
          <w:tcPr>
            <w:tcW w:w="3633" w:type="dxa"/>
            <w:tcBorders>
              <w:top w:val="nil"/>
              <w:left w:val="nil"/>
              <w:bottom w:val="single" w:sz="4" w:space="0" w:color="auto"/>
              <w:right w:val="single" w:sz="4" w:space="0" w:color="auto"/>
            </w:tcBorders>
            <w:shd w:val="clear" w:color="auto" w:fill="C6EFCE"/>
            <w:noWrap/>
          </w:tcPr>
          <w:p w14:paraId="416090F3"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C6.R1</w:t>
            </w:r>
          </w:p>
          <w:p w14:paraId="30A59EE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Electricity market reform, replacement of coal in the energy mix and support for a legislative and regulatory framework for private investment in renewable electricity production</w:t>
            </w:r>
          </w:p>
        </w:tc>
        <w:tc>
          <w:tcPr>
            <w:tcW w:w="1243" w:type="dxa"/>
            <w:tcBorders>
              <w:top w:val="nil"/>
              <w:left w:val="nil"/>
              <w:bottom w:val="single" w:sz="4" w:space="0" w:color="auto"/>
              <w:right w:val="single" w:sz="4" w:space="0" w:color="auto"/>
            </w:tcBorders>
            <w:shd w:val="clear" w:color="auto" w:fill="C6EFCE"/>
            <w:noWrap/>
          </w:tcPr>
          <w:p w14:paraId="5CCE01F2"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662D8EAF"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Decarbonisation law adopting the coal/lignite phase-out calendar</w:t>
            </w:r>
          </w:p>
        </w:tc>
      </w:tr>
      <w:tr w:rsidR="00137D7A" w:rsidRPr="00137D7A" w14:paraId="12F75328"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3537254"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144</w:t>
            </w:r>
          </w:p>
        </w:tc>
        <w:tc>
          <w:tcPr>
            <w:tcW w:w="3633" w:type="dxa"/>
            <w:tcBorders>
              <w:top w:val="nil"/>
              <w:left w:val="nil"/>
              <w:bottom w:val="single" w:sz="4" w:space="0" w:color="auto"/>
              <w:right w:val="single" w:sz="4" w:space="0" w:color="auto"/>
            </w:tcBorders>
            <w:shd w:val="clear" w:color="auto" w:fill="C6EFCE"/>
            <w:noWrap/>
          </w:tcPr>
          <w:p w14:paraId="0355BF62"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C7.R1</w:t>
            </w:r>
          </w:p>
          <w:p w14:paraId="0B9BD54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Development of a unitary framework for defining the architecture of a government cloud system </w:t>
            </w:r>
          </w:p>
        </w:tc>
        <w:tc>
          <w:tcPr>
            <w:tcW w:w="1243" w:type="dxa"/>
            <w:tcBorders>
              <w:top w:val="nil"/>
              <w:left w:val="nil"/>
              <w:bottom w:val="single" w:sz="4" w:space="0" w:color="auto"/>
              <w:right w:val="single" w:sz="4" w:space="0" w:color="auto"/>
            </w:tcBorders>
            <w:shd w:val="clear" w:color="auto" w:fill="C6EFCE"/>
            <w:noWrap/>
          </w:tcPr>
          <w:p w14:paraId="745244AE"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1321CE6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law for the governance of cloud services for the government area</w:t>
            </w:r>
          </w:p>
        </w:tc>
      </w:tr>
      <w:tr w:rsidR="00137D7A" w:rsidRPr="00137D7A" w14:paraId="4BF110F3"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353DD8E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145</w:t>
            </w:r>
          </w:p>
        </w:tc>
        <w:tc>
          <w:tcPr>
            <w:tcW w:w="3633" w:type="dxa"/>
            <w:tcBorders>
              <w:top w:val="nil"/>
              <w:left w:val="nil"/>
              <w:bottom w:val="single" w:sz="4" w:space="0" w:color="auto"/>
              <w:right w:val="single" w:sz="4" w:space="0" w:color="auto"/>
            </w:tcBorders>
            <w:shd w:val="clear" w:color="auto" w:fill="C6EFCE"/>
            <w:noWrap/>
          </w:tcPr>
          <w:p w14:paraId="20B81388"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C7.R1</w:t>
            </w:r>
          </w:p>
          <w:p w14:paraId="50D1FF8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Development of a unitary framework for defining the architecture of a government cloud system </w:t>
            </w:r>
          </w:p>
        </w:tc>
        <w:tc>
          <w:tcPr>
            <w:tcW w:w="1243" w:type="dxa"/>
            <w:tcBorders>
              <w:top w:val="nil"/>
              <w:left w:val="nil"/>
              <w:bottom w:val="single" w:sz="4" w:space="0" w:color="auto"/>
              <w:right w:val="single" w:sz="4" w:space="0" w:color="auto"/>
            </w:tcBorders>
            <w:shd w:val="clear" w:color="auto" w:fill="C6EFCE"/>
            <w:noWrap/>
          </w:tcPr>
          <w:p w14:paraId="2345B870"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44C16FF6"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interoperability law</w:t>
            </w:r>
          </w:p>
        </w:tc>
      </w:tr>
      <w:tr w:rsidR="00137D7A" w:rsidRPr="00137D7A" w14:paraId="7641438A"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7A24194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153</w:t>
            </w:r>
          </w:p>
        </w:tc>
        <w:tc>
          <w:tcPr>
            <w:tcW w:w="3633" w:type="dxa"/>
            <w:tcBorders>
              <w:top w:val="nil"/>
              <w:left w:val="nil"/>
              <w:bottom w:val="single" w:sz="4" w:space="0" w:color="auto"/>
              <w:right w:val="single" w:sz="4" w:space="0" w:color="auto"/>
            </w:tcBorders>
            <w:shd w:val="clear" w:color="auto" w:fill="C6EFCE"/>
            <w:noWrap/>
          </w:tcPr>
          <w:p w14:paraId="55EAEBA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C7.I1</w:t>
            </w:r>
            <w:r w:rsidRPr="00137D7A">
              <w:rPr>
                <w:rFonts w:ascii="Times New Roman" w:eastAsia="Aptos" w:hAnsi="Times New Roman" w:cs="Times New Roman"/>
                <w:noProof/>
                <w:kern w:val="2"/>
                <w:sz w:val="22"/>
                <w:szCs w:val="22"/>
                <w:lang w:val="en-IE" w:eastAsia="en-US"/>
                <w14:ligatures w14:val="standardContextual"/>
              </w:rPr>
              <w:br/>
              <w:t xml:space="preserve">Deployment of the Government Cloud Infrastructure </w:t>
            </w:r>
          </w:p>
        </w:tc>
        <w:tc>
          <w:tcPr>
            <w:tcW w:w="1243" w:type="dxa"/>
            <w:tcBorders>
              <w:top w:val="nil"/>
              <w:left w:val="nil"/>
              <w:bottom w:val="single" w:sz="4" w:space="0" w:color="auto"/>
              <w:right w:val="single" w:sz="4" w:space="0" w:color="auto"/>
            </w:tcBorders>
            <w:shd w:val="clear" w:color="auto" w:fill="C6EFCE"/>
            <w:noWrap/>
          </w:tcPr>
          <w:p w14:paraId="305F08F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48E78E0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Signature of the contract to implement the investment based on the call for tenders procedure to implement the investment</w:t>
            </w:r>
          </w:p>
        </w:tc>
      </w:tr>
      <w:tr w:rsidR="00137D7A" w:rsidRPr="00137D7A" w14:paraId="54CB80CB"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40C8F58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147</w:t>
            </w:r>
          </w:p>
        </w:tc>
        <w:tc>
          <w:tcPr>
            <w:tcW w:w="3633" w:type="dxa"/>
            <w:tcBorders>
              <w:top w:val="nil"/>
              <w:left w:val="nil"/>
              <w:bottom w:val="single" w:sz="4" w:space="0" w:color="auto"/>
              <w:right w:val="single" w:sz="4" w:space="0" w:color="auto"/>
            </w:tcBorders>
            <w:shd w:val="clear" w:color="auto" w:fill="C6EFCE"/>
            <w:noWrap/>
          </w:tcPr>
          <w:p w14:paraId="7880013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C7.R2</w:t>
            </w:r>
            <w:r w:rsidRPr="00137D7A">
              <w:rPr>
                <w:rFonts w:ascii="Times New Roman" w:eastAsia="Aptos" w:hAnsi="Times New Roman" w:cs="Times New Roman"/>
                <w:noProof/>
                <w:kern w:val="2"/>
                <w:sz w:val="22"/>
                <w:szCs w:val="22"/>
                <w:lang w:val="en-IE" w:eastAsia="en-US"/>
                <w14:ligatures w14:val="standardContextual"/>
              </w:rPr>
              <w:br/>
              <w:t xml:space="preserve">Transition to EU 2025 connectivity targets and stimulate private investment for the deployment of very high capacity networks </w:t>
            </w:r>
          </w:p>
        </w:tc>
        <w:tc>
          <w:tcPr>
            <w:tcW w:w="1243" w:type="dxa"/>
            <w:tcBorders>
              <w:top w:val="nil"/>
              <w:left w:val="nil"/>
              <w:bottom w:val="single" w:sz="4" w:space="0" w:color="auto"/>
              <w:right w:val="single" w:sz="4" w:space="0" w:color="auto"/>
            </w:tcBorders>
            <w:shd w:val="clear" w:color="auto" w:fill="C6EFCE"/>
            <w:noWrap/>
          </w:tcPr>
          <w:p w14:paraId="61BAF47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5C416BA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Publication of the call for tender for the authorisation of telecommunications operators to grant 5G licences </w:t>
            </w:r>
          </w:p>
        </w:tc>
      </w:tr>
      <w:tr w:rsidR="00137D7A" w:rsidRPr="00137D7A" w14:paraId="2B041AA9"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E18BC2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200</w:t>
            </w:r>
          </w:p>
        </w:tc>
        <w:tc>
          <w:tcPr>
            <w:tcW w:w="3633" w:type="dxa"/>
            <w:tcBorders>
              <w:top w:val="nil"/>
              <w:left w:val="nil"/>
              <w:bottom w:val="single" w:sz="4" w:space="0" w:color="auto"/>
              <w:right w:val="single" w:sz="4" w:space="0" w:color="auto"/>
            </w:tcBorders>
            <w:shd w:val="clear" w:color="auto" w:fill="C6EFCE"/>
            <w:noWrap/>
          </w:tcPr>
          <w:p w14:paraId="35F6AD76"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C8.R3</w:t>
            </w:r>
          </w:p>
          <w:p w14:paraId="53694F6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Enhancing the budgetary programming mechanism </w:t>
            </w:r>
          </w:p>
        </w:tc>
        <w:tc>
          <w:tcPr>
            <w:tcW w:w="1243" w:type="dxa"/>
            <w:tcBorders>
              <w:top w:val="nil"/>
              <w:left w:val="nil"/>
              <w:bottom w:val="single" w:sz="4" w:space="0" w:color="auto"/>
              <w:right w:val="single" w:sz="4" w:space="0" w:color="auto"/>
            </w:tcBorders>
            <w:shd w:val="clear" w:color="auto" w:fill="C6EFCE"/>
            <w:noWrap/>
          </w:tcPr>
          <w:p w14:paraId="0A18CDF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74A2F7AA"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government decision for the approval of the methodology for drawing up, monitoring and reporting of the budgetary programmes</w:t>
            </w:r>
          </w:p>
        </w:tc>
      </w:tr>
      <w:tr w:rsidR="00137D7A" w:rsidRPr="00137D7A" w14:paraId="149E9E0F"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577FA06E"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355</w:t>
            </w:r>
          </w:p>
        </w:tc>
        <w:tc>
          <w:tcPr>
            <w:tcW w:w="3633" w:type="dxa"/>
            <w:tcBorders>
              <w:top w:val="nil"/>
              <w:left w:val="nil"/>
              <w:bottom w:val="single" w:sz="4" w:space="0" w:color="auto"/>
              <w:right w:val="single" w:sz="4" w:space="0" w:color="auto"/>
            </w:tcBorders>
            <w:shd w:val="clear" w:color="auto" w:fill="C6EFCE"/>
            <w:noWrap/>
          </w:tcPr>
          <w:p w14:paraId="563A9066"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C12.R2</w:t>
            </w:r>
          </w:p>
          <w:p w14:paraId="1FC27D3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Increased capacity to undertake investments in health infrastructure </w:t>
            </w:r>
          </w:p>
        </w:tc>
        <w:tc>
          <w:tcPr>
            <w:tcW w:w="1243" w:type="dxa"/>
            <w:tcBorders>
              <w:top w:val="nil"/>
              <w:left w:val="nil"/>
              <w:bottom w:val="single" w:sz="4" w:space="0" w:color="auto"/>
              <w:right w:val="single" w:sz="4" w:space="0" w:color="auto"/>
            </w:tcBorders>
            <w:shd w:val="clear" w:color="auto" w:fill="C6EFCE"/>
            <w:noWrap/>
          </w:tcPr>
          <w:p w14:paraId="034B3B0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7823E89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the legislative framework establishing the National Agency for Infrastructure Development in Health (ANDIS) </w:t>
            </w:r>
          </w:p>
        </w:tc>
      </w:tr>
      <w:tr w:rsidR="00137D7A" w:rsidRPr="00137D7A" w14:paraId="2C69DF07"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24226EA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356</w:t>
            </w:r>
          </w:p>
        </w:tc>
        <w:tc>
          <w:tcPr>
            <w:tcW w:w="3633" w:type="dxa"/>
            <w:tcBorders>
              <w:top w:val="nil"/>
              <w:left w:val="nil"/>
              <w:bottom w:val="single" w:sz="4" w:space="0" w:color="auto"/>
              <w:right w:val="single" w:sz="4" w:space="0" w:color="auto"/>
            </w:tcBorders>
            <w:shd w:val="clear" w:color="auto" w:fill="C6EFCE"/>
            <w:noWrap/>
          </w:tcPr>
          <w:p w14:paraId="57FBE844"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C12.R3</w:t>
            </w:r>
          </w:p>
          <w:p w14:paraId="760A4C3F"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Increased capacity for health management and human resources in health </w:t>
            </w:r>
          </w:p>
        </w:tc>
        <w:tc>
          <w:tcPr>
            <w:tcW w:w="1243" w:type="dxa"/>
            <w:tcBorders>
              <w:top w:val="nil"/>
              <w:left w:val="nil"/>
              <w:bottom w:val="single" w:sz="4" w:space="0" w:color="auto"/>
              <w:right w:val="single" w:sz="4" w:space="0" w:color="auto"/>
            </w:tcBorders>
            <w:shd w:val="clear" w:color="auto" w:fill="C6EFCE"/>
            <w:noWrap/>
          </w:tcPr>
          <w:p w14:paraId="041BFB0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407A3C5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the legislative framework for the Increased capacity for health management and human resources in health </w:t>
            </w:r>
          </w:p>
        </w:tc>
      </w:tr>
      <w:tr w:rsidR="00137D7A" w:rsidRPr="00137D7A" w14:paraId="2B646C76"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749DC7F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357</w:t>
            </w:r>
          </w:p>
        </w:tc>
        <w:tc>
          <w:tcPr>
            <w:tcW w:w="3633" w:type="dxa"/>
            <w:tcBorders>
              <w:top w:val="nil"/>
              <w:left w:val="nil"/>
              <w:bottom w:val="single" w:sz="4" w:space="0" w:color="auto"/>
              <w:right w:val="single" w:sz="4" w:space="0" w:color="auto"/>
            </w:tcBorders>
            <w:shd w:val="clear" w:color="auto" w:fill="C6EFCE"/>
            <w:noWrap/>
          </w:tcPr>
          <w:p w14:paraId="640D1FF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C12.R3</w:t>
            </w:r>
          </w:p>
          <w:p w14:paraId="668FA99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Increased capacity for health management and human resources in health </w:t>
            </w:r>
          </w:p>
        </w:tc>
        <w:tc>
          <w:tcPr>
            <w:tcW w:w="1243" w:type="dxa"/>
            <w:tcBorders>
              <w:top w:val="nil"/>
              <w:left w:val="nil"/>
              <w:bottom w:val="single" w:sz="4" w:space="0" w:color="auto"/>
              <w:right w:val="single" w:sz="4" w:space="0" w:color="auto"/>
            </w:tcBorders>
            <w:shd w:val="clear" w:color="auto" w:fill="C6EFCE"/>
            <w:noWrap/>
          </w:tcPr>
          <w:p w14:paraId="3069A01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5F2F0F2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legislation for the strategic framework for the development of human resources in health </w:t>
            </w:r>
          </w:p>
        </w:tc>
      </w:tr>
      <w:tr w:rsidR="00137D7A" w:rsidRPr="00137D7A" w14:paraId="3C2A8903"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46A1ADEE"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413</w:t>
            </w:r>
          </w:p>
        </w:tc>
        <w:tc>
          <w:tcPr>
            <w:tcW w:w="3633" w:type="dxa"/>
            <w:tcBorders>
              <w:top w:val="nil"/>
              <w:left w:val="nil"/>
              <w:bottom w:val="single" w:sz="4" w:space="0" w:color="auto"/>
              <w:right w:val="single" w:sz="4" w:space="0" w:color="auto"/>
            </w:tcBorders>
            <w:shd w:val="clear" w:color="auto" w:fill="C6EFCE"/>
            <w:noWrap/>
          </w:tcPr>
          <w:p w14:paraId="439A4CB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C14.R2</w:t>
            </w:r>
          </w:p>
          <w:p w14:paraId="117EE13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Increasing strategic governance for climate and sustainable development and environmental policies</w:t>
            </w:r>
          </w:p>
        </w:tc>
        <w:tc>
          <w:tcPr>
            <w:tcW w:w="1243" w:type="dxa"/>
            <w:tcBorders>
              <w:top w:val="nil"/>
              <w:left w:val="nil"/>
              <w:bottom w:val="single" w:sz="4" w:space="0" w:color="auto"/>
              <w:right w:val="single" w:sz="4" w:space="0" w:color="auto"/>
            </w:tcBorders>
            <w:shd w:val="clear" w:color="auto" w:fill="C6EFCE"/>
            <w:noWrap/>
          </w:tcPr>
          <w:p w14:paraId="4B933D7E"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6AAAF94A"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Operationalisation of an Inter-Institutional Climate Committee </w:t>
            </w:r>
          </w:p>
        </w:tc>
      </w:tr>
      <w:tr w:rsidR="00137D7A" w:rsidRPr="00137D7A" w14:paraId="7628A33B"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46D71EF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422</w:t>
            </w:r>
          </w:p>
        </w:tc>
        <w:tc>
          <w:tcPr>
            <w:tcW w:w="3633" w:type="dxa"/>
            <w:tcBorders>
              <w:top w:val="nil"/>
              <w:left w:val="nil"/>
              <w:bottom w:val="single" w:sz="4" w:space="0" w:color="auto"/>
              <w:right w:val="single" w:sz="4" w:space="0" w:color="auto"/>
            </w:tcBorders>
            <w:shd w:val="clear" w:color="auto" w:fill="C6EFCE"/>
            <w:noWrap/>
          </w:tcPr>
          <w:p w14:paraId="45CBD2A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C14.R5</w:t>
            </w:r>
          </w:p>
          <w:p w14:paraId="375C4FB8" w14:textId="5D39CA4F"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Ensuring the independence of the judiciary, enhancing its quality and efficiency</w:t>
            </w:r>
            <w:r w:rsidR="00D23D91">
              <w:rPr>
                <w:rFonts w:ascii="Times New Roman" w:eastAsia="Aptos" w:hAnsi="Times New Roman" w:cs="Times New Roman"/>
                <w:noProof/>
                <w:kern w:val="2"/>
                <w:sz w:val="22"/>
                <w:szCs w:val="22"/>
                <w:lang w:val="en-IE" w:eastAsia="en-US"/>
                <w14:ligatures w14:val="standardContextual"/>
              </w:rPr>
              <w:t xml:space="preserve"> </w:t>
            </w:r>
          </w:p>
        </w:tc>
        <w:tc>
          <w:tcPr>
            <w:tcW w:w="1243" w:type="dxa"/>
            <w:tcBorders>
              <w:top w:val="nil"/>
              <w:left w:val="nil"/>
              <w:bottom w:val="single" w:sz="4" w:space="0" w:color="auto"/>
              <w:right w:val="single" w:sz="4" w:space="0" w:color="auto"/>
            </w:tcBorders>
            <w:shd w:val="clear" w:color="auto" w:fill="C6EFCE"/>
            <w:noWrap/>
          </w:tcPr>
          <w:p w14:paraId="6B6B088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0433163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law amending the powers of the National Agency for the Management of Seized Assets</w:t>
            </w:r>
          </w:p>
          <w:p w14:paraId="36E7D02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p>
        </w:tc>
      </w:tr>
      <w:tr w:rsidR="00137D7A" w:rsidRPr="00137D7A" w14:paraId="5C646A84"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00B0A7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456</w:t>
            </w:r>
          </w:p>
        </w:tc>
        <w:tc>
          <w:tcPr>
            <w:tcW w:w="3633" w:type="dxa"/>
            <w:tcBorders>
              <w:top w:val="nil"/>
              <w:left w:val="nil"/>
              <w:bottom w:val="single" w:sz="4" w:space="0" w:color="auto"/>
              <w:right w:val="single" w:sz="4" w:space="0" w:color="auto"/>
            </w:tcBorders>
            <w:shd w:val="clear" w:color="auto" w:fill="C6EFCE"/>
            <w:noWrap/>
          </w:tcPr>
          <w:p w14:paraId="129C5C3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C15-I1</w:t>
            </w:r>
          </w:p>
          <w:p w14:paraId="138A17D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Construction and equipping aof crèches</w:t>
            </w:r>
          </w:p>
        </w:tc>
        <w:tc>
          <w:tcPr>
            <w:tcW w:w="1243" w:type="dxa"/>
            <w:tcBorders>
              <w:top w:val="nil"/>
              <w:left w:val="nil"/>
              <w:bottom w:val="single" w:sz="4" w:space="0" w:color="auto"/>
              <w:right w:val="single" w:sz="4" w:space="0" w:color="auto"/>
            </w:tcBorders>
            <w:shd w:val="clear" w:color="auto" w:fill="C6EFCE"/>
            <w:noWrap/>
          </w:tcPr>
          <w:p w14:paraId="33C1BB52"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A3C0A5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Signature of contracts with public operators (municipalities) for the construction, equipment and operationalisation of 110 crèches</w:t>
            </w:r>
          </w:p>
        </w:tc>
      </w:tr>
      <w:tr w:rsidR="00137D7A" w:rsidRPr="00137D7A" w14:paraId="68516925"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357206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478</w:t>
            </w:r>
          </w:p>
        </w:tc>
        <w:tc>
          <w:tcPr>
            <w:tcW w:w="3633" w:type="dxa"/>
            <w:tcBorders>
              <w:top w:val="nil"/>
              <w:left w:val="nil"/>
              <w:bottom w:val="single" w:sz="4" w:space="0" w:color="auto"/>
              <w:right w:val="single" w:sz="4" w:space="0" w:color="auto"/>
            </w:tcBorders>
            <w:shd w:val="clear" w:color="auto" w:fill="C6EFCE"/>
            <w:noWrap/>
          </w:tcPr>
          <w:p w14:paraId="10839A3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C15.R5 </w:t>
            </w:r>
          </w:p>
          <w:p w14:paraId="23C0E92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Adoption of the legislative framework for the digitalisation of education</w:t>
            </w:r>
          </w:p>
        </w:tc>
        <w:tc>
          <w:tcPr>
            <w:tcW w:w="1243" w:type="dxa"/>
            <w:tcBorders>
              <w:top w:val="nil"/>
              <w:left w:val="nil"/>
              <w:bottom w:val="single" w:sz="4" w:space="0" w:color="auto"/>
              <w:right w:val="single" w:sz="4" w:space="0" w:color="auto"/>
            </w:tcBorders>
            <w:shd w:val="clear" w:color="auto" w:fill="C6EFCE"/>
            <w:noWrap/>
          </w:tcPr>
          <w:p w14:paraId="3ABE6D7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367958D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law setting out the profile of the future teacher on digital competence and how to assess digital competence in school examinations</w:t>
            </w:r>
          </w:p>
        </w:tc>
      </w:tr>
      <w:tr w:rsidR="00137D7A" w:rsidRPr="00137D7A" w14:paraId="7BDC04D2"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63BB01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485</w:t>
            </w:r>
          </w:p>
        </w:tc>
        <w:tc>
          <w:tcPr>
            <w:tcW w:w="3633" w:type="dxa"/>
            <w:tcBorders>
              <w:top w:val="nil"/>
              <w:left w:val="nil"/>
              <w:bottom w:val="single" w:sz="4" w:space="0" w:color="auto"/>
              <w:right w:val="single" w:sz="4" w:space="0" w:color="auto"/>
            </w:tcBorders>
            <w:shd w:val="clear" w:color="auto" w:fill="C6EFCE"/>
            <w:noWrap/>
          </w:tcPr>
          <w:p w14:paraId="0AE05C8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C15.R6 </w:t>
            </w:r>
            <w:r w:rsidRPr="00137D7A">
              <w:rPr>
                <w:rFonts w:ascii="Times New Roman" w:eastAsia="Aptos" w:hAnsi="Times New Roman" w:cs="Times New Roman"/>
                <w:noProof/>
                <w:kern w:val="2"/>
                <w:sz w:val="22"/>
                <w:szCs w:val="22"/>
                <w:lang w:val="en-IE" w:eastAsia="en-US"/>
                <w14:ligatures w14:val="standardContextual"/>
              </w:rPr>
              <w:br/>
              <w:t>Updated regulatory framework to ensure environmentally friendly design, construction and endowment standards in the pre-university education system</w:t>
            </w:r>
          </w:p>
        </w:tc>
        <w:tc>
          <w:tcPr>
            <w:tcW w:w="1243" w:type="dxa"/>
            <w:tcBorders>
              <w:top w:val="nil"/>
              <w:left w:val="nil"/>
              <w:bottom w:val="single" w:sz="4" w:space="0" w:color="auto"/>
              <w:right w:val="single" w:sz="4" w:space="0" w:color="auto"/>
            </w:tcBorders>
            <w:shd w:val="clear" w:color="auto" w:fill="C6EFCE"/>
            <w:noWrap/>
          </w:tcPr>
          <w:p w14:paraId="5C4A2A3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441656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amendments to the legislative framework to increase the quality of learning environments </w:t>
            </w:r>
          </w:p>
        </w:tc>
      </w:tr>
      <w:tr w:rsidR="00137D7A" w:rsidRPr="00137D7A" w14:paraId="5246461E" w14:textId="77777777">
        <w:trPr>
          <w:trHeight w:val="302"/>
        </w:trPr>
        <w:tc>
          <w:tcPr>
            <w:tcW w:w="1356" w:type="dxa"/>
            <w:tcBorders>
              <w:top w:val="single" w:sz="4" w:space="0" w:color="auto"/>
              <w:left w:val="single" w:sz="4" w:space="0" w:color="auto"/>
              <w:bottom w:val="single" w:sz="4" w:space="0" w:color="auto"/>
              <w:right w:val="single" w:sz="4" w:space="0" w:color="auto"/>
            </w:tcBorders>
            <w:shd w:val="clear" w:color="auto" w:fill="C6EFCE"/>
            <w:noWrap/>
          </w:tcPr>
          <w:p w14:paraId="42B1D56A"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p>
        </w:tc>
        <w:tc>
          <w:tcPr>
            <w:tcW w:w="3633" w:type="dxa"/>
            <w:tcBorders>
              <w:top w:val="single" w:sz="4" w:space="0" w:color="auto"/>
              <w:left w:val="nil"/>
              <w:bottom w:val="single" w:sz="4" w:space="0" w:color="auto"/>
              <w:right w:val="single" w:sz="4" w:space="0" w:color="auto"/>
            </w:tcBorders>
            <w:shd w:val="clear" w:color="auto" w:fill="C6EFCE"/>
            <w:noWrap/>
          </w:tcPr>
          <w:p w14:paraId="3B55175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p>
        </w:tc>
        <w:tc>
          <w:tcPr>
            <w:tcW w:w="1243" w:type="dxa"/>
            <w:tcBorders>
              <w:top w:val="single" w:sz="4" w:space="0" w:color="auto"/>
              <w:left w:val="nil"/>
              <w:bottom w:val="single" w:sz="4" w:space="0" w:color="auto"/>
              <w:right w:val="single" w:sz="4" w:space="0" w:color="auto"/>
            </w:tcBorders>
            <w:shd w:val="clear" w:color="auto" w:fill="C6EFCE"/>
            <w:noWrap/>
          </w:tcPr>
          <w:p w14:paraId="4A6DBB5A"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Instalment Amount</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6EB9357F" w14:textId="77777777" w:rsidR="00137D7A" w:rsidRPr="00137D7A" w:rsidRDefault="00137D7A" w:rsidP="00137D7A">
            <w:pPr>
              <w:spacing w:after="0" w:line="259" w:lineRule="auto"/>
              <w:jc w:val="right"/>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EUR 2 147 491 242</w:t>
            </w:r>
          </w:p>
        </w:tc>
      </w:tr>
    </w:tbl>
    <w:p w14:paraId="6CFCC5D6" w14:textId="77777777" w:rsidR="00137D7A" w:rsidRPr="00137D7A" w:rsidRDefault="00137D7A" w:rsidP="00137D7A">
      <w:pPr>
        <w:spacing w:line="259" w:lineRule="auto"/>
        <w:rPr>
          <w:rFonts w:ascii="Times New Roman" w:eastAsia="Aptos" w:hAnsi="Times New Roman" w:cs="Times New Roman"/>
          <w:noProof/>
          <w:kern w:val="2"/>
          <w:sz w:val="22"/>
          <w:szCs w:val="22"/>
          <w:lang w:val="en-IE" w:eastAsia="en-US"/>
          <w14:ligatures w14:val="standardContextual"/>
        </w:rPr>
      </w:pPr>
    </w:p>
    <w:p w14:paraId="7499C299" w14:textId="77777777" w:rsidR="00137D7A" w:rsidRPr="00137D7A"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bCs/>
          <w:i/>
          <w:noProof/>
          <w:lang w:val="en-IE" w:eastAsia="en-US"/>
        </w:rPr>
      </w:pPr>
      <w:r w:rsidRPr="00137D7A">
        <w:rPr>
          <w:rFonts w:ascii="Times New Roman" w:eastAsia="Times New Roman" w:hAnsi="Times New Roman" w:cs="Times New Roman"/>
          <w:bCs/>
          <w:i/>
          <w:noProof/>
          <w:lang w:val="en-IE" w:eastAsia="en-US"/>
        </w:rPr>
        <w:t xml:space="preserve">2.1.3 Third Instalment (non-repayable support): </w:t>
      </w:r>
    </w:p>
    <w:tbl>
      <w:tblPr>
        <w:tblW w:w="9663" w:type="dxa"/>
        <w:tblInd w:w="113" w:type="dxa"/>
        <w:tblLook w:val="04A0" w:firstRow="1" w:lastRow="0" w:firstColumn="1" w:lastColumn="0" w:noHBand="0" w:noVBand="1"/>
      </w:tblPr>
      <w:tblGrid>
        <w:gridCol w:w="1442"/>
        <w:gridCol w:w="3543"/>
        <w:gridCol w:w="1276"/>
        <w:gridCol w:w="3402"/>
      </w:tblGrid>
      <w:tr w:rsidR="00137D7A" w:rsidRPr="00137D7A" w14:paraId="16DD3279" w14:textId="77777777">
        <w:trPr>
          <w:trHeight w:val="906"/>
          <w:tblHeader/>
        </w:trPr>
        <w:tc>
          <w:tcPr>
            <w:tcW w:w="14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CB555A"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Sequential Number</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963B95"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Related Measure</w:t>
            </w:r>
          </w:p>
          <w:p w14:paraId="56788D75"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(Reform or Investment)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9D7A289"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Milestone / Target</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83443B"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Name</w:t>
            </w:r>
          </w:p>
        </w:tc>
      </w:tr>
      <w:tr w:rsidR="00137D7A" w:rsidRPr="00137D7A" w14:paraId="7B70EC3D" w14:textId="77777777">
        <w:trPr>
          <w:trHeight w:val="509"/>
          <w:tblHeader/>
        </w:trPr>
        <w:tc>
          <w:tcPr>
            <w:tcW w:w="1442" w:type="dxa"/>
            <w:vMerge/>
            <w:tcBorders>
              <w:top w:val="single" w:sz="4" w:space="0" w:color="auto"/>
              <w:left w:val="single" w:sz="4" w:space="0" w:color="auto"/>
              <w:bottom w:val="single" w:sz="4" w:space="0" w:color="auto"/>
              <w:right w:val="single" w:sz="4" w:space="0" w:color="auto"/>
            </w:tcBorders>
            <w:vAlign w:val="center"/>
            <w:hideMark/>
          </w:tcPr>
          <w:p w14:paraId="3EE617C9" w14:textId="77777777" w:rsidR="00137D7A" w:rsidRPr="00137D7A"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1C2B4CF8"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4347C7E" w14:textId="77777777" w:rsidR="00137D7A" w:rsidRPr="00137D7A" w:rsidRDefault="00137D7A" w:rsidP="00137D7A">
            <w:pPr>
              <w:spacing w:after="0" w:line="259" w:lineRule="auto"/>
              <w:jc w:val="center"/>
              <w:rPr>
                <w:rFonts w:ascii="Times New Roman" w:eastAsia="Times New Roman" w:hAnsi="Times New Roman" w:cs="Times New Roman"/>
                <w:b/>
                <w:bCs/>
                <w:noProof/>
                <w:kern w:val="2"/>
                <w:sz w:val="22"/>
                <w:szCs w:val="22"/>
                <w:lang w:val="en-IE" w:eastAsia="en-GB"/>
                <w14:ligatures w14:val="standardContextual"/>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C98C2AB"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r>
      <w:tr w:rsidR="00137D7A" w:rsidRPr="00137D7A" w14:paraId="482842BB" w14:textId="77777777">
        <w:trPr>
          <w:trHeight w:val="302"/>
        </w:trPr>
        <w:tc>
          <w:tcPr>
            <w:tcW w:w="1442" w:type="dxa"/>
            <w:tcBorders>
              <w:top w:val="single" w:sz="4" w:space="0" w:color="auto"/>
              <w:left w:val="single" w:sz="4" w:space="0" w:color="auto"/>
              <w:bottom w:val="single" w:sz="4" w:space="0" w:color="auto"/>
              <w:right w:val="single" w:sz="4" w:space="0" w:color="auto"/>
            </w:tcBorders>
            <w:shd w:val="clear" w:color="auto" w:fill="C6EFCE"/>
            <w:noWrap/>
            <w:hideMark/>
          </w:tcPr>
          <w:p w14:paraId="3623E35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22</w:t>
            </w:r>
          </w:p>
        </w:tc>
        <w:tc>
          <w:tcPr>
            <w:tcW w:w="3543" w:type="dxa"/>
            <w:tcBorders>
              <w:top w:val="single" w:sz="4" w:space="0" w:color="auto"/>
              <w:left w:val="nil"/>
              <w:bottom w:val="single" w:sz="4" w:space="0" w:color="auto"/>
              <w:right w:val="single" w:sz="4" w:space="0" w:color="auto"/>
            </w:tcBorders>
            <w:shd w:val="clear" w:color="auto" w:fill="C6EFCE"/>
            <w:noWrap/>
            <w:hideMark/>
          </w:tcPr>
          <w:p w14:paraId="19D61C5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C2.R1</w:t>
            </w:r>
          </w:p>
          <w:p w14:paraId="460ACA64"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Reform of forest management and governance systems through the development of a new National Forest Strategy and subsequent legal acts</w:t>
            </w:r>
          </w:p>
        </w:tc>
        <w:tc>
          <w:tcPr>
            <w:tcW w:w="1276" w:type="dxa"/>
            <w:tcBorders>
              <w:top w:val="single" w:sz="4" w:space="0" w:color="auto"/>
              <w:left w:val="nil"/>
              <w:bottom w:val="single" w:sz="4" w:space="0" w:color="auto"/>
              <w:right w:val="single" w:sz="4" w:space="0" w:color="auto"/>
            </w:tcBorders>
            <w:shd w:val="clear" w:color="auto" w:fill="C6EFCE"/>
            <w:noWrap/>
            <w:hideMark/>
          </w:tcPr>
          <w:p w14:paraId="2703376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single" w:sz="4" w:space="0" w:color="auto"/>
              <w:left w:val="nil"/>
              <w:bottom w:val="single" w:sz="4" w:space="0" w:color="auto"/>
              <w:right w:val="single" w:sz="4" w:space="0" w:color="auto"/>
            </w:tcBorders>
            <w:shd w:val="clear" w:color="auto" w:fill="C6EFCE"/>
            <w:noWrap/>
            <w:hideMark/>
          </w:tcPr>
          <w:p w14:paraId="4171DC96"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Adoption of the National Forest Strategy 2020-2030</w:t>
            </w:r>
          </w:p>
        </w:tc>
      </w:tr>
      <w:tr w:rsidR="00137D7A" w:rsidRPr="00137D7A" w14:paraId="76C7657C"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hideMark/>
          </w:tcPr>
          <w:p w14:paraId="4B94CA6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23</w:t>
            </w:r>
          </w:p>
        </w:tc>
        <w:tc>
          <w:tcPr>
            <w:tcW w:w="3543" w:type="dxa"/>
            <w:tcBorders>
              <w:top w:val="nil"/>
              <w:left w:val="nil"/>
              <w:bottom w:val="single" w:sz="4" w:space="0" w:color="auto"/>
              <w:right w:val="single" w:sz="4" w:space="0" w:color="auto"/>
            </w:tcBorders>
            <w:shd w:val="clear" w:color="auto" w:fill="C6EFCE"/>
            <w:noWrap/>
            <w:hideMark/>
          </w:tcPr>
          <w:p w14:paraId="26260D1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C2.R1 </w:t>
            </w:r>
          </w:p>
          <w:p w14:paraId="1CD1EBC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Reform of forest management and governance systems through the development of a new National Forest Strategy and subsequent legal acts</w:t>
            </w:r>
          </w:p>
        </w:tc>
        <w:tc>
          <w:tcPr>
            <w:tcW w:w="1276" w:type="dxa"/>
            <w:tcBorders>
              <w:top w:val="nil"/>
              <w:left w:val="nil"/>
              <w:bottom w:val="single" w:sz="4" w:space="0" w:color="auto"/>
              <w:right w:val="single" w:sz="4" w:space="0" w:color="auto"/>
            </w:tcBorders>
            <w:shd w:val="clear" w:color="auto" w:fill="C6EFCE"/>
            <w:noWrap/>
            <w:hideMark/>
          </w:tcPr>
          <w:p w14:paraId="3C4DF2E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hideMark/>
          </w:tcPr>
          <w:p w14:paraId="156C4CB4"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amended Ministerial Ordinances laying down binding rules for afforestation and reforestation foreseen in the National Forest Strategy 2020-2030</w:t>
            </w:r>
          </w:p>
        </w:tc>
      </w:tr>
      <w:tr w:rsidR="00137D7A" w:rsidRPr="00137D7A" w14:paraId="795714B5"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hideMark/>
          </w:tcPr>
          <w:p w14:paraId="5A8D4CE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148</w:t>
            </w:r>
          </w:p>
        </w:tc>
        <w:tc>
          <w:tcPr>
            <w:tcW w:w="3543" w:type="dxa"/>
            <w:tcBorders>
              <w:top w:val="nil"/>
              <w:left w:val="nil"/>
              <w:bottom w:val="single" w:sz="4" w:space="0" w:color="auto"/>
              <w:right w:val="single" w:sz="4" w:space="0" w:color="auto"/>
            </w:tcBorders>
            <w:shd w:val="clear" w:color="auto" w:fill="C6EFCE"/>
            <w:noWrap/>
            <w:hideMark/>
          </w:tcPr>
          <w:p w14:paraId="79CCAB6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C7.R2</w:t>
            </w:r>
          </w:p>
          <w:p w14:paraId="3BD8C56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Transition to the EU-2025 connectivity targets and stimulation of the private investment for the deployment of very high-capacity networks </w:t>
            </w:r>
          </w:p>
        </w:tc>
        <w:tc>
          <w:tcPr>
            <w:tcW w:w="1276" w:type="dxa"/>
            <w:tcBorders>
              <w:top w:val="nil"/>
              <w:left w:val="nil"/>
              <w:bottom w:val="single" w:sz="4" w:space="0" w:color="auto"/>
              <w:right w:val="single" w:sz="4" w:space="0" w:color="auto"/>
            </w:tcBorders>
            <w:shd w:val="clear" w:color="auto" w:fill="C6EFCE"/>
            <w:noWrap/>
            <w:hideMark/>
          </w:tcPr>
          <w:p w14:paraId="06197D0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hideMark/>
          </w:tcPr>
          <w:p w14:paraId="1ADF088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Recommendations from the EU connectivity toolbox are implemented </w:t>
            </w:r>
          </w:p>
        </w:tc>
      </w:tr>
      <w:tr w:rsidR="00137D7A" w:rsidRPr="00137D7A" w14:paraId="0FFA0B7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1CC252A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149</w:t>
            </w:r>
          </w:p>
        </w:tc>
        <w:tc>
          <w:tcPr>
            <w:tcW w:w="3543" w:type="dxa"/>
            <w:tcBorders>
              <w:top w:val="nil"/>
              <w:left w:val="nil"/>
              <w:bottom w:val="single" w:sz="4" w:space="0" w:color="auto"/>
              <w:right w:val="single" w:sz="4" w:space="0" w:color="auto"/>
            </w:tcBorders>
            <w:shd w:val="clear" w:color="auto" w:fill="C6EFCE"/>
            <w:noWrap/>
          </w:tcPr>
          <w:p w14:paraId="65E97D8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C7.R2</w:t>
            </w:r>
          </w:p>
          <w:p w14:paraId="49825C7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Transition to the EU 2025 connectivity targets and stimulation of the private investment for the deployment of very high capacity networks </w:t>
            </w:r>
          </w:p>
        </w:tc>
        <w:tc>
          <w:tcPr>
            <w:tcW w:w="1276" w:type="dxa"/>
            <w:tcBorders>
              <w:top w:val="nil"/>
              <w:left w:val="nil"/>
              <w:bottom w:val="single" w:sz="4" w:space="0" w:color="auto"/>
              <w:right w:val="single" w:sz="4" w:space="0" w:color="auto"/>
            </w:tcBorders>
            <w:shd w:val="clear" w:color="auto" w:fill="C6EFCE"/>
            <w:noWrap/>
          </w:tcPr>
          <w:p w14:paraId="2923388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473D267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Assignment of the rights of use of radio spectrum</w:t>
            </w:r>
          </w:p>
        </w:tc>
      </w:tr>
      <w:tr w:rsidR="00137D7A" w:rsidRPr="00137D7A" w14:paraId="412DE458"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0695777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152</w:t>
            </w:r>
          </w:p>
        </w:tc>
        <w:tc>
          <w:tcPr>
            <w:tcW w:w="3543" w:type="dxa"/>
            <w:tcBorders>
              <w:top w:val="nil"/>
              <w:left w:val="nil"/>
              <w:bottom w:val="single" w:sz="4" w:space="0" w:color="auto"/>
              <w:right w:val="single" w:sz="4" w:space="0" w:color="auto"/>
            </w:tcBorders>
            <w:shd w:val="clear" w:color="auto" w:fill="C6EFCE"/>
            <w:noWrap/>
          </w:tcPr>
          <w:p w14:paraId="2F15F24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C7.R4</w:t>
            </w:r>
          </w:p>
          <w:p w14:paraId="77FBFE34"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Increasing digital competence for public service and digital education throughout life for citizens</w:t>
            </w:r>
          </w:p>
        </w:tc>
        <w:tc>
          <w:tcPr>
            <w:tcW w:w="1276" w:type="dxa"/>
            <w:tcBorders>
              <w:top w:val="nil"/>
              <w:left w:val="nil"/>
              <w:bottom w:val="single" w:sz="4" w:space="0" w:color="auto"/>
              <w:right w:val="single" w:sz="4" w:space="0" w:color="auto"/>
            </w:tcBorders>
            <w:shd w:val="clear" w:color="auto" w:fill="C6EFCE"/>
            <w:noWrap/>
          </w:tcPr>
          <w:p w14:paraId="1954197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4A6288F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the ministerial order of the Minister of Labour and the National Institute of Statistics President for the definition of new digital occupations in the Classification of Occupations (COR) </w:t>
            </w:r>
          </w:p>
        </w:tc>
      </w:tr>
      <w:tr w:rsidR="00137D7A" w:rsidRPr="00137D7A" w14:paraId="05AB449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189DD1A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384</w:t>
            </w:r>
          </w:p>
        </w:tc>
        <w:tc>
          <w:tcPr>
            <w:tcW w:w="3543" w:type="dxa"/>
            <w:tcBorders>
              <w:top w:val="nil"/>
              <w:left w:val="nil"/>
              <w:bottom w:val="single" w:sz="4" w:space="0" w:color="auto"/>
              <w:right w:val="single" w:sz="4" w:space="0" w:color="auto"/>
            </w:tcBorders>
            <w:shd w:val="clear" w:color="auto" w:fill="C6EFCE"/>
            <w:noWrap/>
          </w:tcPr>
          <w:p w14:paraId="798174D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C13.R3</w:t>
            </w:r>
          </w:p>
          <w:p w14:paraId="766B851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Provision of the Minimum Inclusion Income (VMI)</w:t>
            </w:r>
          </w:p>
        </w:tc>
        <w:tc>
          <w:tcPr>
            <w:tcW w:w="1276" w:type="dxa"/>
            <w:tcBorders>
              <w:top w:val="nil"/>
              <w:left w:val="nil"/>
              <w:bottom w:val="single" w:sz="4" w:space="0" w:color="auto"/>
              <w:right w:val="single" w:sz="4" w:space="0" w:color="auto"/>
            </w:tcBorders>
            <w:shd w:val="clear" w:color="auto" w:fill="C6EFCE"/>
            <w:noWrap/>
          </w:tcPr>
          <w:p w14:paraId="15DE87D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150F43DD"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legislation approving the implementing rules for the application of VMI</w:t>
            </w:r>
          </w:p>
        </w:tc>
      </w:tr>
      <w:tr w:rsidR="00137D7A" w:rsidRPr="00137D7A" w14:paraId="3B09ECAB"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1672028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410</w:t>
            </w:r>
          </w:p>
        </w:tc>
        <w:tc>
          <w:tcPr>
            <w:tcW w:w="3543" w:type="dxa"/>
            <w:tcBorders>
              <w:top w:val="nil"/>
              <w:left w:val="nil"/>
              <w:bottom w:val="single" w:sz="4" w:space="0" w:color="auto"/>
              <w:right w:val="single" w:sz="4" w:space="0" w:color="auto"/>
            </w:tcBorders>
            <w:shd w:val="clear" w:color="auto" w:fill="C6EFCE"/>
            <w:noWrap/>
          </w:tcPr>
          <w:p w14:paraId="2ED7FA6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C14.R1</w:t>
            </w:r>
          </w:p>
          <w:p w14:paraId="2EAE9AA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 xml:space="preserve"> Enhancing the quality of government decision-making</w:t>
            </w:r>
          </w:p>
        </w:tc>
        <w:tc>
          <w:tcPr>
            <w:tcW w:w="1276" w:type="dxa"/>
            <w:tcBorders>
              <w:top w:val="nil"/>
              <w:left w:val="nil"/>
              <w:bottom w:val="single" w:sz="4" w:space="0" w:color="auto"/>
              <w:right w:val="single" w:sz="4" w:space="0" w:color="auto"/>
            </w:tcBorders>
            <w:shd w:val="clear" w:color="auto" w:fill="C6EFCE"/>
            <w:noWrap/>
          </w:tcPr>
          <w:p w14:paraId="7B6F28C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727CDBD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guidelines for appropriate use and enforcement of the Single Register of Interest Transparency (RUTI)</w:t>
            </w:r>
          </w:p>
        </w:tc>
      </w:tr>
      <w:tr w:rsidR="00137D7A" w:rsidRPr="00137D7A" w14:paraId="7A02190C"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06C92CD3"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411</w:t>
            </w:r>
          </w:p>
        </w:tc>
        <w:tc>
          <w:tcPr>
            <w:tcW w:w="3543" w:type="dxa"/>
            <w:tcBorders>
              <w:top w:val="nil"/>
              <w:left w:val="nil"/>
              <w:bottom w:val="single" w:sz="4" w:space="0" w:color="auto"/>
              <w:right w:val="single" w:sz="4" w:space="0" w:color="auto"/>
            </w:tcBorders>
            <w:shd w:val="clear" w:color="auto" w:fill="C6EFCE"/>
            <w:noWrap/>
          </w:tcPr>
          <w:p w14:paraId="6EC93FD0"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C14.R1</w:t>
            </w:r>
          </w:p>
          <w:p w14:paraId="39A2125D"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 xml:space="preserve"> Enhancing the quality of government decision-making</w:t>
            </w:r>
          </w:p>
        </w:tc>
        <w:tc>
          <w:tcPr>
            <w:tcW w:w="1276" w:type="dxa"/>
            <w:tcBorders>
              <w:top w:val="nil"/>
              <w:left w:val="nil"/>
              <w:bottom w:val="single" w:sz="4" w:space="0" w:color="auto"/>
              <w:right w:val="single" w:sz="4" w:space="0" w:color="auto"/>
            </w:tcBorders>
            <w:shd w:val="clear" w:color="auto" w:fill="C6EFCE"/>
            <w:noWrap/>
          </w:tcPr>
          <w:p w14:paraId="19A740B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406B936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Methodology for the use of Emergency Ordinances</w:t>
            </w:r>
          </w:p>
        </w:tc>
      </w:tr>
      <w:tr w:rsidR="00137D7A" w:rsidRPr="00137D7A" w14:paraId="360326FF"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3D87EAA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412</w:t>
            </w:r>
          </w:p>
        </w:tc>
        <w:tc>
          <w:tcPr>
            <w:tcW w:w="3543" w:type="dxa"/>
            <w:tcBorders>
              <w:top w:val="nil"/>
              <w:left w:val="nil"/>
              <w:bottom w:val="single" w:sz="4" w:space="0" w:color="auto"/>
              <w:right w:val="single" w:sz="4" w:space="0" w:color="auto"/>
            </w:tcBorders>
            <w:shd w:val="clear" w:color="auto" w:fill="C6EFCE"/>
            <w:noWrap/>
          </w:tcPr>
          <w:p w14:paraId="2240F357"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C14.R1</w:t>
            </w:r>
          </w:p>
          <w:p w14:paraId="30C403B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 xml:space="preserve"> Enhancing the quality of government decision-making</w:t>
            </w:r>
          </w:p>
        </w:tc>
        <w:tc>
          <w:tcPr>
            <w:tcW w:w="1276" w:type="dxa"/>
            <w:tcBorders>
              <w:top w:val="nil"/>
              <w:left w:val="nil"/>
              <w:bottom w:val="single" w:sz="4" w:space="0" w:color="auto"/>
              <w:right w:val="single" w:sz="4" w:space="0" w:color="auto"/>
            </w:tcBorders>
            <w:shd w:val="clear" w:color="auto" w:fill="C6EFCE"/>
            <w:noWrap/>
          </w:tcPr>
          <w:p w14:paraId="6ACF0BF2"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40A30E9"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legislative amendments to ensure publication of the full text of the laws after amendments</w:t>
            </w:r>
          </w:p>
        </w:tc>
      </w:tr>
      <w:tr w:rsidR="00137D7A" w:rsidRPr="00137D7A" w14:paraId="169CCC8E"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31FBE200"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470</w:t>
            </w:r>
          </w:p>
        </w:tc>
        <w:tc>
          <w:tcPr>
            <w:tcW w:w="3543" w:type="dxa"/>
            <w:tcBorders>
              <w:top w:val="nil"/>
              <w:left w:val="nil"/>
              <w:bottom w:val="single" w:sz="4" w:space="0" w:color="auto"/>
              <w:right w:val="single" w:sz="4" w:space="0" w:color="auto"/>
            </w:tcBorders>
            <w:shd w:val="clear" w:color="auto" w:fill="C6EFCE"/>
            <w:noWrap/>
          </w:tcPr>
          <w:p w14:paraId="2719D9E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C15.R4</w:t>
            </w:r>
          </w:p>
          <w:p w14:paraId="25C9BD87"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Creation of a full professional route for higher technical education</w:t>
            </w:r>
          </w:p>
        </w:tc>
        <w:tc>
          <w:tcPr>
            <w:tcW w:w="1276" w:type="dxa"/>
            <w:tcBorders>
              <w:top w:val="nil"/>
              <w:left w:val="nil"/>
              <w:bottom w:val="single" w:sz="4" w:space="0" w:color="auto"/>
              <w:right w:val="single" w:sz="4" w:space="0" w:color="auto"/>
            </w:tcBorders>
            <w:shd w:val="clear" w:color="auto" w:fill="C6EFCE"/>
            <w:noWrap/>
          </w:tcPr>
          <w:p w14:paraId="47789D83"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793F90A4"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Government Decision approving the Methodology for organizing the complete dual route and the new qualifications resulting from the complete dual route</w:t>
            </w:r>
          </w:p>
        </w:tc>
      </w:tr>
      <w:tr w:rsidR="00137D7A" w:rsidRPr="00137D7A" w14:paraId="4E6559CD"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1860297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489</w:t>
            </w:r>
          </w:p>
        </w:tc>
        <w:tc>
          <w:tcPr>
            <w:tcW w:w="3543" w:type="dxa"/>
            <w:tcBorders>
              <w:top w:val="nil"/>
              <w:left w:val="nil"/>
              <w:bottom w:val="single" w:sz="4" w:space="0" w:color="auto"/>
              <w:right w:val="single" w:sz="4" w:space="0" w:color="auto"/>
            </w:tcBorders>
            <w:shd w:val="clear" w:color="auto" w:fill="C6EFCE"/>
            <w:noWrap/>
          </w:tcPr>
          <w:p w14:paraId="3C24B2A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C15.I11</w:t>
            </w:r>
          </w:p>
          <w:p w14:paraId="66E7398A"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Provision of facilities for pre-university classrooms and school laboratories/school cabinets</w:t>
            </w:r>
          </w:p>
        </w:tc>
        <w:tc>
          <w:tcPr>
            <w:tcW w:w="1276" w:type="dxa"/>
            <w:tcBorders>
              <w:top w:val="nil"/>
              <w:left w:val="nil"/>
              <w:bottom w:val="single" w:sz="4" w:space="0" w:color="auto"/>
              <w:right w:val="single" w:sz="4" w:space="0" w:color="auto"/>
            </w:tcBorders>
            <w:shd w:val="clear" w:color="auto" w:fill="C6EFCE"/>
            <w:noWrap/>
          </w:tcPr>
          <w:p w14:paraId="4F9740C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789D878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US"/>
                <w14:ligatures w14:val="standardContextual"/>
              </w:rPr>
              <w:t>Signature of financing contracts for fitting classrooms with furniture</w:t>
            </w:r>
          </w:p>
        </w:tc>
      </w:tr>
      <w:tr w:rsidR="00137D7A" w:rsidRPr="00137D7A" w14:paraId="4BACFCC9"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2132EEC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490</w:t>
            </w:r>
          </w:p>
        </w:tc>
        <w:tc>
          <w:tcPr>
            <w:tcW w:w="3543" w:type="dxa"/>
            <w:tcBorders>
              <w:top w:val="nil"/>
              <w:left w:val="nil"/>
              <w:bottom w:val="single" w:sz="4" w:space="0" w:color="auto"/>
              <w:right w:val="single" w:sz="4" w:space="0" w:color="auto"/>
            </w:tcBorders>
            <w:shd w:val="clear" w:color="auto" w:fill="C6EFCE"/>
            <w:noWrap/>
          </w:tcPr>
          <w:p w14:paraId="3A002CC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C15.I11</w:t>
            </w:r>
          </w:p>
          <w:p w14:paraId="33C397C1"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Provision of facilities for pre-university classrooms and school laboratories/</w:t>
            </w:r>
            <w:r w:rsidRPr="00137D7A">
              <w:rPr>
                <w:rFonts w:ascii="Times New Roman" w:eastAsia="Times New Roman" w:hAnsi="Times New Roman" w:cs="Times New Roman"/>
                <w:noProof/>
                <w:kern w:val="2"/>
                <w:sz w:val="22"/>
                <w:szCs w:val="22"/>
                <w:lang w:val="en-IE" w:eastAsia="en-US"/>
                <w14:ligatures w14:val="standardContextual"/>
              </w:rPr>
              <w:t>school cabinets</w:t>
            </w:r>
          </w:p>
        </w:tc>
        <w:tc>
          <w:tcPr>
            <w:tcW w:w="1276" w:type="dxa"/>
            <w:tcBorders>
              <w:top w:val="nil"/>
              <w:left w:val="nil"/>
              <w:bottom w:val="single" w:sz="4" w:space="0" w:color="auto"/>
              <w:right w:val="single" w:sz="4" w:space="0" w:color="auto"/>
            </w:tcBorders>
            <w:shd w:val="clear" w:color="auto" w:fill="C6EFCE"/>
            <w:noWrap/>
          </w:tcPr>
          <w:p w14:paraId="71A19470"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5EC877E9" w14:textId="31C0728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US"/>
                <w14:ligatures w14:val="standardContextual"/>
              </w:rPr>
              <w:t>Pre-university classrooms</w:t>
            </w:r>
            <w:r w:rsidR="00D23D91">
              <w:rPr>
                <w:rFonts w:ascii="Times New Roman" w:eastAsia="Times New Roman" w:hAnsi="Times New Roman" w:cs="Times New Roman"/>
                <w:noProof/>
                <w:kern w:val="2"/>
                <w:sz w:val="22"/>
                <w:szCs w:val="22"/>
                <w:lang w:val="en-IE" w:eastAsia="en-US"/>
                <w14:ligatures w14:val="standardContextual"/>
              </w:rPr>
              <w:t xml:space="preserve"> </w:t>
            </w:r>
            <w:r w:rsidRPr="00137D7A">
              <w:rPr>
                <w:rFonts w:ascii="Times New Roman" w:eastAsia="Times New Roman" w:hAnsi="Times New Roman" w:cs="Times New Roman"/>
                <w:noProof/>
                <w:kern w:val="2"/>
                <w:sz w:val="22"/>
                <w:szCs w:val="22"/>
                <w:lang w:val="en-IE" w:eastAsia="en-US"/>
                <w14:ligatures w14:val="standardContextual"/>
              </w:rPr>
              <w:t>and science laboratories/school cabinets equipped</w:t>
            </w:r>
          </w:p>
        </w:tc>
      </w:tr>
      <w:tr w:rsidR="00137D7A" w:rsidRPr="00137D7A" w14:paraId="5D858202"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466A8E60"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66</w:t>
            </w:r>
          </w:p>
        </w:tc>
        <w:tc>
          <w:tcPr>
            <w:tcW w:w="3543" w:type="dxa"/>
            <w:tcBorders>
              <w:top w:val="nil"/>
              <w:left w:val="nil"/>
              <w:bottom w:val="single" w:sz="4" w:space="0" w:color="auto"/>
              <w:right w:val="single" w:sz="4" w:space="0" w:color="auto"/>
            </w:tcBorders>
            <w:shd w:val="clear" w:color="auto" w:fill="C6EFCE"/>
            <w:noWrap/>
          </w:tcPr>
          <w:p w14:paraId="00E4CD2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C4.R1.</w:t>
            </w:r>
          </w:p>
          <w:p w14:paraId="649FD1B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Sustainable transport, decarbonisation and road safety / Road safety</w:t>
            </w:r>
          </w:p>
        </w:tc>
        <w:tc>
          <w:tcPr>
            <w:tcW w:w="1276" w:type="dxa"/>
            <w:tcBorders>
              <w:top w:val="nil"/>
              <w:left w:val="nil"/>
              <w:bottom w:val="single" w:sz="4" w:space="0" w:color="auto"/>
              <w:right w:val="single" w:sz="4" w:space="0" w:color="auto"/>
            </w:tcBorders>
            <w:shd w:val="clear" w:color="auto" w:fill="C6EFCE"/>
            <w:noWrap/>
          </w:tcPr>
          <w:p w14:paraId="623D7DA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6C0A2DA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road safety legislation - legislation on monitoring, enforcement and sanctions on road safety offences</w:t>
            </w:r>
          </w:p>
        </w:tc>
      </w:tr>
      <w:tr w:rsidR="00137D7A" w:rsidRPr="00137D7A" w14:paraId="747C917C"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65D95EC4"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115</w:t>
            </w:r>
          </w:p>
        </w:tc>
        <w:tc>
          <w:tcPr>
            <w:tcW w:w="3543" w:type="dxa"/>
            <w:tcBorders>
              <w:top w:val="nil"/>
              <w:left w:val="nil"/>
              <w:bottom w:val="single" w:sz="4" w:space="0" w:color="auto"/>
              <w:right w:val="single" w:sz="4" w:space="0" w:color="auto"/>
            </w:tcBorders>
            <w:shd w:val="clear" w:color="auto" w:fill="C6EFCE"/>
            <w:noWrap/>
          </w:tcPr>
          <w:p w14:paraId="5F156F7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C6.R1</w:t>
            </w:r>
          </w:p>
          <w:p w14:paraId="54617E5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Electricity market reform, replacement of coal in the energy mix and support for a legislative and regulatory framework for private investment in renewable electricity production</w:t>
            </w:r>
          </w:p>
        </w:tc>
        <w:tc>
          <w:tcPr>
            <w:tcW w:w="1276" w:type="dxa"/>
            <w:tcBorders>
              <w:top w:val="nil"/>
              <w:left w:val="nil"/>
              <w:bottom w:val="single" w:sz="4" w:space="0" w:color="auto"/>
              <w:right w:val="single" w:sz="4" w:space="0" w:color="auto"/>
            </w:tcBorders>
            <w:shd w:val="clear" w:color="auto" w:fill="C6EFCE"/>
            <w:noWrap/>
          </w:tcPr>
          <w:p w14:paraId="3B38E19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10324B39"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Decommissioning of coal/lignite-fired power-production capacity</w:t>
            </w:r>
          </w:p>
        </w:tc>
      </w:tr>
      <w:tr w:rsidR="00137D7A" w:rsidRPr="00137D7A" w14:paraId="00B4B311"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69E642B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121</w:t>
            </w:r>
          </w:p>
        </w:tc>
        <w:tc>
          <w:tcPr>
            <w:tcW w:w="3543" w:type="dxa"/>
            <w:tcBorders>
              <w:top w:val="nil"/>
              <w:left w:val="nil"/>
              <w:bottom w:val="single" w:sz="4" w:space="0" w:color="auto"/>
              <w:right w:val="single" w:sz="4" w:space="0" w:color="auto"/>
            </w:tcBorders>
            <w:shd w:val="clear" w:color="auto" w:fill="C6EFCE"/>
            <w:noWrap/>
          </w:tcPr>
          <w:p w14:paraId="4199A23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C6.R2</w:t>
            </w:r>
          </w:p>
          <w:p w14:paraId="3DF12C57"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Reforming corporate governance of state-owned enterprises in the energy sector</w:t>
            </w:r>
          </w:p>
        </w:tc>
        <w:tc>
          <w:tcPr>
            <w:tcW w:w="1276" w:type="dxa"/>
            <w:tcBorders>
              <w:top w:val="nil"/>
              <w:left w:val="nil"/>
              <w:bottom w:val="single" w:sz="4" w:space="0" w:color="auto"/>
              <w:right w:val="single" w:sz="4" w:space="0" w:color="auto"/>
            </w:tcBorders>
            <w:shd w:val="clear" w:color="auto" w:fill="C6EFCE"/>
            <w:noWrap/>
          </w:tcPr>
          <w:p w14:paraId="683ED1F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4D09815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Improving corporate governance of State-owned companies in the energy sector</w:t>
            </w:r>
          </w:p>
        </w:tc>
      </w:tr>
      <w:tr w:rsidR="00137D7A" w:rsidRPr="00137D7A" w14:paraId="688CC9B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2F46445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151</w:t>
            </w:r>
          </w:p>
        </w:tc>
        <w:tc>
          <w:tcPr>
            <w:tcW w:w="3543" w:type="dxa"/>
            <w:tcBorders>
              <w:top w:val="nil"/>
              <w:left w:val="nil"/>
              <w:bottom w:val="single" w:sz="4" w:space="0" w:color="auto"/>
              <w:right w:val="single" w:sz="4" w:space="0" w:color="auto"/>
            </w:tcBorders>
            <w:shd w:val="clear" w:color="auto" w:fill="C6EFCE"/>
            <w:noWrap/>
          </w:tcPr>
          <w:p w14:paraId="35B82A5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C7.R3</w:t>
            </w:r>
          </w:p>
          <w:p w14:paraId="753D89E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Ensuring cybersecurity of public and private entities owning critical value infrastructure</w:t>
            </w:r>
          </w:p>
        </w:tc>
        <w:tc>
          <w:tcPr>
            <w:tcW w:w="1276" w:type="dxa"/>
            <w:tcBorders>
              <w:top w:val="nil"/>
              <w:left w:val="nil"/>
              <w:bottom w:val="single" w:sz="4" w:space="0" w:color="auto"/>
              <w:right w:val="single" w:sz="4" w:space="0" w:color="auto"/>
            </w:tcBorders>
            <w:shd w:val="clear" w:color="auto" w:fill="C6EFCE"/>
            <w:noWrap/>
          </w:tcPr>
          <w:p w14:paraId="54DF9AB0"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13E27E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law on Defence and Cyber Security of Romania</w:t>
            </w:r>
          </w:p>
        </w:tc>
      </w:tr>
      <w:tr w:rsidR="00137D7A" w:rsidRPr="00137D7A" w14:paraId="46E2CD78"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7C2254C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192</w:t>
            </w:r>
          </w:p>
        </w:tc>
        <w:tc>
          <w:tcPr>
            <w:tcW w:w="3543" w:type="dxa"/>
            <w:tcBorders>
              <w:top w:val="nil"/>
              <w:left w:val="nil"/>
              <w:bottom w:val="single" w:sz="4" w:space="0" w:color="auto"/>
              <w:right w:val="single" w:sz="4" w:space="0" w:color="auto"/>
            </w:tcBorders>
            <w:shd w:val="clear" w:color="auto" w:fill="C6EFCE"/>
            <w:noWrap/>
          </w:tcPr>
          <w:p w14:paraId="4C1C43F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C8.R1</w:t>
            </w:r>
          </w:p>
          <w:p w14:paraId="73675DF9"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Reform of the National Agency for Fiscal Administration (ANAF) through digitalisation </w:t>
            </w:r>
          </w:p>
        </w:tc>
        <w:tc>
          <w:tcPr>
            <w:tcW w:w="1276" w:type="dxa"/>
            <w:tcBorders>
              <w:top w:val="nil"/>
              <w:left w:val="nil"/>
              <w:bottom w:val="single" w:sz="4" w:space="0" w:color="auto"/>
              <w:right w:val="single" w:sz="4" w:space="0" w:color="auto"/>
            </w:tcBorders>
            <w:shd w:val="clear" w:color="auto" w:fill="C6EFCE"/>
            <w:noWrap/>
          </w:tcPr>
          <w:p w14:paraId="5F8D091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40A2F6C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Additional legal persons taxpayers enrolled in SPV </w:t>
            </w:r>
          </w:p>
        </w:tc>
      </w:tr>
      <w:tr w:rsidR="00137D7A" w:rsidRPr="00137D7A" w14:paraId="041C785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05F15AE0"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193</w:t>
            </w:r>
          </w:p>
        </w:tc>
        <w:tc>
          <w:tcPr>
            <w:tcW w:w="3543" w:type="dxa"/>
            <w:tcBorders>
              <w:top w:val="nil"/>
              <w:left w:val="nil"/>
              <w:bottom w:val="single" w:sz="4" w:space="0" w:color="auto"/>
              <w:right w:val="single" w:sz="4" w:space="0" w:color="auto"/>
            </w:tcBorders>
            <w:shd w:val="clear" w:color="auto" w:fill="C6EFCE"/>
            <w:noWrap/>
          </w:tcPr>
          <w:p w14:paraId="1737F48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C8.R1</w:t>
            </w:r>
          </w:p>
          <w:p w14:paraId="58ACBEE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Reform of the National Agency for Fiscal Administration (ANAF) through digitalisation </w:t>
            </w:r>
          </w:p>
        </w:tc>
        <w:tc>
          <w:tcPr>
            <w:tcW w:w="1276" w:type="dxa"/>
            <w:tcBorders>
              <w:top w:val="nil"/>
              <w:left w:val="nil"/>
              <w:bottom w:val="single" w:sz="4" w:space="0" w:color="auto"/>
              <w:right w:val="single" w:sz="4" w:space="0" w:color="auto"/>
            </w:tcBorders>
            <w:shd w:val="clear" w:color="auto" w:fill="C6EFCE"/>
            <w:noWrap/>
          </w:tcPr>
          <w:p w14:paraId="76237D6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4A8FA79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applicable legal framework defining the risk criteria for the classification of taxpayers. The legal framework shall be approved through an Order of the ANAF President</w:t>
            </w:r>
          </w:p>
        </w:tc>
      </w:tr>
      <w:tr w:rsidR="00137D7A" w:rsidRPr="00137D7A" w14:paraId="25357137"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53405A9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194</w:t>
            </w:r>
          </w:p>
        </w:tc>
        <w:tc>
          <w:tcPr>
            <w:tcW w:w="3543" w:type="dxa"/>
            <w:tcBorders>
              <w:top w:val="nil"/>
              <w:left w:val="nil"/>
              <w:bottom w:val="single" w:sz="4" w:space="0" w:color="auto"/>
              <w:right w:val="single" w:sz="4" w:space="0" w:color="auto"/>
            </w:tcBorders>
            <w:shd w:val="clear" w:color="auto" w:fill="C6EFCE"/>
            <w:noWrap/>
          </w:tcPr>
          <w:p w14:paraId="66E068A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C8.R1</w:t>
            </w:r>
          </w:p>
          <w:p w14:paraId="4A1B12E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Reform of the National Agency for Fiscal Administration (ANAF) through digitalisation </w:t>
            </w:r>
          </w:p>
        </w:tc>
        <w:tc>
          <w:tcPr>
            <w:tcW w:w="1276" w:type="dxa"/>
            <w:tcBorders>
              <w:top w:val="nil"/>
              <w:left w:val="nil"/>
              <w:bottom w:val="single" w:sz="4" w:space="0" w:color="auto"/>
              <w:right w:val="single" w:sz="4" w:space="0" w:color="auto"/>
            </w:tcBorders>
            <w:shd w:val="clear" w:color="auto" w:fill="C6EFCE"/>
            <w:noWrap/>
          </w:tcPr>
          <w:p w14:paraId="0BAFF72A"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78A9CD49"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the amended legal framework in the field of activity of tax inspection bodies </w:t>
            </w:r>
          </w:p>
        </w:tc>
      </w:tr>
      <w:tr w:rsidR="00137D7A" w:rsidRPr="00137D7A" w14:paraId="698EFDA9"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0E45230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199</w:t>
            </w:r>
          </w:p>
        </w:tc>
        <w:tc>
          <w:tcPr>
            <w:tcW w:w="3543" w:type="dxa"/>
            <w:tcBorders>
              <w:top w:val="nil"/>
              <w:left w:val="nil"/>
              <w:bottom w:val="single" w:sz="4" w:space="0" w:color="auto"/>
              <w:right w:val="single" w:sz="4" w:space="0" w:color="auto"/>
            </w:tcBorders>
            <w:shd w:val="clear" w:color="auto" w:fill="C6EFCE"/>
            <w:noWrap/>
          </w:tcPr>
          <w:p w14:paraId="0D5D611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C8.R3</w:t>
            </w:r>
          </w:p>
          <w:p w14:paraId="52619261"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Enhancing the budgetary programming mechanism </w:t>
            </w:r>
          </w:p>
        </w:tc>
        <w:tc>
          <w:tcPr>
            <w:tcW w:w="1276" w:type="dxa"/>
            <w:tcBorders>
              <w:top w:val="nil"/>
              <w:left w:val="nil"/>
              <w:bottom w:val="single" w:sz="4" w:space="0" w:color="auto"/>
              <w:right w:val="single" w:sz="4" w:space="0" w:color="auto"/>
            </w:tcBorders>
            <w:shd w:val="clear" w:color="auto" w:fill="C6EFCE"/>
            <w:noWrap/>
          </w:tcPr>
          <w:p w14:paraId="04397ED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CC3AB4A"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the amended regulatory framework to ensure multi-annual budgetary planning for the significant public investment projects and have an ex-post evaluation of expenditure reviews made by the Fiscal Council </w:t>
            </w:r>
          </w:p>
        </w:tc>
      </w:tr>
      <w:tr w:rsidR="00137D7A" w:rsidRPr="00137D7A" w14:paraId="7025FC16"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2DA63D0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205</w:t>
            </w:r>
          </w:p>
        </w:tc>
        <w:tc>
          <w:tcPr>
            <w:tcW w:w="3543" w:type="dxa"/>
            <w:tcBorders>
              <w:top w:val="nil"/>
              <w:left w:val="nil"/>
              <w:bottom w:val="single" w:sz="4" w:space="0" w:color="auto"/>
              <w:right w:val="single" w:sz="4" w:space="0" w:color="auto"/>
            </w:tcBorders>
            <w:shd w:val="clear" w:color="auto" w:fill="C6EFCE"/>
            <w:noWrap/>
          </w:tcPr>
          <w:p w14:paraId="5D80CA7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C8.R4</w:t>
            </w:r>
          </w:p>
          <w:p w14:paraId="30E4915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Review of the tax framework</w:t>
            </w:r>
          </w:p>
        </w:tc>
        <w:tc>
          <w:tcPr>
            <w:tcW w:w="1276" w:type="dxa"/>
            <w:tcBorders>
              <w:top w:val="nil"/>
              <w:left w:val="nil"/>
              <w:bottom w:val="single" w:sz="4" w:space="0" w:color="auto"/>
              <w:right w:val="single" w:sz="4" w:space="0" w:color="auto"/>
            </w:tcBorders>
            <w:shd w:val="clear" w:color="auto" w:fill="C6EFCE"/>
            <w:noWrap/>
          </w:tcPr>
          <w:p w14:paraId="4BA8D3CE"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6D262D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Analysis of Romania’s tax system with the objective to produce recommendations to ensure that the tax system contributes to promote and preserve sustainable economic growth</w:t>
            </w:r>
          </w:p>
        </w:tc>
      </w:tr>
      <w:tr w:rsidR="00137D7A" w:rsidRPr="00137D7A" w14:paraId="48FE59D4"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7C44C41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206</w:t>
            </w:r>
          </w:p>
        </w:tc>
        <w:tc>
          <w:tcPr>
            <w:tcW w:w="3543" w:type="dxa"/>
            <w:tcBorders>
              <w:top w:val="nil"/>
              <w:left w:val="nil"/>
              <w:bottom w:val="single" w:sz="4" w:space="0" w:color="auto"/>
              <w:right w:val="single" w:sz="4" w:space="0" w:color="auto"/>
            </w:tcBorders>
            <w:shd w:val="clear" w:color="auto" w:fill="C6EFCE"/>
            <w:noWrap/>
          </w:tcPr>
          <w:p w14:paraId="75246A9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C8.R4</w:t>
            </w:r>
          </w:p>
          <w:p w14:paraId="11193B6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Review of the tax framework</w:t>
            </w:r>
          </w:p>
        </w:tc>
        <w:tc>
          <w:tcPr>
            <w:tcW w:w="1276" w:type="dxa"/>
            <w:tcBorders>
              <w:top w:val="nil"/>
              <w:left w:val="nil"/>
              <w:bottom w:val="single" w:sz="4" w:space="0" w:color="auto"/>
              <w:right w:val="single" w:sz="4" w:space="0" w:color="auto"/>
            </w:tcBorders>
            <w:shd w:val="clear" w:color="auto" w:fill="C6EFCE"/>
            <w:noWrap/>
          </w:tcPr>
          <w:p w14:paraId="1007D813"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17F9109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amendments to the Fiscal Code gradually reducing the scope of the special tax regime for micro-enterprises </w:t>
            </w:r>
          </w:p>
        </w:tc>
      </w:tr>
      <w:tr w:rsidR="00137D7A" w:rsidRPr="00137D7A" w14:paraId="2E3572B3"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60C9063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215</w:t>
            </w:r>
          </w:p>
        </w:tc>
        <w:tc>
          <w:tcPr>
            <w:tcW w:w="3543" w:type="dxa"/>
            <w:tcBorders>
              <w:top w:val="nil"/>
              <w:left w:val="nil"/>
              <w:bottom w:val="single" w:sz="4" w:space="0" w:color="auto"/>
              <w:right w:val="single" w:sz="4" w:space="0" w:color="auto"/>
            </w:tcBorders>
            <w:shd w:val="clear" w:color="auto" w:fill="C6EFCE"/>
            <w:noWrap/>
          </w:tcPr>
          <w:p w14:paraId="1B002A8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C8.R6</w:t>
            </w:r>
          </w:p>
          <w:p w14:paraId="706D0A0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Reform of the public pension system</w:t>
            </w:r>
          </w:p>
        </w:tc>
        <w:tc>
          <w:tcPr>
            <w:tcW w:w="1276" w:type="dxa"/>
            <w:tcBorders>
              <w:top w:val="nil"/>
              <w:left w:val="nil"/>
              <w:bottom w:val="single" w:sz="4" w:space="0" w:color="auto"/>
              <w:right w:val="single" w:sz="4" w:space="0" w:color="auto"/>
            </w:tcBorders>
            <w:shd w:val="clear" w:color="auto" w:fill="C6EFCE"/>
            <w:noWrap/>
          </w:tcPr>
          <w:p w14:paraId="2226D88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474E9EF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legislative framework for reducing expenditure on special pensions</w:t>
            </w:r>
          </w:p>
        </w:tc>
      </w:tr>
      <w:tr w:rsidR="00137D7A" w:rsidRPr="00137D7A" w14:paraId="52C362BB"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537E185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221</w:t>
            </w:r>
          </w:p>
        </w:tc>
        <w:tc>
          <w:tcPr>
            <w:tcW w:w="3543" w:type="dxa"/>
            <w:tcBorders>
              <w:top w:val="nil"/>
              <w:left w:val="nil"/>
              <w:bottom w:val="single" w:sz="4" w:space="0" w:color="auto"/>
              <w:right w:val="single" w:sz="4" w:space="0" w:color="auto"/>
            </w:tcBorders>
            <w:shd w:val="clear" w:color="auto" w:fill="C6EFCE"/>
            <w:noWrap/>
          </w:tcPr>
          <w:p w14:paraId="277991B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C8.I2</w:t>
            </w:r>
          </w:p>
          <w:p w14:paraId="7DD8ACFD" w14:textId="536E8D38" w:rsidR="00137D7A" w:rsidRPr="00137D7A" w:rsidRDefault="000679E2"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0679E2">
              <w:rPr>
                <w:rFonts w:ascii="Times New Roman" w:eastAsia="Aptos" w:hAnsi="Times New Roman" w:cs="Times New Roman"/>
                <w:noProof/>
                <w:kern w:val="2"/>
                <w:sz w:val="22"/>
                <w:szCs w:val="22"/>
                <w:lang w:val="en-IE" w:eastAsia="en-US"/>
                <w14:ligatures w14:val="standardContextual"/>
              </w:rPr>
              <w:t>Improving tax and tax administration processes</w:t>
            </w:r>
          </w:p>
        </w:tc>
        <w:tc>
          <w:tcPr>
            <w:tcW w:w="1276" w:type="dxa"/>
            <w:tcBorders>
              <w:top w:val="nil"/>
              <w:left w:val="nil"/>
              <w:bottom w:val="single" w:sz="4" w:space="0" w:color="auto"/>
              <w:right w:val="single" w:sz="4" w:space="0" w:color="auto"/>
            </w:tcBorders>
            <w:shd w:val="clear" w:color="auto" w:fill="C6EFCE"/>
            <w:noWrap/>
          </w:tcPr>
          <w:p w14:paraId="7C7161F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24C91F5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Number of cash registers connected to the National Agency for Fiscal Administration IT system </w:t>
            </w:r>
          </w:p>
        </w:tc>
      </w:tr>
      <w:tr w:rsidR="00137D7A" w:rsidRPr="00137D7A" w14:paraId="21B8D5F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2CAF86E3"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222</w:t>
            </w:r>
          </w:p>
        </w:tc>
        <w:tc>
          <w:tcPr>
            <w:tcW w:w="3543" w:type="dxa"/>
            <w:tcBorders>
              <w:top w:val="nil"/>
              <w:left w:val="nil"/>
              <w:bottom w:val="single" w:sz="4" w:space="0" w:color="auto"/>
              <w:right w:val="single" w:sz="4" w:space="0" w:color="auto"/>
            </w:tcBorders>
            <w:shd w:val="clear" w:color="auto" w:fill="C6EFCE"/>
            <w:noWrap/>
          </w:tcPr>
          <w:p w14:paraId="64D67BF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C8.I2</w:t>
            </w:r>
          </w:p>
          <w:p w14:paraId="135EBA34" w14:textId="6F6E8F01" w:rsidR="00137D7A" w:rsidRPr="00137D7A" w:rsidRDefault="000679E2"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0679E2">
              <w:rPr>
                <w:rFonts w:ascii="Times New Roman" w:eastAsia="Aptos" w:hAnsi="Times New Roman" w:cs="Times New Roman"/>
                <w:noProof/>
                <w:kern w:val="2"/>
                <w:sz w:val="22"/>
                <w:szCs w:val="22"/>
                <w:lang w:val="en-IE" w:eastAsia="en-US"/>
                <w14:ligatures w14:val="standardContextual"/>
              </w:rPr>
              <w:t>Improving tax and tax administration processes</w:t>
            </w:r>
          </w:p>
        </w:tc>
        <w:tc>
          <w:tcPr>
            <w:tcW w:w="1276" w:type="dxa"/>
            <w:tcBorders>
              <w:top w:val="nil"/>
              <w:left w:val="nil"/>
              <w:bottom w:val="single" w:sz="4" w:space="0" w:color="auto"/>
              <w:right w:val="single" w:sz="4" w:space="0" w:color="auto"/>
            </w:tcBorders>
            <w:shd w:val="clear" w:color="auto" w:fill="C6EFCE"/>
            <w:noWrap/>
          </w:tcPr>
          <w:p w14:paraId="341A1FF4"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69489CE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Share of the number of desk audits reported on the total audits carried out by the tax administration — 30% </w:t>
            </w:r>
          </w:p>
        </w:tc>
      </w:tr>
      <w:tr w:rsidR="00137D7A" w:rsidRPr="00137D7A" w14:paraId="0E67157E"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4AF4279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230</w:t>
            </w:r>
          </w:p>
        </w:tc>
        <w:tc>
          <w:tcPr>
            <w:tcW w:w="3543" w:type="dxa"/>
            <w:tcBorders>
              <w:top w:val="nil"/>
              <w:left w:val="nil"/>
              <w:bottom w:val="single" w:sz="4" w:space="0" w:color="auto"/>
              <w:right w:val="single" w:sz="4" w:space="0" w:color="auto"/>
            </w:tcBorders>
            <w:shd w:val="clear" w:color="auto" w:fill="C6EFCE"/>
            <w:noWrap/>
          </w:tcPr>
          <w:p w14:paraId="13A07A3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C8.I4</w:t>
            </w:r>
          </w:p>
          <w:p w14:paraId="0E7C809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Establishment</w:t>
            </w:r>
            <w:r w:rsidRPr="00137D7A" w:rsidDel="009068C5">
              <w:rPr>
                <w:rFonts w:ascii="Times New Roman" w:eastAsia="Aptos" w:hAnsi="Times New Roman" w:cs="Times New Roman"/>
                <w:noProof/>
                <w:kern w:val="2"/>
                <w:sz w:val="22"/>
                <w:szCs w:val="22"/>
                <w:lang w:val="en-IE" w:eastAsia="en-US"/>
                <w14:ligatures w14:val="standardContextual"/>
              </w:rPr>
              <w:t xml:space="preserve"> </w:t>
            </w:r>
            <w:r w:rsidRPr="00137D7A">
              <w:rPr>
                <w:rFonts w:ascii="Times New Roman" w:eastAsia="Aptos" w:hAnsi="Times New Roman" w:cs="Times New Roman"/>
                <w:noProof/>
                <w:kern w:val="2"/>
                <w:sz w:val="22"/>
                <w:szCs w:val="22"/>
                <w:lang w:val="en-IE" w:eastAsia="en-US"/>
                <w14:ligatures w14:val="standardContextual"/>
              </w:rPr>
              <w:t>of electronic customs</w:t>
            </w:r>
          </w:p>
        </w:tc>
        <w:tc>
          <w:tcPr>
            <w:tcW w:w="1276" w:type="dxa"/>
            <w:tcBorders>
              <w:top w:val="nil"/>
              <w:left w:val="nil"/>
              <w:bottom w:val="single" w:sz="4" w:space="0" w:color="auto"/>
              <w:right w:val="single" w:sz="4" w:space="0" w:color="auto"/>
            </w:tcBorders>
            <w:shd w:val="clear" w:color="auto" w:fill="C6EFCE"/>
            <w:noWrap/>
          </w:tcPr>
          <w:p w14:paraId="595D218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64DD071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Upgraded hardware and software infrastructure</w:t>
            </w:r>
          </w:p>
        </w:tc>
      </w:tr>
      <w:tr w:rsidR="00137D7A" w:rsidRPr="00137D7A" w14:paraId="57EC3C43"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23B0457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288</w:t>
            </w:r>
          </w:p>
        </w:tc>
        <w:tc>
          <w:tcPr>
            <w:tcW w:w="3543" w:type="dxa"/>
            <w:tcBorders>
              <w:top w:val="nil"/>
              <w:left w:val="nil"/>
              <w:bottom w:val="single" w:sz="4" w:space="0" w:color="auto"/>
              <w:right w:val="single" w:sz="4" w:space="0" w:color="auto"/>
            </w:tcBorders>
            <w:shd w:val="clear" w:color="auto" w:fill="C6EFCE"/>
            <w:noWrap/>
          </w:tcPr>
          <w:p w14:paraId="3C658CA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C10.R1</w:t>
            </w:r>
          </w:p>
          <w:p w14:paraId="1ED25CE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Creating the framework for sustainable urban mobility </w:t>
            </w:r>
          </w:p>
        </w:tc>
        <w:tc>
          <w:tcPr>
            <w:tcW w:w="1276" w:type="dxa"/>
            <w:tcBorders>
              <w:top w:val="nil"/>
              <w:left w:val="nil"/>
              <w:bottom w:val="single" w:sz="4" w:space="0" w:color="auto"/>
              <w:right w:val="single" w:sz="4" w:space="0" w:color="auto"/>
            </w:tcBorders>
            <w:shd w:val="clear" w:color="auto" w:fill="C6EFCE"/>
            <w:noWrap/>
          </w:tcPr>
          <w:p w14:paraId="0743E404"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528F20DA"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legislation in the field of sustainable urban mobility </w:t>
            </w:r>
          </w:p>
        </w:tc>
      </w:tr>
      <w:tr w:rsidR="00137D7A" w:rsidRPr="00137D7A" w14:paraId="14CA85F4"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1CD0B3DA"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289</w:t>
            </w:r>
          </w:p>
        </w:tc>
        <w:tc>
          <w:tcPr>
            <w:tcW w:w="3543" w:type="dxa"/>
            <w:tcBorders>
              <w:top w:val="nil"/>
              <w:left w:val="nil"/>
              <w:bottom w:val="single" w:sz="4" w:space="0" w:color="auto"/>
              <w:right w:val="single" w:sz="4" w:space="0" w:color="auto"/>
            </w:tcBorders>
            <w:shd w:val="clear" w:color="auto" w:fill="C6EFCE"/>
            <w:noWrap/>
          </w:tcPr>
          <w:p w14:paraId="0D90800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C10.R1</w:t>
            </w:r>
          </w:p>
          <w:p w14:paraId="7B8D1BA1"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Creating the framework for sustainable urban mobility </w:t>
            </w:r>
          </w:p>
        </w:tc>
        <w:tc>
          <w:tcPr>
            <w:tcW w:w="1276" w:type="dxa"/>
            <w:tcBorders>
              <w:top w:val="nil"/>
              <w:left w:val="nil"/>
              <w:bottom w:val="single" w:sz="4" w:space="0" w:color="auto"/>
              <w:right w:val="single" w:sz="4" w:space="0" w:color="auto"/>
            </w:tcBorders>
            <w:shd w:val="clear" w:color="auto" w:fill="C6EFCE"/>
            <w:noWrap/>
          </w:tcPr>
          <w:p w14:paraId="6F69F66E"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4F1FDF6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ministerial order establishing a structure for the provision of technical assistance for the development of Sustainable Urban Mobility Plans (SUMPs) established and operational</w:t>
            </w:r>
          </w:p>
        </w:tc>
      </w:tr>
      <w:tr w:rsidR="00137D7A" w:rsidRPr="00137D7A" w14:paraId="7C3E119F"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3881AE1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294</w:t>
            </w:r>
          </w:p>
        </w:tc>
        <w:tc>
          <w:tcPr>
            <w:tcW w:w="3543" w:type="dxa"/>
            <w:tcBorders>
              <w:top w:val="nil"/>
              <w:left w:val="nil"/>
              <w:bottom w:val="single" w:sz="4" w:space="0" w:color="auto"/>
              <w:right w:val="single" w:sz="4" w:space="0" w:color="auto"/>
            </w:tcBorders>
            <w:shd w:val="clear" w:color="auto" w:fill="C6EFCE"/>
            <w:noWrap/>
          </w:tcPr>
          <w:p w14:paraId="61FFA68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C10.I1</w:t>
            </w:r>
          </w:p>
          <w:p w14:paraId="27A3850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Sustainable urban mobility</w:t>
            </w:r>
          </w:p>
        </w:tc>
        <w:tc>
          <w:tcPr>
            <w:tcW w:w="1276" w:type="dxa"/>
            <w:tcBorders>
              <w:top w:val="nil"/>
              <w:left w:val="nil"/>
              <w:bottom w:val="single" w:sz="4" w:space="0" w:color="auto"/>
              <w:right w:val="single" w:sz="4" w:space="0" w:color="auto"/>
            </w:tcBorders>
            <w:shd w:val="clear" w:color="auto" w:fill="C6EFCE"/>
            <w:noWrap/>
          </w:tcPr>
          <w:p w14:paraId="4732E8B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0716441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Signature of contracts for the renewal of public transport fleets (procurement of clean vehicles)</w:t>
            </w:r>
          </w:p>
        </w:tc>
      </w:tr>
      <w:tr w:rsidR="00137D7A" w:rsidRPr="00137D7A" w14:paraId="1CDE0A0B"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7436EB9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298</w:t>
            </w:r>
          </w:p>
        </w:tc>
        <w:tc>
          <w:tcPr>
            <w:tcW w:w="3543" w:type="dxa"/>
            <w:tcBorders>
              <w:top w:val="nil"/>
              <w:left w:val="nil"/>
              <w:bottom w:val="single" w:sz="4" w:space="0" w:color="auto"/>
              <w:right w:val="single" w:sz="4" w:space="0" w:color="auto"/>
            </w:tcBorders>
            <w:shd w:val="clear" w:color="auto" w:fill="C6EFCE"/>
            <w:noWrap/>
          </w:tcPr>
          <w:p w14:paraId="79F99A6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C10.I1</w:t>
            </w:r>
          </w:p>
          <w:p w14:paraId="77A586C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Sustainable urban mobility</w:t>
            </w:r>
          </w:p>
        </w:tc>
        <w:tc>
          <w:tcPr>
            <w:tcW w:w="1276" w:type="dxa"/>
            <w:tcBorders>
              <w:top w:val="nil"/>
              <w:left w:val="nil"/>
              <w:bottom w:val="single" w:sz="4" w:space="0" w:color="auto"/>
              <w:right w:val="single" w:sz="4" w:space="0" w:color="auto"/>
            </w:tcBorders>
            <w:shd w:val="clear" w:color="auto" w:fill="C6EFCE"/>
            <w:noWrap/>
          </w:tcPr>
          <w:p w14:paraId="2430A25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78D19F6D"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Signature of contracts for the provision of ITS/other ICT infrastructure</w:t>
            </w:r>
          </w:p>
        </w:tc>
      </w:tr>
      <w:tr w:rsidR="00137D7A" w:rsidRPr="00137D7A" w14:paraId="09FFABA7"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0D33FBC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301</w:t>
            </w:r>
          </w:p>
        </w:tc>
        <w:tc>
          <w:tcPr>
            <w:tcW w:w="3543" w:type="dxa"/>
            <w:tcBorders>
              <w:top w:val="nil"/>
              <w:left w:val="nil"/>
              <w:bottom w:val="single" w:sz="4" w:space="0" w:color="auto"/>
              <w:right w:val="single" w:sz="4" w:space="0" w:color="auto"/>
            </w:tcBorders>
            <w:shd w:val="clear" w:color="auto" w:fill="C6EFCE"/>
            <w:noWrap/>
          </w:tcPr>
          <w:p w14:paraId="1E4EA21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C10.I1</w:t>
            </w:r>
          </w:p>
          <w:p w14:paraId="49ADFB7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Sustainable urban mobility</w:t>
            </w:r>
          </w:p>
        </w:tc>
        <w:tc>
          <w:tcPr>
            <w:tcW w:w="1276" w:type="dxa"/>
            <w:tcBorders>
              <w:top w:val="nil"/>
              <w:left w:val="nil"/>
              <w:bottom w:val="single" w:sz="4" w:space="0" w:color="auto"/>
              <w:right w:val="single" w:sz="4" w:space="0" w:color="auto"/>
            </w:tcBorders>
            <w:shd w:val="clear" w:color="auto" w:fill="C6EFCE"/>
            <w:noWrap/>
          </w:tcPr>
          <w:p w14:paraId="3293EDC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7015A8F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Signature of contracts for building electric vehicle recharging points</w:t>
            </w:r>
          </w:p>
        </w:tc>
      </w:tr>
      <w:tr w:rsidR="00137D7A" w:rsidRPr="00137D7A" w14:paraId="1855620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3068E7D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351</w:t>
            </w:r>
          </w:p>
        </w:tc>
        <w:tc>
          <w:tcPr>
            <w:tcW w:w="3543" w:type="dxa"/>
            <w:tcBorders>
              <w:top w:val="nil"/>
              <w:left w:val="nil"/>
              <w:bottom w:val="single" w:sz="4" w:space="0" w:color="auto"/>
              <w:right w:val="single" w:sz="4" w:space="0" w:color="auto"/>
            </w:tcBorders>
            <w:shd w:val="clear" w:color="auto" w:fill="C6EFCE"/>
            <w:noWrap/>
          </w:tcPr>
          <w:p w14:paraId="439298C4"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C12.R1</w:t>
            </w:r>
          </w:p>
          <w:p w14:paraId="69FB6E7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Increased capacity for the management of public health funds </w:t>
            </w:r>
          </w:p>
        </w:tc>
        <w:tc>
          <w:tcPr>
            <w:tcW w:w="1276" w:type="dxa"/>
            <w:tcBorders>
              <w:top w:val="nil"/>
              <w:left w:val="nil"/>
              <w:bottom w:val="single" w:sz="4" w:space="0" w:color="auto"/>
              <w:right w:val="single" w:sz="4" w:space="0" w:color="auto"/>
            </w:tcBorders>
            <w:shd w:val="clear" w:color="auto" w:fill="C6EFCE"/>
            <w:noWrap/>
          </w:tcPr>
          <w:p w14:paraId="6DCAC91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17905D3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ministerial order for the performance and quality indicators to be used for the selection of the medical units benefiting from the Health Quality Fund</w:t>
            </w:r>
          </w:p>
        </w:tc>
      </w:tr>
      <w:tr w:rsidR="00137D7A" w:rsidRPr="00137D7A" w14:paraId="07A286FD"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1E9D4B0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358</w:t>
            </w:r>
          </w:p>
        </w:tc>
        <w:tc>
          <w:tcPr>
            <w:tcW w:w="3543" w:type="dxa"/>
            <w:tcBorders>
              <w:top w:val="nil"/>
              <w:left w:val="nil"/>
              <w:bottom w:val="single" w:sz="4" w:space="0" w:color="auto"/>
              <w:right w:val="single" w:sz="4" w:space="0" w:color="auto"/>
            </w:tcBorders>
            <w:shd w:val="clear" w:color="auto" w:fill="C6EFCE"/>
            <w:noWrap/>
          </w:tcPr>
          <w:p w14:paraId="1353374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C12.R3</w:t>
            </w:r>
          </w:p>
          <w:p w14:paraId="7A7BCD4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Increased capacity for health management and human resources in health </w:t>
            </w:r>
          </w:p>
        </w:tc>
        <w:tc>
          <w:tcPr>
            <w:tcW w:w="1276" w:type="dxa"/>
            <w:tcBorders>
              <w:top w:val="nil"/>
              <w:left w:val="nil"/>
              <w:bottom w:val="single" w:sz="4" w:space="0" w:color="auto"/>
              <w:right w:val="single" w:sz="4" w:space="0" w:color="auto"/>
            </w:tcBorders>
            <w:shd w:val="clear" w:color="auto" w:fill="C6EFCE"/>
            <w:noWrap/>
          </w:tcPr>
          <w:p w14:paraId="7A7EB84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6A70E23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Development of human resources in health</w:t>
            </w:r>
          </w:p>
        </w:tc>
      </w:tr>
      <w:tr w:rsidR="00137D7A" w:rsidRPr="00137D7A" w14:paraId="62E3D8C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01213DD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378</w:t>
            </w:r>
          </w:p>
        </w:tc>
        <w:tc>
          <w:tcPr>
            <w:tcW w:w="3543" w:type="dxa"/>
            <w:tcBorders>
              <w:top w:val="nil"/>
              <w:left w:val="nil"/>
              <w:bottom w:val="single" w:sz="4" w:space="0" w:color="auto"/>
              <w:right w:val="single" w:sz="4" w:space="0" w:color="auto"/>
            </w:tcBorders>
            <w:shd w:val="clear" w:color="auto" w:fill="C6EFCE"/>
            <w:noWrap/>
          </w:tcPr>
          <w:p w14:paraId="734D9E0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C13. R1</w:t>
            </w:r>
          </w:p>
          <w:p w14:paraId="03B4F66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Creating a new legal framework to prevent the separation of children from their families</w:t>
            </w:r>
          </w:p>
        </w:tc>
        <w:tc>
          <w:tcPr>
            <w:tcW w:w="1276" w:type="dxa"/>
            <w:tcBorders>
              <w:top w:val="nil"/>
              <w:left w:val="nil"/>
              <w:bottom w:val="single" w:sz="4" w:space="0" w:color="auto"/>
              <w:right w:val="single" w:sz="4" w:space="0" w:color="auto"/>
            </w:tcBorders>
            <w:shd w:val="clear" w:color="auto" w:fill="C6EFCE"/>
            <w:noWrap/>
          </w:tcPr>
          <w:p w14:paraId="505D635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9BA15D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a legislative act necessary to prevent the separation of children from the family and support for vulnerable families</w:t>
            </w:r>
          </w:p>
        </w:tc>
      </w:tr>
      <w:tr w:rsidR="00137D7A" w:rsidRPr="00137D7A" w14:paraId="693D6019"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59FF382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380</w:t>
            </w:r>
          </w:p>
        </w:tc>
        <w:tc>
          <w:tcPr>
            <w:tcW w:w="3543" w:type="dxa"/>
            <w:tcBorders>
              <w:top w:val="nil"/>
              <w:left w:val="nil"/>
              <w:bottom w:val="single" w:sz="4" w:space="0" w:color="auto"/>
              <w:right w:val="single" w:sz="4" w:space="0" w:color="auto"/>
            </w:tcBorders>
            <w:shd w:val="clear" w:color="auto" w:fill="C6EFCE"/>
            <w:noWrap/>
          </w:tcPr>
          <w:p w14:paraId="2F1B354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C13. R2</w:t>
            </w:r>
          </w:p>
          <w:p w14:paraId="41D77BD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Reform of the protection system for adults with disabilities </w:t>
            </w:r>
          </w:p>
        </w:tc>
        <w:tc>
          <w:tcPr>
            <w:tcW w:w="1276" w:type="dxa"/>
            <w:tcBorders>
              <w:top w:val="nil"/>
              <w:left w:val="nil"/>
              <w:bottom w:val="single" w:sz="4" w:space="0" w:color="auto"/>
              <w:right w:val="single" w:sz="4" w:space="0" w:color="auto"/>
            </w:tcBorders>
            <w:shd w:val="clear" w:color="auto" w:fill="C6EFCE"/>
            <w:noWrap/>
          </w:tcPr>
          <w:p w14:paraId="02B7F1C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65C2477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the legislative act for the implementation and operationalisation of the Guide to Accelerating the De-institutionalisation Process </w:t>
            </w:r>
          </w:p>
        </w:tc>
      </w:tr>
      <w:tr w:rsidR="00137D7A" w:rsidRPr="00137D7A" w14:paraId="239D34C3"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729CA02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381</w:t>
            </w:r>
          </w:p>
        </w:tc>
        <w:tc>
          <w:tcPr>
            <w:tcW w:w="3543" w:type="dxa"/>
            <w:tcBorders>
              <w:top w:val="nil"/>
              <w:left w:val="nil"/>
              <w:bottom w:val="single" w:sz="4" w:space="0" w:color="auto"/>
              <w:right w:val="single" w:sz="4" w:space="0" w:color="auto"/>
            </w:tcBorders>
            <w:shd w:val="clear" w:color="auto" w:fill="C6EFCE"/>
            <w:noWrap/>
          </w:tcPr>
          <w:p w14:paraId="7DBA03A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C13. R2</w:t>
            </w:r>
          </w:p>
          <w:p w14:paraId="642A7907"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Reform of the protection system for adults with disabilities </w:t>
            </w:r>
          </w:p>
        </w:tc>
        <w:tc>
          <w:tcPr>
            <w:tcW w:w="1276" w:type="dxa"/>
            <w:tcBorders>
              <w:top w:val="nil"/>
              <w:left w:val="nil"/>
              <w:bottom w:val="single" w:sz="4" w:space="0" w:color="auto"/>
              <w:right w:val="single" w:sz="4" w:space="0" w:color="auto"/>
            </w:tcBorders>
            <w:shd w:val="clear" w:color="auto" w:fill="C6EFCE"/>
            <w:noWrap/>
          </w:tcPr>
          <w:p w14:paraId="4C71E24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48028460"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legislation to support the implementation of the adopted national strategy for the prevention of institutionalisation </w:t>
            </w:r>
          </w:p>
        </w:tc>
      </w:tr>
      <w:tr w:rsidR="00137D7A" w:rsidRPr="00137D7A" w14:paraId="77350274"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60FDE72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424</w:t>
            </w:r>
          </w:p>
        </w:tc>
        <w:tc>
          <w:tcPr>
            <w:tcW w:w="3543" w:type="dxa"/>
            <w:tcBorders>
              <w:top w:val="nil"/>
              <w:left w:val="nil"/>
              <w:bottom w:val="single" w:sz="4" w:space="0" w:color="auto"/>
              <w:right w:val="single" w:sz="4" w:space="0" w:color="auto"/>
            </w:tcBorders>
            <w:shd w:val="clear" w:color="auto" w:fill="C6EFCE"/>
            <w:noWrap/>
          </w:tcPr>
          <w:p w14:paraId="079A3DA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C14.R5</w:t>
            </w:r>
          </w:p>
          <w:p w14:paraId="433C1220" w14:textId="0F6ECCCC"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Ensuring the independence of the judiciary, enhancing its quality and efficiency</w:t>
            </w:r>
            <w:r w:rsidR="00D23D91">
              <w:rPr>
                <w:rFonts w:ascii="Times New Roman" w:eastAsia="Aptos" w:hAnsi="Times New Roman" w:cs="Times New Roman"/>
                <w:noProof/>
                <w:kern w:val="2"/>
                <w:sz w:val="22"/>
                <w:szCs w:val="22"/>
                <w:lang w:val="en-IE" w:eastAsia="en-US"/>
                <w14:ligatures w14:val="standardContextual"/>
              </w:rPr>
              <w:t xml:space="preserve"> </w:t>
            </w:r>
          </w:p>
        </w:tc>
        <w:tc>
          <w:tcPr>
            <w:tcW w:w="1276" w:type="dxa"/>
            <w:tcBorders>
              <w:top w:val="nil"/>
              <w:left w:val="nil"/>
              <w:bottom w:val="single" w:sz="4" w:space="0" w:color="auto"/>
              <w:right w:val="single" w:sz="4" w:space="0" w:color="auto"/>
            </w:tcBorders>
            <w:shd w:val="clear" w:color="auto" w:fill="C6EFCE"/>
            <w:noWrap/>
          </w:tcPr>
          <w:p w14:paraId="7290230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1E9C8F5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Amendment of the Criminal Code and Criminal Procedure Code </w:t>
            </w:r>
          </w:p>
        </w:tc>
      </w:tr>
      <w:tr w:rsidR="00137D7A" w:rsidRPr="00137D7A" w14:paraId="4D28B29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47AC1F4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439</w:t>
            </w:r>
          </w:p>
        </w:tc>
        <w:tc>
          <w:tcPr>
            <w:tcW w:w="3543" w:type="dxa"/>
            <w:tcBorders>
              <w:top w:val="nil"/>
              <w:left w:val="nil"/>
              <w:bottom w:val="single" w:sz="4" w:space="0" w:color="auto"/>
              <w:right w:val="single" w:sz="4" w:space="0" w:color="auto"/>
            </w:tcBorders>
            <w:shd w:val="clear" w:color="auto" w:fill="C6EFCE"/>
            <w:noWrap/>
          </w:tcPr>
          <w:p w14:paraId="313848B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C14.R9</w:t>
            </w:r>
          </w:p>
          <w:p w14:paraId="574BA77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Improve the procedural framework for the implementation of corporate governance principles in state-owned enterprises</w:t>
            </w:r>
          </w:p>
        </w:tc>
        <w:tc>
          <w:tcPr>
            <w:tcW w:w="1276" w:type="dxa"/>
            <w:tcBorders>
              <w:top w:val="nil"/>
              <w:left w:val="nil"/>
              <w:bottom w:val="single" w:sz="4" w:space="0" w:color="auto"/>
              <w:right w:val="single" w:sz="4" w:space="0" w:color="auto"/>
            </w:tcBorders>
            <w:shd w:val="clear" w:color="auto" w:fill="C6EFCE"/>
            <w:noWrap/>
          </w:tcPr>
          <w:p w14:paraId="0C63950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63584A5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updated legislation for state-owned companies </w:t>
            </w:r>
          </w:p>
        </w:tc>
      </w:tr>
      <w:tr w:rsidR="00137D7A" w:rsidRPr="00137D7A" w14:paraId="1AC1059B"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2D5718A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440</w:t>
            </w:r>
          </w:p>
        </w:tc>
        <w:tc>
          <w:tcPr>
            <w:tcW w:w="3543" w:type="dxa"/>
            <w:tcBorders>
              <w:top w:val="nil"/>
              <w:left w:val="nil"/>
              <w:bottom w:val="single" w:sz="4" w:space="0" w:color="auto"/>
              <w:right w:val="single" w:sz="4" w:space="0" w:color="auto"/>
            </w:tcBorders>
            <w:shd w:val="clear" w:color="auto" w:fill="C6EFCE"/>
            <w:noWrap/>
          </w:tcPr>
          <w:p w14:paraId="015A80F0"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C14.R9</w:t>
            </w:r>
          </w:p>
          <w:p w14:paraId="081133B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Improve the procedural framework for the implementation of corporate governance principles in state-owned enterprises</w:t>
            </w:r>
          </w:p>
        </w:tc>
        <w:tc>
          <w:tcPr>
            <w:tcW w:w="1276" w:type="dxa"/>
            <w:tcBorders>
              <w:top w:val="nil"/>
              <w:left w:val="nil"/>
              <w:bottom w:val="single" w:sz="4" w:space="0" w:color="auto"/>
              <w:right w:val="single" w:sz="4" w:space="0" w:color="auto"/>
            </w:tcBorders>
            <w:shd w:val="clear" w:color="auto" w:fill="C6EFCE"/>
            <w:noWrap/>
          </w:tcPr>
          <w:p w14:paraId="16FA5DC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1DECA6A0"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Operationalisation of the task force at the Centre of the Government for Corporate Governance Policy Coordination and Monitoring</w:t>
            </w:r>
          </w:p>
        </w:tc>
      </w:tr>
      <w:tr w:rsidR="00137D7A" w:rsidRPr="00137D7A" w14:paraId="785F6735"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7A00D35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449</w:t>
            </w:r>
          </w:p>
        </w:tc>
        <w:tc>
          <w:tcPr>
            <w:tcW w:w="3543" w:type="dxa"/>
            <w:tcBorders>
              <w:top w:val="nil"/>
              <w:left w:val="nil"/>
              <w:bottom w:val="single" w:sz="4" w:space="0" w:color="auto"/>
              <w:right w:val="single" w:sz="4" w:space="0" w:color="auto"/>
            </w:tcBorders>
            <w:shd w:val="clear" w:color="auto" w:fill="C6EFCE"/>
            <w:noWrap/>
          </w:tcPr>
          <w:p w14:paraId="0CB9033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C14.I4</w:t>
            </w:r>
          </w:p>
          <w:p w14:paraId="30BC48C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Increasing the capacity of civil society organisations to foster active citizenship, to engage professionally in the planning and implementation of public policies on social rights addressed by the national recovery and resilience plan and to monitor related reforms</w:t>
            </w:r>
          </w:p>
        </w:tc>
        <w:tc>
          <w:tcPr>
            <w:tcW w:w="1276" w:type="dxa"/>
            <w:tcBorders>
              <w:top w:val="nil"/>
              <w:left w:val="nil"/>
              <w:bottom w:val="single" w:sz="4" w:space="0" w:color="auto"/>
              <w:right w:val="single" w:sz="4" w:space="0" w:color="auto"/>
            </w:tcBorders>
            <w:shd w:val="clear" w:color="auto" w:fill="C6EFCE"/>
            <w:noWrap/>
          </w:tcPr>
          <w:p w14:paraId="42414CF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5E337D6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social dialogue legislation, providing for meaningful and timely social dialogue and collective bargaining, in line with the ILO Recommendations</w:t>
            </w:r>
          </w:p>
        </w:tc>
      </w:tr>
      <w:tr w:rsidR="00137D7A" w:rsidRPr="00137D7A" w14:paraId="0D9E8E65"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7F07475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453</w:t>
            </w:r>
          </w:p>
        </w:tc>
        <w:tc>
          <w:tcPr>
            <w:tcW w:w="3543" w:type="dxa"/>
            <w:tcBorders>
              <w:top w:val="nil"/>
              <w:left w:val="nil"/>
              <w:bottom w:val="single" w:sz="4" w:space="0" w:color="auto"/>
              <w:right w:val="single" w:sz="4" w:space="0" w:color="auto"/>
            </w:tcBorders>
            <w:shd w:val="clear" w:color="auto" w:fill="C6EFCE"/>
            <w:noWrap/>
          </w:tcPr>
          <w:p w14:paraId="55482AB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C15.R2</w:t>
            </w:r>
          </w:p>
          <w:p w14:paraId="4C9BC084"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Unitary, inclusive and quality early-childhood education system</w:t>
            </w:r>
          </w:p>
        </w:tc>
        <w:tc>
          <w:tcPr>
            <w:tcW w:w="1276" w:type="dxa"/>
            <w:tcBorders>
              <w:top w:val="nil"/>
              <w:left w:val="nil"/>
              <w:bottom w:val="single" w:sz="4" w:space="0" w:color="auto"/>
              <w:right w:val="single" w:sz="4" w:space="0" w:color="auto"/>
            </w:tcBorders>
            <w:shd w:val="clear" w:color="auto" w:fill="C6EFCE"/>
            <w:noWrap/>
          </w:tcPr>
          <w:p w14:paraId="0E35627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310F594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Entry into force of the Ministerial Order (MO) adopting the Cross-sectoral Framework Programme</w:t>
            </w:r>
          </w:p>
          <w:p w14:paraId="34DFED47"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Entry into force of the MO regulating the establishment, organisation and operation of complementary early-childhood education services</w:t>
            </w:r>
          </w:p>
        </w:tc>
      </w:tr>
      <w:tr w:rsidR="00137D7A" w:rsidRPr="00137D7A" w14:paraId="51F2CD13"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16C964C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463</w:t>
            </w:r>
          </w:p>
        </w:tc>
        <w:tc>
          <w:tcPr>
            <w:tcW w:w="3543" w:type="dxa"/>
            <w:tcBorders>
              <w:top w:val="nil"/>
              <w:left w:val="nil"/>
              <w:bottom w:val="single" w:sz="4" w:space="0" w:color="auto"/>
              <w:right w:val="single" w:sz="4" w:space="0" w:color="auto"/>
            </w:tcBorders>
            <w:shd w:val="clear" w:color="auto" w:fill="C6EFCE"/>
            <w:noWrap/>
          </w:tcPr>
          <w:p w14:paraId="472AEC1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C15.R3</w:t>
            </w:r>
          </w:p>
          <w:p w14:paraId="54B0467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Reform of the compulsory education system to prevent and reduce early school leaving</w:t>
            </w:r>
          </w:p>
        </w:tc>
        <w:tc>
          <w:tcPr>
            <w:tcW w:w="1276" w:type="dxa"/>
            <w:tcBorders>
              <w:top w:val="nil"/>
              <w:left w:val="nil"/>
              <w:bottom w:val="single" w:sz="4" w:space="0" w:color="auto"/>
              <w:right w:val="single" w:sz="4" w:space="0" w:color="auto"/>
            </w:tcBorders>
            <w:shd w:val="clear" w:color="auto" w:fill="C6EFCE"/>
            <w:noWrap/>
          </w:tcPr>
          <w:p w14:paraId="098BEC5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57F7A14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Ministerial Order (MO) for the use of MATE tool at national level</w:t>
            </w:r>
          </w:p>
        </w:tc>
      </w:tr>
      <w:tr w:rsidR="00137D7A" w:rsidRPr="00137D7A" w14:paraId="349A0DDE" w14:textId="77777777">
        <w:trPr>
          <w:trHeight w:val="302"/>
        </w:trPr>
        <w:tc>
          <w:tcPr>
            <w:tcW w:w="1442" w:type="dxa"/>
            <w:tcBorders>
              <w:top w:val="single" w:sz="4" w:space="0" w:color="auto"/>
              <w:left w:val="single" w:sz="4" w:space="0" w:color="auto"/>
              <w:bottom w:val="single" w:sz="4" w:space="0" w:color="auto"/>
              <w:right w:val="single" w:sz="4" w:space="0" w:color="auto"/>
            </w:tcBorders>
            <w:shd w:val="clear" w:color="auto" w:fill="C6EFCE"/>
            <w:noWrap/>
          </w:tcPr>
          <w:p w14:paraId="6AB2392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p>
        </w:tc>
        <w:tc>
          <w:tcPr>
            <w:tcW w:w="3543" w:type="dxa"/>
            <w:tcBorders>
              <w:top w:val="single" w:sz="4" w:space="0" w:color="auto"/>
              <w:left w:val="nil"/>
              <w:bottom w:val="single" w:sz="4" w:space="0" w:color="auto"/>
              <w:right w:val="single" w:sz="4" w:space="0" w:color="auto"/>
            </w:tcBorders>
            <w:shd w:val="clear" w:color="auto" w:fill="C6EFCE"/>
            <w:noWrap/>
          </w:tcPr>
          <w:p w14:paraId="5247728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p>
        </w:tc>
        <w:tc>
          <w:tcPr>
            <w:tcW w:w="1276" w:type="dxa"/>
            <w:tcBorders>
              <w:top w:val="single" w:sz="4" w:space="0" w:color="auto"/>
              <w:left w:val="nil"/>
              <w:bottom w:val="single" w:sz="4" w:space="0" w:color="auto"/>
              <w:right w:val="single" w:sz="4" w:space="0" w:color="auto"/>
            </w:tcBorders>
            <w:shd w:val="clear" w:color="auto" w:fill="C6EFCE"/>
            <w:noWrap/>
          </w:tcPr>
          <w:p w14:paraId="1A02357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Instalment Amount</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61CA9A9B" w14:textId="77777777" w:rsidR="00137D7A" w:rsidRPr="00137D7A" w:rsidRDefault="00137D7A" w:rsidP="00137D7A">
            <w:pPr>
              <w:spacing w:after="0" w:line="259" w:lineRule="auto"/>
              <w:jc w:val="right"/>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EUR 1 833 810 414</w:t>
            </w:r>
          </w:p>
        </w:tc>
      </w:tr>
    </w:tbl>
    <w:p w14:paraId="1512C429" w14:textId="77777777" w:rsidR="00137D7A" w:rsidRPr="00137D7A" w:rsidRDefault="00137D7A" w:rsidP="00137D7A">
      <w:pPr>
        <w:spacing w:line="259" w:lineRule="auto"/>
        <w:rPr>
          <w:rFonts w:ascii="Aptos" w:eastAsia="Aptos" w:hAnsi="Aptos" w:cs="Times New Roman"/>
          <w:noProof/>
          <w:kern w:val="2"/>
          <w:sz w:val="22"/>
          <w:lang w:val="en-IE" w:eastAsia="en-US"/>
          <w14:ligatures w14:val="standardContextual"/>
        </w:rPr>
      </w:pPr>
      <w:r w:rsidRPr="00137D7A">
        <w:rPr>
          <w:rFonts w:ascii="Aptos" w:eastAsia="Aptos" w:hAnsi="Aptos" w:cs="Times New Roman"/>
          <w:noProof/>
          <w:kern w:val="2"/>
          <w:sz w:val="22"/>
          <w:lang w:val="en-IE" w:eastAsia="en-US"/>
          <w14:ligatures w14:val="standardContextual"/>
        </w:rPr>
        <w:br w:type="page"/>
      </w:r>
    </w:p>
    <w:p w14:paraId="0BFC0974" w14:textId="77777777" w:rsidR="00137D7A" w:rsidRPr="00137D7A"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bCs/>
          <w:i/>
          <w:noProof/>
          <w:lang w:val="en-IE" w:eastAsia="en-US"/>
        </w:rPr>
      </w:pPr>
      <w:r w:rsidRPr="00137D7A">
        <w:rPr>
          <w:rFonts w:ascii="Times New Roman" w:eastAsia="Times New Roman" w:hAnsi="Times New Roman" w:cs="Times New Roman"/>
          <w:bCs/>
          <w:i/>
          <w:noProof/>
          <w:lang w:val="en-IE" w:eastAsia="en-US"/>
        </w:rPr>
        <w:t xml:space="preserve">2.1.4 Fourth Instalment (non-repayable support): </w:t>
      </w:r>
    </w:p>
    <w:tbl>
      <w:tblPr>
        <w:tblW w:w="9634" w:type="dxa"/>
        <w:tblInd w:w="113" w:type="dxa"/>
        <w:tblLook w:val="04A0" w:firstRow="1" w:lastRow="0" w:firstColumn="1" w:lastColumn="0" w:noHBand="0" w:noVBand="1"/>
      </w:tblPr>
      <w:tblGrid>
        <w:gridCol w:w="1413"/>
        <w:gridCol w:w="3544"/>
        <w:gridCol w:w="1275"/>
        <w:gridCol w:w="3402"/>
      </w:tblGrid>
      <w:tr w:rsidR="00137D7A" w:rsidRPr="00137D7A" w14:paraId="02AF2794" w14:textId="77777777">
        <w:trPr>
          <w:trHeight w:val="567"/>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F034F3A"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Sequential Number</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170798D" w14:textId="3351BC51" w:rsidR="00137D7A" w:rsidRPr="00137D7A" w:rsidRDefault="00137D7A" w:rsidP="001B1E82">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Related Measure (Reform or Investment)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F3D1DD"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Milestone / Target</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C6FB9B"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Name</w:t>
            </w:r>
          </w:p>
        </w:tc>
      </w:tr>
      <w:tr w:rsidR="00137D7A" w:rsidRPr="00137D7A" w14:paraId="0431D60D" w14:textId="77777777">
        <w:trPr>
          <w:trHeight w:val="567"/>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148E0A12" w14:textId="77777777" w:rsidR="00137D7A" w:rsidRPr="00137D7A"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8251BF3"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2AE07BA" w14:textId="77777777" w:rsidR="00137D7A" w:rsidRPr="00137D7A" w:rsidRDefault="00137D7A" w:rsidP="00137D7A">
            <w:pPr>
              <w:spacing w:after="0" w:line="259" w:lineRule="auto"/>
              <w:jc w:val="center"/>
              <w:rPr>
                <w:rFonts w:ascii="Times New Roman" w:eastAsia="Times New Roman" w:hAnsi="Times New Roman" w:cs="Times New Roman"/>
                <w:b/>
                <w:bCs/>
                <w:noProof/>
                <w:kern w:val="2"/>
                <w:sz w:val="22"/>
                <w:szCs w:val="22"/>
                <w:lang w:val="en-IE" w:eastAsia="en-GB"/>
                <w14:ligatures w14:val="standardContextual"/>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96B4B3A"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r>
      <w:tr w:rsidR="00137D7A" w:rsidRPr="00137D7A" w14:paraId="05CF548F"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06ED6C5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RO-C[C2]-R[R1.0]-M[24]</w:t>
            </w:r>
          </w:p>
        </w:tc>
        <w:tc>
          <w:tcPr>
            <w:tcW w:w="3544" w:type="dxa"/>
            <w:tcBorders>
              <w:top w:val="single" w:sz="4" w:space="0" w:color="auto"/>
              <w:left w:val="nil"/>
              <w:bottom w:val="single" w:sz="4" w:space="0" w:color="auto"/>
              <w:right w:val="single" w:sz="4" w:space="0" w:color="auto"/>
            </w:tcBorders>
            <w:shd w:val="clear" w:color="auto" w:fill="C6EFCE"/>
            <w:noWrap/>
          </w:tcPr>
          <w:p w14:paraId="5D631C1A"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Reform of forest management and governance systems through a new National Forest Strategy and subsequent legal acts</w:t>
            </w:r>
          </w:p>
        </w:tc>
        <w:tc>
          <w:tcPr>
            <w:tcW w:w="1275" w:type="dxa"/>
            <w:tcBorders>
              <w:top w:val="single" w:sz="4" w:space="0" w:color="auto"/>
              <w:left w:val="nil"/>
              <w:bottom w:val="single" w:sz="4" w:space="0" w:color="auto"/>
              <w:right w:val="single" w:sz="4" w:space="0" w:color="auto"/>
            </w:tcBorders>
            <w:shd w:val="clear" w:color="auto" w:fill="C6EFCE"/>
            <w:noWrap/>
          </w:tcPr>
          <w:p w14:paraId="3E39F60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single" w:sz="4" w:space="0" w:color="auto"/>
              <w:left w:val="nil"/>
              <w:bottom w:val="single" w:sz="4" w:space="0" w:color="auto"/>
              <w:right w:val="single" w:sz="4" w:space="0" w:color="auto"/>
            </w:tcBorders>
            <w:shd w:val="clear" w:color="auto" w:fill="C6EFCE"/>
            <w:noWrap/>
          </w:tcPr>
          <w:p w14:paraId="509F2EB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Entry into force of the legislative acts amending and supplementing the existing legislation on forests</w:t>
            </w:r>
          </w:p>
        </w:tc>
      </w:tr>
      <w:tr w:rsidR="00137D7A" w:rsidRPr="00137D7A" w14:paraId="741A6D2D"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DEBA905"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RO-C[C2]-I[I5.0]-M[41]</w:t>
            </w:r>
          </w:p>
        </w:tc>
        <w:tc>
          <w:tcPr>
            <w:tcW w:w="3544" w:type="dxa"/>
            <w:tcBorders>
              <w:top w:val="nil"/>
              <w:left w:val="nil"/>
              <w:bottom w:val="single" w:sz="4" w:space="0" w:color="auto"/>
              <w:right w:val="single" w:sz="4" w:space="0" w:color="auto"/>
            </w:tcBorders>
            <w:shd w:val="clear" w:color="auto" w:fill="C6EFCE"/>
            <w:noWrap/>
          </w:tcPr>
          <w:p w14:paraId="54C01210"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Integrated flood risk mitigation systems in forest river basins</w:t>
            </w:r>
          </w:p>
        </w:tc>
        <w:tc>
          <w:tcPr>
            <w:tcW w:w="1275" w:type="dxa"/>
            <w:tcBorders>
              <w:top w:val="nil"/>
              <w:left w:val="nil"/>
              <w:bottom w:val="single" w:sz="4" w:space="0" w:color="auto"/>
              <w:right w:val="single" w:sz="4" w:space="0" w:color="auto"/>
            </w:tcBorders>
            <w:shd w:val="clear" w:color="auto" w:fill="C6EFCE"/>
            <w:noWrap/>
          </w:tcPr>
          <w:p w14:paraId="6781C35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7830683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Approval of project design</w:t>
            </w:r>
          </w:p>
        </w:tc>
      </w:tr>
      <w:tr w:rsidR="00137D7A" w:rsidRPr="00137D7A" w14:paraId="6018AB2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4DB52E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RO-C[C4]-R[R1.0]-M[59]</w:t>
            </w:r>
          </w:p>
        </w:tc>
        <w:tc>
          <w:tcPr>
            <w:tcW w:w="3544" w:type="dxa"/>
            <w:tcBorders>
              <w:top w:val="nil"/>
              <w:left w:val="nil"/>
              <w:bottom w:val="single" w:sz="4" w:space="0" w:color="auto"/>
              <w:right w:val="single" w:sz="4" w:space="0" w:color="auto"/>
            </w:tcBorders>
            <w:shd w:val="clear" w:color="auto" w:fill="C6EFCE"/>
            <w:noWrap/>
          </w:tcPr>
          <w:p w14:paraId="5D0855FC"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Sustainable transport, decarbonisation and road safety / Road decarbonisation and air pollution reduction</w:t>
            </w:r>
          </w:p>
        </w:tc>
        <w:tc>
          <w:tcPr>
            <w:tcW w:w="1275" w:type="dxa"/>
            <w:tcBorders>
              <w:top w:val="nil"/>
              <w:left w:val="nil"/>
              <w:bottom w:val="single" w:sz="4" w:space="0" w:color="auto"/>
              <w:right w:val="single" w:sz="4" w:space="0" w:color="auto"/>
            </w:tcBorders>
            <w:shd w:val="clear" w:color="auto" w:fill="C6EFCE"/>
            <w:noWrap/>
          </w:tcPr>
          <w:p w14:paraId="23D79E3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1DE16A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 xml:space="preserve">Entry into force of the legal act(s) for the implementation of a new distance-based charging system for heavy duty vehicles (trucks) linked to air pollution, and higher ownership taxes for most polluting passengers vehicles (cars/buses/coaches) </w:t>
            </w:r>
          </w:p>
        </w:tc>
      </w:tr>
      <w:tr w:rsidR="00137D7A" w:rsidRPr="00137D7A" w14:paraId="74242CD8" w14:textId="77777777">
        <w:trPr>
          <w:trHeight w:val="1172"/>
        </w:trPr>
        <w:tc>
          <w:tcPr>
            <w:tcW w:w="1413" w:type="dxa"/>
            <w:tcBorders>
              <w:top w:val="nil"/>
              <w:left w:val="single" w:sz="4" w:space="0" w:color="auto"/>
              <w:bottom w:val="single" w:sz="4" w:space="0" w:color="auto"/>
              <w:right w:val="single" w:sz="4" w:space="0" w:color="auto"/>
            </w:tcBorders>
            <w:shd w:val="clear" w:color="auto" w:fill="C6EFCE"/>
            <w:noWrap/>
          </w:tcPr>
          <w:p w14:paraId="2D6A31B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RO-C[C4]-R[R1.0]-M[60]</w:t>
            </w:r>
          </w:p>
        </w:tc>
        <w:tc>
          <w:tcPr>
            <w:tcW w:w="3544" w:type="dxa"/>
            <w:tcBorders>
              <w:top w:val="nil"/>
              <w:left w:val="nil"/>
              <w:bottom w:val="single" w:sz="4" w:space="0" w:color="auto"/>
              <w:right w:val="single" w:sz="4" w:space="0" w:color="auto"/>
            </w:tcBorders>
            <w:shd w:val="clear" w:color="auto" w:fill="C6EFCE"/>
            <w:noWrap/>
          </w:tcPr>
          <w:p w14:paraId="5E01DE58"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Sustainable transport, decarbonisation and road safety / Road decarbonisation and air pollution reduction </w:t>
            </w:r>
          </w:p>
        </w:tc>
        <w:tc>
          <w:tcPr>
            <w:tcW w:w="1275" w:type="dxa"/>
            <w:tcBorders>
              <w:top w:val="nil"/>
              <w:left w:val="nil"/>
              <w:bottom w:val="single" w:sz="4" w:space="0" w:color="auto"/>
              <w:right w:val="single" w:sz="4" w:space="0" w:color="auto"/>
            </w:tcBorders>
            <w:shd w:val="clear" w:color="auto" w:fill="C6EFCE"/>
            <w:noWrap/>
          </w:tcPr>
          <w:p w14:paraId="08BBBDE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570D18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 xml:space="preserve">Entry into force of the legal act(s) to boost the use of clean vehicles and fleet renewal programmes </w:t>
            </w:r>
          </w:p>
        </w:tc>
      </w:tr>
      <w:tr w:rsidR="00137D7A" w:rsidRPr="00137D7A" w14:paraId="39279EE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AD948C4"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RO-C[C6]-R[R1.0]-T[119]</w:t>
            </w:r>
          </w:p>
        </w:tc>
        <w:tc>
          <w:tcPr>
            <w:tcW w:w="3544" w:type="dxa"/>
            <w:tcBorders>
              <w:top w:val="nil"/>
              <w:left w:val="nil"/>
              <w:bottom w:val="single" w:sz="4" w:space="0" w:color="auto"/>
              <w:right w:val="single" w:sz="4" w:space="0" w:color="auto"/>
            </w:tcBorders>
            <w:shd w:val="clear" w:color="auto" w:fill="C6EFCE"/>
            <w:noWrap/>
          </w:tcPr>
          <w:p w14:paraId="6CC94910"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Electricity market reform, replacement of coal in the energy mix and support for a legislative and regulatory framework for private investment in renewable electricity production</w:t>
            </w:r>
          </w:p>
        </w:tc>
        <w:tc>
          <w:tcPr>
            <w:tcW w:w="1275" w:type="dxa"/>
            <w:tcBorders>
              <w:top w:val="nil"/>
              <w:left w:val="nil"/>
              <w:bottom w:val="single" w:sz="4" w:space="0" w:color="auto"/>
              <w:right w:val="single" w:sz="4" w:space="0" w:color="auto"/>
            </w:tcBorders>
            <w:shd w:val="clear" w:color="auto" w:fill="C6EFCE"/>
            <w:noWrap/>
          </w:tcPr>
          <w:p w14:paraId="0104DE0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32C780A6"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Decommissioning of coal/lignite-fired power production capacity</w:t>
            </w:r>
          </w:p>
          <w:p w14:paraId="2A9F37A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p>
        </w:tc>
      </w:tr>
      <w:tr w:rsidR="00137D7A" w:rsidRPr="00137D7A" w14:paraId="2FD7D6A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0071AA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RO-C[C6]-R[R2.0]-M[122]</w:t>
            </w:r>
          </w:p>
        </w:tc>
        <w:tc>
          <w:tcPr>
            <w:tcW w:w="3544" w:type="dxa"/>
            <w:tcBorders>
              <w:top w:val="nil"/>
              <w:left w:val="nil"/>
              <w:bottom w:val="single" w:sz="4" w:space="0" w:color="auto"/>
              <w:right w:val="single" w:sz="4" w:space="0" w:color="auto"/>
            </w:tcBorders>
            <w:shd w:val="clear" w:color="auto" w:fill="C6EFCE"/>
            <w:noWrap/>
          </w:tcPr>
          <w:p w14:paraId="6B976DCF"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Reforming corporate governance of state-owned enterprises in the energy sector</w:t>
            </w:r>
          </w:p>
        </w:tc>
        <w:tc>
          <w:tcPr>
            <w:tcW w:w="1275" w:type="dxa"/>
            <w:tcBorders>
              <w:top w:val="nil"/>
              <w:left w:val="nil"/>
              <w:bottom w:val="single" w:sz="4" w:space="0" w:color="auto"/>
              <w:right w:val="single" w:sz="4" w:space="0" w:color="auto"/>
            </w:tcBorders>
            <w:shd w:val="clear" w:color="auto" w:fill="C6EFCE"/>
            <w:noWrap/>
          </w:tcPr>
          <w:p w14:paraId="2B5C8DE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18BD439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Listing of at least 15% shares of Hidroelectrica on the exchange</w:t>
            </w:r>
          </w:p>
        </w:tc>
      </w:tr>
      <w:tr w:rsidR="00137D7A" w:rsidRPr="00137D7A" w14:paraId="298719E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65348E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RO-C[C6]-R[R3.0]-M[123]</w:t>
            </w:r>
          </w:p>
        </w:tc>
        <w:tc>
          <w:tcPr>
            <w:tcW w:w="3544" w:type="dxa"/>
            <w:tcBorders>
              <w:top w:val="nil"/>
              <w:left w:val="nil"/>
              <w:bottom w:val="single" w:sz="4" w:space="0" w:color="auto"/>
              <w:right w:val="single" w:sz="4" w:space="0" w:color="auto"/>
            </w:tcBorders>
            <w:shd w:val="clear" w:color="auto" w:fill="C6EFCE"/>
            <w:noWrap/>
          </w:tcPr>
          <w:p w14:paraId="44204CD0"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Green budgeting</w:t>
            </w:r>
          </w:p>
        </w:tc>
        <w:tc>
          <w:tcPr>
            <w:tcW w:w="1275" w:type="dxa"/>
            <w:tcBorders>
              <w:top w:val="nil"/>
              <w:left w:val="nil"/>
              <w:bottom w:val="single" w:sz="4" w:space="0" w:color="auto"/>
              <w:right w:val="single" w:sz="4" w:space="0" w:color="auto"/>
            </w:tcBorders>
            <w:shd w:val="clear" w:color="auto" w:fill="C6EFCE"/>
            <w:noWrap/>
          </w:tcPr>
          <w:p w14:paraId="262F965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0AA6513C"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Establishment and use of a green budgetary planning methodology</w:t>
            </w:r>
          </w:p>
        </w:tc>
      </w:tr>
      <w:tr w:rsidR="00137D7A" w:rsidRPr="00137D7A" w14:paraId="7C173B3B"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EFA7C9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RO-C[C7]-I[I1.0]-T[154]</w:t>
            </w:r>
          </w:p>
        </w:tc>
        <w:tc>
          <w:tcPr>
            <w:tcW w:w="3544" w:type="dxa"/>
            <w:tcBorders>
              <w:top w:val="nil"/>
              <w:left w:val="nil"/>
              <w:bottom w:val="single" w:sz="4" w:space="0" w:color="auto"/>
              <w:right w:val="single" w:sz="4" w:space="0" w:color="auto"/>
            </w:tcBorders>
            <w:shd w:val="clear" w:color="auto" w:fill="C6EFCE"/>
            <w:noWrap/>
          </w:tcPr>
          <w:p w14:paraId="2A8B022E"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Deployment of the Government Cloud Infrastructure</w:t>
            </w:r>
          </w:p>
        </w:tc>
        <w:tc>
          <w:tcPr>
            <w:tcW w:w="1275" w:type="dxa"/>
            <w:tcBorders>
              <w:top w:val="nil"/>
              <w:left w:val="nil"/>
              <w:bottom w:val="single" w:sz="4" w:space="0" w:color="auto"/>
              <w:right w:val="single" w:sz="4" w:space="0" w:color="auto"/>
            </w:tcBorders>
            <w:shd w:val="clear" w:color="auto" w:fill="C6EFCE"/>
            <w:noWrap/>
          </w:tcPr>
          <w:p w14:paraId="31DF573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6021647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Public institutions connected through the government cloud</w:t>
            </w:r>
          </w:p>
        </w:tc>
      </w:tr>
      <w:tr w:rsidR="00137D7A" w:rsidRPr="00137D7A" w14:paraId="4C054D65"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248542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RO-C[C7]-I[I4.0]-M[163]</w:t>
            </w:r>
          </w:p>
        </w:tc>
        <w:tc>
          <w:tcPr>
            <w:tcW w:w="3544" w:type="dxa"/>
            <w:tcBorders>
              <w:top w:val="nil"/>
              <w:left w:val="nil"/>
              <w:bottom w:val="single" w:sz="4" w:space="0" w:color="auto"/>
              <w:right w:val="single" w:sz="4" w:space="0" w:color="auto"/>
            </w:tcBorders>
            <w:shd w:val="clear" w:color="auto" w:fill="C6EFCE"/>
            <w:noWrap/>
          </w:tcPr>
          <w:p w14:paraId="4BD015AF"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Digitalisation of the judiciary</w:t>
            </w:r>
          </w:p>
        </w:tc>
        <w:tc>
          <w:tcPr>
            <w:tcW w:w="1275" w:type="dxa"/>
            <w:tcBorders>
              <w:top w:val="nil"/>
              <w:left w:val="nil"/>
              <w:bottom w:val="single" w:sz="4" w:space="0" w:color="auto"/>
              <w:right w:val="single" w:sz="4" w:space="0" w:color="auto"/>
            </w:tcBorders>
            <w:shd w:val="clear" w:color="auto" w:fill="C6EFCE"/>
            <w:noWrap/>
          </w:tcPr>
          <w:p w14:paraId="08DCAE0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150DC32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 xml:space="preserve"> Centralisation of applications</w:t>
            </w:r>
          </w:p>
        </w:tc>
      </w:tr>
      <w:tr w:rsidR="00137D7A" w:rsidRPr="00137D7A" w14:paraId="75F5BDE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276F07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RO-C[C7]-I[I6.0]-M[169]</w:t>
            </w:r>
          </w:p>
        </w:tc>
        <w:tc>
          <w:tcPr>
            <w:tcW w:w="3544" w:type="dxa"/>
            <w:tcBorders>
              <w:top w:val="nil"/>
              <w:left w:val="nil"/>
              <w:bottom w:val="single" w:sz="4" w:space="0" w:color="auto"/>
              <w:right w:val="single" w:sz="4" w:space="0" w:color="auto"/>
            </w:tcBorders>
            <w:shd w:val="clear" w:color="auto" w:fill="C6EFCE"/>
            <w:noWrap/>
          </w:tcPr>
          <w:p w14:paraId="27F2BCE0"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Digitalisation in employment and social protection</w:t>
            </w:r>
          </w:p>
        </w:tc>
        <w:tc>
          <w:tcPr>
            <w:tcW w:w="1275" w:type="dxa"/>
            <w:tcBorders>
              <w:top w:val="nil"/>
              <w:left w:val="nil"/>
              <w:bottom w:val="single" w:sz="4" w:space="0" w:color="auto"/>
              <w:right w:val="single" w:sz="4" w:space="0" w:color="auto"/>
            </w:tcBorders>
            <w:shd w:val="clear" w:color="auto" w:fill="C6EFCE"/>
            <w:noWrap/>
          </w:tcPr>
          <w:p w14:paraId="26449C1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3125107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Functional</w:t>
            </w:r>
            <w:r w:rsidRPr="00137D7A" w:rsidDel="00792AF0">
              <w:rPr>
                <w:rFonts w:ascii="Times New Roman" w:eastAsia="Times New Roman" w:hAnsi="Times New Roman" w:cs="Times New Roman"/>
                <w:noProof/>
                <w:kern w:val="2"/>
                <w:sz w:val="22"/>
                <w:szCs w:val="22"/>
                <w:lang w:val="en-IE" w:eastAsia="en-GB"/>
                <w14:ligatures w14:val="standardContextual"/>
              </w:rPr>
              <w:t xml:space="preserve"> </w:t>
            </w:r>
            <w:r w:rsidRPr="00137D7A">
              <w:rPr>
                <w:rFonts w:ascii="Times New Roman" w:eastAsia="Times New Roman" w:hAnsi="Times New Roman" w:cs="Times New Roman"/>
                <w:noProof/>
                <w:kern w:val="2"/>
                <w:sz w:val="22"/>
                <w:szCs w:val="22"/>
                <w:lang w:val="en-IE" w:eastAsia="en-GB"/>
                <w14:ligatures w14:val="standardContextual"/>
              </w:rPr>
              <w:t>REGES online system</w:t>
            </w:r>
          </w:p>
        </w:tc>
      </w:tr>
      <w:tr w:rsidR="00137D7A" w:rsidRPr="00137D7A" w14:paraId="03E7D145"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F845AB4"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RO-C[C7]-I[I7.0]-M[172]</w:t>
            </w:r>
          </w:p>
        </w:tc>
        <w:tc>
          <w:tcPr>
            <w:tcW w:w="3544" w:type="dxa"/>
            <w:tcBorders>
              <w:top w:val="nil"/>
              <w:left w:val="nil"/>
              <w:bottom w:val="single" w:sz="4" w:space="0" w:color="auto"/>
              <w:right w:val="single" w:sz="4" w:space="0" w:color="auto"/>
            </w:tcBorders>
            <w:shd w:val="clear" w:color="auto" w:fill="C6EFCE"/>
            <w:noWrap/>
          </w:tcPr>
          <w:p w14:paraId="4398A659"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Introduction of electronic forms (eForms) in the field of public </w:t>
            </w:r>
            <w:r w:rsidRPr="00137D7A" w:rsidDel="004E2F8F">
              <w:rPr>
                <w:rFonts w:ascii="Times New Roman" w:eastAsia="Aptos" w:hAnsi="Times New Roman" w:cs="Times New Roman"/>
                <w:noProof/>
                <w:kern w:val="2"/>
                <w:sz w:val="22"/>
                <w:szCs w:val="22"/>
                <w:lang w:val="en-IE" w:eastAsia="en-US"/>
                <w14:ligatures w14:val="standardContextual"/>
              </w:rPr>
              <w:t>procurement</w:t>
            </w:r>
          </w:p>
        </w:tc>
        <w:tc>
          <w:tcPr>
            <w:tcW w:w="1275" w:type="dxa"/>
            <w:tcBorders>
              <w:top w:val="nil"/>
              <w:left w:val="nil"/>
              <w:bottom w:val="single" w:sz="4" w:space="0" w:color="auto"/>
              <w:right w:val="single" w:sz="4" w:space="0" w:color="auto"/>
            </w:tcBorders>
            <w:shd w:val="clear" w:color="auto" w:fill="C6EFCE"/>
            <w:noWrap/>
          </w:tcPr>
          <w:p w14:paraId="5232810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768C6AB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 xml:space="preserve">Entry into use of standard electronic forms </w:t>
            </w:r>
            <w:r w:rsidRPr="00137D7A" w:rsidDel="4FECA9B0">
              <w:rPr>
                <w:rFonts w:ascii="Times New Roman" w:eastAsia="Times New Roman" w:hAnsi="Times New Roman" w:cs="Times New Roman"/>
                <w:noProof/>
                <w:kern w:val="2"/>
                <w:sz w:val="22"/>
                <w:szCs w:val="22"/>
                <w:lang w:val="en-IE" w:eastAsia="en-GB"/>
                <w14:ligatures w14:val="standardContextual"/>
              </w:rPr>
              <w:t>in</w:t>
            </w:r>
            <w:r w:rsidRPr="00137D7A">
              <w:rPr>
                <w:rFonts w:ascii="Times New Roman" w:eastAsia="Times New Roman" w:hAnsi="Times New Roman" w:cs="Times New Roman"/>
                <w:noProof/>
                <w:kern w:val="2"/>
                <w:sz w:val="22"/>
                <w:szCs w:val="22"/>
                <w:lang w:val="en-IE" w:eastAsia="en-GB"/>
                <w14:ligatures w14:val="standardContextual"/>
              </w:rPr>
              <w:t xml:space="preserve"> public procurement procedures </w:t>
            </w:r>
          </w:p>
        </w:tc>
      </w:tr>
      <w:tr w:rsidR="00137D7A" w:rsidRPr="00137D7A" w14:paraId="5685713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F53FA3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RO-C[C7]-I[I14.0]-T[182]</w:t>
            </w:r>
          </w:p>
        </w:tc>
        <w:tc>
          <w:tcPr>
            <w:tcW w:w="3544" w:type="dxa"/>
            <w:tcBorders>
              <w:top w:val="nil"/>
              <w:left w:val="nil"/>
              <w:bottom w:val="single" w:sz="4" w:space="0" w:color="auto"/>
              <w:right w:val="single" w:sz="4" w:space="0" w:color="auto"/>
            </w:tcBorders>
            <w:shd w:val="clear" w:color="auto" w:fill="C6EFCE"/>
            <w:noWrap/>
          </w:tcPr>
          <w:p w14:paraId="03B3DC84"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Increase of the resilience and cybersecurity of Internet Service Provider infrastructure services provided to public authorities in Romania</w:t>
            </w:r>
          </w:p>
        </w:tc>
        <w:tc>
          <w:tcPr>
            <w:tcW w:w="1275" w:type="dxa"/>
            <w:tcBorders>
              <w:top w:val="nil"/>
              <w:left w:val="nil"/>
              <w:bottom w:val="single" w:sz="4" w:space="0" w:color="auto"/>
              <w:right w:val="single" w:sz="4" w:space="0" w:color="auto"/>
            </w:tcBorders>
            <w:shd w:val="clear" w:color="auto" w:fill="C6EFCE"/>
            <w:noWrap/>
          </w:tcPr>
          <w:p w14:paraId="261F6C3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1E87B05C" w14:textId="055481ED"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Hubs that shall allow access to Internet Service Provider (ISP)</w:t>
            </w:r>
            <w:r w:rsidR="00D23D91">
              <w:rPr>
                <w:rFonts w:ascii="Times New Roman" w:eastAsia="Times New Roman" w:hAnsi="Times New Roman" w:cs="Times New Roman"/>
                <w:noProof/>
                <w:kern w:val="2"/>
                <w:sz w:val="22"/>
                <w:szCs w:val="22"/>
                <w:lang w:val="en-IE" w:eastAsia="en-GB"/>
                <w14:ligatures w14:val="standardContextual"/>
              </w:rPr>
              <w:t xml:space="preserve"> </w:t>
            </w:r>
            <w:r w:rsidRPr="00137D7A">
              <w:rPr>
                <w:rFonts w:ascii="Times New Roman" w:eastAsia="Times New Roman" w:hAnsi="Times New Roman" w:cs="Times New Roman"/>
                <w:noProof/>
                <w:kern w:val="2"/>
                <w:sz w:val="22"/>
                <w:szCs w:val="22"/>
                <w:lang w:val="en-IE" w:eastAsia="en-GB"/>
                <w14:ligatures w14:val="standardContextual"/>
              </w:rPr>
              <w:t>services for public-interest institutions and entities</w:t>
            </w:r>
          </w:p>
        </w:tc>
      </w:tr>
      <w:tr w:rsidR="00137D7A" w:rsidRPr="00137D7A" w14:paraId="445F964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8563DB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RO-C[C8]-I[I2.0]-T[219]</w:t>
            </w:r>
          </w:p>
        </w:tc>
        <w:tc>
          <w:tcPr>
            <w:tcW w:w="3544" w:type="dxa"/>
            <w:tcBorders>
              <w:top w:val="nil"/>
              <w:left w:val="nil"/>
              <w:bottom w:val="single" w:sz="4" w:space="0" w:color="auto"/>
              <w:right w:val="single" w:sz="4" w:space="0" w:color="auto"/>
            </w:tcBorders>
            <w:shd w:val="clear" w:color="auto" w:fill="C6EFCE"/>
            <w:noWrap/>
          </w:tcPr>
          <w:p w14:paraId="7F8AD91D" w14:textId="31CBF764" w:rsidR="00137D7A" w:rsidRPr="00137D7A" w:rsidRDefault="000679E2"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0679E2">
              <w:rPr>
                <w:rFonts w:ascii="Times New Roman" w:eastAsia="Aptos" w:hAnsi="Times New Roman" w:cs="Times New Roman"/>
                <w:noProof/>
                <w:kern w:val="2"/>
                <w:sz w:val="22"/>
                <w:szCs w:val="22"/>
                <w:lang w:val="en-IE" w:eastAsia="en-US"/>
                <w14:ligatures w14:val="standardContextual"/>
              </w:rPr>
              <w:t>Improving tax and tax administration processes</w:t>
            </w:r>
          </w:p>
        </w:tc>
        <w:tc>
          <w:tcPr>
            <w:tcW w:w="1275" w:type="dxa"/>
            <w:tcBorders>
              <w:top w:val="nil"/>
              <w:left w:val="nil"/>
              <w:bottom w:val="single" w:sz="4" w:space="0" w:color="auto"/>
              <w:right w:val="single" w:sz="4" w:space="0" w:color="auto"/>
            </w:tcBorders>
            <w:shd w:val="clear" w:color="auto" w:fill="C6EFCE"/>
            <w:noWrap/>
          </w:tcPr>
          <w:p w14:paraId="0CB837D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12438C0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Staff training on the risk management system</w:t>
            </w:r>
          </w:p>
        </w:tc>
      </w:tr>
      <w:tr w:rsidR="00137D7A" w:rsidRPr="00137D7A" w14:paraId="6A19D1B5"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213E77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RO-C[C8]-I[I2.0]-T[223]</w:t>
            </w:r>
          </w:p>
        </w:tc>
        <w:tc>
          <w:tcPr>
            <w:tcW w:w="3544" w:type="dxa"/>
            <w:tcBorders>
              <w:top w:val="nil"/>
              <w:left w:val="nil"/>
              <w:bottom w:val="single" w:sz="4" w:space="0" w:color="auto"/>
              <w:right w:val="single" w:sz="4" w:space="0" w:color="auto"/>
            </w:tcBorders>
            <w:shd w:val="clear" w:color="auto" w:fill="C6EFCE"/>
            <w:noWrap/>
          </w:tcPr>
          <w:p w14:paraId="70A2E437" w14:textId="0BD602EB" w:rsidR="00137D7A" w:rsidRPr="00137D7A" w:rsidRDefault="000679E2"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0679E2">
              <w:rPr>
                <w:rFonts w:ascii="Times New Roman" w:eastAsia="Aptos" w:hAnsi="Times New Roman" w:cs="Times New Roman"/>
                <w:noProof/>
                <w:kern w:val="2"/>
                <w:sz w:val="22"/>
                <w:szCs w:val="22"/>
                <w:lang w:val="en-IE" w:eastAsia="en-US"/>
                <w14:ligatures w14:val="standardContextual"/>
              </w:rPr>
              <w:t>Improving tax and tax administration processes</w:t>
            </w:r>
          </w:p>
        </w:tc>
        <w:tc>
          <w:tcPr>
            <w:tcW w:w="1275" w:type="dxa"/>
            <w:tcBorders>
              <w:top w:val="nil"/>
              <w:left w:val="nil"/>
              <w:bottom w:val="single" w:sz="4" w:space="0" w:color="auto"/>
              <w:right w:val="single" w:sz="4" w:space="0" w:color="auto"/>
            </w:tcBorders>
            <w:shd w:val="clear" w:color="auto" w:fill="C6EFCE"/>
            <w:noWrap/>
          </w:tcPr>
          <w:p w14:paraId="341A101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66E7EA7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Share of the number of desk audits reported on the total audits carried out by the tax administration — 60%</w:t>
            </w:r>
          </w:p>
        </w:tc>
      </w:tr>
      <w:tr w:rsidR="00137D7A" w:rsidRPr="00137D7A" w14:paraId="0F8E029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B8EF2B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RO-C[C8]-I[I2.0]-T[224]</w:t>
            </w:r>
          </w:p>
        </w:tc>
        <w:tc>
          <w:tcPr>
            <w:tcW w:w="3544" w:type="dxa"/>
            <w:tcBorders>
              <w:top w:val="nil"/>
              <w:left w:val="nil"/>
              <w:bottom w:val="single" w:sz="4" w:space="0" w:color="auto"/>
              <w:right w:val="single" w:sz="4" w:space="0" w:color="auto"/>
            </w:tcBorders>
            <w:shd w:val="clear" w:color="auto" w:fill="C6EFCE"/>
            <w:noWrap/>
          </w:tcPr>
          <w:p w14:paraId="3602D1F1" w14:textId="63794BFB" w:rsidR="00137D7A" w:rsidRPr="00137D7A" w:rsidRDefault="000679E2"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0679E2">
              <w:rPr>
                <w:rFonts w:ascii="Times New Roman" w:eastAsia="Aptos" w:hAnsi="Times New Roman" w:cs="Times New Roman"/>
                <w:noProof/>
                <w:kern w:val="2"/>
                <w:sz w:val="22"/>
                <w:szCs w:val="22"/>
                <w:lang w:val="en-IE" w:eastAsia="en-US"/>
                <w14:ligatures w14:val="standardContextual"/>
              </w:rPr>
              <w:t>Improving tax and tax administration processes</w:t>
            </w:r>
          </w:p>
        </w:tc>
        <w:tc>
          <w:tcPr>
            <w:tcW w:w="1275" w:type="dxa"/>
            <w:tcBorders>
              <w:top w:val="nil"/>
              <w:left w:val="nil"/>
              <w:bottom w:val="single" w:sz="4" w:space="0" w:color="auto"/>
              <w:right w:val="single" w:sz="4" w:space="0" w:color="auto"/>
            </w:tcBorders>
            <w:shd w:val="clear" w:color="auto" w:fill="C6EFCE"/>
            <w:noWrap/>
          </w:tcPr>
          <w:p w14:paraId="253CD48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29B13D6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Increase the number of audits by 10%</w:t>
            </w:r>
          </w:p>
        </w:tc>
      </w:tr>
      <w:tr w:rsidR="00137D7A" w:rsidRPr="00137D7A" w14:paraId="3F6E91E9"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605669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RO-C[C8]-I[I3.0]-M[228]</w:t>
            </w:r>
          </w:p>
        </w:tc>
        <w:tc>
          <w:tcPr>
            <w:tcW w:w="3544" w:type="dxa"/>
            <w:tcBorders>
              <w:top w:val="nil"/>
              <w:left w:val="nil"/>
              <w:bottom w:val="single" w:sz="4" w:space="0" w:color="auto"/>
              <w:right w:val="single" w:sz="4" w:space="0" w:color="auto"/>
            </w:tcBorders>
            <w:shd w:val="clear" w:color="auto" w:fill="C6EFCE"/>
            <w:noWrap/>
          </w:tcPr>
          <w:p w14:paraId="283CA61D"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Ensuring the capacity to respond to current and future information challenges, including in the context of the pandemic, through the digital transformation of Ministry of Finance/National Agency for Fiscal Administration</w:t>
            </w:r>
          </w:p>
        </w:tc>
        <w:tc>
          <w:tcPr>
            <w:tcW w:w="1275" w:type="dxa"/>
            <w:tcBorders>
              <w:top w:val="nil"/>
              <w:left w:val="nil"/>
              <w:bottom w:val="single" w:sz="4" w:space="0" w:color="auto"/>
              <w:right w:val="single" w:sz="4" w:space="0" w:color="auto"/>
            </w:tcBorders>
            <w:shd w:val="clear" w:color="auto" w:fill="C6EFCE"/>
            <w:noWrap/>
          </w:tcPr>
          <w:p w14:paraId="39BD6D6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331B7544"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Increased Cyber security of the Ministry of Finance’s and ANAF computer system</w:t>
            </w:r>
          </w:p>
        </w:tc>
      </w:tr>
      <w:tr w:rsidR="00137D7A" w:rsidRPr="00137D7A" w14:paraId="729B6FB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FE07A2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RO-C[C8]-I[I6.0]-M[235]</w:t>
            </w:r>
          </w:p>
        </w:tc>
        <w:tc>
          <w:tcPr>
            <w:tcW w:w="3544" w:type="dxa"/>
            <w:tcBorders>
              <w:top w:val="nil"/>
              <w:left w:val="nil"/>
              <w:bottom w:val="single" w:sz="4" w:space="0" w:color="auto"/>
              <w:right w:val="single" w:sz="4" w:space="0" w:color="auto"/>
            </w:tcBorders>
            <w:shd w:val="clear" w:color="auto" w:fill="C6EFCE"/>
            <w:noWrap/>
          </w:tcPr>
          <w:p w14:paraId="31BBE4B8"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Economic modelling instrument (Pension Reform Options Simulation Toolkit) to improve institutional capacity to forecast pension expenditures</w:t>
            </w:r>
          </w:p>
        </w:tc>
        <w:tc>
          <w:tcPr>
            <w:tcW w:w="1275" w:type="dxa"/>
            <w:tcBorders>
              <w:top w:val="nil"/>
              <w:left w:val="nil"/>
              <w:bottom w:val="single" w:sz="4" w:space="0" w:color="auto"/>
              <w:right w:val="single" w:sz="4" w:space="0" w:color="auto"/>
            </w:tcBorders>
            <w:shd w:val="clear" w:color="auto" w:fill="C6EFCE"/>
            <w:noWrap/>
          </w:tcPr>
          <w:p w14:paraId="10422E8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5600AA8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Economic modelling tool updated</w:t>
            </w:r>
          </w:p>
        </w:tc>
      </w:tr>
      <w:tr w:rsidR="00137D7A" w:rsidRPr="00137D7A" w14:paraId="119CA5C7"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01A65F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RO-C[C8]-I[I8.0]-M[238]</w:t>
            </w:r>
          </w:p>
        </w:tc>
        <w:tc>
          <w:tcPr>
            <w:tcW w:w="3544" w:type="dxa"/>
            <w:tcBorders>
              <w:top w:val="nil"/>
              <w:left w:val="nil"/>
              <w:bottom w:val="single" w:sz="4" w:space="0" w:color="auto"/>
              <w:right w:val="single" w:sz="4" w:space="0" w:color="auto"/>
            </w:tcBorders>
            <w:shd w:val="clear" w:color="auto" w:fill="C6EFCE"/>
            <w:noWrap/>
          </w:tcPr>
          <w:p w14:paraId="1FC5EF6D"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The National Development Bank is functional</w:t>
            </w:r>
          </w:p>
        </w:tc>
        <w:tc>
          <w:tcPr>
            <w:tcW w:w="1275" w:type="dxa"/>
            <w:tcBorders>
              <w:top w:val="nil"/>
              <w:left w:val="nil"/>
              <w:bottom w:val="single" w:sz="4" w:space="0" w:color="auto"/>
              <w:right w:val="single" w:sz="4" w:space="0" w:color="auto"/>
            </w:tcBorders>
            <w:shd w:val="clear" w:color="auto" w:fill="C6EFCE"/>
            <w:noWrap/>
          </w:tcPr>
          <w:p w14:paraId="077EDB6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8B3B7B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Purchase of software (licences) and hardware (laptops), IT services for staff, training for the staff of the National Development Bank and for the Ministry of Finance staff</w:t>
            </w:r>
          </w:p>
        </w:tc>
      </w:tr>
      <w:tr w:rsidR="00137D7A" w:rsidRPr="00137D7A" w14:paraId="0E3503A9"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1908E2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RO-C[C8]-R[R3.0]-M[201]</w:t>
            </w:r>
          </w:p>
        </w:tc>
        <w:tc>
          <w:tcPr>
            <w:tcW w:w="3544" w:type="dxa"/>
            <w:tcBorders>
              <w:top w:val="nil"/>
              <w:left w:val="nil"/>
              <w:bottom w:val="single" w:sz="4" w:space="0" w:color="auto"/>
              <w:right w:val="single" w:sz="4" w:space="0" w:color="auto"/>
            </w:tcBorders>
            <w:shd w:val="clear" w:color="auto" w:fill="C6EFCE"/>
            <w:noWrap/>
          </w:tcPr>
          <w:p w14:paraId="61AA0CE3"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Improving the budgetary programming </w:t>
            </w:r>
            <w:r w:rsidRPr="00137D7A" w:rsidDel="00AD13AC">
              <w:rPr>
                <w:rFonts w:ascii="Times New Roman" w:eastAsia="Aptos" w:hAnsi="Times New Roman" w:cs="Times New Roman"/>
                <w:noProof/>
                <w:kern w:val="2"/>
                <w:sz w:val="22"/>
                <w:szCs w:val="22"/>
                <w:lang w:val="en-IE" w:eastAsia="en-US"/>
                <w14:ligatures w14:val="standardContextual"/>
              </w:rPr>
              <w:t>mechanism</w:t>
            </w:r>
          </w:p>
        </w:tc>
        <w:tc>
          <w:tcPr>
            <w:tcW w:w="1275" w:type="dxa"/>
            <w:tcBorders>
              <w:top w:val="nil"/>
              <w:left w:val="nil"/>
              <w:bottom w:val="single" w:sz="4" w:space="0" w:color="auto"/>
              <w:right w:val="single" w:sz="4" w:space="0" w:color="auto"/>
            </w:tcBorders>
            <w:shd w:val="clear" w:color="auto" w:fill="C6EFCE"/>
            <w:noWrap/>
          </w:tcPr>
          <w:p w14:paraId="53BD4C7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02A34B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Spending review in health and education sectors conducted</w:t>
            </w:r>
          </w:p>
        </w:tc>
      </w:tr>
      <w:tr w:rsidR="00137D7A" w:rsidRPr="00137D7A" w14:paraId="37457F3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2DA203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RO-C[C8]-R[R3.0]-M[202]</w:t>
            </w:r>
          </w:p>
        </w:tc>
        <w:tc>
          <w:tcPr>
            <w:tcW w:w="3544" w:type="dxa"/>
            <w:tcBorders>
              <w:top w:val="nil"/>
              <w:left w:val="nil"/>
              <w:bottom w:val="single" w:sz="4" w:space="0" w:color="auto"/>
              <w:right w:val="single" w:sz="4" w:space="0" w:color="auto"/>
            </w:tcBorders>
            <w:shd w:val="clear" w:color="auto" w:fill="C6EFCE"/>
            <w:noWrap/>
          </w:tcPr>
          <w:p w14:paraId="2511E1AD"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Improving the budgetary programming </w:t>
            </w:r>
            <w:r w:rsidRPr="00137D7A" w:rsidDel="00AD13AC">
              <w:rPr>
                <w:rFonts w:ascii="Times New Roman" w:eastAsia="Aptos" w:hAnsi="Times New Roman" w:cs="Times New Roman"/>
                <w:noProof/>
                <w:kern w:val="2"/>
                <w:sz w:val="22"/>
                <w:szCs w:val="22"/>
                <w:lang w:val="en-IE" w:eastAsia="en-US"/>
                <w14:ligatures w14:val="standardContextual"/>
              </w:rPr>
              <w:t>mechanism</w:t>
            </w:r>
          </w:p>
        </w:tc>
        <w:tc>
          <w:tcPr>
            <w:tcW w:w="1275" w:type="dxa"/>
            <w:tcBorders>
              <w:top w:val="nil"/>
              <w:left w:val="nil"/>
              <w:bottom w:val="single" w:sz="4" w:space="0" w:color="auto"/>
              <w:right w:val="single" w:sz="4" w:space="0" w:color="auto"/>
            </w:tcBorders>
            <w:shd w:val="clear" w:color="auto" w:fill="C6EFCE"/>
            <w:noWrap/>
          </w:tcPr>
          <w:p w14:paraId="3A0B769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64D0BF3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Adoption of a multi-annual strategy and calendar for a systematic expenditure review across all sectors</w:t>
            </w:r>
          </w:p>
        </w:tc>
      </w:tr>
      <w:tr w:rsidR="00137D7A" w:rsidRPr="00137D7A" w14:paraId="3A29D464"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02D7A8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RO-C[C8]-R[R4.0]-M[207]</w:t>
            </w:r>
          </w:p>
        </w:tc>
        <w:tc>
          <w:tcPr>
            <w:tcW w:w="3544" w:type="dxa"/>
            <w:tcBorders>
              <w:top w:val="nil"/>
              <w:left w:val="nil"/>
              <w:bottom w:val="single" w:sz="4" w:space="0" w:color="auto"/>
              <w:right w:val="single" w:sz="4" w:space="0" w:color="auto"/>
            </w:tcBorders>
            <w:shd w:val="clear" w:color="auto" w:fill="C6EFCE"/>
            <w:noWrap/>
          </w:tcPr>
          <w:p w14:paraId="6BC367CF"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Review of the tax framework</w:t>
            </w:r>
          </w:p>
        </w:tc>
        <w:tc>
          <w:tcPr>
            <w:tcW w:w="1275" w:type="dxa"/>
            <w:tcBorders>
              <w:top w:val="nil"/>
              <w:left w:val="nil"/>
              <w:bottom w:val="single" w:sz="4" w:space="0" w:color="auto"/>
              <w:right w:val="single" w:sz="4" w:space="0" w:color="auto"/>
            </w:tcBorders>
            <w:shd w:val="clear" w:color="auto" w:fill="C6EFCE"/>
            <w:noWrap/>
          </w:tcPr>
          <w:p w14:paraId="4272625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393297D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Legal act(s) to reduce and/ or eliminate other tax incentives with the objective to simplify and make more efficient the tax system</w:t>
            </w:r>
          </w:p>
          <w:p w14:paraId="64F8DC5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-Legislation to expand the green taxation</w:t>
            </w:r>
          </w:p>
        </w:tc>
      </w:tr>
      <w:tr w:rsidR="00137D7A" w:rsidRPr="00137D7A" w14:paraId="7488634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1C5D18C"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RO-C[C8]-R[R5.0]-M[209]</w:t>
            </w:r>
          </w:p>
        </w:tc>
        <w:tc>
          <w:tcPr>
            <w:tcW w:w="3544" w:type="dxa"/>
            <w:tcBorders>
              <w:top w:val="nil"/>
              <w:left w:val="nil"/>
              <w:bottom w:val="single" w:sz="4" w:space="0" w:color="auto"/>
              <w:right w:val="single" w:sz="4" w:space="0" w:color="auto"/>
            </w:tcBorders>
            <w:shd w:val="clear" w:color="auto" w:fill="C6EFCE"/>
            <w:noWrap/>
          </w:tcPr>
          <w:p w14:paraId="4D04E42A"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Establishment of the National Development Bank</w:t>
            </w:r>
          </w:p>
        </w:tc>
        <w:tc>
          <w:tcPr>
            <w:tcW w:w="1275" w:type="dxa"/>
            <w:tcBorders>
              <w:top w:val="nil"/>
              <w:left w:val="nil"/>
              <w:bottom w:val="single" w:sz="4" w:space="0" w:color="auto"/>
              <w:right w:val="single" w:sz="4" w:space="0" w:color="auto"/>
            </w:tcBorders>
            <w:shd w:val="clear" w:color="auto" w:fill="C6EFCE"/>
            <w:noWrap/>
          </w:tcPr>
          <w:p w14:paraId="4FB2064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7BA7EEF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Establishment </w:t>
            </w:r>
            <w:r w:rsidRPr="00137D7A">
              <w:rPr>
                <w:rFonts w:ascii="Times New Roman" w:eastAsia="Times New Roman" w:hAnsi="Times New Roman" w:cs="Times New Roman"/>
                <w:noProof/>
                <w:kern w:val="2"/>
                <w:sz w:val="22"/>
                <w:szCs w:val="22"/>
                <w:lang w:val="en-IE" w:eastAsia="en-GB"/>
                <w14:ligatures w14:val="standardContextual"/>
              </w:rPr>
              <w:t>of the National Development Bank</w:t>
            </w:r>
          </w:p>
        </w:tc>
      </w:tr>
      <w:tr w:rsidR="00137D7A" w:rsidRPr="00137D7A" w14:paraId="019C5D8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F54C4D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RO-C[C8]-R[R6.0]-M[214]</w:t>
            </w:r>
          </w:p>
        </w:tc>
        <w:tc>
          <w:tcPr>
            <w:tcW w:w="3544" w:type="dxa"/>
            <w:tcBorders>
              <w:top w:val="nil"/>
              <w:left w:val="nil"/>
              <w:bottom w:val="single" w:sz="4" w:space="0" w:color="auto"/>
              <w:right w:val="single" w:sz="4" w:space="0" w:color="auto"/>
            </w:tcBorders>
            <w:shd w:val="clear" w:color="auto" w:fill="C6EFCE"/>
            <w:noWrap/>
          </w:tcPr>
          <w:p w14:paraId="6210ABFF"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Reform of the public pension system </w:t>
            </w:r>
          </w:p>
        </w:tc>
        <w:tc>
          <w:tcPr>
            <w:tcW w:w="1275" w:type="dxa"/>
            <w:tcBorders>
              <w:top w:val="nil"/>
              <w:left w:val="nil"/>
              <w:bottom w:val="single" w:sz="4" w:space="0" w:color="auto"/>
              <w:right w:val="single" w:sz="4" w:space="0" w:color="auto"/>
            </w:tcBorders>
            <w:shd w:val="clear" w:color="auto" w:fill="C6EFCE"/>
            <w:noWrap/>
          </w:tcPr>
          <w:p w14:paraId="34A3367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746C80F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Legal act(s) on the pension system</w:t>
            </w:r>
          </w:p>
        </w:tc>
      </w:tr>
      <w:tr w:rsidR="00137D7A" w:rsidRPr="00137D7A" w14:paraId="08028247"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6BB9BF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RO-C[C8]-I[I9.0]-M[239]</w:t>
            </w:r>
          </w:p>
        </w:tc>
        <w:tc>
          <w:tcPr>
            <w:tcW w:w="3544" w:type="dxa"/>
            <w:tcBorders>
              <w:top w:val="nil"/>
              <w:left w:val="nil"/>
              <w:bottom w:val="single" w:sz="4" w:space="0" w:color="auto"/>
              <w:right w:val="single" w:sz="4" w:space="0" w:color="auto"/>
            </w:tcBorders>
            <w:shd w:val="clear" w:color="auto" w:fill="C6EFCE"/>
            <w:noWrap/>
          </w:tcPr>
          <w:p w14:paraId="465C245C"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Supporting the process of assessing pension files</w:t>
            </w:r>
          </w:p>
        </w:tc>
        <w:tc>
          <w:tcPr>
            <w:tcW w:w="1275" w:type="dxa"/>
            <w:tcBorders>
              <w:top w:val="nil"/>
              <w:left w:val="nil"/>
              <w:bottom w:val="single" w:sz="4" w:space="0" w:color="auto"/>
              <w:right w:val="single" w:sz="4" w:space="0" w:color="auto"/>
            </w:tcBorders>
            <w:shd w:val="clear" w:color="auto" w:fill="C6EFCE"/>
            <w:noWrap/>
          </w:tcPr>
          <w:p w14:paraId="57EBAE7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0792062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All pension files recalculated</w:t>
            </w:r>
          </w:p>
        </w:tc>
      </w:tr>
      <w:tr w:rsidR="00137D7A" w:rsidRPr="00137D7A" w14:paraId="5C29DAE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34C802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RO-C[C9]-R[R2.a]-M[273]</w:t>
            </w:r>
          </w:p>
        </w:tc>
        <w:tc>
          <w:tcPr>
            <w:tcW w:w="3544" w:type="dxa"/>
            <w:tcBorders>
              <w:top w:val="nil"/>
              <w:left w:val="nil"/>
              <w:bottom w:val="single" w:sz="4" w:space="0" w:color="auto"/>
              <w:right w:val="single" w:sz="4" w:space="0" w:color="auto"/>
            </w:tcBorders>
            <w:shd w:val="clear" w:color="auto" w:fill="C6EFCE"/>
            <w:noWrap/>
          </w:tcPr>
          <w:p w14:paraId="08DE733A"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Streamline governance of research, development and innovation</w:t>
            </w:r>
          </w:p>
        </w:tc>
        <w:tc>
          <w:tcPr>
            <w:tcW w:w="1275" w:type="dxa"/>
            <w:tcBorders>
              <w:top w:val="nil"/>
              <w:left w:val="nil"/>
              <w:bottom w:val="single" w:sz="4" w:space="0" w:color="auto"/>
              <w:right w:val="single" w:sz="4" w:space="0" w:color="auto"/>
            </w:tcBorders>
            <w:shd w:val="clear" w:color="auto" w:fill="C6EFCE"/>
            <w:noWrap/>
          </w:tcPr>
          <w:p w14:paraId="58F73DF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0118BB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Entry into force of legal act(s) establishing a single body that encompasses the existing councils, ensures inter-ministerial coordination and reaches out to the private sector</w:t>
            </w:r>
          </w:p>
        </w:tc>
      </w:tr>
      <w:tr w:rsidR="00137D7A" w:rsidRPr="00137D7A" w14:paraId="3FB71F0D"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CBF873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RO-C[C9]-R[R3.0]-M[274]</w:t>
            </w:r>
          </w:p>
        </w:tc>
        <w:tc>
          <w:tcPr>
            <w:tcW w:w="3544" w:type="dxa"/>
            <w:tcBorders>
              <w:top w:val="nil"/>
              <w:left w:val="nil"/>
              <w:bottom w:val="single" w:sz="4" w:space="0" w:color="auto"/>
              <w:right w:val="single" w:sz="4" w:space="0" w:color="auto"/>
            </w:tcBorders>
            <w:shd w:val="clear" w:color="auto" w:fill="C6EFCE"/>
            <w:noWrap/>
          </w:tcPr>
          <w:p w14:paraId="6AB324C4"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Reform of the research career</w:t>
            </w:r>
          </w:p>
        </w:tc>
        <w:tc>
          <w:tcPr>
            <w:tcW w:w="1275" w:type="dxa"/>
            <w:tcBorders>
              <w:top w:val="nil"/>
              <w:left w:val="nil"/>
              <w:bottom w:val="single" w:sz="4" w:space="0" w:color="auto"/>
              <w:right w:val="single" w:sz="4" w:space="0" w:color="auto"/>
            </w:tcBorders>
            <w:shd w:val="clear" w:color="auto" w:fill="C6EFCE"/>
            <w:noWrap/>
          </w:tcPr>
          <w:p w14:paraId="7596609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504AEE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Entry into force of legal act(s) on the researcher’s career and status</w:t>
            </w:r>
          </w:p>
        </w:tc>
      </w:tr>
      <w:tr w:rsidR="00137D7A" w:rsidRPr="00137D7A" w14:paraId="6735BDE7"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F2EF99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RO-C[C9]-R[R3.0]-T[275]</w:t>
            </w:r>
          </w:p>
        </w:tc>
        <w:tc>
          <w:tcPr>
            <w:tcW w:w="3544" w:type="dxa"/>
            <w:tcBorders>
              <w:top w:val="nil"/>
              <w:left w:val="nil"/>
              <w:bottom w:val="single" w:sz="4" w:space="0" w:color="auto"/>
              <w:right w:val="single" w:sz="4" w:space="0" w:color="auto"/>
            </w:tcBorders>
            <w:shd w:val="clear" w:color="auto" w:fill="C6EFCE"/>
            <w:noWrap/>
          </w:tcPr>
          <w:p w14:paraId="782A9EE0"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Reform of the research career</w:t>
            </w:r>
          </w:p>
        </w:tc>
        <w:tc>
          <w:tcPr>
            <w:tcW w:w="1275" w:type="dxa"/>
            <w:tcBorders>
              <w:top w:val="nil"/>
              <w:left w:val="nil"/>
              <w:bottom w:val="single" w:sz="4" w:space="0" w:color="auto"/>
              <w:right w:val="single" w:sz="4" w:space="0" w:color="auto"/>
            </w:tcBorders>
            <w:shd w:val="clear" w:color="auto" w:fill="C6EFCE"/>
            <w:noWrap/>
          </w:tcPr>
          <w:p w14:paraId="161DE30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139C1DF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Institutions that adhered to the European Charter for Researchers and Code for the Recruitment of Researchers initiated the process of design, application and assessment of Action Plans</w:t>
            </w:r>
          </w:p>
        </w:tc>
      </w:tr>
      <w:tr w:rsidR="00137D7A" w:rsidRPr="00137D7A" w14:paraId="0C19D3C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3C343D4"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RO-C[C9]-I[I2.a]-T[252]</w:t>
            </w:r>
          </w:p>
        </w:tc>
        <w:tc>
          <w:tcPr>
            <w:tcW w:w="3544" w:type="dxa"/>
            <w:tcBorders>
              <w:top w:val="nil"/>
              <w:left w:val="nil"/>
              <w:bottom w:val="single" w:sz="4" w:space="0" w:color="auto"/>
              <w:right w:val="single" w:sz="4" w:space="0" w:color="auto"/>
            </w:tcBorders>
            <w:shd w:val="clear" w:color="auto" w:fill="C6EFCE"/>
            <w:noWrap/>
          </w:tcPr>
          <w:p w14:paraId="450DC7A0"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Financial instruments for the private sector - Climate Action Portfolio Guarantee</w:t>
            </w:r>
          </w:p>
        </w:tc>
        <w:tc>
          <w:tcPr>
            <w:tcW w:w="1275" w:type="dxa"/>
            <w:tcBorders>
              <w:top w:val="nil"/>
              <w:left w:val="nil"/>
              <w:bottom w:val="single" w:sz="4" w:space="0" w:color="auto"/>
              <w:right w:val="single" w:sz="4" w:space="0" w:color="auto"/>
            </w:tcBorders>
            <w:shd w:val="clear" w:color="auto" w:fill="C6EFCE"/>
            <w:noWrap/>
          </w:tcPr>
          <w:p w14:paraId="3CB0140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49FD0E4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Finance or investment operations amounting to 100% of the total amount of resources allocated to the instrument, approved by the InvestEU Investment Committee.</w:t>
            </w:r>
          </w:p>
        </w:tc>
      </w:tr>
      <w:tr w:rsidR="00137D7A" w:rsidRPr="00137D7A" w14:paraId="698051E4"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5DE10D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RO-C[C9]-I[I3.a]-T[263]</w:t>
            </w:r>
          </w:p>
        </w:tc>
        <w:tc>
          <w:tcPr>
            <w:tcW w:w="3544" w:type="dxa"/>
            <w:tcBorders>
              <w:top w:val="nil"/>
              <w:left w:val="nil"/>
              <w:bottom w:val="single" w:sz="4" w:space="0" w:color="auto"/>
              <w:right w:val="single" w:sz="4" w:space="0" w:color="auto"/>
            </w:tcBorders>
            <w:shd w:val="clear" w:color="auto" w:fill="C6EFCE"/>
            <w:noWrap/>
          </w:tcPr>
          <w:p w14:paraId="4338237A"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Private sector aid schemes - Aid scheme for the digitalisation of SMEs</w:t>
            </w:r>
          </w:p>
        </w:tc>
        <w:tc>
          <w:tcPr>
            <w:tcW w:w="1275" w:type="dxa"/>
            <w:tcBorders>
              <w:top w:val="nil"/>
              <w:left w:val="nil"/>
              <w:bottom w:val="single" w:sz="4" w:space="0" w:color="auto"/>
              <w:right w:val="single" w:sz="4" w:space="0" w:color="auto"/>
            </w:tcBorders>
            <w:shd w:val="clear" w:color="auto" w:fill="C6EFCE"/>
            <w:noWrap/>
          </w:tcPr>
          <w:p w14:paraId="5BB5DB5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6AAC27D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Number of financing contracts signed</w:t>
            </w:r>
          </w:p>
        </w:tc>
      </w:tr>
      <w:tr w:rsidR="00137D7A" w:rsidRPr="00137D7A" w14:paraId="24281B69"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AD2974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RO-C[C9]-I[I8.0]-T[284]</w:t>
            </w:r>
          </w:p>
        </w:tc>
        <w:tc>
          <w:tcPr>
            <w:tcW w:w="3544" w:type="dxa"/>
            <w:tcBorders>
              <w:top w:val="nil"/>
              <w:left w:val="nil"/>
              <w:bottom w:val="single" w:sz="4" w:space="0" w:color="auto"/>
              <w:right w:val="single" w:sz="4" w:space="0" w:color="auto"/>
            </w:tcBorders>
            <w:shd w:val="clear" w:color="auto" w:fill="C6EFCE"/>
            <w:noWrap/>
          </w:tcPr>
          <w:p w14:paraId="7C027DDE"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Programme to attract human resource from abroad in research, development and innovation activities</w:t>
            </w:r>
          </w:p>
        </w:tc>
        <w:tc>
          <w:tcPr>
            <w:tcW w:w="1275" w:type="dxa"/>
            <w:tcBorders>
              <w:top w:val="nil"/>
              <w:left w:val="nil"/>
              <w:bottom w:val="single" w:sz="4" w:space="0" w:color="auto"/>
              <w:right w:val="single" w:sz="4" w:space="0" w:color="auto"/>
            </w:tcBorders>
            <w:shd w:val="clear" w:color="auto" w:fill="C6EFCE"/>
            <w:noWrap/>
          </w:tcPr>
          <w:p w14:paraId="06A3B04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50AD51C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Projects led by international researchers</w:t>
            </w:r>
          </w:p>
        </w:tc>
      </w:tr>
      <w:tr w:rsidR="00137D7A" w:rsidRPr="00137D7A" w14:paraId="1C0E13F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1B0613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RO-C[C9]-I[I9.0]-T[285]</w:t>
            </w:r>
          </w:p>
        </w:tc>
        <w:tc>
          <w:tcPr>
            <w:tcW w:w="3544" w:type="dxa"/>
            <w:tcBorders>
              <w:top w:val="nil"/>
              <w:left w:val="nil"/>
              <w:bottom w:val="single" w:sz="4" w:space="0" w:color="auto"/>
              <w:right w:val="single" w:sz="4" w:space="0" w:color="auto"/>
            </w:tcBorders>
            <w:shd w:val="clear" w:color="auto" w:fill="C6EFCE"/>
            <w:noWrap/>
          </w:tcPr>
          <w:p w14:paraId="568F2FAF"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Support for the holders of certificates of excellence received in the Marie Sklodowska Curie Individual Fellowship Award</w:t>
            </w:r>
          </w:p>
        </w:tc>
        <w:tc>
          <w:tcPr>
            <w:tcW w:w="1275" w:type="dxa"/>
            <w:tcBorders>
              <w:top w:val="nil"/>
              <w:left w:val="nil"/>
              <w:bottom w:val="single" w:sz="4" w:space="0" w:color="auto"/>
              <w:right w:val="single" w:sz="4" w:space="0" w:color="auto"/>
            </w:tcBorders>
            <w:shd w:val="clear" w:color="auto" w:fill="C6EFCE"/>
            <w:noWrap/>
          </w:tcPr>
          <w:p w14:paraId="4E25343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04506A6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Marie Sklodowska Curie recipients of Seal of Excellence</w:t>
            </w:r>
          </w:p>
        </w:tc>
      </w:tr>
      <w:tr w:rsidR="00137D7A" w:rsidRPr="00137D7A" w14:paraId="5C1B53F3"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32170F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RO-C[C9]-I[I10.0]-T[287]</w:t>
            </w:r>
          </w:p>
        </w:tc>
        <w:tc>
          <w:tcPr>
            <w:tcW w:w="3544" w:type="dxa"/>
            <w:tcBorders>
              <w:top w:val="nil"/>
              <w:left w:val="nil"/>
              <w:bottom w:val="single" w:sz="4" w:space="0" w:color="auto"/>
              <w:right w:val="single" w:sz="4" w:space="0" w:color="auto"/>
            </w:tcBorders>
            <w:shd w:val="clear" w:color="auto" w:fill="C6EFCE"/>
            <w:noWrap/>
          </w:tcPr>
          <w:p w14:paraId="14F81D23"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Establishment and financial support of a national network of eight regional career guidance centres </w:t>
            </w:r>
          </w:p>
        </w:tc>
        <w:tc>
          <w:tcPr>
            <w:tcW w:w="1275" w:type="dxa"/>
            <w:tcBorders>
              <w:top w:val="nil"/>
              <w:left w:val="nil"/>
              <w:bottom w:val="single" w:sz="4" w:space="0" w:color="auto"/>
              <w:right w:val="single" w:sz="4" w:space="0" w:color="auto"/>
            </w:tcBorders>
            <w:shd w:val="clear" w:color="auto" w:fill="C6EFCE"/>
            <w:noWrap/>
          </w:tcPr>
          <w:p w14:paraId="0D8273E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60A60504"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Established regional centres for research career orientation</w:t>
            </w:r>
          </w:p>
        </w:tc>
      </w:tr>
      <w:tr w:rsidR="00137D7A" w:rsidRPr="00137D7A" w14:paraId="3A37E1E3"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F7087E4"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RO-C[C11]-R[R3.a.0]-M[345]</w:t>
            </w:r>
          </w:p>
        </w:tc>
        <w:tc>
          <w:tcPr>
            <w:tcW w:w="3544" w:type="dxa"/>
            <w:tcBorders>
              <w:top w:val="nil"/>
              <w:left w:val="nil"/>
              <w:bottom w:val="single" w:sz="4" w:space="0" w:color="auto"/>
              <w:right w:val="single" w:sz="4" w:space="0" w:color="auto"/>
            </w:tcBorders>
            <w:shd w:val="clear" w:color="auto" w:fill="C6EFCE"/>
            <w:noWrap/>
          </w:tcPr>
          <w:p w14:paraId="3B19FDE9"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Reforming the funding system for the cultural sector</w:t>
            </w:r>
          </w:p>
        </w:tc>
        <w:tc>
          <w:tcPr>
            <w:tcW w:w="1275" w:type="dxa"/>
            <w:tcBorders>
              <w:top w:val="nil"/>
              <w:left w:val="nil"/>
              <w:bottom w:val="single" w:sz="4" w:space="0" w:color="auto"/>
              <w:right w:val="single" w:sz="4" w:space="0" w:color="auto"/>
            </w:tcBorders>
            <w:shd w:val="clear" w:color="auto" w:fill="C6EFCE"/>
            <w:noWrap/>
          </w:tcPr>
          <w:p w14:paraId="6F2EA37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6B41110C" w14:textId="753EDEE2"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Entry into force of the </w:t>
            </w:r>
            <w:r w:rsidRPr="00137D7A">
              <w:rPr>
                <w:rFonts w:ascii="Times New Roman" w:eastAsia="Times New Roman" w:hAnsi="Times New Roman" w:cs="Times New Roman"/>
                <w:noProof/>
                <w:kern w:val="2"/>
                <w:sz w:val="22"/>
                <w:szCs w:val="22"/>
                <w:lang w:val="en-IE" w:eastAsia="en-US"/>
                <w14:ligatures w14:val="standardContextual"/>
              </w:rPr>
              <w:t>legal acts on the legal framework applicable to</w:t>
            </w:r>
            <w:r w:rsidR="00D23D91">
              <w:rPr>
                <w:rFonts w:ascii="Times New Roman" w:eastAsia="Times New Roman" w:hAnsi="Times New Roman" w:cs="Times New Roman"/>
                <w:noProof/>
                <w:kern w:val="2"/>
                <w:sz w:val="22"/>
                <w:szCs w:val="22"/>
                <w:lang w:val="en-IE" w:eastAsia="en-US"/>
                <w14:ligatures w14:val="standardContextual"/>
              </w:rPr>
              <w:t xml:space="preserve"> </w:t>
            </w:r>
            <w:r w:rsidRPr="00137D7A">
              <w:rPr>
                <w:rFonts w:ascii="Times New Roman" w:eastAsia="Times New Roman" w:hAnsi="Times New Roman" w:cs="Times New Roman"/>
                <w:noProof/>
                <w:kern w:val="2"/>
                <w:sz w:val="22"/>
                <w:szCs w:val="22"/>
                <w:lang w:val="en-IE" w:eastAsia="en-US"/>
                <w14:ligatures w14:val="standardContextual"/>
              </w:rPr>
              <w:t>cultural workers</w:t>
            </w:r>
          </w:p>
        </w:tc>
      </w:tr>
      <w:tr w:rsidR="00137D7A" w:rsidRPr="00137D7A" w14:paraId="18A89069"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CE183E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RO-C[C11]-I[I6.0]-M[348]</w:t>
            </w:r>
          </w:p>
        </w:tc>
        <w:tc>
          <w:tcPr>
            <w:tcW w:w="3544" w:type="dxa"/>
            <w:tcBorders>
              <w:top w:val="nil"/>
              <w:left w:val="nil"/>
              <w:bottom w:val="single" w:sz="4" w:space="0" w:color="auto"/>
              <w:right w:val="single" w:sz="4" w:space="0" w:color="auto"/>
            </w:tcBorders>
            <w:shd w:val="clear" w:color="auto" w:fill="C6EFCE"/>
            <w:noWrap/>
          </w:tcPr>
          <w:p w14:paraId="428EF95C"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Establishment of digital system for cultural funding processes</w:t>
            </w:r>
          </w:p>
        </w:tc>
        <w:tc>
          <w:tcPr>
            <w:tcW w:w="1275" w:type="dxa"/>
            <w:tcBorders>
              <w:top w:val="nil"/>
              <w:left w:val="nil"/>
              <w:bottom w:val="single" w:sz="4" w:space="0" w:color="auto"/>
              <w:right w:val="single" w:sz="4" w:space="0" w:color="auto"/>
            </w:tcBorders>
            <w:shd w:val="clear" w:color="auto" w:fill="C6EFCE"/>
            <w:noWrap/>
          </w:tcPr>
          <w:p w14:paraId="0201053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7C3274D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US"/>
                <w14:ligatures w14:val="standardContextual"/>
              </w:rPr>
              <w:t xml:space="preserve"> Digital system for cultural funding processes</w:t>
            </w:r>
          </w:p>
          <w:p w14:paraId="36BA0041"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p>
        </w:tc>
      </w:tr>
      <w:tr w:rsidR="00137D7A" w:rsidRPr="00137D7A" w14:paraId="4FFA89E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5B8DAF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RO-C[C11]-I[I7.0]-T[350]</w:t>
            </w:r>
          </w:p>
        </w:tc>
        <w:tc>
          <w:tcPr>
            <w:tcW w:w="3544" w:type="dxa"/>
            <w:tcBorders>
              <w:top w:val="nil"/>
              <w:left w:val="nil"/>
              <w:bottom w:val="single" w:sz="4" w:space="0" w:color="auto"/>
              <w:right w:val="single" w:sz="4" w:space="0" w:color="auto"/>
            </w:tcBorders>
            <w:shd w:val="clear" w:color="auto" w:fill="C6EFCE"/>
            <w:noWrap/>
          </w:tcPr>
          <w:p w14:paraId="6FB5393A"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Accelerating the digitisation of film production and distribution</w:t>
            </w:r>
          </w:p>
        </w:tc>
        <w:tc>
          <w:tcPr>
            <w:tcW w:w="1275" w:type="dxa"/>
            <w:tcBorders>
              <w:top w:val="nil"/>
              <w:left w:val="nil"/>
              <w:bottom w:val="single" w:sz="4" w:space="0" w:color="auto"/>
              <w:right w:val="single" w:sz="4" w:space="0" w:color="auto"/>
            </w:tcBorders>
            <w:shd w:val="clear" w:color="auto" w:fill="C6EFCE"/>
            <w:noWrap/>
          </w:tcPr>
          <w:p w14:paraId="16615DC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30588BD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US"/>
                <w14:ligatures w14:val="standardContextual"/>
              </w:rPr>
              <w:t xml:space="preserve"> Film producers and distributors participating in trainings for digital skills capacity</w:t>
            </w:r>
          </w:p>
        </w:tc>
      </w:tr>
      <w:tr w:rsidR="00137D7A" w:rsidRPr="00137D7A" w14:paraId="6BBB574B"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98A57D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RO-C[C12]-R[R1.0]-M[352]</w:t>
            </w:r>
          </w:p>
        </w:tc>
        <w:tc>
          <w:tcPr>
            <w:tcW w:w="3544" w:type="dxa"/>
            <w:tcBorders>
              <w:top w:val="nil"/>
              <w:left w:val="nil"/>
              <w:bottom w:val="single" w:sz="4" w:space="0" w:color="auto"/>
              <w:right w:val="single" w:sz="4" w:space="0" w:color="auto"/>
            </w:tcBorders>
            <w:shd w:val="clear" w:color="auto" w:fill="C6EFCE"/>
            <w:noWrap/>
          </w:tcPr>
          <w:p w14:paraId="2B58878F"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Increased capacity for the management of public health funds</w:t>
            </w:r>
          </w:p>
        </w:tc>
        <w:tc>
          <w:tcPr>
            <w:tcW w:w="1275" w:type="dxa"/>
            <w:tcBorders>
              <w:top w:val="nil"/>
              <w:left w:val="nil"/>
              <w:bottom w:val="single" w:sz="4" w:space="0" w:color="auto"/>
              <w:right w:val="single" w:sz="4" w:space="0" w:color="auto"/>
            </w:tcBorders>
            <w:shd w:val="clear" w:color="auto" w:fill="C6EFCE"/>
            <w:noWrap/>
          </w:tcPr>
          <w:p w14:paraId="7E55321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570997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Entry into force of the legal act for a new model framework contract for the health insurance system</w:t>
            </w:r>
          </w:p>
        </w:tc>
      </w:tr>
      <w:tr w:rsidR="00137D7A" w:rsidRPr="00137D7A" w14:paraId="0B2EF1BA"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D10D0E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RO-C[C12]-R[R3.0]-M[365]</w:t>
            </w:r>
          </w:p>
        </w:tc>
        <w:tc>
          <w:tcPr>
            <w:tcW w:w="3544" w:type="dxa"/>
            <w:tcBorders>
              <w:top w:val="nil"/>
              <w:left w:val="nil"/>
              <w:bottom w:val="single" w:sz="4" w:space="0" w:color="auto"/>
              <w:right w:val="single" w:sz="4" w:space="0" w:color="auto"/>
            </w:tcBorders>
            <w:shd w:val="clear" w:color="auto" w:fill="C6EFCE"/>
            <w:noWrap/>
          </w:tcPr>
          <w:p w14:paraId="592A32A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Increased capacity for health management and human resources in health</w:t>
            </w:r>
          </w:p>
        </w:tc>
        <w:tc>
          <w:tcPr>
            <w:tcW w:w="1275" w:type="dxa"/>
            <w:tcBorders>
              <w:top w:val="nil"/>
              <w:left w:val="nil"/>
              <w:bottom w:val="single" w:sz="4" w:space="0" w:color="auto"/>
              <w:right w:val="single" w:sz="4" w:space="0" w:color="auto"/>
            </w:tcBorders>
            <w:shd w:val="clear" w:color="auto" w:fill="C6EFCE"/>
            <w:noWrap/>
          </w:tcPr>
          <w:p w14:paraId="42E65EF4"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1AD57D2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Operationalisation of the transparenta.ms.ro portal on the use of public resources</w:t>
            </w:r>
          </w:p>
        </w:tc>
      </w:tr>
      <w:tr w:rsidR="00137D7A" w:rsidRPr="00137D7A" w14:paraId="590F6C6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2FC14A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RO-C[C12]-I[I1.0]-T[367]</w:t>
            </w:r>
          </w:p>
        </w:tc>
        <w:tc>
          <w:tcPr>
            <w:tcW w:w="3544" w:type="dxa"/>
            <w:tcBorders>
              <w:top w:val="nil"/>
              <w:left w:val="nil"/>
              <w:bottom w:val="single" w:sz="4" w:space="0" w:color="auto"/>
              <w:right w:val="single" w:sz="4" w:space="0" w:color="auto"/>
            </w:tcBorders>
            <w:shd w:val="clear" w:color="auto" w:fill="C6EFCE"/>
            <w:noWrap/>
          </w:tcPr>
          <w:p w14:paraId="3BB151B0"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Pre-hospital medical infrastructure</w:t>
            </w:r>
          </w:p>
        </w:tc>
        <w:tc>
          <w:tcPr>
            <w:tcW w:w="1275" w:type="dxa"/>
            <w:tcBorders>
              <w:top w:val="nil"/>
              <w:left w:val="nil"/>
              <w:bottom w:val="single" w:sz="4" w:space="0" w:color="auto"/>
              <w:right w:val="single" w:sz="4" w:space="0" w:color="auto"/>
            </w:tcBorders>
            <w:shd w:val="clear" w:color="auto" w:fill="C6EFCE"/>
            <w:noWrap/>
          </w:tcPr>
          <w:p w14:paraId="1C97B2E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02B79D05"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Practices of family doctors or associations of primary care practices equipped or renovated, prioritising practices located in marginalised regions and municipalities</w:t>
            </w:r>
          </w:p>
        </w:tc>
      </w:tr>
      <w:tr w:rsidR="00137D7A" w:rsidRPr="00137D7A" w14:paraId="35C7E08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FBEB65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RO-C[C12]-I[I1.0]-T[369]</w:t>
            </w:r>
          </w:p>
        </w:tc>
        <w:tc>
          <w:tcPr>
            <w:tcW w:w="3544" w:type="dxa"/>
            <w:tcBorders>
              <w:top w:val="nil"/>
              <w:left w:val="nil"/>
              <w:bottom w:val="single" w:sz="4" w:space="0" w:color="auto"/>
              <w:right w:val="single" w:sz="4" w:space="0" w:color="auto"/>
            </w:tcBorders>
            <w:shd w:val="clear" w:color="auto" w:fill="C6EFCE"/>
            <w:noWrap/>
          </w:tcPr>
          <w:p w14:paraId="1265E8F2"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Pre-hospital medical infrastructure</w:t>
            </w:r>
          </w:p>
        </w:tc>
        <w:tc>
          <w:tcPr>
            <w:tcW w:w="1275" w:type="dxa"/>
            <w:tcBorders>
              <w:top w:val="nil"/>
              <w:left w:val="nil"/>
              <w:bottom w:val="single" w:sz="4" w:space="0" w:color="auto"/>
              <w:right w:val="single" w:sz="4" w:space="0" w:color="auto"/>
            </w:tcBorders>
            <w:shd w:val="clear" w:color="auto" w:fill="C6EFCE"/>
            <w:noWrap/>
          </w:tcPr>
          <w:p w14:paraId="6AA64E6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0919972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Outpatient care units that are newly built or renovated, and equipped</w:t>
            </w:r>
          </w:p>
        </w:tc>
      </w:tr>
      <w:tr w:rsidR="00137D7A" w:rsidRPr="00137D7A" w14:paraId="4162553B"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FFD411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RO-C[C12]-I[I2.0]-T[375]</w:t>
            </w:r>
          </w:p>
        </w:tc>
        <w:tc>
          <w:tcPr>
            <w:tcW w:w="3544" w:type="dxa"/>
            <w:tcBorders>
              <w:top w:val="nil"/>
              <w:left w:val="nil"/>
              <w:bottom w:val="single" w:sz="4" w:space="0" w:color="auto"/>
              <w:right w:val="single" w:sz="4" w:space="0" w:color="auto"/>
            </w:tcBorders>
            <w:shd w:val="clear" w:color="auto" w:fill="C6EFCE"/>
            <w:noWrap/>
          </w:tcPr>
          <w:p w14:paraId="41B78D23"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Public hospital infrastructure</w:t>
            </w:r>
          </w:p>
        </w:tc>
        <w:tc>
          <w:tcPr>
            <w:tcW w:w="1275" w:type="dxa"/>
            <w:tcBorders>
              <w:top w:val="nil"/>
              <w:left w:val="nil"/>
              <w:bottom w:val="single" w:sz="4" w:space="0" w:color="auto"/>
              <w:right w:val="single" w:sz="4" w:space="0" w:color="auto"/>
            </w:tcBorders>
            <w:shd w:val="clear" w:color="auto" w:fill="C6EFCE"/>
            <w:noWrap/>
          </w:tcPr>
          <w:p w14:paraId="39AE59D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70BA97E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Public hospitals receive equipment and materials to reduce the risk of infections</w:t>
            </w:r>
          </w:p>
        </w:tc>
      </w:tr>
      <w:tr w:rsidR="00137D7A" w:rsidRPr="00137D7A" w14:paraId="4DC0954D"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46C89E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RO-C[C13]-R[R5.0]-M[392]</w:t>
            </w:r>
          </w:p>
        </w:tc>
        <w:tc>
          <w:tcPr>
            <w:tcW w:w="3544" w:type="dxa"/>
            <w:tcBorders>
              <w:top w:val="nil"/>
              <w:left w:val="nil"/>
              <w:bottom w:val="single" w:sz="4" w:space="0" w:color="auto"/>
              <w:right w:val="single" w:sz="4" w:space="0" w:color="auto"/>
            </w:tcBorders>
            <w:shd w:val="clear" w:color="auto" w:fill="C6EFCE"/>
            <w:noWrap/>
          </w:tcPr>
          <w:p w14:paraId="02F26797"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Ensure a minimum wage setting</w:t>
            </w:r>
          </w:p>
        </w:tc>
        <w:tc>
          <w:tcPr>
            <w:tcW w:w="1275" w:type="dxa"/>
            <w:tcBorders>
              <w:top w:val="nil"/>
              <w:left w:val="nil"/>
              <w:bottom w:val="single" w:sz="4" w:space="0" w:color="auto"/>
              <w:right w:val="single" w:sz="4" w:space="0" w:color="auto"/>
            </w:tcBorders>
            <w:shd w:val="clear" w:color="auto" w:fill="C6EFCE"/>
            <w:noWrap/>
          </w:tcPr>
          <w:p w14:paraId="287CC03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54E7700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Entry into force of the legal acts governing the new system for minimum wage setting</w:t>
            </w:r>
          </w:p>
        </w:tc>
      </w:tr>
      <w:tr w:rsidR="00137D7A" w:rsidRPr="00137D7A" w14:paraId="26A5257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02C9AF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RO-C[C13]-I[I2.0]-T[395]</w:t>
            </w:r>
          </w:p>
        </w:tc>
        <w:tc>
          <w:tcPr>
            <w:tcW w:w="3544" w:type="dxa"/>
            <w:tcBorders>
              <w:top w:val="nil"/>
              <w:left w:val="nil"/>
              <w:bottom w:val="single" w:sz="4" w:space="0" w:color="auto"/>
              <w:right w:val="single" w:sz="4" w:space="0" w:color="auto"/>
            </w:tcBorders>
            <w:shd w:val="clear" w:color="auto" w:fill="C6EFCE"/>
            <w:noWrap/>
          </w:tcPr>
          <w:p w14:paraId="7A42CAF3"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Rehabilitation, renovation and extension of social infrastructure for persons with disabilities</w:t>
            </w:r>
          </w:p>
        </w:tc>
        <w:tc>
          <w:tcPr>
            <w:tcW w:w="1275" w:type="dxa"/>
            <w:tcBorders>
              <w:top w:val="nil"/>
              <w:left w:val="nil"/>
              <w:bottom w:val="single" w:sz="4" w:space="0" w:color="auto"/>
              <w:right w:val="single" w:sz="4" w:space="0" w:color="auto"/>
            </w:tcBorders>
            <w:shd w:val="clear" w:color="auto" w:fill="C6EFCE"/>
            <w:noWrap/>
          </w:tcPr>
          <w:p w14:paraId="6F70D3F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5680CF7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Modernised community services for persons with disabilities</w:t>
            </w:r>
          </w:p>
        </w:tc>
      </w:tr>
      <w:tr w:rsidR="00137D7A" w:rsidRPr="00137D7A" w14:paraId="536577D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89AF00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RO-C[C13]-R[R3.0]-T[386]</w:t>
            </w:r>
          </w:p>
        </w:tc>
        <w:tc>
          <w:tcPr>
            <w:tcW w:w="3544" w:type="dxa"/>
            <w:tcBorders>
              <w:top w:val="nil"/>
              <w:left w:val="nil"/>
              <w:bottom w:val="single" w:sz="4" w:space="0" w:color="auto"/>
              <w:right w:val="single" w:sz="4" w:space="0" w:color="auto"/>
            </w:tcBorders>
            <w:shd w:val="clear" w:color="auto" w:fill="C6EFCE"/>
            <w:noWrap/>
          </w:tcPr>
          <w:p w14:paraId="5AF7971C"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Provision of the Minimum Inclusion Income (VMI)</w:t>
            </w:r>
          </w:p>
        </w:tc>
        <w:tc>
          <w:tcPr>
            <w:tcW w:w="1275" w:type="dxa"/>
            <w:tcBorders>
              <w:top w:val="nil"/>
              <w:left w:val="nil"/>
              <w:bottom w:val="single" w:sz="4" w:space="0" w:color="auto"/>
              <w:right w:val="single" w:sz="4" w:space="0" w:color="auto"/>
            </w:tcBorders>
            <w:shd w:val="clear" w:color="auto" w:fill="C6EFCE"/>
            <w:noWrap/>
          </w:tcPr>
          <w:p w14:paraId="676CE11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570419F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Activation measures received</w:t>
            </w:r>
          </w:p>
        </w:tc>
      </w:tr>
      <w:tr w:rsidR="00137D7A" w:rsidRPr="00137D7A" w14:paraId="43D59099"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6B456A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RO-C[C13]-I[I3.0]-M[397]</w:t>
            </w:r>
          </w:p>
        </w:tc>
        <w:tc>
          <w:tcPr>
            <w:tcW w:w="3544" w:type="dxa"/>
            <w:tcBorders>
              <w:top w:val="nil"/>
              <w:left w:val="nil"/>
              <w:bottom w:val="single" w:sz="4" w:space="0" w:color="auto"/>
              <w:right w:val="single" w:sz="4" w:space="0" w:color="auto"/>
            </w:tcBorders>
            <w:shd w:val="clear" w:color="auto" w:fill="C6EFCE"/>
            <w:noWrap/>
          </w:tcPr>
          <w:p w14:paraId="7F6CA6FE"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The establishment of the labour voucher system for domestic providers and service beneficiaries</w:t>
            </w:r>
          </w:p>
        </w:tc>
        <w:tc>
          <w:tcPr>
            <w:tcW w:w="1275" w:type="dxa"/>
            <w:tcBorders>
              <w:top w:val="nil"/>
              <w:left w:val="nil"/>
              <w:bottom w:val="single" w:sz="4" w:space="0" w:color="auto"/>
              <w:right w:val="single" w:sz="4" w:space="0" w:color="auto"/>
            </w:tcBorders>
            <w:shd w:val="clear" w:color="auto" w:fill="C6EFCE"/>
            <w:noWrap/>
          </w:tcPr>
          <w:p w14:paraId="064F612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E4FBB6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 Digital platform for the use of labour vouchers by domestic providers and service beneficiaries</w:t>
            </w:r>
          </w:p>
        </w:tc>
      </w:tr>
      <w:tr w:rsidR="00137D7A" w:rsidRPr="00137D7A" w14:paraId="34361CC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319152C"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RO-C[C14]-R[R1.0]-M[402]</w:t>
            </w:r>
          </w:p>
        </w:tc>
        <w:tc>
          <w:tcPr>
            <w:tcW w:w="3544" w:type="dxa"/>
            <w:tcBorders>
              <w:top w:val="nil"/>
              <w:left w:val="nil"/>
              <w:bottom w:val="single" w:sz="4" w:space="0" w:color="auto"/>
              <w:right w:val="single" w:sz="4" w:space="0" w:color="auto"/>
            </w:tcBorders>
            <w:shd w:val="clear" w:color="auto" w:fill="C6EFCE"/>
            <w:noWrap/>
          </w:tcPr>
          <w:p w14:paraId="244E1FCA"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Enhancing the quality of</w:t>
            </w:r>
            <w:r w:rsidRPr="00137D7A">
              <w:rPr>
                <w:rFonts w:ascii="Times New Roman" w:eastAsia="Calibri" w:hAnsi="Times New Roman" w:cs="Times New Roman"/>
                <w:noProof/>
                <w:color w:val="000000"/>
                <w:kern w:val="2"/>
                <w:sz w:val="22"/>
                <w:szCs w:val="22"/>
                <w:lang w:val="en-IE" w:eastAsia="en-US"/>
                <w14:ligatures w14:val="standardContextual"/>
              </w:rPr>
              <w:t xml:space="preserve"> </w:t>
            </w:r>
            <w:r w:rsidRPr="00137D7A">
              <w:rPr>
                <w:rFonts w:ascii="Times New Roman" w:eastAsia="Times New Roman" w:hAnsi="Times New Roman" w:cs="Times New Roman"/>
                <w:noProof/>
                <w:color w:val="000000"/>
                <w:kern w:val="2"/>
                <w:sz w:val="22"/>
                <w:szCs w:val="22"/>
                <w:lang w:val="en-IE" w:eastAsia="en-US"/>
                <w14:ligatures w14:val="standardContextual"/>
              </w:rPr>
              <w:t>government decision-making</w:t>
            </w:r>
            <w:r w:rsidRPr="00137D7A">
              <w:rPr>
                <w:rFonts w:ascii="Times New Roman" w:eastAsia="Times New Roman" w:hAnsi="Times New Roman" w:cs="Times New Roman"/>
                <w:noProof/>
                <w:kern w:val="2"/>
                <w:sz w:val="22"/>
                <w:szCs w:val="22"/>
                <w:lang w:val="en-IE" w:eastAsia="en-US"/>
                <w14:ligatures w14:val="standardContextual"/>
              </w:rPr>
              <w:t xml:space="preserve"> </w:t>
            </w:r>
          </w:p>
        </w:tc>
        <w:tc>
          <w:tcPr>
            <w:tcW w:w="1275" w:type="dxa"/>
            <w:tcBorders>
              <w:top w:val="nil"/>
              <w:left w:val="nil"/>
              <w:bottom w:val="single" w:sz="4" w:space="0" w:color="auto"/>
              <w:right w:val="single" w:sz="4" w:space="0" w:color="auto"/>
            </w:tcBorders>
            <w:shd w:val="clear" w:color="auto" w:fill="C6EFCE"/>
            <w:noWrap/>
          </w:tcPr>
          <w:p w14:paraId="642643F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B09AAA1" w14:textId="076A17B6" w:rsidR="00137D7A" w:rsidRPr="00137D7A" w:rsidRDefault="00137D7A" w:rsidP="00137D7A">
            <w:pPr>
              <w:spacing w:after="0" w:line="240"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A new strategic management and planning system used in all ministries</w:t>
            </w:r>
            <w:r w:rsidR="00D23D91">
              <w:rPr>
                <w:rFonts w:ascii="Times New Roman" w:eastAsia="Times New Roman" w:hAnsi="Times New Roman" w:cs="Times New Roman"/>
                <w:noProof/>
                <w:color w:val="000000"/>
                <w:kern w:val="2"/>
                <w:sz w:val="22"/>
                <w:szCs w:val="22"/>
                <w:lang w:val="en-IE" w:eastAsia="en-US"/>
                <w14:ligatures w14:val="standardContextual"/>
              </w:rPr>
              <w:t xml:space="preserve"> </w:t>
            </w:r>
          </w:p>
          <w:p w14:paraId="2CE3A4CD"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p>
        </w:tc>
      </w:tr>
      <w:tr w:rsidR="00137D7A" w:rsidRPr="00137D7A" w14:paraId="6744FBF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AFB8D2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RO-C[C14]-R[R1.0]-T[403]</w:t>
            </w:r>
          </w:p>
        </w:tc>
        <w:tc>
          <w:tcPr>
            <w:tcW w:w="3544" w:type="dxa"/>
            <w:tcBorders>
              <w:top w:val="nil"/>
              <w:left w:val="nil"/>
              <w:bottom w:val="single" w:sz="4" w:space="0" w:color="auto"/>
              <w:right w:val="single" w:sz="4" w:space="0" w:color="auto"/>
            </w:tcBorders>
            <w:shd w:val="clear" w:color="auto" w:fill="C6EFCE"/>
            <w:noWrap/>
          </w:tcPr>
          <w:p w14:paraId="3F632993" w14:textId="3678B64C" w:rsidR="00137D7A" w:rsidRPr="00137D7A" w:rsidRDefault="00137D7A" w:rsidP="00137D7A">
            <w:pPr>
              <w:spacing w:after="0" w:line="259" w:lineRule="auto"/>
              <w:rPr>
                <w:rFonts w:ascii="Times New Roman" w:eastAsia="Times New Roman" w:hAnsi="Times New Roman" w:cs="Times New Roman"/>
                <w:noProof/>
                <w:color w:val="000000"/>
                <w:kern w:val="2"/>
                <w:sz w:val="22"/>
                <w:szCs w:val="22"/>
                <w:lang w:val="en-IE" w:eastAsia="en-US"/>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Enhancing the quality of</w:t>
            </w:r>
            <w:r w:rsidR="00D23D91">
              <w:rPr>
                <w:rFonts w:ascii="Times New Roman" w:eastAsia="Times New Roman" w:hAnsi="Times New Roman" w:cs="Times New Roman"/>
                <w:noProof/>
                <w:color w:val="000000"/>
                <w:kern w:val="2"/>
                <w:sz w:val="22"/>
                <w:szCs w:val="22"/>
                <w:lang w:val="en-IE" w:eastAsia="en-US"/>
                <w14:ligatures w14:val="standardContextual"/>
              </w:rPr>
              <w:t xml:space="preserve"> </w:t>
            </w:r>
            <w:r w:rsidRPr="00137D7A">
              <w:rPr>
                <w:rFonts w:ascii="Times New Roman" w:eastAsia="Times New Roman" w:hAnsi="Times New Roman" w:cs="Times New Roman"/>
                <w:noProof/>
                <w:color w:val="000000"/>
                <w:kern w:val="2"/>
                <w:sz w:val="22"/>
                <w:szCs w:val="22"/>
                <w:lang w:val="en-IE" w:eastAsia="en-US"/>
                <w14:ligatures w14:val="standardContextual"/>
              </w:rPr>
              <w:t>government decision-making</w:t>
            </w:r>
            <w:r w:rsidRPr="00137D7A">
              <w:rPr>
                <w:rFonts w:ascii="Times New Roman" w:eastAsia="Times New Roman" w:hAnsi="Times New Roman" w:cs="Times New Roman"/>
                <w:noProof/>
                <w:kern w:val="2"/>
                <w:sz w:val="22"/>
                <w:szCs w:val="22"/>
                <w:lang w:val="en-IE" w:eastAsia="en-US"/>
                <w14:ligatures w14:val="standardContextual"/>
              </w:rPr>
              <w:t xml:space="preserve"> </w:t>
            </w:r>
          </w:p>
        </w:tc>
        <w:tc>
          <w:tcPr>
            <w:tcW w:w="1275" w:type="dxa"/>
            <w:tcBorders>
              <w:top w:val="nil"/>
              <w:left w:val="nil"/>
              <w:bottom w:val="single" w:sz="4" w:space="0" w:color="auto"/>
              <w:right w:val="single" w:sz="4" w:space="0" w:color="auto"/>
            </w:tcBorders>
            <w:shd w:val="clear" w:color="auto" w:fill="C6EFCE"/>
            <w:noWrap/>
          </w:tcPr>
          <w:p w14:paraId="5A3EB169"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3228EE26" w14:textId="364D9CE9" w:rsidR="00137D7A" w:rsidRPr="00137D7A" w:rsidRDefault="00137D7A" w:rsidP="00137D7A">
            <w:pPr>
              <w:spacing w:after="0" w:line="240" w:lineRule="auto"/>
              <w:jc w:val="both"/>
              <w:rPr>
                <w:rFonts w:ascii="Times New Roman" w:eastAsia="Times New Roman" w:hAnsi="Times New Roman" w:cs="Times New Roman"/>
                <w:noProof/>
                <w:color w:val="000000"/>
                <w:kern w:val="2"/>
                <w:sz w:val="22"/>
                <w:szCs w:val="22"/>
                <w:lang w:val="en-IE" w:eastAsia="en-US"/>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Three ministries planned and used</w:t>
            </w:r>
            <w:r w:rsidR="00D23D91">
              <w:rPr>
                <w:rFonts w:ascii="Times New Roman" w:eastAsia="Times New Roman" w:hAnsi="Times New Roman" w:cs="Times New Roman"/>
                <w:noProof/>
                <w:color w:val="000000"/>
                <w:kern w:val="2"/>
                <w:sz w:val="22"/>
                <w:szCs w:val="22"/>
                <w:lang w:val="en-IE" w:eastAsia="en-US"/>
                <w14:ligatures w14:val="standardContextual"/>
              </w:rPr>
              <w:t xml:space="preserve"> </w:t>
            </w:r>
            <w:r w:rsidRPr="00137D7A">
              <w:rPr>
                <w:rFonts w:ascii="Times New Roman" w:eastAsia="Times New Roman" w:hAnsi="Times New Roman" w:cs="Times New Roman"/>
                <w:noProof/>
                <w:color w:val="000000"/>
                <w:kern w:val="2"/>
                <w:sz w:val="22"/>
                <w:szCs w:val="22"/>
                <w:lang w:val="en-IE" w:eastAsia="en-US"/>
                <w14:ligatures w14:val="standardContextual"/>
              </w:rPr>
              <w:t>budgets per programme</w:t>
            </w:r>
            <w:r w:rsidRPr="00137D7A">
              <w:rPr>
                <w:rFonts w:ascii="Times New Roman" w:eastAsia="Times New Roman" w:hAnsi="Times New Roman" w:cs="Times New Roman"/>
                <w:noProof/>
                <w:kern w:val="2"/>
                <w:sz w:val="22"/>
                <w:szCs w:val="22"/>
                <w:lang w:val="en-IE" w:eastAsia="en-US"/>
                <w14:ligatures w14:val="standardContextual"/>
              </w:rPr>
              <w:t xml:space="preserve"> </w:t>
            </w:r>
          </w:p>
        </w:tc>
      </w:tr>
      <w:tr w:rsidR="00137D7A" w:rsidRPr="00137D7A" w14:paraId="1F76359F"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C82727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RO-C[C14]-R[R1.0]-M[406]</w:t>
            </w:r>
          </w:p>
        </w:tc>
        <w:tc>
          <w:tcPr>
            <w:tcW w:w="3544" w:type="dxa"/>
            <w:tcBorders>
              <w:top w:val="nil"/>
              <w:left w:val="nil"/>
              <w:bottom w:val="single" w:sz="4" w:space="0" w:color="auto"/>
              <w:right w:val="single" w:sz="4" w:space="0" w:color="auto"/>
            </w:tcBorders>
            <w:shd w:val="clear" w:color="auto" w:fill="C6EFCE"/>
            <w:noWrap/>
          </w:tcPr>
          <w:p w14:paraId="136D38BD"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Enhancing the quality of government decision-making</w:t>
            </w:r>
            <w:r w:rsidRPr="00137D7A">
              <w:rPr>
                <w:rFonts w:ascii="Times New Roman" w:eastAsia="Times New Roman" w:hAnsi="Times New Roman" w:cs="Times New Roman"/>
                <w:noProof/>
                <w:kern w:val="2"/>
                <w:sz w:val="22"/>
                <w:szCs w:val="22"/>
                <w:lang w:val="en-IE" w:eastAsia="en-US"/>
                <w14:ligatures w14:val="standardContextual"/>
              </w:rPr>
              <w:t xml:space="preserve"> </w:t>
            </w:r>
          </w:p>
        </w:tc>
        <w:tc>
          <w:tcPr>
            <w:tcW w:w="1275" w:type="dxa"/>
            <w:tcBorders>
              <w:top w:val="nil"/>
              <w:left w:val="nil"/>
              <w:bottom w:val="single" w:sz="4" w:space="0" w:color="auto"/>
              <w:right w:val="single" w:sz="4" w:space="0" w:color="auto"/>
            </w:tcBorders>
            <w:shd w:val="clear" w:color="auto" w:fill="C6EFCE"/>
            <w:noWrap/>
          </w:tcPr>
          <w:p w14:paraId="60265C6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3AB4195D" w14:textId="656539F3" w:rsidR="00137D7A" w:rsidRPr="00137D7A" w:rsidRDefault="00137D7A" w:rsidP="00137D7A">
            <w:pPr>
              <w:spacing w:after="0" w:line="240"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Staff of civil society organisations trained to increase the administrative capacity</w:t>
            </w:r>
            <w:r w:rsidR="00D23D91">
              <w:rPr>
                <w:rFonts w:ascii="Times New Roman" w:eastAsia="Times New Roman" w:hAnsi="Times New Roman" w:cs="Times New Roman"/>
                <w:noProof/>
                <w:color w:val="000000"/>
                <w:kern w:val="2"/>
                <w:sz w:val="22"/>
                <w:szCs w:val="22"/>
                <w:lang w:val="en-IE" w:eastAsia="en-US"/>
                <w14:ligatures w14:val="standardContextual"/>
              </w:rPr>
              <w:t xml:space="preserve"> </w:t>
            </w:r>
          </w:p>
          <w:p w14:paraId="2A3DC9D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p>
        </w:tc>
      </w:tr>
      <w:tr w:rsidR="00137D7A" w:rsidRPr="00137D7A" w14:paraId="7D50687B"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4F3E4C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RO-C[C14]-R[R2.0]-M[415]</w:t>
            </w:r>
          </w:p>
        </w:tc>
        <w:tc>
          <w:tcPr>
            <w:tcW w:w="3544" w:type="dxa"/>
            <w:tcBorders>
              <w:top w:val="nil"/>
              <w:left w:val="nil"/>
              <w:bottom w:val="single" w:sz="4" w:space="0" w:color="auto"/>
              <w:right w:val="single" w:sz="4" w:space="0" w:color="auto"/>
            </w:tcBorders>
            <w:shd w:val="clear" w:color="auto" w:fill="C6EFCE"/>
            <w:noWrap/>
          </w:tcPr>
          <w:p w14:paraId="6B9CCC8E" w14:textId="2E7D78F4"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Strengthening strategic governance for climate and sustainable development and environmental policies</w:t>
            </w:r>
            <w:r w:rsidR="00D23D91">
              <w:rPr>
                <w:rFonts w:ascii="Times New Roman" w:eastAsia="Times New Roman" w:hAnsi="Times New Roman" w:cs="Times New Roman"/>
                <w:noProof/>
                <w:color w:val="000000"/>
                <w:kern w:val="2"/>
                <w:sz w:val="22"/>
                <w:szCs w:val="22"/>
                <w:lang w:val="en-IE" w:eastAsia="en-US"/>
                <w14:ligatures w14:val="standardContextual"/>
              </w:rPr>
              <w:t xml:space="preserve"> </w:t>
            </w:r>
          </w:p>
        </w:tc>
        <w:tc>
          <w:tcPr>
            <w:tcW w:w="1275" w:type="dxa"/>
            <w:tcBorders>
              <w:top w:val="nil"/>
              <w:left w:val="nil"/>
              <w:bottom w:val="single" w:sz="4" w:space="0" w:color="auto"/>
              <w:right w:val="single" w:sz="4" w:space="0" w:color="auto"/>
            </w:tcBorders>
            <w:shd w:val="clear" w:color="auto" w:fill="C6EFCE"/>
            <w:noWrap/>
          </w:tcPr>
          <w:p w14:paraId="7960661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023A2A33" w14:textId="77777777" w:rsidR="00137D7A" w:rsidRPr="00137D7A" w:rsidRDefault="00137D7A" w:rsidP="00137D7A">
            <w:pPr>
              <w:spacing w:after="180" w:line="240"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Sustainable development expert role established and training programme prepared</w:t>
            </w:r>
          </w:p>
          <w:p w14:paraId="0C719AE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p>
        </w:tc>
      </w:tr>
      <w:tr w:rsidR="00137D7A" w:rsidRPr="00137D7A" w14:paraId="6AF411E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0C5425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RO-C[C14]-R[R5.0]-M[423]</w:t>
            </w:r>
          </w:p>
        </w:tc>
        <w:tc>
          <w:tcPr>
            <w:tcW w:w="3544" w:type="dxa"/>
            <w:tcBorders>
              <w:top w:val="nil"/>
              <w:left w:val="nil"/>
              <w:bottom w:val="single" w:sz="4" w:space="0" w:color="auto"/>
              <w:right w:val="single" w:sz="4" w:space="0" w:color="auto"/>
            </w:tcBorders>
            <w:shd w:val="clear" w:color="auto" w:fill="C6EFCE"/>
            <w:noWrap/>
          </w:tcPr>
          <w:p w14:paraId="7A8EE47C"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Ensuring the independence of the judiciary, enhancing its quality and efficiency</w:t>
            </w:r>
          </w:p>
        </w:tc>
        <w:tc>
          <w:tcPr>
            <w:tcW w:w="1275" w:type="dxa"/>
            <w:tcBorders>
              <w:top w:val="nil"/>
              <w:left w:val="nil"/>
              <w:bottom w:val="single" w:sz="4" w:space="0" w:color="auto"/>
              <w:right w:val="single" w:sz="4" w:space="0" w:color="auto"/>
            </w:tcBorders>
            <w:shd w:val="clear" w:color="auto" w:fill="C6EFCE"/>
            <w:noWrap/>
          </w:tcPr>
          <w:p w14:paraId="56E063E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7966771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Entry into force of the “Justice laws” (laws on the status of magistrates, judicial organisation, Superior Council of Magistracy)</w:t>
            </w:r>
          </w:p>
        </w:tc>
      </w:tr>
      <w:tr w:rsidR="00137D7A" w:rsidRPr="00137D7A" w14:paraId="5A08990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05F0B9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RO-C[C14]-R[R6.0]-T[427]</w:t>
            </w:r>
          </w:p>
        </w:tc>
        <w:tc>
          <w:tcPr>
            <w:tcW w:w="3544" w:type="dxa"/>
            <w:tcBorders>
              <w:top w:val="nil"/>
              <w:left w:val="nil"/>
              <w:bottom w:val="single" w:sz="4" w:space="0" w:color="auto"/>
              <w:right w:val="single" w:sz="4" w:space="0" w:color="auto"/>
            </w:tcBorders>
            <w:shd w:val="clear" w:color="auto" w:fill="C6EFCE"/>
            <w:noWrap/>
          </w:tcPr>
          <w:p w14:paraId="494D0091"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Stepping up the fight against corruption</w:t>
            </w:r>
          </w:p>
        </w:tc>
        <w:tc>
          <w:tcPr>
            <w:tcW w:w="1275" w:type="dxa"/>
            <w:tcBorders>
              <w:top w:val="nil"/>
              <w:left w:val="nil"/>
              <w:bottom w:val="single" w:sz="4" w:space="0" w:color="auto"/>
              <w:right w:val="single" w:sz="4" w:space="0" w:color="auto"/>
            </w:tcBorders>
            <w:shd w:val="clear" w:color="auto" w:fill="C6EFCE"/>
            <w:noWrap/>
          </w:tcPr>
          <w:p w14:paraId="2A1B8A8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7D9F0ED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An increase of the value of seized assets managed by the National Agency for the Management of Seized Assets</w:t>
            </w:r>
          </w:p>
        </w:tc>
      </w:tr>
      <w:tr w:rsidR="00137D7A" w:rsidRPr="00137D7A" w14:paraId="37E3417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6E4973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RO-C[C14]-R[R6.0]-T[429]</w:t>
            </w:r>
          </w:p>
        </w:tc>
        <w:tc>
          <w:tcPr>
            <w:tcW w:w="3544" w:type="dxa"/>
            <w:tcBorders>
              <w:top w:val="nil"/>
              <w:left w:val="nil"/>
              <w:bottom w:val="single" w:sz="4" w:space="0" w:color="auto"/>
              <w:right w:val="single" w:sz="4" w:space="0" w:color="auto"/>
            </w:tcBorders>
            <w:shd w:val="clear" w:color="auto" w:fill="C6EFCE"/>
            <w:noWrap/>
          </w:tcPr>
          <w:p w14:paraId="5A89C663"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Stepping up the fight against corruption</w:t>
            </w:r>
          </w:p>
        </w:tc>
        <w:tc>
          <w:tcPr>
            <w:tcW w:w="1275" w:type="dxa"/>
            <w:tcBorders>
              <w:top w:val="nil"/>
              <w:left w:val="nil"/>
              <w:bottom w:val="single" w:sz="4" w:space="0" w:color="auto"/>
              <w:right w:val="single" w:sz="4" w:space="0" w:color="auto"/>
            </w:tcBorders>
            <w:shd w:val="clear" w:color="auto" w:fill="C6EFCE"/>
            <w:noWrap/>
          </w:tcPr>
          <w:p w14:paraId="728CA0A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17FBF49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Occupation rate of 85% of National Anti-Corruption Directorate prosecutor positions attained</w:t>
            </w:r>
          </w:p>
        </w:tc>
      </w:tr>
      <w:tr w:rsidR="00137D7A" w:rsidRPr="00137D7A" w14:paraId="0A0ACF2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4532855"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RO-C[C14]-R[R7.0]-M[432]</w:t>
            </w:r>
          </w:p>
        </w:tc>
        <w:tc>
          <w:tcPr>
            <w:tcW w:w="3544" w:type="dxa"/>
            <w:tcBorders>
              <w:top w:val="nil"/>
              <w:left w:val="nil"/>
              <w:bottom w:val="single" w:sz="4" w:space="0" w:color="auto"/>
              <w:right w:val="single" w:sz="4" w:space="0" w:color="auto"/>
            </w:tcBorders>
            <w:shd w:val="clear" w:color="auto" w:fill="C6EFCE"/>
            <w:noWrap/>
          </w:tcPr>
          <w:p w14:paraId="253EFDE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Updating the integrity legal framework for the civil service</w:t>
            </w:r>
            <w:r w:rsidRPr="00137D7A">
              <w:rPr>
                <w:rFonts w:ascii="Times New Roman" w:eastAsia="Times New Roman" w:hAnsi="Times New Roman" w:cs="Times New Roman"/>
                <w:noProof/>
                <w:kern w:val="2"/>
                <w:sz w:val="22"/>
                <w:szCs w:val="22"/>
                <w:lang w:val="en-IE" w:eastAsia="en-GB"/>
                <w14:ligatures w14:val="standardContextual"/>
              </w:rPr>
              <w:t xml:space="preserve"> </w:t>
            </w:r>
          </w:p>
        </w:tc>
        <w:tc>
          <w:tcPr>
            <w:tcW w:w="1275" w:type="dxa"/>
            <w:tcBorders>
              <w:top w:val="nil"/>
              <w:left w:val="nil"/>
              <w:bottom w:val="single" w:sz="4" w:space="0" w:color="auto"/>
              <w:right w:val="single" w:sz="4" w:space="0" w:color="auto"/>
            </w:tcBorders>
            <w:shd w:val="clear" w:color="auto" w:fill="C6EFCE"/>
            <w:noWrap/>
          </w:tcPr>
          <w:p w14:paraId="7C9F4328"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04E0573C" w14:textId="77777777" w:rsidR="00137D7A" w:rsidRPr="00137D7A" w:rsidRDefault="00137D7A" w:rsidP="00137D7A">
            <w:pPr>
              <w:spacing w:after="0" w:line="240"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Approved revised ethics and conduct legal acts for the Government</w:t>
            </w:r>
          </w:p>
          <w:p w14:paraId="2D7F5C75"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p>
        </w:tc>
      </w:tr>
      <w:tr w:rsidR="00137D7A" w:rsidRPr="00137D7A" w14:paraId="4D1A7C7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BBA763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RO-C[C14]-R[R8.0]-T[435]</w:t>
            </w:r>
          </w:p>
        </w:tc>
        <w:tc>
          <w:tcPr>
            <w:tcW w:w="3544" w:type="dxa"/>
            <w:tcBorders>
              <w:top w:val="nil"/>
              <w:left w:val="nil"/>
              <w:bottom w:val="single" w:sz="4" w:space="0" w:color="auto"/>
              <w:right w:val="single" w:sz="4" w:space="0" w:color="auto"/>
            </w:tcBorders>
            <w:shd w:val="clear" w:color="auto" w:fill="C6EFCE"/>
            <w:noWrap/>
          </w:tcPr>
          <w:p w14:paraId="1B5614C4"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Modernising and streamlining the national public procurement system</w:t>
            </w:r>
          </w:p>
        </w:tc>
        <w:tc>
          <w:tcPr>
            <w:tcW w:w="1275" w:type="dxa"/>
            <w:tcBorders>
              <w:top w:val="nil"/>
              <w:left w:val="nil"/>
              <w:bottom w:val="single" w:sz="4" w:space="0" w:color="auto"/>
              <w:right w:val="single" w:sz="4" w:space="0" w:color="auto"/>
            </w:tcBorders>
            <w:shd w:val="clear" w:color="auto" w:fill="C6EFCE"/>
            <w:noWrap/>
          </w:tcPr>
          <w:p w14:paraId="5067758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2C156D9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Operational centralised procurement bodies (CPBs) are used by local authorities </w:t>
            </w:r>
          </w:p>
        </w:tc>
      </w:tr>
      <w:tr w:rsidR="00137D7A" w:rsidRPr="00137D7A" w14:paraId="5864566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C24F08B"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RO-C[C14]-R[R8.0]-M[437]</w:t>
            </w:r>
          </w:p>
        </w:tc>
        <w:tc>
          <w:tcPr>
            <w:tcW w:w="3544" w:type="dxa"/>
            <w:tcBorders>
              <w:top w:val="nil"/>
              <w:left w:val="nil"/>
              <w:bottom w:val="single" w:sz="4" w:space="0" w:color="auto"/>
              <w:right w:val="single" w:sz="4" w:space="0" w:color="auto"/>
            </w:tcBorders>
            <w:shd w:val="clear" w:color="auto" w:fill="C6EFCE"/>
            <w:noWrap/>
          </w:tcPr>
          <w:p w14:paraId="002CB0C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Modernising and streamlining the national public procurement system</w:t>
            </w:r>
          </w:p>
        </w:tc>
        <w:tc>
          <w:tcPr>
            <w:tcW w:w="1275" w:type="dxa"/>
            <w:tcBorders>
              <w:top w:val="nil"/>
              <w:left w:val="nil"/>
              <w:bottom w:val="single" w:sz="4" w:space="0" w:color="auto"/>
              <w:right w:val="single" w:sz="4" w:space="0" w:color="auto"/>
            </w:tcBorders>
            <w:shd w:val="clear" w:color="auto" w:fill="C6EFCE"/>
            <w:noWrap/>
          </w:tcPr>
          <w:p w14:paraId="4D86A98B"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42231EE0" w14:textId="77777777" w:rsidR="00137D7A" w:rsidRPr="00137D7A" w:rsidRDefault="00137D7A" w:rsidP="00137D7A">
            <w:pPr>
              <w:spacing w:after="0" w:line="259" w:lineRule="auto"/>
              <w:rPr>
                <w:rFonts w:ascii="Times New Roman" w:eastAsia="Times New Roman"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The Public Procurement Electronic System (SEAP) system is interconnected and interoperable with other databases</w:t>
            </w:r>
          </w:p>
        </w:tc>
      </w:tr>
      <w:tr w:rsidR="00137D7A" w:rsidRPr="00137D7A" w14:paraId="0BD1917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C52D3B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RO-C[C14]-R[R9.0]-M[441]</w:t>
            </w:r>
          </w:p>
        </w:tc>
        <w:tc>
          <w:tcPr>
            <w:tcW w:w="3544" w:type="dxa"/>
            <w:tcBorders>
              <w:top w:val="nil"/>
              <w:left w:val="nil"/>
              <w:bottom w:val="single" w:sz="4" w:space="0" w:color="auto"/>
              <w:right w:val="single" w:sz="4" w:space="0" w:color="auto"/>
            </w:tcBorders>
            <w:shd w:val="clear" w:color="auto" w:fill="C6EFCE"/>
            <w:noWrap/>
          </w:tcPr>
          <w:p w14:paraId="30917684"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Improve the procedural framework for the implementation of corporate governance principles in state-owned enterprises</w:t>
            </w:r>
          </w:p>
        </w:tc>
        <w:tc>
          <w:tcPr>
            <w:tcW w:w="1275" w:type="dxa"/>
            <w:tcBorders>
              <w:top w:val="nil"/>
              <w:left w:val="nil"/>
              <w:bottom w:val="single" w:sz="4" w:space="0" w:color="auto"/>
              <w:right w:val="single" w:sz="4" w:space="0" w:color="auto"/>
            </w:tcBorders>
            <w:shd w:val="clear" w:color="auto" w:fill="C6EFCE"/>
            <w:noWrap/>
          </w:tcPr>
          <w:p w14:paraId="577C67A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5AA1CA0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Publication of the Monitoring Dashboard listing the financial and non-financial key performance indicators (KPIs) for all state-owned enterprises (SOEs)</w:t>
            </w:r>
          </w:p>
        </w:tc>
      </w:tr>
      <w:tr w:rsidR="00137D7A" w:rsidRPr="00137D7A" w14:paraId="74D1451D"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1C6714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RO-C[C14]-R[R9.0]-M[441a]</w:t>
            </w:r>
          </w:p>
        </w:tc>
        <w:tc>
          <w:tcPr>
            <w:tcW w:w="3544" w:type="dxa"/>
            <w:tcBorders>
              <w:top w:val="nil"/>
              <w:left w:val="nil"/>
              <w:bottom w:val="single" w:sz="4" w:space="0" w:color="auto"/>
              <w:right w:val="single" w:sz="4" w:space="0" w:color="auto"/>
            </w:tcBorders>
            <w:shd w:val="clear" w:color="auto" w:fill="C6EFCE"/>
            <w:noWrap/>
          </w:tcPr>
          <w:p w14:paraId="34F46B9D"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Improve the procedural framework for the implementation of corporate governance principles in state-owned enterprises</w:t>
            </w:r>
          </w:p>
        </w:tc>
        <w:tc>
          <w:tcPr>
            <w:tcW w:w="1275" w:type="dxa"/>
            <w:tcBorders>
              <w:top w:val="nil"/>
              <w:left w:val="nil"/>
              <w:bottom w:val="single" w:sz="4" w:space="0" w:color="auto"/>
              <w:right w:val="single" w:sz="4" w:space="0" w:color="auto"/>
            </w:tcBorders>
            <w:shd w:val="clear" w:color="auto" w:fill="C6EFCE"/>
            <w:noWrap/>
          </w:tcPr>
          <w:p w14:paraId="1FD1301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372DD85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Publication of an evaluation of all SOEs based on progress in achieving financial and non-financial KPIs reported on the dashboard</w:t>
            </w:r>
          </w:p>
        </w:tc>
      </w:tr>
      <w:tr w:rsidR="00137D7A" w:rsidRPr="00137D7A" w14:paraId="14C7736D"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B555CA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RO-C[C15]-R[R1.0]-M[452]</w:t>
            </w:r>
          </w:p>
        </w:tc>
        <w:tc>
          <w:tcPr>
            <w:tcW w:w="3544" w:type="dxa"/>
            <w:tcBorders>
              <w:top w:val="nil"/>
              <w:left w:val="nil"/>
              <w:bottom w:val="single" w:sz="4" w:space="0" w:color="auto"/>
              <w:right w:val="single" w:sz="4" w:space="0" w:color="auto"/>
            </w:tcBorders>
            <w:shd w:val="clear" w:color="auto" w:fill="C6EFCE"/>
            <w:noWrap/>
          </w:tcPr>
          <w:p w14:paraId="34CF3FF7"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Elaboration and adoption of the package of legal acts for the application of the "Educated Romania” project</w:t>
            </w:r>
          </w:p>
        </w:tc>
        <w:tc>
          <w:tcPr>
            <w:tcW w:w="1275" w:type="dxa"/>
            <w:tcBorders>
              <w:top w:val="nil"/>
              <w:left w:val="nil"/>
              <w:bottom w:val="single" w:sz="4" w:space="0" w:color="auto"/>
              <w:right w:val="single" w:sz="4" w:space="0" w:color="auto"/>
            </w:tcBorders>
            <w:shd w:val="clear" w:color="auto" w:fill="C6EFCE"/>
            <w:noWrap/>
          </w:tcPr>
          <w:p w14:paraId="0DD5B86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5B1020C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Entry into force of the package of legal acts for the application of the ‘Educated Romania’ project</w:t>
            </w:r>
          </w:p>
        </w:tc>
      </w:tr>
      <w:tr w:rsidR="00137D7A" w:rsidRPr="00137D7A" w14:paraId="283966C4"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2A3E85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RO-C[C15]-R[R5.0]-M[479]</w:t>
            </w:r>
          </w:p>
        </w:tc>
        <w:tc>
          <w:tcPr>
            <w:tcW w:w="3544" w:type="dxa"/>
            <w:tcBorders>
              <w:top w:val="nil"/>
              <w:left w:val="nil"/>
              <w:bottom w:val="single" w:sz="4" w:space="0" w:color="auto"/>
              <w:right w:val="single" w:sz="4" w:space="0" w:color="auto"/>
            </w:tcBorders>
            <w:shd w:val="clear" w:color="auto" w:fill="C6EFCE"/>
            <w:noWrap/>
          </w:tcPr>
          <w:p w14:paraId="251590AD"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Adoption of the legal framework for the digitalisation of education</w:t>
            </w:r>
          </w:p>
        </w:tc>
        <w:tc>
          <w:tcPr>
            <w:tcW w:w="1275" w:type="dxa"/>
            <w:tcBorders>
              <w:top w:val="nil"/>
              <w:left w:val="nil"/>
              <w:bottom w:val="single" w:sz="4" w:space="0" w:color="auto"/>
              <w:right w:val="single" w:sz="4" w:space="0" w:color="auto"/>
            </w:tcBorders>
            <w:shd w:val="clear" w:color="auto" w:fill="C6EFCE"/>
            <w:noWrap/>
          </w:tcPr>
          <w:p w14:paraId="475BF75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E2DA5A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Entry into force of the legal acts setting out the National Digital Skills Reference Framework for pre-university education</w:t>
            </w:r>
          </w:p>
        </w:tc>
      </w:tr>
      <w:tr w:rsidR="00137D7A" w:rsidRPr="00137D7A" w14:paraId="17E6001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D28384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RO-C[C15]-I[I5.0]-T[469]</w:t>
            </w:r>
          </w:p>
        </w:tc>
        <w:tc>
          <w:tcPr>
            <w:tcW w:w="3544" w:type="dxa"/>
            <w:tcBorders>
              <w:top w:val="nil"/>
              <w:left w:val="nil"/>
              <w:bottom w:val="single" w:sz="4" w:space="0" w:color="auto"/>
              <w:right w:val="single" w:sz="4" w:space="0" w:color="auto"/>
            </w:tcBorders>
            <w:shd w:val="clear" w:color="auto" w:fill="C6EFCE"/>
            <w:noWrap/>
          </w:tcPr>
          <w:p w14:paraId="4B03FC25"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Trainings for users of the Romanian Integrated Education Information System (SIIIR) and the Early Warning Mechanism (MATE) IT tool and systemic interventions to reduce early school leaving</w:t>
            </w:r>
          </w:p>
        </w:tc>
        <w:tc>
          <w:tcPr>
            <w:tcW w:w="1275" w:type="dxa"/>
            <w:tcBorders>
              <w:top w:val="nil"/>
              <w:left w:val="nil"/>
              <w:bottom w:val="single" w:sz="4" w:space="0" w:color="auto"/>
              <w:right w:val="single" w:sz="4" w:space="0" w:color="auto"/>
            </w:tcBorders>
            <w:shd w:val="clear" w:color="auto" w:fill="C6EFCE"/>
            <w:noWrap/>
          </w:tcPr>
          <w:p w14:paraId="72ECF70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07CE7EE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Online training course delivered</w:t>
            </w:r>
            <w:r w:rsidRPr="00137D7A">
              <w:rPr>
                <w:rFonts w:ascii="Times New Roman" w:eastAsia="Aptos" w:hAnsi="Times New Roman" w:cs="Times New Roman"/>
                <w:noProof/>
                <w:color w:val="000000"/>
                <w:kern w:val="2"/>
                <w:sz w:val="22"/>
                <w:szCs w:val="22"/>
                <w:lang w:val="en-IE" w:eastAsia="en-US"/>
                <w14:ligatures w14:val="standardContextual"/>
              </w:rPr>
              <w:t xml:space="preserve"> to users of the Romanian Integrated Education Information System (SIIR) and the MATE IT tool</w:t>
            </w:r>
          </w:p>
        </w:tc>
      </w:tr>
      <w:tr w:rsidR="00137D7A" w:rsidRPr="00137D7A" w14:paraId="5C38E03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D9D317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RO-C[C16]-R[R2.0]-M[523]</w:t>
            </w:r>
          </w:p>
        </w:tc>
        <w:tc>
          <w:tcPr>
            <w:tcW w:w="3544" w:type="dxa"/>
            <w:tcBorders>
              <w:top w:val="nil"/>
              <w:left w:val="nil"/>
              <w:bottom w:val="single" w:sz="4" w:space="0" w:color="auto"/>
              <w:right w:val="single" w:sz="4" w:space="0" w:color="auto"/>
            </w:tcBorders>
            <w:shd w:val="clear" w:color="auto" w:fill="C6EFCE"/>
            <w:noWrap/>
          </w:tcPr>
          <w:p w14:paraId="428073C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US"/>
                <w14:ligatures w14:val="standardContextual"/>
              </w:rPr>
              <w:t xml:space="preserve"> Setting-up of one-stop-shops (OSS) to provide energy advisory services</w:t>
            </w:r>
          </w:p>
        </w:tc>
        <w:tc>
          <w:tcPr>
            <w:tcW w:w="1275" w:type="dxa"/>
            <w:tcBorders>
              <w:top w:val="nil"/>
              <w:left w:val="nil"/>
              <w:bottom w:val="single" w:sz="4" w:space="0" w:color="auto"/>
              <w:right w:val="single" w:sz="4" w:space="0" w:color="auto"/>
            </w:tcBorders>
            <w:shd w:val="clear" w:color="auto" w:fill="C6EFCE"/>
            <w:noWrap/>
          </w:tcPr>
          <w:p w14:paraId="54E6A4B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F4A9B6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Entry into force of legal and regulatory acts for the establishment of OSS offices to provide energy advisory services</w:t>
            </w:r>
          </w:p>
        </w:tc>
      </w:tr>
      <w:tr w:rsidR="00137D7A" w:rsidRPr="00137D7A" w14:paraId="0BE8484B"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CFD718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RO-C[C16]-R[R2.0]-T[524]</w:t>
            </w:r>
          </w:p>
        </w:tc>
        <w:tc>
          <w:tcPr>
            <w:tcW w:w="3544" w:type="dxa"/>
            <w:tcBorders>
              <w:top w:val="nil"/>
              <w:left w:val="nil"/>
              <w:bottom w:val="single" w:sz="4" w:space="0" w:color="auto"/>
              <w:right w:val="single" w:sz="4" w:space="0" w:color="auto"/>
            </w:tcBorders>
            <w:shd w:val="clear" w:color="auto" w:fill="C6EFCE"/>
            <w:noWrap/>
          </w:tcPr>
          <w:p w14:paraId="71F7E9B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US"/>
                <w14:ligatures w14:val="standardContextual"/>
              </w:rPr>
              <w:t xml:space="preserve"> Setting-up of one-stop-shops (OSS) to provide energy advisory services</w:t>
            </w:r>
          </w:p>
        </w:tc>
        <w:tc>
          <w:tcPr>
            <w:tcW w:w="1275" w:type="dxa"/>
            <w:tcBorders>
              <w:top w:val="nil"/>
              <w:left w:val="nil"/>
              <w:bottom w:val="single" w:sz="4" w:space="0" w:color="auto"/>
              <w:right w:val="single" w:sz="4" w:space="0" w:color="auto"/>
            </w:tcBorders>
            <w:shd w:val="clear" w:color="auto" w:fill="C6EFCE"/>
            <w:noWrap/>
          </w:tcPr>
          <w:p w14:paraId="4ECE878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6432CCD1"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Training of OSS staff </w:t>
            </w:r>
          </w:p>
        </w:tc>
      </w:tr>
      <w:tr w:rsidR="00137D7A" w:rsidRPr="00137D7A" w14:paraId="7E1E29F3"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92A1AF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RO-C[C16]-R[R2.0]-T[525]</w:t>
            </w:r>
          </w:p>
        </w:tc>
        <w:tc>
          <w:tcPr>
            <w:tcW w:w="3544" w:type="dxa"/>
            <w:tcBorders>
              <w:top w:val="nil"/>
              <w:left w:val="nil"/>
              <w:bottom w:val="single" w:sz="4" w:space="0" w:color="auto"/>
              <w:right w:val="single" w:sz="4" w:space="0" w:color="auto"/>
            </w:tcBorders>
            <w:shd w:val="clear" w:color="auto" w:fill="C6EFCE"/>
            <w:noWrap/>
          </w:tcPr>
          <w:p w14:paraId="0F597F01"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Set-up of one-stop-shops (OSS) to provide energy advisory services </w:t>
            </w:r>
          </w:p>
        </w:tc>
        <w:tc>
          <w:tcPr>
            <w:tcW w:w="1275" w:type="dxa"/>
            <w:tcBorders>
              <w:top w:val="nil"/>
              <w:left w:val="nil"/>
              <w:bottom w:val="single" w:sz="4" w:space="0" w:color="auto"/>
              <w:right w:val="single" w:sz="4" w:space="0" w:color="auto"/>
            </w:tcBorders>
            <w:shd w:val="clear" w:color="auto" w:fill="C6EFCE"/>
            <w:noWrap/>
          </w:tcPr>
          <w:p w14:paraId="7769F3D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36BCA54C"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Opening of physical OSS offices</w:t>
            </w:r>
          </w:p>
        </w:tc>
      </w:tr>
      <w:tr w:rsidR="00137D7A" w:rsidRPr="00137D7A" w14:paraId="1D345B7E"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663C4B3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p>
        </w:tc>
        <w:tc>
          <w:tcPr>
            <w:tcW w:w="3544" w:type="dxa"/>
            <w:tcBorders>
              <w:top w:val="single" w:sz="4" w:space="0" w:color="auto"/>
              <w:left w:val="nil"/>
              <w:bottom w:val="single" w:sz="4" w:space="0" w:color="auto"/>
              <w:right w:val="single" w:sz="4" w:space="0" w:color="auto"/>
            </w:tcBorders>
            <w:shd w:val="clear" w:color="auto" w:fill="C6EFCE"/>
            <w:noWrap/>
          </w:tcPr>
          <w:p w14:paraId="321E1AE1"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p>
        </w:tc>
        <w:tc>
          <w:tcPr>
            <w:tcW w:w="1275" w:type="dxa"/>
            <w:tcBorders>
              <w:top w:val="single" w:sz="4" w:space="0" w:color="auto"/>
              <w:left w:val="nil"/>
              <w:bottom w:val="single" w:sz="4" w:space="0" w:color="auto"/>
              <w:right w:val="single" w:sz="4" w:space="0" w:color="auto"/>
            </w:tcBorders>
            <w:shd w:val="clear" w:color="auto" w:fill="C6EFCE"/>
            <w:noWrap/>
          </w:tcPr>
          <w:p w14:paraId="47F9EF6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Instalment Amount</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5A62D93A" w14:textId="77777777" w:rsidR="00137D7A" w:rsidRPr="00137D7A" w:rsidRDefault="00137D7A" w:rsidP="00137D7A">
            <w:pPr>
              <w:spacing w:after="0" w:line="259" w:lineRule="auto"/>
              <w:jc w:val="right"/>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EUR 2 620 279 973</w:t>
            </w:r>
          </w:p>
        </w:tc>
      </w:tr>
    </w:tbl>
    <w:p w14:paraId="7CA6A6F1" w14:textId="77777777" w:rsidR="00137D7A" w:rsidRPr="00137D7A" w:rsidRDefault="00137D7A" w:rsidP="00137D7A">
      <w:pPr>
        <w:spacing w:before="120" w:after="120" w:line="240" w:lineRule="auto"/>
        <w:ind w:left="850"/>
        <w:jc w:val="both"/>
        <w:rPr>
          <w:rFonts w:ascii="Times New Roman" w:eastAsia="Aptos" w:hAnsi="Times New Roman" w:cs="Times New Roman"/>
          <w:noProof/>
          <w:sz w:val="22"/>
          <w:szCs w:val="22"/>
          <w:lang w:val="en-IE" w:eastAsia="en-US"/>
          <w14:ligatures w14:val="standardContextual"/>
        </w:rPr>
        <w:sectPr w:rsidR="00137D7A" w:rsidRPr="00137D7A" w:rsidSect="00137D7A">
          <w:headerReference w:type="even" r:id="rId383"/>
          <w:headerReference w:type="default" r:id="rId384"/>
          <w:footerReference w:type="even" r:id="rId385"/>
          <w:footerReference w:type="default" r:id="rId386"/>
          <w:headerReference w:type="first" r:id="rId387"/>
          <w:footerReference w:type="first" r:id="rId388"/>
          <w:pgSz w:w="12240" w:h="15840" w:code="1"/>
          <w:pgMar w:top="1134" w:right="1134" w:bottom="1134" w:left="1134" w:header="567" w:footer="567" w:gutter="0"/>
          <w:cols w:space="720"/>
          <w:docGrid w:linePitch="360"/>
        </w:sectPr>
      </w:pPr>
    </w:p>
    <w:p w14:paraId="205F7845" w14:textId="77777777" w:rsidR="00137D7A" w:rsidRPr="00137D7A"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bCs/>
          <w:i/>
          <w:noProof/>
          <w:lang w:val="en-IE" w:eastAsia="en-US"/>
        </w:rPr>
      </w:pPr>
      <w:r w:rsidRPr="00137D7A">
        <w:rPr>
          <w:rFonts w:ascii="Times New Roman" w:eastAsia="Times New Roman" w:hAnsi="Times New Roman" w:cs="Times New Roman"/>
          <w:bCs/>
          <w:i/>
          <w:noProof/>
          <w:lang w:val="en-IE" w:eastAsia="en-US"/>
        </w:rPr>
        <w:t xml:space="preserve">2.1.5 Fifth Instalment (non-repayable support): </w:t>
      </w:r>
    </w:p>
    <w:tbl>
      <w:tblPr>
        <w:tblW w:w="9635" w:type="dxa"/>
        <w:jc w:val="center"/>
        <w:tblLook w:val="04A0" w:firstRow="1" w:lastRow="0" w:firstColumn="1" w:lastColumn="0" w:noHBand="0" w:noVBand="1"/>
      </w:tblPr>
      <w:tblGrid>
        <w:gridCol w:w="1347"/>
        <w:gridCol w:w="3607"/>
        <w:gridCol w:w="1216"/>
        <w:gridCol w:w="3465"/>
      </w:tblGrid>
      <w:tr w:rsidR="007B2E6C" w:rsidRPr="00137D7A" w14:paraId="7F4C3DB2" w14:textId="77777777" w:rsidTr="00BD01A2">
        <w:trPr>
          <w:trHeight w:val="906"/>
          <w:tblHeade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95A757"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Sequential Number</w:t>
            </w:r>
          </w:p>
        </w:tc>
        <w:tc>
          <w:tcPr>
            <w:tcW w:w="36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D4177E4"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Related Measure</w:t>
            </w:r>
          </w:p>
          <w:p w14:paraId="63A14403"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(Reform or Investment)</w:t>
            </w:r>
          </w:p>
        </w:tc>
        <w:tc>
          <w:tcPr>
            <w:tcW w:w="121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BB0D4B"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Milestone / Target</w:t>
            </w:r>
          </w:p>
        </w:tc>
        <w:tc>
          <w:tcPr>
            <w:tcW w:w="346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EF9C6CB"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Name</w:t>
            </w:r>
          </w:p>
        </w:tc>
      </w:tr>
      <w:tr w:rsidR="00137D7A" w:rsidRPr="00137D7A" w14:paraId="11392630" w14:textId="77777777" w:rsidTr="00BD01A2">
        <w:trPr>
          <w:trHeight w:val="509"/>
          <w:tblHeader/>
          <w:jc w:val="center"/>
        </w:trPr>
        <w:tc>
          <w:tcPr>
            <w:tcW w:w="1347" w:type="dxa"/>
            <w:vMerge/>
            <w:tcBorders>
              <w:top w:val="single" w:sz="4" w:space="0" w:color="auto"/>
              <w:left w:val="single" w:sz="4" w:space="0" w:color="auto"/>
              <w:bottom w:val="single" w:sz="4" w:space="0" w:color="auto"/>
              <w:right w:val="single" w:sz="4" w:space="0" w:color="auto"/>
            </w:tcBorders>
            <w:vAlign w:val="center"/>
            <w:hideMark/>
          </w:tcPr>
          <w:p w14:paraId="2AE7E1DB" w14:textId="77777777" w:rsidR="00137D7A" w:rsidRPr="00137D7A"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3607" w:type="dxa"/>
            <w:vMerge/>
            <w:tcBorders>
              <w:top w:val="single" w:sz="4" w:space="0" w:color="auto"/>
              <w:left w:val="single" w:sz="4" w:space="0" w:color="auto"/>
              <w:bottom w:val="single" w:sz="4" w:space="0" w:color="auto"/>
              <w:right w:val="single" w:sz="4" w:space="0" w:color="auto"/>
            </w:tcBorders>
            <w:vAlign w:val="center"/>
            <w:hideMark/>
          </w:tcPr>
          <w:p w14:paraId="1CD062B5"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14:paraId="01676C8F" w14:textId="77777777" w:rsidR="00137D7A" w:rsidRPr="00137D7A" w:rsidRDefault="00137D7A" w:rsidP="00137D7A">
            <w:pPr>
              <w:spacing w:after="0" w:line="259" w:lineRule="auto"/>
              <w:jc w:val="center"/>
              <w:rPr>
                <w:rFonts w:ascii="Times New Roman" w:eastAsia="Times New Roman" w:hAnsi="Times New Roman" w:cs="Times New Roman"/>
                <w:b/>
                <w:bCs/>
                <w:noProof/>
                <w:kern w:val="2"/>
                <w:sz w:val="22"/>
                <w:szCs w:val="22"/>
                <w:lang w:val="en-IE" w:eastAsia="en-GB"/>
                <w14:ligatures w14:val="standardContextual"/>
              </w:rPr>
            </w:pPr>
          </w:p>
        </w:tc>
        <w:tc>
          <w:tcPr>
            <w:tcW w:w="3465" w:type="dxa"/>
            <w:vMerge/>
            <w:tcBorders>
              <w:top w:val="single" w:sz="4" w:space="0" w:color="auto"/>
              <w:left w:val="single" w:sz="4" w:space="0" w:color="auto"/>
              <w:bottom w:val="single" w:sz="4" w:space="0" w:color="auto"/>
              <w:right w:val="single" w:sz="4" w:space="0" w:color="auto"/>
            </w:tcBorders>
            <w:vAlign w:val="center"/>
            <w:hideMark/>
          </w:tcPr>
          <w:p w14:paraId="77BC6344"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r>
      <w:tr w:rsidR="00137D7A" w:rsidRPr="00137D7A" w14:paraId="4BD8B2A2" w14:textId="77777777" w:rsidTr="00BD01A2">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587AAF7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RO-C[C1]-I[I6.0]-M[19]</w:t>
            </w:r>
          </w:p>
        </w:tc>
        <w:tc>
          <w:tcPr>
            <w:tcW w:w="3607" w:type="dxa"/>
            <w:tcBorders>
              <w:top w:val="single" w:sz="4" w:space="0" w:color="auto"/>
              <w:left w:val="nil"/>
              <w:bottom w:val="single" w:sz="4" w:space="0" w:color="auto"/>
              <w:right w:val="single" w:sz="4" w:space="0" w:color="auto"/>
            </w:tcBorders>
            <w:shd w:val="clear" w:color="auto" w:fill="C6EFCE"/>
          </w:tcPr>
          <w:p w14:paraId="75AA52A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Delivery of the water cadastre</w:t>
            </w:r>
          </w:p>
        </w:tc>
        <w:tc>
          <w:tcPr>
            <w:tcW w:w="1216" w:type="dxa"/>
            <w:tcBorders>
              <w:top w:val="single" w:sz="4" w:space="0" w:color="auto"/>
              <w:left w:val="nil"/>
              <w:bottom w:val="single" w:sz="4" w:space="0" w:color="auto"/>
              <w:right w:val="single" w:sz="4" w:space="0" w:color="auto"/>
            </w:tcBorders>
            <w:shd w:val="clear" w:color="auto" w:fill="C6EFCE"/>
          </w:tcPr>
          <w:p w14:paraId="2230C1A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single" w:sz="4" w:space="0" w:color="auto"/>
              <w:left w:val="nil"/>
              <w:bottom w:val="single" w:sz="4" w:space="0" w:color="auto"/>
              <w:right w:val="single" w:sz="4" w:space="0" w:color="auto"/>
            </w:tcBorders>
            <w:shd w:val="clear" w:color="auto" w:fill="C6EFCE"/>
          </w:tcPr>
          <w:p w14:paraId="438120EB"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Water cadastre delivered</w:t>
            </w:r>
          </w:p>
        </w:tc>
      </w:tr>
      <w:tr w:rsidR="00137D7A" w:rsidRPr="00137D7A" w14:paraId="3F66A35F" w14:textId="77777777" w:rsidTr="00BD01A2">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5349D3D5"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RO-C[C2]-I[I1.0]-T[26]</w:t>
            </w:r>
          </w:p>
        </w:tc>
        <w:tc>
          <w:tcPr>
            <w:tcW w:w="3607" w:type="dxa"/>
            <w:tcBorders>
              <w:top w:val="single" w:sz="4" w:space="0" w:color="auto"/>
              <w:left w:val="nil"/>
              <w:bottom w:val="single" w:sz="4" w:space="0" w:color="auto"/>
              <w:right w:val="single" w:sz="4" w:space="0" w:color="auto"/>
            </w:tcBorders>
            <w:shd w:val="clear" w:color="auto" w:fill="C6EFCE"/>
          </w:tcPr>
          <w:p w14:paraId="52506A3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Afforestation and reforestation national campaign, including urban forests</w:t>
            </w:r>
          </w:p>
        </w:tc>
        <w:tc>
          <w:tcPr>
            <w:tcW w:w="1216" w:type="dxa"/>
            <w:tcBorders>
              <w:top w:val="single" w:sz="4" w:space="0" w:color="auto"/>
              <w:left w:val="nil"/>
              <w:bottom w:val="single" w:sz="4" w:space="0" w:color="auto"/>
              <w:right w:val="single" w:sz="4" w:space="0" w:color="auto"/>
            </w:tcBorders>
            <w:shd w:val="clear" w:color="auto" w:fill="C6EFCE"/>
          </w:tcPr>
          <w:p w14:paraId="7206D58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65" w:type="dxa"/>
            <w:tcBorders>
              <w:top w:val="single" w:sz="4" w:space="0" w:color="auto"/>
              <w:left w:val="nil"/>
              <w:bottom w:val="single" w:sz="4" w:space="0" w:color="auto"/>
              <w:right w:val="single" w:sz="4" w:space="0" w:color="auto"/>
            </w:tcBorders>
            <w:shd w:val="clear" w:color="auto" w:fill="C6EFCE"/>
          </w:tcPr>
          <w:p w14:paraId="0B39B1CC"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New areas of afforested or reforested land</w:t>
            </w:r>
          </w:p>
        </w:tc>
      </w:tr>
      <w:tr w:rsidR="00137D7A" w:rsidRPr="00137D7A" w14:paraId="74665CFD" w14:textId="77777777" w:rsidTr="00BD01A2">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5F96393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RO-C[C2]-I[I1.0]-T[28]</w:t>
            </w:r>
          </w:p>
        </w:tc>
        <w:tc>
          <w:tcPr>
            <w:tcW w:w="3607" w:type="dxa"/>
            <w:tcBorders>
              <w:top w:val="single" w:sz="4" w:space="0" w:color="auto"/>
              <w:left w:val="nil"/>
              <w:bottom w:val="single" w:sz="4" w:space="0" w:color="auto"/>
              <w:right w:val="single" w:sz="4" w:space="0" w:color="auto"/>
            </w:tcBorders>
            <w:shd w:val="clear" w:color="auto" w:fill="C6EFCE"/>
          </w:tcPr>
          <w:p w14:paraId="211D0A2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Afforestation and reforestation national campaign, including urban forests</w:t>
            </w:r>
          </w:p>
        </w:tc>
        <w:tc>
          <w:tcPr>
            <w:tcW w:w="1216" w:type="dxa"/>
            <w:tcBorders>
              <w:top w:val="single" w:sz="4" w:space="0" w:color="auto"/>
              <w:left w:val="nil"/>
              <w:bottom w:val="single" w:sz="4" w:space="0" w:color="auto"/>
              <w:right w:val="single" w:sz="4" w:space="0" w:color="auto"/>
            </w:tcBorders>
            <w:shd w:val="clear" w:color="auto" w:fill="C6EFCE"/>
          </w:tcPr>
          <w:p w14:paraId="721B75F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65" w:type="dxa"/>
            <w:tcBorders>
              <w:top w:val="single" w:sz="4" w:space="0" w:color="auto"/>
              <w:left w:val="nil"/>
              <w:bottom w:val="single" w:sz="4" w:space="0" w:color="auto"/>
              <w:right w:val="single" w:sz="4" w:space="0" w:color="auto"/>
            </w:tcBorders>
            <w:shd w:val="clear" w:color="auto" w:fill="C6EFCE"/>
          </w:tcPr>
          <w:p w14:paraId="2288C7D1"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New areas of urban forests created</w:t>
            </w:r>
          </w:p>
        </w:tc>
      </w:tr>
      <w:tr w:rsidR="00137D7A" w:rsidRPr="00137D7A" w14:paraId="19D6910D" w14:textId="77777777" w:rsidTr="00BD01A2">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160A3B5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RO-C[C2]-I[I2.0]-T[29]</w:t>
            </w:r>
          </w:p>
        </w:tc>
        <w:tc>
          <w:tcPr>
            <w:tcW w:w="3607" w:type="dxa"/>
            <w:tcBorders>
              <w:top w:val="single" w:sz="4" w:space="0" w:color="auto"/>
              <w:left w:val="nil"/>
              <w:bottom w:val="single" w:sz="4" w:space="0" w:color="auto"/>
              <w:right w:val="single" w:sz="4" w:space="0" w:color="auto"/>
            </w:tcBorders>
            <w:shd w:val="clear" w:color="auto" w:fill="C6EFCE"/>
          </w:tcPr>
          <w:p w14:paraId="2194368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Modern production capacities of forest reproduction material</w:t>
            </w:r>
          </w:p>
        </w:tc>
        <w:tc>
          <w:tcPr>
            <w:tcW w:w="1216" w:type="dxa"/>
            <w:tcBorders>
              <w:top w:val="single" w:sz="4" w:space="0" w:color="auto"/>
              <w:left w:val="nil"/>
              <w:bottom w:val="single" w:sz="4" w:space="0" w:color="auto"/>
              <w:right w:val="single" w:sz="4" w:space="0" w:color="auto"/>
            </w:tcBorders>
            <w:shd w:val="clear" w:color="auto" w:fill="C6EFCE"/>
          </w:tcPr>
          <w:p w14:paraId="4DFCA76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65" w:type="dxa"/>
            <w:tcBorders>
              <w:top w:val="single" w:sz="4" w:space="0" w:color="auto"/>
              <w:left w:val="nil"/>
              <w:bottom w:val="single" w:sz="4" w:space="0" w:color="auto"/>
              <w:right w:val="single" w:sz="4" w:space="0" w:color="auto"/>
            </w:tcBorders>
            <w:shd w:val="clear" w:color="auto" w:fill="C6EFCE"/>
          </w:tcPr>
          <w:p w14:paraId="70AF8D8F"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New or rehabilitated tree nurseries</w:t>
            </w:r>
          </w:p>
        </w:tc>
      </w:tr>
      <w:tr w:rsidR="00137D7A" w:rsidRPr="00137D7A" w14:paraId="01831E96" w14:textId="77777777" w:rsidTr="00BD01A2">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57875AF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RO-C[C2]-I[I3.0]-M[34]</w:t>
            </w:r>
          </w:p>
        </w:tc>
        <w:tc>
          <w:tcPr>
            <w:tcW w:w="3607" w:type="dxa"/>
            <w:tcBorders>
              <w:top w:val="single" w:sz="4" w:space="0" w:color="auto"/>
              <w:left w:val="nil"/>
              <w:bottom w:val="single" w:sz="4" w:space="0" w:color="auto"/>
              <w:right w:val="single" w:sz="4" w:space="0" w:color="auto"/>
            </w:tcBorders>
            <w:shd w:val="clear" w:color="auto" w:fill="C6EFCE"/>
          </w:tcPr>
          <w:p w14:paraId="7EBA8FB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Identification of potential areas for strict protection in natural terrestrial and marine habitats in line with the EU Biodiversity Strategy for 2030</w:t>
            </w:r>
          </w:p>
        </w:tc>
        <w:tc>
          <w:tcPr>
            <w:tcW w:w="1216" w:type="dxa"/>
            <w:tcBorders>
              <w:top w:val="single" w:sz="4" w:space="0" w:color="auto"/>
              <w:left w:val="nil"/>
              <w:bottom w:val="single" w:sz="4" w:space="0" w:color="auto"/>
              <w:right w:val="single" w:sz="4" w:space="0" w:color="auto"/>
            </w:tcBorders>
            <w:shd w:val="clear" w:color="auto" w:fill="C6EFCE"/>
          </w:tcPr>
          <w:p w14:paraId="56298B8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single" w:sz="4" w:space="0" w:color="auto"/>
              <w:left w:val="nil"/>
              <w:bottom w:val="single" w:sz="4" w:space="0" w:color="auto"/>
              <w:right w:val="single" w:sz="4" w:space="0" w:color="auto"/>
            </w:tcBorders>
            <w:shd w:val="clear" w:color="auto" w:fill="C6EFCE"/>
          </w:tcPr>
          <w:p w14:paraId="12DB48C3" w14:textId="3663FD42" w:rsidR="00137D7A" w:rsidRPr="00137D7A" w:rsidRDefault="00137D7A" w:rsidP="2758C537">
            <w:pPr>
              <w:spacing w:after="0" w:line="259" w:lineRule="auto"/>
              <w:rPr>
                <w:rFonts w:ascii="Times New Roman" w:eastAsia="Aptos" w:hAnsi="Times New Roman" w:cs="Times New Roman"/>
                <w:noProof/>
                <w:sz w:val="22"/>
                <w:szCs w:val="22"/>
                <w:lang w:val="en-IE" w:eastAsia="en-US"/>
              </w:rPr>
            </w:pPr>
            <w:r w:rsidRPr="00137D7A">
              <w:rPr>
                <w:rFonts w:ascii="Times New Roman" w:eastAsia="Aptos" w:hAnsi="Times New Roman" w:cs="Times New Roman"/>
                <w:noProof/>
                <w:color w:val="000000"/>
                <w:kern w:val="2"/>
                <w:sz w:val="22"/>
                <w:szCs w:val="22"/>
                <w:lang w:val="en-IE" w:eastAsia="en-US"/>
                <w14:ligatures w14:val="standardContextual"/>
              </w:rPr>
              <w:t xml:space="preserve">Entry into force of </w:t>
            </w:r>
            <w:r w:rsidR="61594188" w:rsidRPr="2758C537">
              <w:rPr>
                <w:rFonts w:ascii="Times New Roman" w:eastAsia="Aptos" w:hAnsi="Times New Roman" w:cs="Times New Roman"/>
                <w:noProof/>
                <w:color w:val="000000" w:themeColor="text1"/>
                <w:sz w:val="22"/>
                <w:szCs w:val="22"/>
                <w:lang w:val="en-IE" w:eastAsia="en-US"/>
              </w:rPr>
              <w:t>legal</w:t>
            </w:r>
            <w:r w:rsidRPr="2758C537">
              <w:rPr>
                <w:rFonts w:ascii="Times New Roman" w:eastAsia="Aptos" w:hAnsi="Times New Roman" w:cs="Times New Roman"/>
                <w:noProof/>
                <w:color w:val="000000" w:themeColor="text1"/>
                <w:sz w:val="22"/>
                <w:szCs w:val="22"/>
                <w:lang w:val="en-IE" w:eastAsia="en-US"/>
              </w:rPr>
              <w:t xml:space="preserve"> act(s) for the designation of strictly protected areas</w:t>
            </w:r>
          </w:p>
        </w:tc>
      </w:tr>
      <w:tr w:rsidR="00137D7A" w:rsidRPr="00137D7A" w14:paraId="44A18C64" w14:textId="77777777" w:rsidTr="00BD01A2">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1E39076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RO-C[C2]-I[I4]-M[39]</w:t>
            </w:r>
          </w:p>
        </w:tc>
        <w:tc>
          <w:tcPr>
            <w:tcW w:w="3607" w:type="dxa"/>
            <w:tcBorders>
              <w:top w:val="single" w:sz="4" w:space="0" w:color="auto"/>
              <w:left w:val="nil"/>
              <w:bottom w:val="single" w:sz="4" w:space="0" w:color="auto"/>
              <w:right w:val="single" w:sz="4" w:space="0" w:color="auto"/>
            </w:tcBorders>
            <w:shd w:val="clear" w:color="auto" w:fill="C6EFCE"/>
          </w:tcPr>
          <w:p w14:paraId="0CDCF87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Monitoring system for wild sturgeons along the Lower Danube</w:t>
            </w:r>
          </w:p>
        </w:tc>
        <w:tc>
          <w:tcPr>
            <w:tcW w:w="1216" w:type="dxa"/>
            <w:tcBorders>
              <w:top w:val="single" w:sz="4" w:space="0" w:color="auto"/>
              <w:left w:val="nil"/>
              <w:bottom w:val="single" w:sz="4" w:space="0" w:color="auto"/>
              <w:right w:val="single" w:sz="4" w:space="0" w:color="auto"/>
            </w:tcBorders>
            <w:shd w:val="clear" w:color="auto" w:fill="C6EFCE"/>
          </w:tcPr>
          <w:p w14:paraId="1435E07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single" w:sz="4" w:space="0" w:color="auto"/>
              <w:left w:val="nil"/>
              <w:bottom w:val="single" w:sz="4" w:space="0" w:color="auto"/>
              <w:right w:val="single" w:sz="4" w:space="0" w:color="auto"/>
            </w:tcBorders>
            <w:shd w:val="clear" w:color="auto" w:fill="C6EFCE"/>
          </w:tcPr>
          <w:p w14:paraId="71F0F986" w14:textId="34F7AD2F" w:rsidR="00137D7A" w:rsidRPr="00137D7A" w:rsidRDefault="29053C6D" w:rsidP="00137D7A">
            <w:pPr>
              <w:spacing w:after="0" w:line="259" w:lineRule="auto"/>
              <w:rPr>
                <w:noProof/>
              </w:rPr>
            </w:pPr>
            <w:r w:rsidRPr="2758C537">
              <w:rPr>
                <w:rFonts w:ascii="Times New Roman" w:eastAsia="Aptos" w:hAnsi="Times New Roman" w:cs="Times New Roman"/>
                <w:noProof/>
                <w:color w:val="000000" w:themeColor="text1"/>
                <w:sz w:val="22"/>
                <w:szCs w:val="22"/>
                <w:lang w:val="en-IE" w:eastAsia="en-US"/>
              </w:rPr>
              <w:t>Delivery of equipment and vehicles for monitoring of wild sturgeon data</w:t>
            </w:r>
          </w:p>
        </w:tc>
      </w:tr>
      <w:tr w:rsidR="00137D7A" w:rsidRPr="00137D7A" w14:paraId="251997A7" w14:textId="77777777" w:rsidTr="00BD01A2">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0493C08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RO-C[C2]-I[I5.0]-M[42]</w:t>
            </w:r>
          </w:p>
        </w:tc>
        <w:tc>
          <w:tcPr>
            <w:tcW w:w="3607" w:type="dxa"/>
            <w:tcBorders>
              <w:top w:val="single" w:sz="4" w:space="0" w:color="auto"/>
              <w:left w:val="nil"/>
              <w:bottom w:val="single" w:sz="4" w:space="0" w:color="auto"/>
              <w:right w:val="single" w:sz="4" w:space="0" w:color="auto"/>
            </w:tcBorders>
            <w:shd w:val="clear" w:color="auto" w:fill="C6EFCE"/>
          </w:tcPr>
          <w:p w14:paraId="334ED47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Integrated flood risk mitigation systems in forest river basins</w:t>
            </w:r>
          </w:p>
        </w:tc>
        <w:tc>
          <w:tcPr>
            <w:tcW w:w="1216" w:type="dxa"/>
            <w:tcBorders>
              <w:top w:val="single" w:sz="4" w:space="0" w:color="auto"/>
              <w:left w:val="nil"/>
              <w:bottom w:val="single" w:sz="4" w:space="0" w:color="auto"/>
              <w:right w:val="single" w:sz="4" w:space="0" w:color="auto"/>
            </w:tcBorders>
            <w:shd w:val="clear" w:color="auto" w:fill="C6EFCE"/>
          </w:tcPr>
          <w:p w14:paraId="72399AA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w:t>
            </w:r>
          </w:p>
        </w:tc>
        <w:tc>
          <w:tcPr>
            <w:tcW w:w="3465" w:type="dxa"/>
            <w:tcBorders>
              <w:top w:val="single" w:sz="4" w:space="0" w:color="auto"/>
              <w:left w:val="nil"/>
              <w:bottom w:val="single" w:sz="4" w:space="0" w:color="auto"/>
              <w:right w:val="single" w:sz="4" w:space="0" w:color="auto"/>
            </w:tcBorders>
            <w:shd w:val="clear" w:color="auto" w:fill="C6EFCE"/>
          </w:tcPr>
          <w:p w14:paraId="26EE755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Modernisation works for flood protection</w:t>
            </w:r>
          </w:p>
        </w:tc>
      </w:tr>
      <w:tr w:rsidR="00137D7A" w:rsidRPr="00137D7A" w14:paraId="5BF836F3" w14:textId="77777777" w:rsidTr="00BD01A2">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61DBA8D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RO-C[C3]-I[I1a.0]-T[49]</w:t>
            </w:r>
          </w:p>
        </w:tc>
        <w:tc>
          <w:tcPr>
            <w:tcW w:w="3607" w:type="dxa"/>
            <w:tcBorders>
              <w:top w:val="single" w:sz="4" w:space="0" w:color="auto"/>
              <w:left w:val="nil"/>
              <w:bottom w:val="single" w:sz="4" w:space="0" w:color="auto"/>
              <w:right w:val="single" w:sz="4" w:space="0" w:color="auto"/>
            </w:tcBorders>
            <w:shd w:val="clear" w:color="auto" w:fill="C6EFCE"/>
          </w:tcPr>
          <w:p w14:paraId="42E97C1A" w14:textId="1CBBC69B"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Construction of voluntary waste collection centres </w:t>
            </w:r>
          </w:p>
        </w:tc>
        <w:tc>
          <w:tcPr>
            <w:tcW w:w="1216" w:type="dxa"/>
            <w:tcBorders>
              <w:top w:val="single" w:sz="4" w:space="0" w:color="auto"/>
              <w:left w:val="nil"/>
              <w:bottom w:val="single" w:sz="4" w:space="0" w:color="auto"/>
              <w:right w:val="single" w:sz="4" w:space="0" w:color="auto"/>
            </w:tcBorders>
            <w:shd w:val="clear" w:color="auto" w:fill="C6EFCE"/>
          </w:tcPr>
          <w:p w14:paraId="124AC12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65" w:type="dxa"/>
            <w:tcBorders>
              <w:top w:val="single" w:sz="4" w:space="0" w:color="auto"/>
              <w:left w:val="nil"/>
              <w:bottom w:val="single" w:sz="4" w:space="0" w:color="auto"/>
              <w:right w:val="single" w:sz="4" w:space="0" w:color="auto"/>
            </w:tcBorders>
            <w:shd w:val="clear" w:color="auto" w:fill="C6EFCE"/>
          </w:tcPr>
          <w:p w14:paraId="58E172A6"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Voluntary collection centres constructed</w:t>
            </w:r>
          </w:p>
        </w:tc>
      </w:tr>
      <w:tr w:rsidR="00137D7A" w:rsidRPr="00A93804" w14:paraId="2F0A30C7" w14:textId="77777777" w:rsidTr="00BD01A2">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5C60F0A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RO-C[C3]-I[I3a.0]-M[56]</w:t>
            </w:r>
          </w:p>
        </w:tc>
        <w:tc>
          <w:tcPr>
            <w:tcW w:w="3607" w:type="dxa"/>
            <w:tcBorders>
              <w:top w:val="single" w:sz="4" w:space="0" w:color="auto"/>
              <w:left w:val="nil"/>
              <w:bottom w:val="single" w:sz="4" w:space="0" w:color="auto"/>
              <w:right w:val="single" w:sz="4" w:space="0" w:color="auto"/>
            </w:tcBorders>
            <w:shd w:val="clear" w:color="auto" w:fill="C6EFCE"/>
          </w:tcPr>
          <w:p w14:paraId="0DFD117C" w14:textId="6ABEFCAD"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 xml:space="preserve">Public monitoring, control and institutional capacities </w:t>
            </w:r>
          </w:p>
        </w:tc>
        <w:tc>
          <w:tcPr>
            <w:tcW w:w="1216" w:type="dxa"/>
            <w:tcBorders>
              <w:top w:val="single" w:sz="4" w:space="0" w:color="auto"/>
              <w:left w:val="nil"/>
              <w:bottom w:val="single" w:sz="4" w:space="0" w:color="auto"/>
              <w:right w:val="single" w:sz="4" w:space="0" w:color="auto"/>
            </w:tcBorders>
            <w:shd w:val="clear" w:color="auto" w:fill="C6EFCE"/>
          </w:tcPr>
          <w:p w14:paraId="40947B3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single" w:sz="4" w:space="0" w:color="auto"/>
              <w:left w:val="nil"/>
              <w:bottom w:val="single" w:sz="4" w:space="0" w:color="auto"/>
              <w:right w:val="single" w:sz="4" w:space="0" w:color="auto"/>
            </w:tcBorders>
            <w:shd w:val="clear" w:color="auto" w:fill="C6EFCE"/>
          </w:tcPr>
          <w:p w14:paraId="1B47DD86"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Purchase of digital equipment</w:t>
            </w:r>
          </w:p>
        </w:tc>
      </w:tr>
      <w:tr w:rsidR="00137D7A" w:rsidRPr="00137D7A" w14:paraId="7809818D"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34FE06A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RO-C[C3]-I[I3a.0]-T[57]</w:t>
            </w:r>
          </w:p>
        </w:tc>
        <w:tc>
          <w:tcPr>
            <w:tcW w:w="3607" w:type="dxa"/>
            <w:tcBorders>
              <w:top w:val="nil"/>
              <w:left w:val="nil"/>
              <w:bottom w:val="single" w:sz="4" w:space="0" w:color="auto"/>
              <w:right w:val="single" w:sz="4" w:space="0" w:color="auto"/>
            </w:tcBorders>
            <w:shd w:val="clear" w:color="auto" w:fill="C6EFCE"/>
          </w:tcPr>
          <w:p w14:paraId="10511B25" w14:textId="3BF066EB"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 xml:space="preserve">Public monitoring, control and institutional capacities </w:t>
            </w:r>
          </w:p>
        </w:tc>
        <w:tc>
          <w:tcPr>
            <w:tcW w:w="1216" w:type="dxa"/>
            <w:tcBorders>
              <w:top w:val="nil"/>
              <w:left w:val="nil"/>
              <w:bottom w:val="single" w:sz="4" w:space="0" w:color="auto"/>
              <w:right w:val="single" w:sz="4" w:space="0" w:color="auto"/>
            </w:tcBorders>
            <w:shd w:val="clear" w:color="auto" w:fill="C6EFCE"/>
          </w:tcPr>
          <w:p w14:paraId="128B06F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7A966E11"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Delivery of 400 control missions using digital equipment</w:t>
            </w:r>
          </w:p>
        </w:tc>
      </w:tr>
      <w:tr w:rsidR="00137D7A" w:rsidRPr="00137D7A" w14:paraId="1FBE551D"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FBBF65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RO-C[C4]-R[R1.0]-T[61]</w:t>
            </w:r>
          </w:p>
        </w:tc>
        <w:tc>
          <w:tcPr>
            <w:tcW w:w="3607" w:type="dxa"/>
            <w:tcBorders>
              <w:top w:val="nil"/>
              <w:left w:val="nil"/>
              <w:bottom w:val="single" w:sz="4" w:space="0" w:color="auto"/>
              <w:right w:val="single" w:sz="4" w:space="0" w:color="auto"/>
            </w:tcBorders>
            <w:shd w:val="clear" w:color="auto" w:fill="C6EFCE"/>
          </w:tcPr>
          <w:p w14:paraId="08E5FB51" w14:textId="10A918B2"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 xml:space="preserve">Sustainable transport, decarbonisation and road safety </w:t>
            </w:r>
          </w:p>
        </w:tc>
        <w:tc>
          <w:tcPr>
            <w:tcW w:w="1216" w:type="dxa"/>
            <w:tcBorders>
              <w:top w:val="nil"/>
              <w:left w:val="nil"/>
              <w:bottom w:val="single" w:sz="4" w:space="0" w:color="auto"/>
              <w:right w:val="single" w:sz="4" w:space="0" w:color="auto"/>
            </w:tcBorders>
            <w:shd w:val="clear" w:color="auto" w:fill="C6EFCE"/>
          </w:tcPr>
          <w:p w14:paraId="79E6FD2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2D89EFB9" w14:textId="6F916B75" w:rsidR="00137D7A" w:rsidRPr="00137D7A" w:rsidRDefault="00137D7A" w:rsidP="00137D7A">
            <w:pPr>
              <w:spacing w:after="0" w:line="259" w:lineRule="auto"/>
              <w:rPr>
                <w:noProof/>
              </w:rPr>
            </w:pPr>
            <w:r w:rsidRPr="00137D7A">
              <w:rPr>
                <w:rFonts w:ascii="Times New Roman" w:eastAsia="Aptos" w:hAnsi="Times New Roman" w:cs="Times New Roman"/>
                <w:noProof/>
                <w:kern w:val="2"/>
                <w:sz w:val="22"/>
                <w:szCs w:val="22"/>
                <w:lang w:val="en-IE" w:eastAsia="en-US"/>
                <w14:ligatures w14:val="standardContextual"/>
              </w:rPr>
              <w:t>New clean vehicles procured by contracting authorities</w:t>
            </w:r>
            <w:r w:rsidR="00F97F59">
              <w:rPr>
                <w:rFonts w:ascii="Times New Roman" w:eastAsia="Aptos" w:hAnsi="Times New Roman" w:cs="Times New Roman"/>
                <w:noProof/>
                <w:kern w:val="2"/>
                <w:sz w:val="22"/>
                <w:szCs w:val="22"/>
                <w:lang w:val="en-IE" w:eastAsia="en-US"/>
                <w14:ligatures w14:val="standardContextual"/>
              </w:rPr>
              <w:t>/</w:t>
            </w:r>
            <w:r w:rsidR="25C17D70" w:rsidRPr="2758C537">
              <w:rPr>
                <w:rFonts w:ascii="Times New Roman" w:eastAsia="Aptos" w:hAnsi="Times New Roman" w:cs="Times New Roman"/>
                <w:noProof/>
                <w:sz w:val="22"/>
                <w:szCs w:val="22"/>
                <w:lang w:val="en-IE" w:eastAsia="en-US"/>
              </w:rPr>
              <w:t>entities</w:t>
            </w:r>
          </w:p>
        </w:tc>
      </w:tr>
      <w:tr w:rsidR="00137D7A" w:rsidRPr="00137D7A" w14:paraId="11722D56"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3D4094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RO-C[C4]-R[R1.0]-M[62]</w:t>
            </w:r>
          </w:p>
        </w:tc>
        <w:tc>
          <w:tcPr>
            <w:tcW w:w="3607" w:type="dxa"/>
            <w:tcBorders>
              <w:top w:val="nil"/>
              <w:left w:val="nil"/>
              <w:bottom w:val="single" w:sz="4" w:space="0" w:color="auto"/>
              <w:right w:val="single" w:sz="4" w:space="0" w:color="auto"/>
            </w:tcBorders>
            <w:shd w:val="clear" w:color="auto" w:fill="C6EFCE"/>
          </w:tcPr>
          <w:p w14:paraId="58740D01" w14:textId="4225178A"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Sustainable transport, decarbonisation and road safety</w:t>
            </w:r>
          </w:p>
        </w:tc>
        <w:tc>
          <w:tcPr>
            <w:tcW w:w="1216" w:type="dxa"/>
            <w:tcBorders>
              <w:top w:val="nil"/>
              <w:left w:val="nil"/>
              <w:bottom w:val="single" w:sz="4" w:space="0" w:color="auto"/>
              <w:right w:val="single" w:sz="4" w:space="0" w:color="auto"/>
            </w:tcBorders>
            <w:shd w:val="clear" w:color="auto" w:fill="C6EFCE"/>
          </w:tcPr>
          <w:p w14:paraId="7723CC0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3356511A" w14:textId="6C6FC603" w:rsidR="00137D7A" w:rsidRPr="00137D7A" w:rsidRDefault="3E252908"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2758C537">
              <w:rPr>
                <w:rFonts w:ascii="Times New Roman" w:eastAsia="Aptos" w:hAnsi="Times New Roman" w:cs="Times New Roman"/>
                <w:noProof/>
                <w:sz w:val="22"/>
                <w:szCs w:val="22"/>
                <w:lang w:val="en-IE" w:eastAsia="en-US"/>
              </w:rPr>
              <w:t xml:space="preserve"> Scrapped vehicles (EURO 3 or below) and stock of zero-emission vehicles</w:t>
            </w:r>
          </w:p>
        </w:tc>
      </w:tr>
      <w:tr w:rsidR="00137D7A" w:rsidRPr="00137D7A" w14:paraId="74CA3959"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441FC6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RO-C[C6]-R[R1.0]-M[118]</w:t>
            </w:r>
          </w:p>
        </w:tc>
        <w:tc>
          <w:tcPr>
            <w:tcW w:w="3607" w:type="dxa"/>
            <w:tcBorders>
              <w:top w:val="nil"/>
              <w:left w:val="nil"/>
              <w:bottom w:val="single" w:sz="4" w:space="0" w:color="auto"/>
              <w:right w:val="single" w:sz="4" w:space="0" w:color="auto"/>
            </w:tcBorders>
            <w:shd w:val="clear" w:color="auto" w:fill="C6EFCE"/>
          </w:tcPr>
          <w:p w14:paraId="527C01A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Electricity market reform, replacement of coal in the energy mix and support for a legislative and regulatory framework for private investment in renewable electricity production</w:t>
            </w:r>
          </w:p>
        </w:tc>
        <w:tc>
          <w:tcPr>
            <w:tcW w:w="1216" w:type="dxa"/>
            <w:tcBorders>
              <w:top w:val="nil"/>
              <w:left w:val="nil"/>
              <w:bottom w:val="single" w:sz="4" w:space="0" w:color="auto"/>
              <w:right w:val="single" w:sz="4" w:space="0" w:color="auto"/>
            </w:tcBorders>
            <w:shd w:val="clear" w:color="auto" w:fill="C6EFCE"/>
          </w:tcPr>
          <w:p w14:paraId="7A5883D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30C79C76" w14:textId="170C52AF"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Signature of Contracts for Difference for renewable </w:t>
            </w:r>
            <w:r w:rsidRPr="2758C537">
              <w:rPr>
                <w:rFonts w:ascii="Times New Roman" w:eastAsia="Aptos" w:hAnsi="Times New Roman" w:cs="Times New Roman"/>
                <w:noProof/>
                <w:sz w:val="22"/>
                <w:szCs w:val="22"/>
                <w:lang w:val="en-IE" w:eastAsia="en-US"/>
              </w:rPr>
              <w:t>sources following auction rounds</w:t>
            </w:r>
          </w:p>
        </w:tc>
      </w:tr>
      <w:tr w:rsidR="00137D7A" w:rsidRPr="00137D7A" w14:paraId="4C0DE0C5"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0D070D6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RO-C[C6]-R[R1.0]-T[120]</w:t>
            </w:r>
          </w:p>
        </w:tc>
        <w:tc>
          <w:tcPr>
            <w:tcW w:w="3607" w:type="dxa"/>
            <w:tcBorders>
              <w:top w:val="nil"/>
              <w:left w:val="nil"/>
              <w:bottom w:val="single" w:sz="4" w:space="0" w:color="auto"/>
              <w:right w:val="single" w:sz="4" w:space="0" w:color="auto"/>
            </w:tcBorders>
            <w:shd w:val="clear" w:color="auto" w:fill="C6EFCE"/>
          </w:tcPr>
          <w:p w14:paraId="629A3535"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Electricity market reform, replacement of coal in the energy mix and support for a legislative and regulatory framework for private investment in renewable electricity production</w:t>
            </w:r>
          </w:p>
        </w:tc>
        <w:tc>
          <w:tcPr>
            <w:tcW w:w="1216" w:type="dxa"/>
            <w:tcBorders>
              <w:top w:val="nil"/>
              <w:left w:val="nil"/>
              <w:bottom w:val="single" w:sz="4" w:space="0" w:color="auto"/>
              <w:right w:val="single" w:sz="4" w:space="0" w:color="auto"/>
            </w:tcBorders>
            <w:shd w:val="clear" w:color="auto" w:fill="C6EFCE"/>
          </w:tcPr>
          <w:p w14:paraId="50F817B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58B25258"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Additional renewables capacity installed and connected to the grid</w:t>
            </w:r>
          </w:p>
        </w:tc>
      </w:tr>
      <w:tr w:rsidR="00137D7A" w:rsidRPr="00137D7A" w14:paraId="60824674"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4B74C77F" w14:textId="20B3A715"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w:t>
            </w:r>
            <w:r w:rsidR="00FA1B05">
              <w:rPr>
                <w:rFonts w:ascii="Times New Roman" w:eastAsia="Aptos" w:hAnsi="Times New Roman" w:cs="Times New Roman"/>
                <w:noProof/>
                <w:color w:val="000000"/>
                <w:kern w:val="2"/>
                <w:sz w:val="22"/>
                <w:szCs w:val="22"/>
                <w:lang w:val="en-IE" w:eastAsia="en-US"/>
                <w14:ligatures w14:val="standardContextual"/>
              </w:rPr>
              <w:t>16</w:t>
            </w:r>
            <w:r w:rsidRPr="00137D7A">
              <w:rPr>
                <w:rFonts w:ascii="Times New Roman" w:eastAsia="Aptos" w:hAnsi="Times New Roman" w:cs="Times New Roman"/>
                <w:noProof/>
                <w:color w:val="000000"/>
                <w:kern w:val="2"/>
                <w:sz w:val="22"/>
                <w:szCs w:val="22"/>
                <w:lang w:val="en-IE" w:eastAsia="en-US"/>
                <w14:ligatures w14:val="standardContextual"/>
              </w:rPr>
              <w:t>]-I[I</w:t>
            </w:r>
            <w:r w:rsidR="00FA1B05">
              <w:rPr>
                <w:rFonts w:ascii="Times New Roman" w:eastAsia="Aptos" w:hAnsi="Times New Roman" w:cs="Times New Roman"/>
                <w:noProof/>
                <w:color w:val="000000"/>
                <w:kern w:val="2"/>
                <w:sz w:val="22"/>
                <w:szCs w:val="22"/>
                <w:lang w:val="en-IE" w:eastAsia="en-US"/>
                <w14:ligatures w14:val="standardContextual"/>
              </w:rPr>
              <w:t>9</w:t>
            </w:r>
            <w:r w:rsidRPr="00137D7A">
              <w:rPr>
                <w:rFonts w:ascii="Times New Roman" w:eastAsia="Aptos" w:hAnsi="Times New Roman" w:cs="Times New Roman"/>
                <w:noProof/>
                <w:color w:val="000000"/>
                <w:kern w:val="2"/>
                <w:sz w:val="22"/>
                <w:szCs w:val="22"/>
                <w:lang w:val="en-IE" w:eastAsia="en-US"/>
                <w14:ligatures w14:val="standardContextual"/>
              </w:rPr>
              <w:t>.0]-T[139]</w:t>
            </w:r>
          </w:p>
        </w:tc>
        <w:tc>
          <w:tcPr>
            <w:tcW w:w="3607" w:type="dxa"/>
            <w:tcBorders>
              <w:top w:val="nil"/>
              <w:left w:val="nil"/>
              <w:bottom w:val="single" w:sz="4" w:space="0" w:color="auto"/>
              <w:right w:val="single" w:sz="4" w:space="0" w:color="auto"/>
            </w:tcBorders>
            <w:shd w:val="clear" w:color="auto" w:fill="C6EFCE"/>
          </w:tcPr>
          <w:p w14:paraId="5A163C7C"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New electricity storage capacities</w:t>
            </w:r>
          </w:p>
        </w:tc>
        <w:tc>
          <w:tcPr>
            <w:tcW w:w="1216" w:type="dxa"/>
            <w:tcBorders>
              <w:top w:val="nil"/>
              <w:left w:val="nil"/>
              <w:bottom w:val="single" w:sz="4" w:space="0" w:color="auto"/>
              <w:right w:val="single" w:sz="4" w:space="0" w:color="auto"/>
            </w:tcBorders>
            <w:shd w:val="clear" w:color="auto" w:fill="C6EFCE"/>
          </w:tcPr>
          <w:p w14:paraId="221B49B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0BE80E89"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Electricity storage capacity installed</w:t>
            </w:r>
          </w:p>
        </w:tc>
      </w:tr>
      <w:tr w:rsidR="00137D7A" w:rsidRPr="00137D7A" w14:paraId="69B109F3"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00D5C230" w14:textId="271DA28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w:t>
            </w:r>
            <w:r w:rsidR="00D764C2">
              <w:rPr>
                <w:rFonts w:ascii="Times New Roman" w:eastAsia="Times New Roman" w:hAnsi="Times New Roman" w:cs="Times New Roman"/>
                <w:noProof/>
                <w:kern w:val="2"/>
                <w:sz w:val="22"/>
                <w:szCs w:val="22"/>
                <w:lang w:val="en-IE" w:eastAsia="en-GB"/>
                <w14:ligatures w14:val="standardContextual"/>
              </w:rPr>
              <w:t>1</w:t>
            </w:r>
            <w:r w:rsidRPr="00137D7A">
              <w:rPr>
                <w:rFonts w:ascii="Times New Roman" w:eastAsia="Times New Roman" w:hAnsi="Times New Roman" w:cs="Times New Roman"/>
                <w:noProof/>
                <w:kern w:val="2"/>
                <w:sz w:val="22"/>
                <w:szCs w:val="22"/>
                <w:lang w:val="en-IE" w:eastAsia="en-GB"/>
                <w14:ligatures w14:val="standardContextual"/>
              </w:rPr>
              <w:t>6]-I[I</w:t>
            </w:r>
            <w:r w:rsidR="00D764C2">
              <w:rPr>
                <w:rFonts w:ascii="Times New Roman" w:eastAsia="Times New Roman" w:hAnsi="Times New Roman" w:cs="Times New Roman"/>
                <w:noProof/>
                <w:kern w:val="2"/>
                <w:sz w:val="22"/>
                <w:szCs w:val="22"/>
                <w:lang w:val="en-IE" w:eastAsia="en-GB"/>
                <w14:ligatures w14:val="standardContextual"/>
              </w:rPr>
              <w:t>10</w:t>
            </w:r>
            <w:r w:rsidRPr="00137D7A">
              <w:rPr>
                <w:rFonts w:ascii="Times New Roman" w:eastAsia="Times New Roman" w:hAnsi="Times New Roman" w:cs="Times New Roman"/>
                <w:noProof/>
                <w:kern w:val="2"/>
                <w:sz w:val="22"/>
                <w:szCs w:val="22"/>
                <w:lang w:val="en-IE" w:eastAsia="en-GB"/>
                <w14:ligatures w14:val="standardContextual"/>
              </w:rPr>
              <w:t>.0]-T[141]</w:t>
            </w:r>
          </w:p>
        </w:tc>
        <w:tc>
          <w:tcPr>
            <w:tcW w:w="3607" w:type="dxa"/>
            <w:tcBorders>
              <w:top w:val="nil"/>
              <w:left w:val="nil"/>
              <w:bottom w:val="single" w:sz="4" w:space="0" w:color="auto"/>
              <w:right w:val="single" w:sz="4" w:space="0" w:color="auto"/>
            </w:tcBorders>
            <w:shd w:val="clear" w:color="auto" w:fill="C6EFCE"/>
          </w:tcPr>
          <w:p w14:paraId="23874A1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Ensuring energy efficiency in the industrial sector</w:t>
            </w:r>
          </w:p>
        </w:tc>
        <w:tc>
          <w:tcPr>
            <w:tcW w:w="1216" w:type="dxa"/>
            <w:tcBorders>
              <w:top w:val="nil"/>
              <w:left w:val="nil"/>
              <w:bottom w:val="single" w:sz="4" w:space="0" w:color="auto"/>
              <w:right w:val="single" w:sz="4" w:space="0" w:color="auto"/>
            </w:tcBorders>
            <w:shd w:val="clear" w:color="auto" w:fill="C6EFCE"/>
          </w:tcPr>
          <w:p w14:paraId="1831ECA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4E4FE27F"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Delivery of energy efficiency projects</w:t>
            </w:r>
          </w:p>
        </w:tc>
      </w:tr>
      <w:tr w:rsidR="00137D7A" w:rsidRPr="00137D7A" w14:paraId="285C25D2"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47D78F5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RO-C[C7]-I[I1.0]-T[155]</w:t>
            </w:r>
          </w:p>
        </w:tc>
        <w:tc>
          <w:tcPr>
            <w:tcW w:w="3607" w:type="dxa"/>
            <w:tcBorders>
              <w:top w:val="nil"/>
              <w:left w:val="nil"/>
              <w:bottom w:val="single" w:sz="4" w:space="0" w:color="auto"/>
              <w:right w:val="single" w:sz="4" w:space="0" w:color="auto"/>
            </w:tcBorders>
            <w:shd w:val="clear" w:color="auto" w:fill="C6EFCE"/>
          </w:tcPr>
          <w:p w14:paraId="33A2AAD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Deployment of the Government Cloud Infrastructure</w:t>
            </w:r>
          </w:p>
        </w:tc>
        <w:tc>
          <w:tcPr>
            <w:tcW w:w="1216" w:type="dxa"/>
            <w:tcBorders>
              <w:top w:val="nil"/>
              <w:left w:val="nil"/>
              <w:bottom w:val="single" w:sz="4" w:space="0" w:color="auto"/>
              <w:right w:val="single" w:sz="4" w:space="0" w:color="auto"/>
            </w:tcBorders>
            <w:shd w:val="clear" w:color="auto" w:fill="C6EFCE"/>
          </w:tcPr>
          <w:p w14:paraId="0280B05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1DFA5A05"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Tier III and Tier IV data centres functional </w:t>
            </w:r>
          </w:p>
        </w:tc>
      </w:tr>
      <w:tr w:rsidR="00137D7A" w:rsidRPr="00137D7A" w14:paraId="25FC13F5"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7223B60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RO-C[C7]-I[I2.0]-T[157]</w:t>
            </w:r>
          </w:p>
        </w:tc>
        <w:tc>
          <w:tcPr>
            <w:tcW w:w="3607" w:type="dxa"/>
            <w:tcBorders>
              <w:top w:val="nil"/>
              <w:left w:val="nil"/>
              <w:bottom w:val="single" w:sz="4" w:space="0" w:color="auto"/>
              <w:right w:val="single" w:sz="4" w:space="0" w:color="auto"/>
            </w:tcBorders>
            <w:shd w:val="clear" w:color="auto" w:fill="C6EFCE"/>
          </w:tcPr>
          <w:p w14:paraId="5F0A914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Cloud development and migration</w:t>
            </w:r>
          </w:p>
        </w:tc>
        <w:tc>
          <w:tcPr>
            <w:tcW w:w="1216" w:type="dxa"/>
            <w:tcBorders>
              <w:top w:val="nil"/>
              <w:left w:val="nil"/>
              <w:bottom w:val="single" w:sz="4" w:space="0" w:color="auto"/>
              <w:right w:val="single" w:sz="4" w:space="0" w:color="auto"/>
            </w:tcBorders>
            <w:shd w:val="clear" w:color="auto" w:fill="C6EFCE"/>
          </w:tcPr>
          <w:p w14:paraId="3374BBF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205CDFA2" w14:textId="36F0DCFA"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Government</w:t>
            </w:r>
            <w:r w:rsidRPr="2758C537">
              <w:rPr>
                <w:rFonts w:ascii="Times New Roman" w:eastAsia="Aptos" w:hAnsi="Times New Roman" w:cs="Times New Roman"/>
                <w:noProof/>
                <w:color w:val="000000" w:themeColor="text1"/>
                <w:sz w:val="22"/>
                <w:szCs w:val="22"/>
                <w:lang w:val="en-IE" w:eastAsia="en-US"/>
              </w:rPr>
              <w:t xml:space="preserve"> cloud-native or cloud-ready digital service applications developed or migrated in Platform-as-a-Service (PaaS) or Infrastructure-as-a-Service (IaaS).</w:t>
            </w:r>
          </w:p>
        </w:tc>
      </w:tr>
      <w:tr w:rsidR="00137D7A" w:rsidRPr="00137D7A" w14:paraId="016FD943"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52966A2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RO-C[C7]-I[I5.0]-M[167]</w:t>
            </w:r>
          </w:p>
        </w:tc>
        <w:tc>
          <w:tcPr>
            <w:tcW w:w="3607" w:type="dxa"/>
            <w:tcBorders>
              <w:top w:val="nil"/>
              <w:left w:val="nil"/>
              <w:bottom w:val="single" w:sz="4" w:space="0" w:color="auto"/>
              <w:right w:val="single" w:sz="4" w:space="0" w:color="auto"/>
            </w:tcBorders>
            <w:shd w:val="clear" w:color="auto" w:fill="C6EFCE"/>
          </w:tcPr>
          <w:p w14:paraId="6F7262C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Digitalisation in the field of the environment</w:t>
            </w:r>
          </w:p>
        </w:tc>
        <w:tc>
          <w:tcPr>
            <w:tcW w:w="1216" w:type="dxa"/>
            <w:tcBorders>
              <w:top w:val="nil"/>
              <w:left w:val="nil"/>
              <w:bottom w:val="single" w:sz="4" w:space="0" w:color="auto"/>
              <w:right w:val="single" w:sz="4" w:space="0" w:color="auto"/>
            </w:tcBorders>
            <w:shd w:val="clear" w:color="auto" w:fill="C6EFCE"/>
          </w:tcPr>
          <w:p w14:paraId="12456B7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0C38FDDE"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Functional system to monitor Romanian forests, with measures against illegal logging </w:t>
            </w:r>
          </w:p>
        </w:tc>
      </w:tr>
      <w:tr w:rsidR="00137D7A" w:rsidRPr="00137D7A" w14:paraId="3526B7CD"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3AEE87E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RO-C[C7]-I[I6.0]-M[171]</w:t>
            </w:r>
          </w:p>
        </w:tc>
        <w:tc>
          <w:tcPr>
            <w:tcW w:w="3607" w:type="dxa"/>
            <w:tcBorders>
              <w:top w:val="nil"/>
              <w:left w:val="nil"/>
              <w:bottom w:val="single" w:sz="4" w:space="0" w:color="auto"/>
              <w:right w:val="single" w:sz="4" w:space="0" w:color="auto"/>
            </w:tcBorders>
            <w:shd w:val="clear" w:color="auto" w:fill="C6EFCE"/>
          </w:tcPr>
          <w:p w14:paraId="6BDF807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Digitalisation in employment and social protection</w:t>
            </w:r>
          </w:p>
        </w:tc>
        <w:tc>
          <w:tcPr>
            <w:tcW w:w="1216" w:type="dxa"/>
            <w:tcBorders>
              <w:top w:val="nil"/>
              <w:left w:val="nil"/>
              <w:bottom w:val="single" w:sz="4" w:space="0" w:color="auto"/>
              <w:right w:val="single" w:sz="4" w:space="0" w:color="auto"/>
            </w:tcBorders>
            <w:shd w:val="clear" w:color="auto" w:fill="C6EFCE"/>
          </w:tcPr>
          <w:p w14:paraId="7850C76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4DFE704A"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Trainings on digital skills for employees</w:t>
            </w:r>
          </w:p>
        </w:tc>
      </w:tr>
      <w:tr w:rsidR="00137D7A" w:rsidRPr="00137D7A" w14:paraId="41ED1B75"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2966030C"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RO-C[C7]-I[I9.0]-T[175]</w:t>
            </w:r>
          </w:p>
        </w:tc>
        <w:tc>
          <w:tcPr>
            <w:tcW w:w="3607" w:type="dxa"/>
            <w:tcBorders>
              <w:top w:val="nil"/>
              <w:left w:val="nil"/>
              <w:bottom w:val="single" w:sz="4" w:space="0" w:color="auto"/>
              <w:right w:val="single" w:sz="4" w:space="0" w:color="auto"/>
            </w:tcBorders>
            <w:shd w:val="clear" w:color="auto" w:fill="C6EFCE"/>
          </w:tcPr>
          <w:p w14:paraId="498FB974"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Digitisation of the non-governmental organisations sector</w:t>
            </w:r>
          </w:p>
        </w:tc>
        <w:tc>
          <w:tcPr>
            <w:tcW w:w="1216" w:type="dxa"/>
            <w:tcBorders>
              <w:top w:val="nil"/>
              <w:left w:val="nil"/>
              <w:bottom w:val="single" w:sz="4" w:space="0" w:color="auto"/>
              <w:right w:val="single" w:sz="4" w:space="0" w:color="auto"/>
            </w:tcBorders>
            <w:shd w:val="clear" w:color="auto" w:fill="C6EFCE"/>
          </w:tcPr>
          <w:p w14:paraId="29CA65A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54AB1262" w14:textId="515A24AE" w:rsidR="00137D7A" w:rsidRPr="00137D7A" w:rsidRDefault="4EBD6172" w:rsidP="00137D7A">
            <w:pPr>
              <w:spacing w:after="0" w:line="259" w:lineRule="auto"/>
              <w:rPr>
                <w:noProof/>
              </w:rPr>
            </w:pPr>
            <w:r w:rsidRPr="2758C537">
              <w:rPr>
                <w:rFonts w:ascii="Times New Roman" w:eastAsia="Aptos" w:hAnsi="Times New Roman" w:cs="Times New Roman"/>
                <w:noProof/>
                <w:color w:val="000000" w:themeColor="text1"/>
                <w:sz w:val="22"/>
                <w:szCs w:val="22"/>
                <w:lang w:val="en-IE" w:eastAsia="en-US"/>
              </w:rPr>
              <w:t xml:space="preserve"> Award of financing agreements to NGOs for digitalisation projects</w:t>
            </w:r>
          </w:p>
        </w:tc>
      </w:tr>
      <w:tr w:rsidR="00137D7A" w:rsidRPr="00137D7A" w14:paraId="2AACC77B"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404339E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RO-C[C7]-I[I10.0]-M[177]</w:t>
            </w:r>
          </w:p>
        </w:tc>
        <w:tc>
          <w:tcPr>
            <w:tcW w:w="3607" w:type="dxa"/>
            <w:tcBorders>
              <w:top w:val="nil"/>
              <w:left w:val="nil"/>
              <w:bottom w:val="single" w:sz="4" w:space="0" w:color="auto"/>
              <w:right w:val="single" w:sz="4" w:space="0" w:color="auto"/>
            </w:tcBorders>
            <w:shd w:val="clear" w:color="auto" w:fill="C6EFCE"/>
          </w:tcPr>
          <w:p w14:paraId="6E107FE5"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Digital transformation in civil service management</w:t>
            </w:r>
          </w:p>
        </w:tc>
        <w:tc>
          <w:tcPr>
            <w:tcW w:w="1216" w:type="dxa"/>
            <w:tcBorders>
              <w:top w:val="nil"/>
              <w:left w:val="nil"/>
              <w:bottom w:val="single" w:sz="4" w:space="0" w:color="auto"/>
              <w:right w:val="single" w:sz="4" w:space="0" w:color="auto"/>
            </w:tcBorders>
            <w:shd w:val="clear" w:color="auto" w:fill="C6EFCE"/>
          </w:tcPr>
          <w:p w14:paraId="0A076A8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598DA982" w14:textId="0A3E1A74"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 xml:space="preserve">Interoperable platforms for standardised human resources management in central public administration are functional </w:t>
            </w:r>
          </w:p>
        </w:tc>
      </w:tr>
      <w:tr w:rsidR="00137D7A" w:rsidRPr="00137D7A" w14:paraId="1FF77B00"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416D78B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RO-C[C7]-I[I11.0]-M[178]</w:t>
            </w:r>
          </w:p>
        </w:tc>
        <w:tc>
          <w:tcPr>
            <w:tcW w:w="3607" w:type="dxa"/>
            <w:tcBorders>
              <w:top w:val="nil"/>
              <w:left w:val="nil"/>
              <w:bottom w:val="single" w:sz="4" w:space="0" w:color="auto"/>
              <w:right w:val="single" w:sz="4" w:space="0" w:color="auto"/>
            </w:tcBorders>
            <w:shd w:val="clear" w:color="auto" w:fill="C6EFCE"/>
          </w:tcPr>
          <w:p w14:paraId="1FBC3BA7" w14:textId="0B89958E" w:rsidR="00137D7A" w:rsidRPr="00137D7A" w:rsidRDefault="00053EFE"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Pr>
                <w:rFonts w:ascii="Times New Roman" w:eastAsia="Aptos" w:hAnsi="Times New Roman" w:cs="Times New Roman"/>
                <w:noProof/>
                <w:kern w:val="2"/>
                <w:sz w:val="22"/>
                <w:szCs w:val="22"/>
                <w:lang w:val="en-IE" w:eastAsia="en-US"/>
                <w14:ligatures w14:val="standardContextual"/>
              </w:rPr>
              <w:t>S</w:t>
            </w:r>
            <w:r w:rsidR="00137D7A" w:rsidRPr="00137D7A">
              <w:rPr>
                <w:rFonts w:ascii="Times New Roman" w:eastAsia="Aptos" w:hAnsi="Times New Roman" w:cs="Times New Roman"/>
                <w:noProof/>
                <w:kern w:val="2"/>
                <w:sz w:val="22"/>
                <w:szCs w:val="22"/>
                <w:lang w:val="en-IE" w:eastAsia="en-US"/>
                <w14:ligatures w14:val="standardContextual"/>
              </w:rPr>
              <w:t>upport</w:t>
            </w:r>
            <w:r>
              <w:rPr>
                <w:rFonts w:ascii="Times New Roman" w:eastAsia="Aptos" w:hAnsi="Times New Roman" w:cs="Times New Roman"/>
                <w:noProof/>
                <w:kern w:val="2"/>
                <w:sz w:val="22"/>
                <w:szCs w:val="22"/>
                <w:lang w:val="en-IE" w:eastAsia="en-US"/>
                <w14:ligatures w14:val="standardContextual"/>
              </w:rPr>
              <w:t xml:space="preserve"> to</w:t>
            </w:r>
            <w:r w:rsidR="00137D7A" w:rsidRPr="00137D7A">
              <w:rPr>
                <w:rFonts w:ascii="Times New Roman" w:eastAsia="Aptos" w:hAnsi="Times New Roman" w:cs="Times New Roman"/>
                <w:noProof/>
                <w:kern w:val="2"/>
                <w:sz w:val="22"/>
                <w:szCs w:val="22"/>
                <w:lang w:val="en-IE" w:eastAsia="en-US"/>
                <w14:ligatures w14:val="standardContextual"/>
              </w:rPr>
              <w:t xml:space="preserve"> the use of communication services in</w:t>
            </w:r>
            <w:r w:rsidR="00D23D91">
              <w:rPr>
                <w:rFonts w:ascii="Times New Roman" w:eastAsia="Aptos" w:hAnsi="Times New Roman" w:cs="Times New Roman"/>
                <w:noProof/>
                <w:kern w:val="2"/>
                <w:sz w:val="22"/>
                <w:szCs w:val="22"/>
                <w:lang w:val="en-IE" w:eastAsia="en-US"/>
                <w14:ligatures w14:val="standardContextual"/>
              </w:rPr>
              <w:t xml:space="preserve"> </w:t>
            </w:r>
            <w:r w:rsidR="00137D7A" w:rsidRPr="00137D7A">
              <w:rPr>
                <w:rFonts w:ascii="Times New Roman" w:eastAsia="Aptos" w:hAnsi="Times New Roman" w:cs="Times New Roman"/>
                <w:noProof/>
                <w:kern w:val="2"/>
                <w:sz w:val="22"/>
                <w:szCs w:val="22"/>
                <w:lang w:val="en-IE" w:eastAsia="en-US"/>
                <w14:ligatures w14:val="standardContextual"/>
              </w:rPr>
              <w:t>white areas</w:t>
            </w:r>
          </w:p>
        </w:tc>
        <w:tc>
          <w:tcPr>
            <w:tcW w:w="1216" w:type="dxa"/>
            <w:tcBorders>
              <w:top w:val="nil"/>
              <w:left w:val="nil"/>
              <w:bottom w:val="single" w:sz="4" w:space="0" w:color="auto"/>
              <w:right w:val="single" w:sz="4" w:space="0" w:color="auto"/>
            </w:tcBorders>
            <w:shd w:val="clear" w:color="auto" w:fill="C6EFCE"/>
          </w:tcPr>
          <w:p w14:paraId="13493A3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7B4BA4A0"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Villages in white areas connected to very high speed internet</w:t>
            </w:r>
          </w:p>
        </w:tc>
      </w:tr>
      <w:tr w:rsidR="00137D7A" w:rsidRPr="00137D7A" w14:paraId="62B9D247"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74365FA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RO-C[C7]-I[I12.0]-M[180]</w:t>
            </w:r>
          </w:p>
        </w:tc>
        <w:tc>
          <w:tcPr>
            <w:tcW w:w="3607" w:type="dxa"/>
            <w:tcBorders>
              <w:top w:val="nil"/>
              <w:left w:val="nil"/>
              <w:bottom w:val="single" w:sz="4" w:space="0" w:color="auto"/>
              <w:right w:val="single" w:sz="4" w:space="0" w:color="auto"/>
            </w:tcBorders>
            <w:shd w:val="clear" w:color="auto" w:fill="C6EFCE"/>
          </w:tcPr>
          <w:p w14:paraId="64FF78E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Ensuring cybersecurity protection for both public and private ITC infrastructures important for national security</w:t>
            </w:r>
          </w:p>
        </w:tc>
        <w:tc>
          <w:tcPr>
            <w:tcW w:w="1216" w:type="dxa"/>
            <w:tcBorders>
              <w:top w:val="nil"/>
              <w:left w:val="nil"/>
              <w:bottom w:val="single" w:sz="4" w:space="0" w:color="auto"/>
              <w:right w:val="single" w:sz="4" w:space="0" w:color="auto"/>
            </w:tcBorders>
            <w:shd w:val="clear" w:color="auto" w:fill="C6EFCE"/>
          </w:tcPr>
          <w:p w14:paraId="37CE38D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7D669046"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Cyberint national centres’ capacity increased</w:t>
            </w:r>
          </w:p>
        </w:tc>
      </w:tr>
      <w:tr w:rsidR="00137D7A" w:rsidRPr="00137D7A" w14:paraId="2BE3578D"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0DC4C995"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RO-C[C7]-I[I13.0]-M[181]</w:t>
            </w:r>
          </w:p>
        </w:tc>
        <w:tc>
          <w:tcPr>
            <w:tcW w:w="3607" w:type="dxa"/>
            <w:tcBorders>
              <w:top w:val="nil"/>
              <w:left w:val="nil"/>
              <w:bottom w:val="single" w:sz="4" w:space="0" w:color="auto"/>
              <w:right w:val="single" w:sz="4" w:space="0" w:color="auto"/>
            </w:tcBorders>
            <w:shd w:val="clear" w:color="auto" w:fill="C6EFCE"/>
          </w:tcPr>
          <w:p w14:paraId="5176202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Development of security systems for the protection of government spectrum</w:t>
            </w:r>
          </w:p>
        </w:tc>
        <w:tc>
          <w:tcPr>
            <w:tcW w:w="1216" w:type="dxa"/>
            <w:tcBorders>
              <w:top w:val="nil"/>
              <w:left w:val="nil"/>
              <w:bottom w:val="single" w:sz="4" w:space="0" w:color="auto"/>
              <w:right w:val="single" w:sz="4" w:space="0" w:color="auto"/>
            </w:tcBorders>
            <w:shd w:val="clear" w:color="auto" w:fill="C6EFCE"/>
          </w:tcPr>
          <w:p w14:paraId="3BBCA63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4F41D709"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Installation of reception sites at national level</w:t>
            </w:r>
          </w:p>
        </w:tc>
      </w:tr>
      <w:tr w:rsidR="00137D7A" w:rsidRPr="00137D7A" w14:paraId="4184C323"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4BA2898C"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RO-C[C7]-I[I15.0]-M[184]</w:t>
            </w:r>
          </w:p>
        </w:tc>
        <w:tc>
          <w:tcPr>
            <w:tcW w:w="3607" w:type="dxa"/>
            <w:tcBorders>
              <w:top w:val="nil"/>
              <w:left w:val="nil"/>
              <w:bottom w:val="single" w:sz="4" w:space="0" w:color="auto"/>
              <w:right w:val="single" w:sz="4" w:space="0" w:color="auto"/>
            </w:tcBorders>
            <w:shd w:val="clear" w:color="auto" w:fill="C6EFCE"/>
          </w:tcPr>
          <w:p w14:paraId="3583AB15" w14:textId="383B3204" w:rsidR="00137D7A" w:rsidRPr="00137D7A" w:rsidRDefault="111E89B0" w:rsidP="00137D7A">
            <w:pPr>
              <w:spacing w:after="0" w:line="259" w:lineRule="auto"/>
              <w:rPr>
                <w:noProof/>
              </w:rPr>
            </w:pPr>
            <w:r w:rsidRPr="2758C537">
              <w:rPr>
                <w:rFonts w:ascii="Times New Roman" w:eastAsia="Aptos" w:hAnsi="Times New Roman" w:cs="Times New Roman"/>
                <w:noProof/>
                <w:color w:val="000000" w:themeColor="text1"/>
                <w:sz w:val="22"/>
                <w:szCs w:val="22"/>
                <w:lang w:val="en-IE" w:eastAsia="en-US"/>
              </w:rPr>
              <w:t xml:space="preserve"> Cybersecurity skills for the identified entities</w:t>
            </w:r>
          </w:p>
        </w:tc>
        <w:tc>
          <w:tcPr>
            <w:tcW w:w="1216" w:type="dxa"/>
            <w:tcBorders>
              <w:top w:val="nil"/>
              <w:left w:val="nil"/>
              <w:bottom w:val="single" w:sz="4" w:space="0" w:color="auto"/>
              <w:right w:val="single" w:sz="4" w:space="0" w:color="auto"/>
            </w:tcBorders>
            <w:shd w:val="clear" w:color="auto" w:fill="C6EFCE"/>
          </w:tcPr>
          <w:p w14:paraId="17471BB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1DFE580E" w14:textId="51FA9D97" w:rsidR="00137D7A" w:rsidRPr="00137D7A" w:rsidRDefault="5B859C7A" w:rsidP="00137D7A">
            <w:pPr>
              <w:spacing w:after="0" w:line="259" w:lineRule="auto"/>
              <w:rPr>
                <w:noProof/>
              </w:rPr>
            </w:pPr>
            <w:r w:rsidRPr="2758C537">
              <w:rPr>
                <w:rFonts w:ascii="Times New Roman" w:eastAsia="Aptos" w:hAnsi="Times New Roman" w:cs="Times New Roman"/>
                <w:noProof/>
                <w:color w:val="000000" w:themeColor="text1"/>
                <w:sz w:val="22"/>
                <w:szCs w:val="22"/>
                <w:lang w:val="en-IE" w:eastAsia="en-US"/>
              </w:rPr>
              <w:t xml:space="preserve"> Cybersecurity skills for the identified entities</w:t>
            </w:r>
          </w:p>
        </w:tc>
      </w:tr>
      <w:tr w:rsidR="00137D7A" w:rsidRPr="00137D7A" w14:paraId="4FE8B718"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D3EFC7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RO-C[C7]-I[I16.0]-M[185]</w:t>
            </w:r>
          </w:p>
        </w:tc>
        <w:tc>
          <w:tcPr>
            <w:tcW w:w="3607" w:type="dxa"/>
            <w:tcBorders>
              <w:top w:val="nil"/>
              <w:left w:val="nil"/>
              <w:bottom w:val="single" w:sz="4" w:space="0" w:color="auto"/>
              <w:right w:val="single" w:sz="4" w:space="0" w:color="auto"/>
            </w:tcBorders>
            <w:shd w:val="clear" w:color="auto" w:fill="C6EFCE"/>
          </w:tcPr>
          <w:p w14:paraId="14675604"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Training programme for civil servants on digital skills </w:t>
            </w:r>
          </w:p>
        </w:tc>
        <w:tc>
          <w:tcPr>
            <w:tcW w:w="1216" w:type="dxa"/>
            <w:tcBorders>
              <w:top w:val="nil"/>
              <w:left w:val="nil"/>
              <w:bottom w:val="single" w:sz="4" w:space="0" w:color="auto"/>
              <w:right w:val="single" w:sz="4" w:space="0" w:color="auto"/>
            </w:tcBorders>
            <w:shd w:val="clear" w:color="auto" w:fill="C6EFCE"/>
          </w:tcPr>
          <w:p w14:paraId="5B5B9E8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64DEBC3F"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Trainings provided to civil servants</w:t>
            </w:r>
          </w:p>
        </w:tc>
      </w:tr>
      <w:tr w:rsidR="00137D7A" w:rsidRPr="00137D7A" w14:paraId="7F5CFEC7"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2DC4F76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RO-C[C7]-I[I17.0]-M[186]</w:t>
            </w:r>
          </w:p>
        </w:tc>
        <w:tc>
          <w:tcPr>
            <w:tcW w:w="3607" w:type="dxa"/>
            <w:tcBorders>
              <w:top w:val="nil"/>
              <w:left w:val="nil"/>
              <w:bottom w:val="single" w:sz="4" w:space="0" w:color="auto"/>
              <w:right w:val="single" w:sz="4" w:space="0" w:color="auto"/>
            </w:tcBorders>
            <w:shd w:val="clear" w:color="auto" w:fill="C6EFCE"/>
          </w:tcPr>
          <w:p w14:paraId="7852E7AD" w14:textId="167C9767" w:rsidR="00137D7A" w:rsidRPr="00137D7A" w:rsidRDefault="2AB60CFF" w:rsidP="00137D7A">
            <w:pPr>
              <w:spacing w:after="0" w:line="259" w:lineRule="auto"/>
              <w:rPr>
                <w:noProof/>
              </w:rPr>
            </w:pPr>
            <w:r w:rsidRPr="2758C537">
              <w:rPr>
                <w:rFonts w:ascii="Times New Roman" w:eastAsia="Times New Roman" w:hAnsi="Times New Roman" w:cs="Times New Roman"/>
                <w:noProof/>
                <w:sz w:val="22"/>
                <w:szCs w:val="22"/>
                <w:lang w:val="en-IE" w:eastAsia="en-GB"/>
              </w:rPr>
              <w:t xml:space="preserve"> Digitalisation of libraries</w:t>
            </w:r>
          </w:p>
        </w:tc>
        <w:tc>
          <w:tcPr>
            <w:tcW w:w="1216" w:type="dxa"/>
            <w:tcBorders>
              <w:top w:val="nil"/>
              <w:left w:val="nil"/>
              <w:bottom w:val="single" w:sz="4" w:space="0" w:color="auto"/>
              <w:right w:val="single" w:sz="4" w:space="0" w:color="auto"/>
            </w:tcBorders>
            <w:shd w:val="clear" w:color="auto" w:fill="C6EFCE"/>
          </w:tcPr>
          <w:p w14:paraId="1F8ED4D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4587A1F5" w14:textId="44C91353" w:rsidR="00137D7A" w:rsidRPr="00137D7A" w:rsidRDefault="049CF563" w:rsidP="00137D7A">
            <w:pPr>
              <w:spacing w:after="0" w:line="259" w:lineRule="auto"/>
              <w:rPr>
                <w:noProof/>
              </w:rPr>
            </w:pPr>
            <w:r w:rsidRPr="2758C537">
              <w:rPr>
                <w:rFonts w:ascii="Times New Roman" w:eastAsia="Aptos" w:hAnsi="Times New Roman" w:cs="Times New Roman"/>
                <w:noProof/>
                <w:sz w:val="22"/>
                <w:szCs w:val="22"/>
                <w:lang w:val="en-IE" w:eastAsia="en-US"/>
              </w:rPr>
              <w:t xml:space="preserve"> Digitalisation of libraries</w:t>
            </w:r>
          </w:p>
        </w:tc>
      </w:tr>
      <w:tr w:rsidR="00137D7A" w:rsidRPr="00137D7A" w14:paraId="087E2E0F"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2DA7232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RO-C[C7]-I[I17.0]-T[187]</w:t>
            </w:r>
          </w:p>
        </w:tc>
        <w:tc>
          <w:tcPr>
            <w:tcW w:w="3607" w:type="dxa"/>
            <w:tcBorders>
              <w:top w:val="nil"/>
              <w:left w:val="nil"/>
              <w:bottom w:val="single" w:sz="4" w:space="0" w:color="auto"/>
              <w:right w:val="single" w:sz="4" w:space="0" w:color="auto"/>
            </w:tcBorders>
            <w:shd w:val="clear" w:color="auto" w:fill="C6EFCE"/>
          </w:tcPr>
          <w:p w14:paraId="7FFBBF84" w14:textId="70F726E0" w:rsidR="00137D7A" w:rsidRPr="00137D7A" w:rsidRDefault="5BA4EC49" w:rsidP="00137D7A">
            <w:pPr>
              <w:spacing w:after="0" w:line="259" w:lineRule="auto"/>
              <w:rPr>
                <w:noProof/>
              </w:rPr>
            </w:pPr>
            <w:r w:rsidRPr="2758C537">
              <w:rPr>
                <w:rFonts w:ascii="Times New Roman" w:eastAsia="Aptos" w:hAnsi="Times New Roman" w:cs="Times New Roman"/>
                <w:noProof/>
                <w:color w:val="000000" w:themeColor="text1"/>
                <w:sz w:val="22"/>
                <w:szCs w:val="22"/>
                <w:lang w:val="en-IE" w:eastAsia="en-US"/>
              </w:rPr>
              <w:t xml:space="preserve"> Digitalisation of libraries</w:t>
            </w:r>
          </w:p>
        </w:tc>
        <w:tc>
          <w:tcPr>
            <w:tcW w:w="1216" w:type="dxa"/>
            <w:tcBorders>
              <w:top w:val="nil"/>
              <w:left w:val="nil"/>
              <w:bottom w:val="single" w:sz="4" w:space="0" w:color="auto"/>
              <w:right w:val="single" w:sz="4" w:space="0" w:color="auto"/>
            </w:tcBorders>
            <w:shd w:val="clear" w:color="auto" w:fill="C6EFCE"/>
          </w:tcPr>
          <w:p w14:paraId="77EF27E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2CDBD4C4" w14:textId="549B4367" w:rsidR="00137D7A" w:rsidRPr="00137D7A" w:rsidRDefault="00137D7A" w:rsidP="00137D7A">
            <w:pPr>
              <w:spacing w:after="0" w:line="259" w:lineRule="auto"/>
              <w:rPr>
                <w:noProof/>
              </w:rPr>
            </w:pPr>
            <w:r w:rsidRPr="2758C537">
              <w:rPr>
                <w:rFonts w:ascii="Times New Roman" w:eastAsia="Aptos" w:hAnsi="Times New Roman" w:cs="Times New Roman"/>
                <w:noProof/>
                <w:color w:val="000000" w:themeColor="text1"/>
                <w:sz w:val="22"/>
                <w:szCs w:val="22"/>
                <w:lang w:val="en-IE" w:eastAsia="en-US"/>
              </w:rPr>
              <w:t xml:space="preserve">Citizens who have received training for </w:t>
            </w:r>
            <w:r w:rsidR="1D0B8B80" w:rsidRPr="2758C537">
              <w:rPr>
                <w:rFonts w:ascii="Times New Roman" w:eastAsia="Aptos" w:hAnsi="Times New Roman" w:cs="Times New Roman"/>
                <w:noProof/>
                <w:color w:val="000000" w:themeColor="text1"/>
                <w:sz w:val="22"/>
                <w:szCs w:val="22"/>
                <w:lang w:val="en-IE" w:eastAsia="en-US"/>
              </w:rPr>
              <w:t>basic digital skills</w:t>
            </w:r>
          </w:p>
        </w:tc>
      </w:tr>
      <w:tr w:rsidR="00137D7A" w:rsidRPr="00137D7A" w14:paraId="15EAB0CB"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BB9BA8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RO-C[C7]-I[I19a.0]-M[190]</w:t>
            </w:r>
          </w:p>
        </w:tc>
        <w:tc>
          <w:tcPr>
            <w:tcW w:w="3607" w:type="dxa"/>
            <w:tcBorders>
              <w:top w:val="nil"/>
              <w:left w:val="nil"/>
              <w:bottom w:val="single" w:sz="4" w:space="0" w:color="auto"/>
              <w:right w:val="single" w:sz="4" w:space="0" w:color="auto"/>
            </w:tcBorders>
            <w:shd w:val="clear" w:color="auto" w:fill="C6EFCE"/>
          </w:tcPr>
          <w:p w14:paraId="4F35DF61" w14:textId="6375B323" w:rsidR="00137D7A" w:rsidRPr="00137D7A" w:rsidRDefault="003F70AE"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Pr>
                <w:rFonts w:ascii="Times New Roman" w:eastAsia="Times New Roman" w:hAnsi="Times New Roman" w:cs="Times New Roman"/>
                <w:noProof/>
                <w:kern w:val="2"/>
                <w:sz w:val="22"/>
                <w:szCs w:val="22"/>
                <w:lang w:val="en-IE" w:eastAsia="en-GB"/>
                <w14:ligatures w14:val="standardContextual"/>
              </w:rPr>
              <w:t>U</w:t>
            </w:r>
            <w:r w:rsidR="00137D7A" w:rsidRPr="00137D7A">
              <w:rPr>
                <w:rFonts w:ascii="Times New Roman" w:eastAsia="Times New Roman" w:hAnsi="Times New Roman" w:cs="Times New Roman"/>
                <w:noProof/>
                <w:kern w:val="2"/>
                <w:sz w:val="22"/>
                <w:szCs w:val="22"/>
                <w:lang w:val="en-IE" w:eastAsia="en-GB"/>
                <w14:ligatures w14:val="standardContextual"/>
              </w:rPr>
              <w:t>pskill</w:t>
            </w:r>
            <w:r>
              <w:rPr>
                <w:rFonts w:ascii="Times New Roman" w:eastAsia="Times New Roman" w:hAnsi="Times New Roman" w:cs="Times New Roman"/>
                <w:noProof/>
                <w:kern w:val="2"/>
                <w:sz w:val="22"/>
                <w:szCs w:val="22"/>
                <w:lang w:val="en-IE" w:eastAsia="en-GB"/>
                <w14:ligatures w14:val="standardContextual"/>
              </w:rPr>
              <w:t>ing</w:t>
            </w:r>
            <w:r w:rsidR="00137D7A" w:rsidRPr="00137D7A">
              <w:rPr>
                <w:rFonts w:ascii="Times New Roman" w:eastAsia="Times New Roman" w:hAnsi="Times New Roman" w:cs="Times New Roman"/>
                <w:noProof/>
                <w:kern w:val="2"/>
                <w:sz w:val="22"/>
                <w:szCs w:val="22"/>
                <w:lang w:val="en-IE" w:eastAsia="en-GB"/>
                <w14:ligatures w14:val="standardContextual"/>
              </w:rPr>
              <w:t>/reskill</w:t>
            </w:r>
            <w:r>
              <w:rPr>
                <w:rFonts w:ascii="Times New Roman" w:eastAsia="Times New Roman" w:hAnsi="Times New Roman" w:cs="Times New Roman"/>
                <w:noProof/>
                <w:kern w:val="2"/>
                <w:sz w:val="22"/>
                <w:szCs w:val="22"/>
                <w:lang w:val="en-IE" w:eastAsia="en-GB"/>
                <w14:ligatures w14:val="standardContextual"/>
              </w:rPr>
              <w:t>ing of</w:t>
            </w:r>
            <w:r w:rsidR="00137D7A" w:rsidRPr="00137D7A">
              <w:rPr>
                <w:rFonts w:ascii="Times New Roman" w:eastAsia="Times New Roman" w:hAnsi="Times New Roman" w:cs="Times New Roman"/>
                <w:noProof/>
                <w:kern w:val="2"/>
                <w:sz w:val="22"/>
                <w:szCs w:val="22"/>
                <w:lang w:val="en-IE" w:eastAsia="en-GB"/>
                <w14:ligatures w14:val="standardContextual"/>
              </w:rPr>
              <w:t xml:space="preserve"> employees in firms</w:t>
            </w:r>
          </w:p>
        </w:tc>
        <w:tc>
          <w:tcPr>
            <w:tcW w:w="1216" w:type="dxa"/>
            <w:tcBorders>
              <w:top w:val="nil"/>
              <w:left w:val="nil"/>
              <w:bottom w:val="single" w:sz="4" w:space="0" w:color="auto"/>
              <w:right w:val="single" w:sz="4" w:space="0" w:color="auto"/>
            </w:tcBorders>
            <w:shd w:val="clear" w:color="auto" w:fill="C6EFCE"/>
          </w:tcPr>
          <w:p w14:paraId="60C75C5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5B2E2FC0" w14:textId="79B118C6"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Training of SMEs</w:t>
            </w:r>
            <w:r w:rsidR="00D23D91">
              <w:rPr>
                <w:rFonts w:ascii="Times New Roman" w:eastAsia="Aptos" w:hAnsi="Times New Roman" w:cs="Times New Roman"/>
                <w:noProof/>
                <w:kern w:val="2"/>
                <w:sz w:val="22"/>
                <w:szCs w:val="22"/>
                <w:lang w:val="en-IE" w:eastAsia="en-US"/>
                <w14:ligatures w14:val="standardContextual"/>
              </w:rPr>
              <w:t xml:space="preserve"> </w:t>
            </w:r>
            <w:r w:rsidRPr="00137D7A">
              <w:rPr>
                <w:rFonts w:ascii="Times New Roman" w:eastAsia="Aptos" w:hAnsi="Times New Roman" w:cs="Times New Roman"/>
                <w:noProof/>
                <w:kern w:val="2"/>
                <w:sz w:val="22"/>
                <w:szCs w:val="22"/>
                <w:lang w:val="en-IE" w:eastAsia="en-US"/>
                <w14:ligatures w14:val="standardContextual"/>
              </w:rPr>
              <w:t>staff in digital skills</w:t>
            </w:r>
          </w:p>
        </w:tc>
      </w:tr>
      <w:tr w:rsidR="005B117D" w:rsidRPr="00137D7A" w14:paraId="392722C8"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5F524A30" w14:textId="77777777" w:rsidR="0088733C" w:rsidRPr="00137D7A" w:rsidRDefault="0088733C">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RO-C[C8]-R[R1.0]-T[196]</w:t>
            </w:r>
          </w:p>
        </w:tc>
        <w:tc>
          <w:tcPr>
            <w:tcW w:w="3607" w:type="dxa"/>
            <w:tcBorders>
              <w:top w:val="nil"/>
              <w:left w:val="nil"/>
              <w:bottom w:val="single" w:sz="4" w:space="0" w:color="auto"/>
              <w:right w:val="single" w:sz="4" w:space="0" w:color="auto"/>
            </w:tcBorders>
            <w:shd w:val="clear" w:color="auto" w:fill="C6EFCE"/>
          </w:tcPr>
          <w:p w14:paraId="72F509BF" w14:textId="77777777" w:rsidR="0088733C" w:rsidRPr="00137D7A" w:rsidRDefault="0088733C">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Reform of the National Agency for Fiscal Administration (ANAF) through digitalisation</w:t>
            </w:r>
          </w:p>
        </w:tc>
        <w:tc>
          <w:tcPr>
            <w:tcW w:w="1216" w:type="dxa"/>
            <w:tcBorders>
              <w:top w:val="nil"/>
              <w:left w:val="nil"/>
              <w:bottom w:val="single" w:sz="4" w:space="0" w:color="auto"/>
              <w:right w:val="single" w:sz="4" w:space="0" w:color="auto"/>
            </w:tcBorders>
            <w:shd w:val="clear" w:color="auto" w:fill="C6EFCE"/>
          </w:tcPr>
          <w:p w14:paraId="3D83DD52" w14:textId="77777777" w:rsidR="0088733C" w:rsidRPr="00137D7A" w:rsidRDefault="0088733C">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06CE733A" w14:textId="77777777" w:rsidR="0088733C" w:rsidRPr="00137D7A" w:rsidRDefault="0088733C">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Increase the share of revenues collected by the tax administration </w:t>
            </w:r>
          </w:p>
        </w:tc>
      </w:tr>
      <w:tr w:rsidR="00137D7A" w:rsidRPr="00137D7A" w14:paraId="72D5E90A"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78D1FA1"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RO-C[C8]-R[R5.0]-M[210]</w:t>
            </w:r>
          </w:p>
        </w:tc>
        <w:tc>
          <w:tcPr>
            <w:tcW w:w="3607" w:type="dxa"/>
            <w:tcBorders>
              <w:top w:val="nil"/>
              <w:left w:val="nil"/>
              <w:bottom w:val="single" w:sz="4" w:space="0" w:color="auto"/>
              <w:right w:val="single" w:sz="4" w:space="0" w:color="auto"/>
            </w:tcBorders>
            <w:shd w:val="clear" w:color="auto" w:fill="C6EFCE"/>
          </w:tcPr>
          <w:p w14:paraId="2C03530F" w14:textId="028D9623"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Establishment</w:t>
            </w:r>
            <w:r w:rsidR="00D23D91">
              <w:rPr>
                <w:rFonts w:ascii="Times New Roman" w:eastAsia="Aptos" w:hAnsi="Times New Roman" w:cs="Times New Roman"/>
                <w:noProof/>
                <w:color w:val="000000"/>
                <w:kern w:val="2"/>
                <w:sz w:val="22"/>
                <w:szCs w:val="22"/>
                <w:lang w:val="en-IE" w:eastAsia="en-US"/>
                <w14:ligatures w14:val="standardContextual"/>
              </w:rPr>
              <w:t xml:space="preserve"> </w:t>
            </w:r>
            <w:r w:rsidRPr="00137D7A">
              <w:rPr>
                <w:rFonts w:ascii="Times New Roman" w:eastAsia="Aptos" w:hAnsi="Times New Roman" w:cs="Times New Roman"/>
                <w:noProof/>
                <w:color w:val="000000"/>
                <w:kern w:val="2"/>
                <w:sz w:val="22"/>
                <w:szCs w:val="22"/>
                <w:lang w:val="en-IE" w:eastAsia="en-US"/>
                <w14:ligatures w14:val="standardContextual"/>
              </w:rPr>
              <w:t>of the National Development Bank</w:t>
            </w:r>
          </w:p>
        </w:tc>
        <w:tc>
          <w:tcPr>
            <w:tcW w:w="1216" w:type="dxa"/>
            <w:tcBorders>
              <w:top w:val="nil"/>
              <w:left w:val="nil"/>
              <w:bottom w:val="single" w:sz="4" w:space="0" w:color="auto"/>
              <w:right w:val="single" w:sz="4" w:space="0" w:color="auto"/>
            </w:tcBorders>
            <w:shd w:val="clear" w:color="auto" w:fill="C6EFCE"/>
          </w:tcPr>
          <w:p w14:paraId="16962BB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1A16AC1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National Development Bank is Pillar Assessed</w:t>
            </w:r>
          </w:p>
        </w:tc>
      </w:tr>
      <w:tr w:rsidR="00137D7A" w:rsidRPr="00137D7A" w14:paraId="728FD7D3"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35A254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RO-C[C8]-I[I1.0]-M[216]</w:t>
            </w:r>
          </w:p>
        </w:tc>
        <w:tc>
          <w:tcPr>
            <w:tcW w:w="3607" w:type="dxa"/>
            <w:tcBorders>
              <w:top w:val="nil"/>
              <w:left w:val="nil"/>
              <w:bottom w:val="single" w:sz="4" w:space="0" w:color="auto"/>
              <w:right w:val="single" w:sz="4" w:space="0" w:color="auto"/>
            </w:tcBorders>
            <w:shd w:val="clear" w:color="auto" w:fill="C6EFCE"/>
          </w:tcPr>
          <w:p w14:paraId="045536B8" w14:textId="3566350F"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Facilitating taxpayers’ compliance through </w:t>
            </w:r>
            <w:r w:rsidR="00FE47C8" w:rsidRPr="00FE47C8">
              <w:rPr>
                <w:rFonts w:ascii="Times New Roman" w:eastAsia="Aptos" w:hAnsi="Times New Roman" w:cs="Times New Roman"/>
                <w:noProof/>
                <w:color w:val="000000"/>
                <w:kern w:val="2"/>
                <w:sz w:val="22"/>
                <w:szCs w:val="22"/>
                <w:lang w:val="en-IE" w:eastAsia="en-US"/>
                <w14:ligatures w14:val="standardContextual"/>
              </w:rPr>
              <w:t>access to</w:t>
            </w:r>
            <w:r w:rsidR="00FE47C8" w:rsidRPr="00FE47C8" w:rsidDel="00FE47C8">
              <w:rPr>
                <w:rFonts w:ascii="Times New Roman" w:eastAsia="Aptos" w:hAnsi="Times New Roman" w:cs="Times New Roman"/>
                <w:noProof/>
                <w:color w:val="000000"/>
                <w:kern w:val="2"/>
                <w:sz w:val="22"/>
                <w:szCs w:val="22"/>
                <w:lang w:val="en-IE" w:eastAsia="en-US"/>
                <w14:ligatures w14:val="standardContextual"/>
              </w:rPr>
              <w:t xml:space="preserve"> </w:t>
            </w:r>
            <w:r w:rsidRPr="00137D7A">
              <w:rPr>
                <w:rFonts w:ascii="Times New Roman" w:eastAsia="Aptos" w:hAnsi="Times New Roman" w:cs="Times New Roman"/>
                <w:noProof/>
                <w:color w:val="000000"/>
                <w:kern w:val="2"/>
                <w:sz w:val="22"/>
                <w:szCs w:val="22"/>
                <w:lang w:val="en-IE" w:eastAsia="en-US"/>
                <w14:ligatures w14:val="standardContextual"/>
              </w:rPr>
              <w:t>digital services</w:t>
            </w:r>
          </w:p>
        </w:tc>
        <w:tc>
          <w:tcPr>
            <w:tcW w:w="1216" w:type="dxa"/>
            <w:tcBorders>
              <w:top w:val="nil"/>
              <w:left w:val="nil"/>
              <w:bottom w:val="single" w:sz="4" w:space="0" w:color="auto"/>
              <w:right w:val="single" w:sz="4" w:space="0" w:color="auto"/>
            </w:tcBorders>
            <w:shd w:val="clear" w:color="auto" w:fill="C6EFCE"/>
          </w:tcPr>
          <w:p w14:paraId="5420D21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0A296EE4"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Digital services and critical electronic systems are functional</w:t>
            </w:r>
          </w:p>
        </w:tc>
      </w:tr>
      <w:tr w:rsidR="00137D7A" w:rsidRPr="00137D7A" w14:paraId="75836205"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3579FE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RO-C[C8]-I[I1.0]-T[217]</w:t>
            </w:r>
          </w:p>
        </w:tc>
        <w:tc>
          <w:tcPr>
            <w:tcW w:w="3607" w:type="dxa"/>
            <w:tcBorders>
              <w:top w:val="nil"/>
              <w:left w:val="nil"/>
              <w:bottom w:val="single" w:sz="4" w:space="0" w:color="auto"/>
              <w:right w:val="single" w:sz="4" w:space="0" w:color="auto"/>
            </w:tcBorders>
            <w:shd w:val="clear" w:color="auto" w:fill="C6EFCE"/>
          </w:tcPr>
          <w:p w14:paraId="239F450E" w14:textId="2D0E5725"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Facilitating taxpayers’ compliance through </w:t>
            </w:r>
            <w:r w:rsidR="00FE47C8" w:rsidRPr="00FE47C8">
              <w:rPr>
                <w:rFonts w:ascii="Times New Roman" w:eastAsia="Aptos" w:hAnsi="Times New Roman" w:cs="Times New Roman"/>
                <w:noProof/>
                <w:color w:val="000000"/>
                <w:kern w:val="2"/>
                <w:sz w:val="22"/>
                <w:szCs w:val="22"/>
                <w:lang w:val="en-IE" w:eastAsia="en-US"/>
                <w14:ligatures w14:val="standardContextual"/>
              </w:rPr>
              <w:t>access to</w:t>
            </w:r>
            <w:r w:rsidR="00FE47C8" w:rsidRPr="00FE47C8" w:rsidDel="00FE47C8">
              <w:rPr>
                <w:rFonts w:ascii="Times New Roman" w:eastAsia="Aptos" w:hAnsi="Times New Roman" w:cs="Times New Roman"/>
                <w:noProof/>
                <w:color w:val="000000"/>
                <w:kern w:val="2"/>
                <w:sz w:val="22"/>
                <w:szCs w:val="22"/>
                <w:lang w:val="en-IE" w:eastAsia="en-US"/>
                <w14:ligatures w14:val="standardContextual"/>
              </w:rPr>
              <w:t xml:space="preserve"> </w:t>
            </w:r>
            <w:r w:rsidRPr="00137D7A">
              <w:rPr>
                <w:rFonts w:ascii="Times New Roman" w:eastAsia="Aptos" w:hAnsi="Times New Roman" w:cs="Times New Roman"/>
                <w:noProof/>
                <w:color w:val="000000"/>
                <w:kern w:val="2"/>
                <w:sz w:val="22"/>
                <w:szCs w:val="22"/>
                <w:lang w:val="en-IE" w:eastAsia="en-US"/>
                <w14:ligatures w14:val="standardContextual"/>
              </w:rPr>
              <w:t>digital services</w:t>
            </w:r>
          </w:p>
        </w:tc>
        <w:tc>
          <w:tcPr>
            <w:tcW w:w="1216" w:type="dxa"/>
            <w:tcBorders>
              <w:top w:val="nil"/>
              <w:left w:val="nil"/>
              <w:bottom w:val="single" w:sz="4" w:space="0" w:color="auto"/>
              <w:right w:val="single" w:sz="4" w:space="0" w:color="auto"/>
            </w:tcBorders>
            <w:shd w:val="clear" w:color="auto" w:fill="C6EFCE"/>
          </w:tcPr>
          <w:p w14:paraId="3028EA8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2CB9F89D" w14:textId="1A31DFFD"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Services to corporate taxpayers available online</w:t>
            </w:r>
          </w:p>
        </w:tc>
      </w:tr>
      <w:tr w:rsidR="00137D7A" w:rsidRPr="00137D7A" w14:paraId="7E8DF61D"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4C54427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RO-C[C8]-I[I1.0]-M[218]</w:t>
            </w:r>
          </w:p>
        </w:tc>
        <w:tc>
          <w:tcPr>
            <w:tcW w:w="3607" w:type="dxa"/>
            <w:tcBorders>
              <w:top w:val="nil"/>
              <w:left w:val="nil"/>
              <w:bottom w:val="single" w:sz="4" w:space="0" w:color="auto"/>
              <w:right w:val="single" w:sz="4" w:space="0" w:color="auto"/>
            </w:tcBorders>
            <w:shd w:val="clear" w:color="auto" w:fill="C6EFCE"/>
          </w:tcPr>
          <w:p w14:paraId="5787AC2C" w14:textId="066AB392"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Facilitating taxpayers’ compliance through </w:t>
            </w:r>
            <w:r w:rsidR="00CB5B55" w:rsidRPr="00CB5B55">
              <w:rPr>
                <w:rFonts w:ascii="Times New Roman" w:eastAsia="Aptos" w:hAnsi="Times New Roman" w:cs="Times New Roman"/>
                <w:noProof/>
                <w:color w:val="000000"/>
                <w:kern w:val="2"/>
                <w:sz w:val="22"/>
                <w:szCs w:val="22"/>
                <w:lang w:val="en-IE" w:eastAsia="en-US"/>
                <w14:ligatures w14:val="standardContextual"/>
              </w:rPr>
              <w:t xml:space="preserve">access to </w:t>
            </w:r>
            <w:r w:rsidRPr="00137D7A">
              <w:rPr>
                <w:rFonts w:ascii="Times New Roman" w:eastAsia="Aptos" w:hAnsi="Times New Roman" w:cs="Times New Roman"/>
                <w:noProof/>
                <w:color w:val="000000"/>
                <w:kern w:val="2"/>
                <w:sz w:val="22"/>
                <w:szCs w:val="22"/>
                <w:lang w:val="en-IE" w:eastAsia="en-US"/>
                <w14:ligatures w14:val="standardContextual"/>
              </w:rPr>
              <w:t>digital services</w:t>
            </w:r>
          </w:p>
        </w:tc>
        <w:tc>
          <w:tcPr>
            <w:tcW w:w="1216" w:type="dxa"/>
            <w:tcBorders>
              <w:top w:val="nil"/>
              <w:left w:val="nil"/>
              <w:bottom w:val="single" w:sz="4" w:space="0" w:color="auto"/>
              <w:right w:val="single" w:sz="4" w:space="0" w:color="auto"/>
            </w:tcBorders>
            <w:shd w:val="clear" w:color="auto" w:fill="C6EFCE"/>
          </w:tcPr>
          <w:p w14:paraId="0AE4EA0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0AF1EFEC" w14:textId="4677A68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Online platform for auction of real estate and mobile property with significant value is functional </w:t>
            </w:r>
          </w:p>
        </w:tc>
      </w:tr>
      <w:tr w:rsidR="00137D7A" w:rsidRPr="00137D7A" w14:paraId="27C8A9D7"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2727BE6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RO-C[C8]-I[I3.0]-M[227]</w:t>
            </w:r>
          </w:p>
        </w:tc>
        <w:tc>
          <w:tcPr>
            <w:tcW w:w="3607" w:type="dxa"/>
            <w:tcBorders>
              <w:top w:val="nil"/>
              <w:left w:val="nil"/>
              <w:bottom w:val="single" w:sz="4" w:space="0" w:color="auto"/>
              <w:right w:val="single" w:sz="4" w:space="0" w:color="auto"/>
            </w:tcBorders>
            <w:shd w:val="clear" w:color="auto" w:fill="C6EFCE"/>
          </w:tcPr>
          <w:p w14:paraId="3ABF753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Ensuring the capacity to respond to current and future information challenges, including in the context of the pandemic, through the digital transformation of Ministry of Finance/National Agency for Fiscal Administration</w:t>
            </w:r>
          </w:p>
        </w:tc>
        <w:tc>
          <w:tcPr>
            <w:tcW w:w="1216" w:type="dxa"/>
            <w:tcBorders>
              <w:top w:val="nil"/>
              <w:left w:val="nil"/>
              <w:bottom w:val="single" w:sz="4" w:space="0" w:color="auto"/>
              <w:right w:val="single" w:sz="4" w:space="0" w:color="auto"/>
            </w:tcBorders>
            <w:shd w:val="clear" w:color="auto" w:fill="C6EFCE"/>
          </w:tcPr>
          <w:p w14:paraId="5E00A0F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592CD3DD"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Modernisation of hardware and software infrastructure and of the support infrastructure for the provision of electronic services to taxpayers</w:t>
            </w:r>
          </w:p>
        </w:tc>
      </w:tr>
      <w:tr w:rsidR="009B445B" w:rsidRPr="00137D7A" w14:paraId="3FD22540"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58286DCD" w14:textId="77777777" w:rsidR="009B445B" w:rsidRPr="00137D7A" w:rsidRDefault="009B445B" w:rsidP="009B445B">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47749A">
              <w:rPr>
                <w:rFonts w:ascii="Times New Roman" w:eastAsia="Aptos" w:hAnsi="Times New Roman" w:cs="Times New Roman"/>
                <w:noProof/>
                <w:color w:val="000000"/>
                <w:kern w:val="2"/>
                <w:sz w:val="22"/>
                <w:szCs w:val="22"/>
                <w:lang w:val="en-IE" w:eastAsia="en-US"/>
                <w14:ligatures w14:val="standardContextual"/>
              </w:rPr>
              <w:t>RO-C[C8]-I[I3.0]-T[229]</w:t>
            </w:r>
          </w:p>
        </w:tc>
        <w:tc>
          <w:tcPr>
            <w:tcW w:w="3607" w:type="dxa"/>
            <w:tcBorders>
              <w:top w:val="nil"/>
              <w:left w:val="nil"/>
              <w:bottom w:val="single" w:sz="4" w:space="0" w:color="auto"/>
              <w:right w:val="single" w:sz="4" w:space="0" w:color="auto"/>
            </w:tcBorders>
            <w:shd w:val="clear" w:color="auto" w:fill="C6EFCE"/>
          </w:tcPr>
          <w:p w14:paraId="2209435E" w14:textId="77777777" w:rsidR="009B445B" w:rsidRPr="0047749A" w:rsidRDefault="009B445B" w:rsidP="009B445B">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47749A">
              <w:rPr>
                <w:rFonts w:ascii="Times New Roman" w:eastAsia="Aptos" w:hAnsi="Times New Roman" w:cs="Times New Roman"/>
                <w:noProof/>
                <w:color w:val="000000"/>
                <w:kern w:val="2"/>
                <w:sz w:val="22"/>
                <w:szCs w:val="22"/>
                <w:lang w:val="en-IE" w:eastAsia="en-US"/>
                <w14:ligatures w14:val="standardContextual"/>
              </w:rPr>
              <w:t>Ensuring the capacity to respond to current and future information challenges, including in the context of the pandemic, through the digital transformation of Ministry of Finance/National Agency for Fiscal Administration</w:t>
            </w:r>
          </w:p>
        </w:tc>
        <w:tc>
          <w:tcPr>
            <w:tcW w:w="1216" w:type="dxa"/>
            <w:tcBorders>
              <w:top w:val="nil"/>
              <w:left w:val="nil"/>
              <w:bottom w:val="single" w:sz="4" w:space="0" w:color="auto"/>
              <w:right w:val="single" w:sz="4" w:space="0" w:color="auto"/>
            </w:tcBorders>
            <w:shd w:val="clear" w:color="auto" w:fill="C6EFCE"/>
          </w:tcPr>
          <w:p w14:paraId="586A2438" w14:textId="77777777" w:rsidR="009B445B" w:rsidRPr="0047749A" w:rsidRDefault="009B445B" w:rsidP="009B445B">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47749A">
              <w:rPr>
                <w:rFonts w:ascii="Times New Roman" w:eastAsia="Aptos" w:hAnsi="Times New Roman" w:cs="Times New Roman"/>
                <w:noProof/>
                <w:color w:val="000000"/>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7AFC6596" w14:textId="62D41197" w:rsidR="009B445B" w:rsidRPr="0047749A" w:rsidRDefault="009B445B" w:rsidP="009B445B">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47749A">
              <w:rPr>
                <w:rFonts w:ascii="Times New Roman" w:eastAsia="Aptos" w:hAnsi="Times New Roman" w:cs="Times New Roman"/>
                <w:noProof/>
                <w:color w:val="000000"/>
                <w:kern w:val="2"/>
                <w:sz w:val="22"/>
                <w:szCs w:val="22"/>
                <w:lang w:val="en-IE" w:eastAsia="en-US"/>
                <w14:ligatures w14:val="standardContextual"/>
              </w:rPr>
              <w:t>80% of IT hardware and software infrastructure in the data centers was acquired</w:t>
            </w:r>
          </w:p>
        </w:tc>
      </w:tr>
      <w:tr w:rsidR="00DC4E45" w:rsidRPr="00137D7A" w14:paraId="64477E5B"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7BEBE888" w14:textId="1746AE20" w:rsidR="00DC4E45" w:rsidRPr="00DC4E45" w:rsidRDefault="00DC4E45" w:rsidP="00DC4E45">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DC4E45">
              <w:rPr>
                <w:rFonts w:ascii="Times New Roman" w:eastAsia="Aptos" w:hAnsi="Times New Roman" w:cs="Times New Roman"/>
                <w:noProof/>
                <w:color w:val="000000"/>
                <w:kern w:val="2"/>
                <w:sz w:val="22"/>
                <w:szCs w:val="22"/>
                <w:lang w:val="en-IE" w:eastAsia="en-US"/>
                <w14:ligatures w14:val="standardContextual"/>
              </w:rPr>
              <w:t>RO-C[C8]-I[I4.0]-T[232]</w:t>
            </w:r>
          </w:p>
        </w:tc>
        <w:tc>
          <w:tcPr>
            <w:tcW w:w="3607" w:type="dxa"/>
            <w:tcBorders>
              <w:top w:val="nil"/>
              <w:left w:val="nil"/>
              <w:bottom w:val="single" w:sz="4" w:space="0" w:color="auto"/>
              <w:right w:val="single" w:sz="4" w:space="0" w:color="auto"/>
            </w:tcBorders>
            <w:shd w:val="clear" w:color="auto" w:fill="C6EFCE"/>
          </w:tcPr>
          <w:p w14:paraId="244492E8" w14:textId="4EFE4658" w:rsidR="00DC4E45" w:rsidRPr="00DC4E45" w:rsidRDefault="00DC4E45" w:rsidP="00DC4E45">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DC4E45">
              <w:rPr>
                <w:rFonts w:ascii="Times New Roman" w:eastAsia="Aptos" w:hAnsi="Times New Roman" w:cs="Times New Roman"/>
                <w:noProof/>
                <w:color w:val="000000"/>
                <w:kern w:val="2"/>
                <w:sz w:val="22"/>
                <w:szCs w:val="22"/>
                <w:lang w:val="en-IE" w:eastAsia="en-US"/>
                <w14:ligatures w14:val="standardContextual"/>
              </w:rPr>
              <w:t>Establishment of electronic customs</w:t>
            </w:r>
          </w:p>
        </w:tc>
        <w:tc>
          <w:tcPr>
            <w:tcW w:w="1216" w:type="dxa"/>
            <w:tcBorders>
              <w:top w:val="nil"/>
              <w:left w:val="nil"/>
              <w:bottom w:val="single" w:sz="4" w:space="0" w:color="auto"/>
              <w:right w:val="single" w:sz="4" w:space="0" w:color="auto"/>
            </w:tcBorders>
            <w:shd w:val="clear" w:color="auto" w:fill="C6EFCE"/>
          </w:tcPr>
          <w:p w14:paraId="75C49E87" w14:textId="492A9ECE" w:rsidR="00DC4E45" w:rsidRPr="00DC4E45" w:rsidRDefault="00DC4E45" w:rsidP="00DC4E45">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DC4E45">
              <w:rPr>
                <w:rFonts w:ascii="Times New Roman" w:eastAsia="Aptos" w:hAnsi="Times New Roman" w:cs="Times New Roman"/>
                <w:noProof/>
                <w:color w:val="000000"/>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13028F7E" w14:textId="40E7F65E" w:rsidR="00DC4E45" w:rsidRPr="00DC4E45" w:rsidRDefault="00DC4E45" w:rsidP="00DC4E45">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DC4E45">
              <w:rPr>
                <w:rFonts w:ascii="Times New Roman" w:eastAsia="Aptos" w:hAnsi="Times New Roman" w:cs="Times New Roman"/>
                <w:noProof/>
                <w:color w:val="000000"/>
                <w:kern w:val="2"/>
                <w:sz w:val="22"/>
                <w:szCs w:val="22"/>
                <w:lang w:val="en-IE" w:eastAsia="en-US"/>
                <w14:ligatures w14:val="standardContextual"/>
              </w:rPr>
              <w:t xml:space="preserve">Interventions for IT systems </w:t>
            </w:r>
          </w:p>
        </w:tc>
      </w:tr>
      <w:tr w:rsidR="00137D7A" w:rsidRPr="00137D7A" w14:paraId="53D50846"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810421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RO-C[C9]-I[I5.a]-T[281]</w:t>
            </w:r>
          </w:p>
        </w:tc>
        <w:tc>
          <w:tcPr>
            <w:tcW w:w="3607" w:type="dxa"/>
            <w:tcBorders>
              <w:top w:val="nil"/>
              <w:left w:val="nil"/>
              <w:bottom w:val="single" w:sz="4" w:space="0" w:color="auto"/>
              <w:right w:val="single" w:sz="4" w:space="0" w:color="auto"/>
            </w:tcBorders>
            <w:shd w:val="clear" w:color="auto" w:fill="C6EFCE"/>
          </w:tcPr>
          <w:p w14:paraId="52C4F0C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Establishment of Competence Centres</w:t>
            </w:r>
          </w:p>
        </w:tc>
        <w:tc>
          <w:tcPr>
            <w:tcW w:w="1216" w:type="dxa"/>
            <w:tcBorders>
              <w:top w:val="nil"/>
              <w:left w:val="nil"/>
              <w:bottom w:val="single" w:sz="4" w:space="0" w:color="auto"/>
              <w:right w:val="single" w:sz="4" w:space="0" w:color="auto"/>
            </w:tcBorders>
            <w:shd w:val="clear" w:color="auto" w:fill="C6EFCE"/>
          </w:tcPr>
          <w:p w14:paraId="6856F75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6B5C6D2B" w14:textId="773C759C" w:rsidR="00137D7A" w:rsidRPr="00137D7A" w:rsidRDefault="00AF24A1"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AF24A1">
              <w:rPr>
                <w:rFonts w:ascii="Times New Roman" w:eastAsia="Aptos" w:hAnsi="Times New Roman" w:cs="Times New Roman"/>
                <w:noProof/>
                <w:kern w:val="2"/>
                <w:sz w:val="22"/>
                <w:szCs w:val="22"/>
                <w:lang w:val="en-IE" w:eastAsia="en-US"/>
                <w14:ligatures w14:val="standardContextual"/>
              </w:rPr>
              <w:t>Enterprises receiving funding for research, development and innovation activities </w:t>
            </w:r>
          </w:p>
        </w:tc>
      </w:tr>
      <w:tr w:rsidR="00137D7A" w:rsidRPr="00137D7A" w14:paraId="4502C2C4"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2EAB56CC"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RO-C[C10]-R[R1.0]-T[293]</w:t>
            </w:r>
          </w:p>
        </w:tc>
        <w:tc>
          <w:tcPr>
            <w:tcW w:w="3607" w:type="dxa"/>
            <w:tcBorders>
              <w:top w:val="nil"/>
              <w:left w:val="nil"/>
              <w:bottom w:val="single" w:sz="4" w:space="0" w:color="auto"/>
              <w:right w:val="single" w:sz="4" w:space="0" w:color="auto"/>
            </w:tcBorders>
            <w:shd w:val="clear" w:color="auto" w:fill="C6EFCE"/>
          </w:tcPr>
          <w:p w14:paraId="7E2DA32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Creating the framework for sustainable urban mobility</w:t>
            </w:r>
          </w:p>
        </w:tc>
        <w:tc>
          <w:tcPr>
            <w:tcW w:w="1216" w:type="dxa"/>
            <w:tcBorders>
              <w:top w:val="nil"/>
              <w:left w:val="nil"/>
              <w:bottom w:val="single" w:sz="4" w:space="0" w:color="auto"/>
              <w:right w:val="single" w:sz="4" w:space="0" w:color="auto"/>
            </w:tcBorders>
            <w:shd w:val="clear" w:color="auto" w:fill="C6EFCE"/>
          </w:tcPr>
          <w:p w14:paraId="37D80CB8"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766CBFB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20% increase in yearly total passenger volume using local public transport in 2025 compared to 2019</w:t>
            </w:r>
          </w:p>
        </w:tc>
      </w:tr>
      <w:tr w:rsidR="00137D7A" w:rsidRPr="00137D7A" w14:paraId="31F36D8A"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5F6AE8D"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RO-C[C10]-I[I1.0]-T[300]</w:t>
            </w:r>
          </w:p>
        </w:tc>
        <w:tc>
          <w:tcPr>
            <w:tcW w:w="3607" w:type="dxa"/>
            <w:tcBorders>
              <w:top w:val="nil"/>
              <w:left w:val="nil"/>
              <w:bottom w:val="single" w:sz="4" w:space="0" w:color="auto"/>
              <w:right w:val="single" w:sz="4" w:space="0" w:color="auto"/>
            </w:tcBorders>
            <w:shd w:val="clear" w:color="auto" w:fill="C6EFCE"/>
          </w:tcPr>
          <w:p w14:paraId="3393066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Sustainable urban mobility</w:t>
            </w:r>
          </w:p>
        </w:tc>
        <w:tc>
          <w:tcPr>
            <w:tcW w:w="1216" w:type="dxa"/>
            <w:tcBorders>
              <w:top w:val="nil"/>
              <w:left w:val="nil"/>
              <w:bottom w:val="single" w:sz="4" w:space="0" w:color="auto"/>
              <w:right w:val="single" w:sz="4" w:space="0" w:color="auto"/>
            </w:tcBorders>
            <w:shd w:val="clear" w:color="auto" w:fill="C6EFCE"/>
          </w:tcPr>
          <w:p w14:paraId="2A6A6E13"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500D86A6"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Administrative Territorial Units with delivered or expanded Intelligent transport systems and e-ticketing or other ICT infrastructures</w:t>
            </w:r>
          </w:p>
        </w:tc>
      </w:tr>
      <w:tr w:rsidR="00137D7A" w:rsidRPr="00137D7A" w14:paraId="67175C98"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2BE1BCD"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RO-C[C12]-R[R3.0]-M[361]</w:t>
            </w:r>
          </w:p>
        </w:tc>
        <w:tc>
          <w:tcPr>
            <w:tcW w:w="3607" w:type="dxa"/>
            <w:tcBorders>
              <w:top w:val="nil"/>
              <w:left w:val="nil"/>
              <w:bottom w:val="single" w:sz="4" w:space="0" w:color="auto"/>
              <w:right w:val="single" w:sz="4" w:space="0" w:color="auto"/>
            </w:tcBorders>
            <w:shd w:val="clear" w:color="auto" w:fill="C6EFCE"/>
          </w:tcPr>
          <w:p w14:paraId="323D6B0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Increased capacity for health management and human resources in health</w:t>
            </w:r>
          </w:p>
        </w:tc>
        <w:tc>
          <w:tcPr>
            <w:tcW w:w="1216" w:type="dxa"/>
            <w:tcBorders>
              <w:top w:val="nil"/>
              <w:left w:val="nil"/>
              <w:bottom w:val="single" w:sz="4" w:space="0" w:color="auto"/>
              <w:right w:val="single" w:sz="4" w:space="0" w:color="auto"/>
            </w:tcBorders>
            <w:shd w:val="clear" w:color="auto" w:fill="C6EFCE"/>
          </w:tcPr>
          <w:p w14:paraId="7940BAEB"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434FCA7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Training for healthcare staff</w:t>
            </w:r>
          </w:p>
        </w:tc>
      </w:tr>
      <w:tr w:rsidR="00137D7A" w:rsidRPr="00137D7A" w14:paraId="7D236C5C"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06482ED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RO-C[C13]-R[R1.0]-T[379]</w:t>
            </w:r>
          </w:p>
        </w:tc>
        <w:tc>
          <w:tcPr>
            <w:tcW w:w="3607" w:type="dxa"/>
            <w:tcBorders>
              <w:top w:val="nil"/>
              <w:left w:val="nil"/>
              <w:bottom w:val="single" w:sz="4" w:space="0" w:color="auto"/>
              <w:right w:val="single" w:sz="4" w:space="0" w:color="auto"/>
            </w:tcBorders>
            <w:shd w:val="clear" w:color="auto" w:fill="C6EFCE"/>
          </w:tcPr>
          <w:p w14:paraId="1A3A2FCC"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Creating a new legal framework to prevent the separation of children from their families</w:t>
            </w:r>
          </w:p>
        </w:tc>
        <w:tc>
          <w:tcPr>
            <w:tcW w:w="1216" w:type="dxa"/>
            <w:tcBorders>
              <w:top w:val="nil"/>
              <w:left w:val="nil"/>
              <w:bottom w:val="single" w:sz="4" w:space="0" w:color="auto"/>
              <w:right w:val="single" w:sz="4" w:space="0" w:color="auto"/>
            </w:tcBorders>
            <w:shd w:val="clear" w:color="auto" w:fill="C6EFCE"/>
          </w:tcPr>
          <w:p w14:paraId="45486D5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06978058"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Reducing the number of children entering the social protection system</w:t>
            </w:r>
          </w:p>
        </w:tc>
      </w:tr>
      <w:tr w:rsidR="00137D7A" w:rsidRPr="00137D7A" w14:paraId="6878279C"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5300EEB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RO-C[C14]-R[R1.0]-M[407]</w:t>
            </w:r>
          </w:p>
        </w:tc>
        <w:tc>
          <w:tcPr>
            <w:tcW w:w="3607" w:type="dxa"/>
            <w:tcBorders>
              <w:top w:val="nil"/>
              <w:left w:val="nil"/>
              <w:bottom w:val="single" w:sz="4" w:space="0" w:color="auto"/>
              <w:right w:val="single" w:sz="4" w:space="0" w:color="auto"/>
            </w:tcBorders>
            <w:shd w:val="clear" w:color="auto" w:fill="C6EFCE"/>
          </w:tcPr>
          <w:p w14:paraId="65D2047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Enhancing the quality of</w:t>
            </w:r>
            <w:r w:rsidRPr="00137D7A">
              <w:rPr>
                <w:rFonts w:ascii="Times New Roman" w:eastAsia="Calibri" w:hAnsi="Times New Roman" w:cs="Times New Roman"/>
                <w:noProof/>
                <w:color w:val="000000"/>
                <w:kern w:val="2"/>
                <w:sz w:val="22"/>
                <w:szCs w:val="22"/>
                <w:lang w:val="en-IE" w:eastAsia="en-US"/>
                <w14:ligatures w14:val="standardContextual"/>
              </w:rPr>
              <w:t xml:space="preserve"> </w:t>
            </w:r>
            <w:r w:rsidRPr="00137D7A">
              <w:rPr>
                <w:rFonts w:ascii="Times New Roman" w:eastAsia="Times New Roman" w:hAnsi="Times New Roman" w:cs="Times New Roman"/>
                <w:noProof/>
                <w:color w:val="000000"/>
                <w:kern w:val="2"/>
                <w:sz w:val="22"/>
                <w:szCs w:val="22"/>
                <w:lang w:val="en-IE" w:eastAsia="en-US"/>
                <w14:ligatures w14:val="standardContextual"/>
              </w:rPr>
              <w:t>government decision-making</w:t>
            </w:r>
            <w:r w:rsidRPr="00137D7A">
              <w:rPr>
                <w:rFonts w:ascii="Times New Roman" w:eastAsia="Times New Roman" w:hAnsi="Times New Roman" w:cs="Times New Roman"/>
                <w:noProof/>
                <w:kern w:val="2"/>
                <w:sz w:val="22"/>
                <w:szCs w:val="22"/>
                <w:lang w:val="en-IE" w:eastAsia="en-US"/>
                <w14:ligatures w14:val="standardContextual"/>
              </w:rPr>
              <w:t xml:space="preserve"> </w:t>
            </w:r>
          </w:p>
        </w:tc>
        <w:tc>
          <w:tcPr>
            <w:tcW w:w="1216" w:type="dxa"/>
            <w:tcBorders>
              <w:top w:val="nil"/>
              <w:left w:val="nil"/>
              <w:bottom w:val="single" w:sz="4" w:space="0" w:color="auto"/>
              <w:right w:val="single" w:sz="4" w:space="0" w:color="auto"/>
            </w:tcBorders>
            <w:shd w:val="clear" w:color="auto" w:fill="C6EFCE"/>
          </w:tcPr>
          <w:p w14:paraId="450164D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6185E391" w14:textId="6578E971" w:rsidR="00137D7A" w:rsidRPr="00137D7A" w:rsidRDefault="00E155D1"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E155D1">
              <w:rPr>
                <w:rFonts w:ascii="Times New Roman" w:eastAsia="Times New Roman" w:hAnsi="Times New Roman" w:cs="Times New Roman"/>
                <w:noProof/>
                <w:color w:val="000000"/>
                <w:kern w:val="2"/>
                <w:sz w:val="22"/>
                <w:szCs w:val="22"/>
                <w:lang w:val="en-IE" w:eastAsia="en-US"/>
                <w14:ligatures w14:val="standardContextual"/>
              </w:rPr>
              <w:t>The Plan for Better Regulation 2026 – 2030 </w:t>
            </w:r>
          </w:p>
        </w:tc>
      </w:tr>
      <w:tr w:rsidR="00137D7A" w:rsidRPr="00137D7A" w14:paraId="22779020"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494882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RO-C[C14]-R[R3.0]-M[416]</w:t>
            </w:r>
          </w:p>
        </w:tc>
        <w:tc>
          <w:tcPr>
            <w:tcW w:w="3607" w:type="dxa"/>
            <w:tcBorders>
              <w:top w:val="nil"/>
              <w:left w:val="nil"/>
              <w:bottom w:val="single" w:sz="4" w:space="0" w:color="auto"/>
              <w:right w:val="single" w:sz="4" w:space="0" w:color="auto"/>
            </w:tcBorders>
            <w:shd w:val="clear" w:color="auto" w:fill="C6EFCE"/>
          </w:tcPr>
          <w:p w14:paraId="31372884" w14:textId="0FEEDCA3"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US"/>
                <w14:ligatures w14:val="standardContextual"/>
              </w:rPr>
              <w:t>Modernising human resources management in the public sector</w:t>
            </w:r>
            <w:r w:rsidR="00D23D91">
              <w:rPr>
                <w:rFonts w:ascii="Times New Roman" w:eastAsia="Times New Roman" w:hAnsi="Times New Roman" w:cs="Times New Roman"/>
                <w:noProof/>
                <w:kern w:val="2"/>
                <w:sz w:val="22"/>
                <w:szCs w:val="22"/>
                <w:lang w:val="en-IE" w:eastAsia="en-US"/>
                <w14:ligatures w14:val="standardContextual"/>
              </w:rPr>
              <w:t xml:space="preserve"> </w:t>
            </w:r>
          </w:p>
        </w:tc>
        <w:tc>
          <w:tcPr>
            <w:tcW w:w="1216" w:type="dxa"/>
            <w:tcBorders>
              <w:top w:val="nil"/>
              <w:left w:val="nil"/>
              <w:bottom w:val="single" w:sz="4" w:space="0" w:color="auto"/>
              <w:right w:val="single" w:sz="4" w:space="0" w:color="auto"/>
            </w:tcBorders>
            <w:shd w:val="clear" w:color="auto" w:fill="C6EFCE"/>
          </w:tcPr>
          <w:p w14:paraId="2C1A113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7F134CD5" w14:textId="77777777" w:rsidR="00137D7A" w:rsidRPr="00137D7A" w:rsidRDefault="00137D7A" w:rsidP="00137D7A">
            <w:pPr>
              <w:spacing w:after="0" w:line="240"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US"/>
                <w14:ligatures w14:val="standardContextual"/>
              </w:rPr>
              <w:t xml:space="preserve">Pilot competition and organization of national civil servant recruitment competition </w:t>
            </w:r>
          </w:p>
        </w:tc>
      </w:tr>
      <w:tr w:rsidR="00137D7A" w:rsidRPr="00137D7A" w14:paraId="4E0688A6"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5FE0E22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RO-C[C15]-I[I3.0]-T[460]</w:t>
            </w:r>
          </w:p>
        </w:tc>
        <w:tc>
          <w:tcPr>
            <w:tcW w:w="3607" w:type="dxa"/>
            <w:tcBorders>
              <w:top w:val="nil"/>
              <w:left w:val="nil"/>
              <w:bottom w:val="single" w:sz="4" w:space="0" w:color="auto"/>
              <w:right w:val="single" w:sz="4" w:space="0" w:color="auto"/>
            </w:tcBorders>
            <w:shd w:val="clear" w:color="auto" w:fill="C6EFCE"/>
          </w:tcPr>
          <w:p w14:paraId="51500945"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Framework programme for the continuous training of professionals in early-childhood education services</w:t>
            </w:r>
          </w:p>
        </w:tc>
        <w:tc>
          <w:tcPr>
            <w:tcW w:w="1216" w:type="dxa"/>
            <w:tcBorders>
              <w:top w:val="nil"/>
              <w:left w:val="nil"/>
              <w:bottom w:val="single" w:sz="4" w:space="0" w:color="auto"/>
              <w:right w:val="single" w:sz="4" w:space="0" w:color="auto"/>
            </w:tcBorders>
            <w:shd w:val="clear" w:color="auto" w:fill="C6EFCE"/>
          </w:tcPr>
          <w:p w14:paraId="06806A8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07832A9D" w14:textId="77777777" w:rsidR="00137D7A" w:rsidRPr="00137D7A" w:rsidRDefault="00137D7A" w:rsidP="00137D7A">
            <w:pPr>
              <w:spacing w:after="0" w:line="240" w:lineRule="auto"/>
              <w:jc w:val="both"/>
              <w:rPr>
                <w:rFonts w:ascii="Times New Roman" w:eastAsia="Times New Roman"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Participants trained</w:t>
            </w:r>
          </w:p>
        </w:tc>
      </w:tr>
      <w:tr w:rsidR="00137D7A" w:rsidRPr="00137D7A" w14:paraId="7FD42F03"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BB52A4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RO-C[C15]-I[I8.0]-T[480]</w:t>
            </w:r>
          </w:p>
        </w:tc>
        <w:tc>
          <w:tcPr>
            <w:tcW w:w="3607" w:type="dxa"/>
            <w:tcBorders>
              <w:top w:val="nil"/>
              <w:left w:val="nil"/>
              <w:bottom w:val="single" w:sz="4" w:space="0" w:color="auto"/>
              <w:right w:val="single" w:sz="4" w:space="0" w:color="auto"/>
            </w:tcBorders>
            <w:shd w:val="clear" w:color="auto" w:fill="C6EFCE"/>
          </w:tcPr>
          <w:p w14:paraId="20250905" w14:textId="53579D46"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Digital pedagogy</w:t>
            </w:r>
            <w:r w:rsidR="00D23D91">
              <w:rPr>
                <w:rFonts w:ascii="Times New Roman" w:eastAsia="Times New Roman" w:hAnsi="Times New Roman" w:cs="Times New Roman"/>
                <w:noProof/>
                <w:kern w:val="2"/>
                <w:sz w:val="22"/>
                <w:szCs w:val="22"/>
                <w:lang w:val="en-IE" w:eastAsia="en-GB"/>
                <w14:ligatures w14:val="standardContextual"/>
              </w:rPr>
              <w:t xml:space="preserve"> </w:t>
            </w:r>
            <w:r w:rsidRPr="00137D7A">
              <w:rPr>
                <w:rFonts w:ascii="Times New Roman" w:eastAsia="Times New Roman" w:hAnsi="Times New Roman" w:cs="Times New Roman"/>
                <w:noProof/>
                <w:kern w:val="2"/>
                <w:sz w:val="22"/>
                <w:szCs w:val="22"/>
                <w:lang w:val="en-IE" w:eastAsia="en-GB"/>
                <w14:ligatures w14:val="standardContextual"/>
              </w:rPr>
              <w:t>training programme</w:t>
            </w:r>
            <w:r w:rsidR="0027152C">
              <w:rPr>
                <w:rFonts w:ascii="Times New Roman" w:eastAsia="Times New Roman" w:hAnsi="Times New Roman" w:cs="Times New Roman"/>
                <w:noProof/>
                <w:kern w:val="2"/>
                <w:sz w:val="22"/>
                <w:szCs w:val="22"/>
                <w:lang w:val="en-IE" w:eastAsia="en-GB"/>
                <w14:ligatures w14:val="standardContextual"/>
              </w:rPr>
              <w:t>(s)</w:t>
            </w:r>
            <w:r w:rsidRPr="00137D7A">
              <w:rPr>
                <w:rFonts w:ascii="Times New Roman" w:eastAsia="Times New Roman" w:hAnsi="Times New Roman" w:cs="Times New Roman"/>
                <w:noProof/>
                <w:kern w:val="2"/>
                <w:sz w:val="22"/>
                <w:szCs w:val="22"/>
                <w:lang w:val="en-IE" w:eastAsia="en-GB"/>
                <w14:ligatures w14:val="standardContextual"/>
              </w:rPr>
              <w:t xml:space="preserve"> for teaching staff</w:t>
            </w:r>
          </w:p>
        </w:tc>
        <w:tc>
          <w:tcPr>
            <w:tcW w:w="1216" w:type="dxa"/>
            <w:tcBorders>
              <w:top w:val="nil"/>
              <w:left w:val="nil"/>
              <w:bottom w:val="single" w:sz="4" w:space="0" w:color="auto"/>
              <w:right w:val="single" w:sz="4" w:space="0" w:color="auto"/>
            </w:tcBorders>
            <w:shd w:val="clear" w:color="auto" w:fill="C6EFCE"/>
          </w:tcPr>
          <w:p w14:paraId="47D7C31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3B63D44C"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Teachers trained for digital pedagogy and skills</w:t>
            </w:r>
          </w:p>
        </w:tc>
      </w:tr>
      <w:tr w:rsidR="00137D7A" w:rsidRPr="00137D7A" w14:paraId="31D2B57C"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0A1C8A44"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RO-C[C15]-I[I9.0]-M[482]</w:t>
            </w:r>
          </w:p>
        </w:tc>
        <w:tc>
          <w:tcPr>
            <w:tcW w:w="3607" w:type="dxa"/>
            <w:tcBorders>
              <w:top w:val="nil"/>
              <w:left w:val="nil"/>
              <w:bottom w:val="single" w:sz="4" w:space="0" w:color="auto"/>
              <w:right w:val="single" w:sz="4" w:space="0" w:color="auto"/>
            </w:tcBorders>
            <w:shd w:val="clear" w:color="auto" w:fill="C6EFCE"/>
          </w:tcPr>
          <w:p w14:paraId="03F11611" w14:textId="6AA072FC" w:rsidR="00137D7A" w:rsidRPr="00137D7A" w:rsidRDefault="00BF4CF8"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Pr>
                <w:rFonts w:ascii="Times New Roman" w:eastAsia="Times New Roman" w:hAnsi="Times New Roman" w:cs="Times New Roman"/>
                <w:noProof/>
                <w:kern w:val="2"/>
                <w:sz w:val="22"/>
                <w:szCs w:val="22"/>
                <w:lang w:val="en-IE" w:eastAsia="en-GB"/>
                <w14:ligatures w14:val="standardContextual"/>
              </w:rPr>
              <w:t>D</w:t>
            </w:r>
            <w:r w:rsidR="00137D7A" w:rsidRPr="00137D7A">
              <w:rPr>
                <w:rFonts w:ascii="Times New Roman" w:eastAsia="Times New Roman" w:hAnsi="Times New Roman" w:cs="Times New Roman"/>
                <w:noProof/>
                <w:kern w:val="2"/>
                <w:sz w:val="22"/>
                <w:szCs w:val="22"/>
                <w:lang w:val="en-IE" w:eastAsia="en-GB"/>
                <w14:ligatures w14:val="standardContextual"/>
              </w:rPr>
              <w:t xml:space="preserve">igital equipment and technological resources for schools </w:t>
            </w:r>
            <w:r w:rsidR="00137D7A" w:rsidRPr="00137D7A">
              <w:rPr>
                <w:rFonts w:ascii="Times New Roman" w:eastAsia="Aptos" w:hAnsi="Times New Roman" w:cs="Times New Roman"/>
                <w:noProof/>
                <w:kern w:val="2"/>
                <w:sz w:val="22"/>
                <w:szCs w:val="22"/>
                <w:lang w:val="en-IE" w:eastAsia="en-US"/>
                <w14:ligatures w14:val="standardContextual"/>
              </w:rPr>
              <w:t>and extracurricular educational establishments</w:t>
            </w:r>
          </w:p>
        </w:tc>
        <w:tc>
          <w:tcPr>
            <w:tcW w:w="1216" w:type="dxa"/>
            <w:tcBorders>
              <w:top w:val="nil"/>
              <w:left w:val="nil"/>
              <w:bottom w:val="single" w:sz="4" w:space="0" w:color="auto"/>
              <w:right w:val="single" w:sz="4" w:space="0" w:color="auto"/>
            </w:tcBorders>
            <w:shd w:val="clear" w:color="auto" w:fill="C6EFCE"/>
          </w:tcPr>
          <w:p w14:paraId="52E848F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34440DD0"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Schools and extracurricular educational establishments equipped with technological resources </w:t>
            </w:r>
          </w:p>
        </w:tc>
      </w:tr>
      <w:tr w:rsidR="00137D7A" w:rsidRPr="00137D7A" w14:paraId="074F9847"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7B89367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RO-C[C15]-I[I11.0]-M[491]</w:t>
            </w:r>
          </w:p>
        </w:tc>
        <w:tc>
          <w:tcPr>
            <w:tcW w:w="3607" w:type="dxa"/>
            <w:tcBorders>
              <w:top w:val="nil"/>
              <w:left w:val="nil"/>
              <w:bottom w:val="single" w:sz="4" w:space="0" w:color="auto"/>
              <w:right w:val="single" w:sz="4" w:space="0" w:color="auto"/>
            </w:tcBorders>
            <w:shd w:val="clear" w:color="auto" w:fill="C6EFCE"/>
          </w:tcPr>
          <w:p w14:paraId="59FBDDC1" w14:textId="28680CB5"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 xml:space="preserve">Provision of </w:t>
            </w:r>
            <w:r w:rsidR="00F739D6">
              <w:rPr>
                <w:rFonts w:ascii="Times New Roman" w:eastAsia="Times New Roman" w:hAnsi="Times New Roman" w:cs="Times New Roman"/>
                <w:noProof/>
                <w:kern w:val="2"/>
                <w:sz w:val="22"/>
                <w:szCs w:val="22"/>
                <w:lang w:val="en-IE" w:eastAsia="en-GB"/>
                <w14:ligatures w14:val="standardContextual"/>
              </w:rPr>
              <w:t>equipment</w:t>
            </w:r>
            <w:r w:rsidR="00F739D6" w:rsidRPr="00137D7A">
              <w:rPr>
                <w:rFonts w:ascii="Times New Roman" w:eastAsia="Times New Roman" w:hAnsi="Times New Roman" w:cs="Times New Roman"/>
                <w:noProof/>
                <w:kern w:val="2"/>
                <w:sz w:val="22"/>
                <w:szCs w:val="22"/>
                <w:lang w:val="en-IE" w:eastAsia="en-GB"/>
                <w14:ligatures w14:val="standardContextual"/>
              </w:rPr>
              <w:t xml:space="preserve"> </w:t>
            </w:r>
            <w:r w:rsidRPr="00137D7A">
              <w:rPr>
                <w:rFonts w:ascii="Times New Roman" w:eastAsia="Times New Roman" w:hAnsi="Times New Roman" w:cs="Times New Roman"/>
                <w:noProof/>
                <w:kern w:val="2"/>
                <w:sz w:val="22"/>
                <w:szCs w:val="22"/>
                <w:lang w:val="en-IE" w:eastAsia="en-GB"/>
                <w14:ligatures w14:val="standardContextual"/>
              </w:rPr>
              <w:t>for pre-university classrooms and school science laboratories/school cabinets</w:t>
            </w:r>
          </w:p>
        </w:tc>
        <w:tc>
          <w:tcPr>
            <w:tcW w:w="1216" w:type="dxa"/>
            <w:tcBorders>
              <w:top w:val="nil"/>
              <w:left w:val="nil"/>
              <w:bottom w:val="single" w:sz="4" w:space="0" w:color="auto"/>
              <w:right w:val="single" w:sz="4" w:space="0" w:color="auto"/>
            </w:tcBorders>
            <w:shd w:val="clear" w:color="auto" w:fill="C6EFCE"/>
          </w:tcPr>
          <w:p w14:paraId="2E7723A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2B9ED49F"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Pre-university classrooms and science laboratories/school cabinets equipped</w:t>
            </w:r>
          </w:p>
        </w:tc>
      </w:tr>
      <w:tr w:rsidR="00137D7A" w:rsidRPr="00137D7A" w14:paraId="62382245"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3919E55"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RO-C[C15]-I[I14.0]-M[497]</w:t>
            </w:r>
          </w:p>
        </w:tc>
        <w:tc>
          <w:tcPr>
            <w:tcW w:w="3607" w:type="dxa"/>
            <w:tcBorders>
              <w:top w:val="nil"/>
              <w:left w:val="nil"/>
              <w:bottom w:val="single" w:sz="4" w:space="0" w:color="auto"/>
              <w:right w:val="single" w:sz="4" w:space="0" w:color="auto"/>
            </w:tcBorders>
            <w:shd w:val="clear" w:color="auto" w:fill="C6EFCE"/>
          </w:tcPr>
          <w:p w14:paraId="5473E1B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Equipping of practice workshops in VET schools</w:t>
            </w:r>
          </w:p>
        </w:tc>
        <w:tc>
          <w:tcPr>
            <w:tcW w:w="1216" w:type="dxa"/>
            <w:tcBorders>
              <w:top w:val="nil"/>
              <w:left w:val="nil"/>
              <w:bottom w:val="single" w:sz="4" w:space="0" w:color="auto"/>
              <w:right w:val="single" w:sz="4" w:space="0" w:color="auto"/>
            </w:tcBorders>
            <w:shd w:val="clear" w:color="auto" w:fill="C6EFCE"/>
          </w:tcPr>
          <w:p w14:paraId="7CA81F1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58BCE8B4"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Practice workshops</w:t>
            </w:r>
            <w:r w:rsidRPr="00137D7A">
              <w:rPr>
                <w:rFonts w:ascii="Times New Roman" w:eastAsia="Aptos" w:hAnsi="Times New Roman" w:cs="Times New Roman"/>
                <w:noProof/>
                <w:kern w:val="2"/>
                <w:sz w:val="22"/>
                <w:szCs w:val="22"/>
                <w:lang w:val="en-IE" w:eastAsia="en-US"/>
                <w14:ligatures w14:val="standardContextual"/>
              </w:rPr>
              <w:t xml:space="preserve"> in VET schools equipped </w:t>
            </w:r>
          </w:p>
        </w:tc>
      </w:tr>
      <w:tr w:rsidR="00137D7A" w:rsidRPr="00137D7A" w14:paraId="11F30FD6"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E87ABF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RO-C[C15]-I[I16a.0]-T[502]</w:t>
            </w:r>
          </w:p>
        </w:tc>
        <w:tc>
          <w:tcPr>
            <w:tcW w:w="3607" w:type="dxa"/>
            <w:tcBorders>
              <w:top w:val="nil"/>
              <w:left w:val="nil"/>
              <w:bottom w:val="single" w:sz="4" w:space="0" w:color="auto"/>
              <w:right w:val="single" w:sz="4" w:space="0" w:color="auto"/>
            </w:tcBorders>
            <w:shd w:val="clear" w:color="auto" w:fill="C6EFCE"/>
          </w:tcPr>
          <w:p w14:paraId="55DC5EE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Digitalisation of universities and preparation for the digital professions of the future</w:t>
            </w:r>
          </w:p>
        </w:tc>
        <w:tc>
          <w:tcPr>
            <w:tcW w:w="1216" w:type="dxa"/>
            <w:tcBorders>
              <w:top w:val="nil"/>
              <w:left w:val="nil"/>
              <w:bottom w:val="single" w:sz="4" w:space="0" w:color="auto"/>
              <w:right w:val="single" w:sz="4" w:space="0" w:color="auto"/>
            </w:tcBorders>
            <w:shd w:val="clear" w:color="auto" w:fill="C6EFCE"/>
          </w:tcPr>
          <w:p w14:paraId="02324ED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5F065B8D"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Universities supported </w:t>
            </w:r>
          </w:p>
        </w:tc>
      </w:tr>
      <w:tr w:rsidR="00137D7A" w:rsidRPr="00137D7A" w14:paraId="17446BE6"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34B3468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RO-C[C16]-R[R1.0]-M[508]</w:t>
            </w:r>
          </w:p>
        </w:tc>
        <w:tc>
          <w:tcPr>
            <w:tcW w:w="3607" w:type="dxa"/>
            <w:tcBorders>
              <w:top w:val="nil"/>
              <w:left w:val="nil"/>
              <w:bottom w:val="single" w:sz="4" w:space="0" w:color="auto"/>
              <w:right w:val="single" w:sz="4" w:space="0" w:color="auto"/>
            </w:tcBorders>
            <w:shd w:val="clear" w:color="auto" w:fill="C6EFCE"/>
          </w:tcPr>
          <w:p w14:paraId="5CA5955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Creating a legal framework for the use of state land as acceleration areas for RES investments</w:t>
            </w:r>
          </w:p>
        </w:tc>
        <w:tc>
          <w:tcPr>
            <w:tcW w:w="1216" w:type="dxa"/>
            <w:tcBorders>
              <w:top w:val="nil"/>
              <w:left w:val="nil"/>
              <w:bottom w:val="single" w:sz="4" w:space="0" w:color="auto"/>
              <w:right w:val="single" w:sz="4" w:space="0" w:color="auto"/>
            </w:tcBorders>
            <w:shd w:val="clear" w:color="auto" w:fill="C6EFCE"/>
          </w:tcPr>
          <w:p w14:paraId="575E09F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4DB0EB6C"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US"/>
                <w14:ligatures w14:val="standardContextual"/>
              </w:rPr>
              <w:t xml:space="preserve"> Equipment for State Domains Agency (ADS)</w:t>
            </w:r>
          </w:p>
        </w:tc>
      </w:tr>
      <w:tr w:rsidR="00137D7A" w:rsidRPr="00137D7A" w14:paraId="206796D3"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36EC0BF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RO-C[C16]-R[R1.0]-M[509]</w:t>
            </w:r>
          </w:p>
        </w:tc>
        <w:tc>
          <w:tcPr>
            <w:tcW w:w="3607" w:type="dxa"/>
            <w:tcBorders>
              <w:top w:val="nil"/>
              <w:left w:val="nil"/>
              <w:bottom w:val="single" w:sz="4" w:space="0" w:color="auto"/>
              <w:right w:val="single" w:sz="4" w:space="0" w:color="auto"/>
            </w:tcBorders>
            <w:shd w:val="clear" w:color="auto" w:fill="C6EFCE"/>
          </w:tcPr>
          <w:p w14:paraId="1894633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Creating a legal framework for the use of state land as acceleration areas for RES investments</w:t>
            </w:r>
          </w:p>
        </w:tc>
        <w:tc>
          <w:tcPr>
            <w:tcW w:w="1216" w:type="dxa"/>
            <w:tcBorders>
              <w:top w:val="nil"/>
              <w:left w:val="nil"/>
              <w:bottom w:val="single" w:sz="4" w:space="0" w:color="auto"/>
              <w:right w:val="single" w:sz="4" w:space="0" w:color="auto"/>
            </w:tcBorders>
            <w:shd w:val="clear" w:color="auto" w:fill="C6EFCE"/>
          </w:tcPr>
          <w:p w14:paraId="0FAF165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4AF7D307" w14:textId="2A98A64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Entry into force of legal act</w:t>
            </w:r>
            <w:r w:rsidR="000D4687">
              <w:rPr>
                <w:rFonts w:ascii="Times New Roman" w:eastAsia="Aptos" w:hAnsi="Times New Roman" w:cs="Times New Roman"/>
                <w:noProof/>
                <w:color w:val="000000"/>
                <w:kern w:val="2"/>
                <w:sz w:val="22"/>
                <w:szCs w:val="22"/>
                <w:lang w:val="en-IE" w:eastAsia="en-US"/>
                <w14:ligatures w14:val="standardContextual"/>
              </w:rPr>
              <w:t>(</w:t>
            </w:r>
            <w:r w:rsidRPr="00137D7A">
              <w:rPr>
                <w:rFonts w:ascii="Times New Roman" w:eastAsia="Aptos" w:hAnsi="Times New Roman" w:cs="Times New Roman"/>
                <w:noProof/>
                <w:color w:val="000000"/>
                <w:kern w:val="2"/>
                <w:sz w:val="22"/>
                <w:szCs w:val="22"/>
                <w:lang w:val="en-IE" w:eastAsia="en-US"/>
                <w14:ligatures w14:val="standardContextual"/>
              </w:rPr>
              <w:t>s</w:t>
            </w:r>
            <w:r w:rsidR="000D4687">
              <w:rPr>
                <w:rFonts w:ascii="Times New Roman" w:eastAsia="Aptos" w:hAnsi="Times New Roman" w:cs="Times New Roman"/>
                <w:noProof/>
                <w:color w:val="000000"/>
                <w:kern w:val="2"/>
                <w:sz w:val="22"/>
                <w:szCs w:val="22"/>
                <w:lang w:val="en-IE" w:eastAsia="en-US"/>
                <w14:ligatures w14:val="standardContextual"/>
              </w:rPr>
              <w:t>)</w:t>
            </w:r>
          </w:p>
        </w:tc>
      </w:tr>
      <w:tr w:rsidR="00137D7A" w:rsidRPr="00137D7A" w14:paraId="05FEBEF2"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4111E9F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RO-C[C16]-R[R1.0]-M[510]</w:t>
            </w:r>
          </w:p>
        </w:tc>
        <w:tc>
          <w:tcPr>
            <w:tcW w:w="3607" w:type="dxa"/>
            <w:tcBorders>
              <w:top w:val="nil"/>
              <w:left w:val="nil"/>
              <w:bottom w:val="single" w:sz="4" w:space="0" w:color="auto"/>
              <w:right w:val="single" w:sz="4" w:space="0" w:color="auto"/>
            </w:tcBorders>
            <w:shd w:val="clear" w:color="auto" w:fill="C6EFCE"/>
          </w:tcPr>
          <w:p w14:paraId="674A070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Creating a legal framework for the use of state land as acceleration areas for RES investments</w:t>
            </w:r>
          </w:p>
        </w:tc>
        <w:tc>
          <w:tcPr>
            <w:tcW w:w="1216" w:type="dxa"/>
            <w:tcBorders>
              <w:top w:val="nil"/>
              <w:left w:val="nil"/>
              <w:bottom w:val="single" w:sz="4" w:space="0" w:color="auto"/>
              <w:right w:val="single" w:sz="4" w:space="0" w:color="auto"/>
            </w:tcBorders>
            <w:shd w:val="clear" w:color="auto" w:fill="C6EFCE"/>
          </w:tcPr>
          <w:p w14:paraId="1DFD081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0F2B2A34"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Setting-up of a single national register for the state-owned land</w:t>
            </w:r>
          </w:p>
        </w:tc>
      </w:tr>
      <w:tr w:rsidR="00137D7A" w:rsidRPr="00137D7A" w14:paraId="3DC61CCE"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8F00A4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RO-C[C16]-I[I2.0]-T[125]</w:t>
            </w:r>
          </w:p>
        </w:tc>
        <w:tc>
          <w:tcPr>
            <w:tcW w:w="3607" w:type="dxa"/>
            <w:tcBorders>
              <w:top w:val="nil"/>
              <w:left w:val="nil"/>
              <w:bottom w:val="single" w:sz="4" w:space="0" w:color="auto"/>
              <w:right w:val="single" w:sz="4" w:space="0" w:color="auto"/>
            </w:tcBorders>
            <w:shd w:val="clear" w:color="auto" w:fill="C6EFCE"/>
          </w:tcPr>
          <w:p w14:paraId="4BC720C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New capacities for electricity generation from renewable sources</w:t>
            </w:r>
          </w:p>
        </w:tc>
        <w:tc>
          <w:tcPr>
            <w:tcW w:w="1216" w:type="dxa"/>
            <w:tcBorders>
              <w:top w:val="nil"/>
              <w:left w:val="nil"/>
              <w:bottom w:val="single" w:sz="4" w:space="0" w:color="auto"/>
              <w:right w:val="single" w:sz="4" w:space="0" w:color="auto"/>
            </w:tcBorders>
            <w:shd w:val="clear" w:color="auto" w:fill="C6EFCE"/>
          </w:tcPr>
          <w:p w14:paraId="3140799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1185316F"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Capacity installed and connected to the grid</w:t>
            </w:r>
          </w:p>
        </w:tc>
      </w:tr>
      <w:tr w:rsidR="00137D7A" w:rsidRPr="00137D7A" w14:paraId="12003A2B"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744BEE7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RO-C[C16]-I[I5.0]-T[520]</w:t>
            </w:r>
          </w:p>
        </w:tc>
        <w:tc>
          <w:tcPr>
            <w:tcW w:w="3607" w:type="dxa"/>
            <w:tcBorders>
              <w:top w:val="nil"/>
              <w:left w:val="nil"/>
              <w:bottom w:val="single" w:sz="4" w:space="0" w:color="auto"/>
              <w:right w:val="single" w:sz="4" w:space="0" w:color="auto"/>
            </w:tcBorders>
            <w:shd w:val="clear" w:color="auto" w:fill="C6EFCE"/>
          </w:tcPr>
          <w:p w14:paraId="20092195"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Digitalisation and modernisation of the national electricity transmission network</w:t>
            </w:r>
            <w:r w:rsidRPr="00137D7A">
              <w:rPr>
                <w:rFonts w:ascii="Times New Roman" w:eastAsia="Times New Roman" w:hAnsi="Times New Roman" w:cs="Times New Roman"/>
                <w:noProof/>
                <w:kern w:val="2"/>
                <w:sz w:val="22"/>
                <w:szCs w:val="22"/>
                <w:lang w:val="en-IE" w:eastAsia="en-US"/>
                <w14:ligatures w14:val="standardContextual"/>
              </w:rPr>
              <w:t xml:space="preserve"> </w:t>
            </w:r>
          </w:p>
        </w:tc>
        <w:tc>
          <w:tcPr>
            <w:tcW w:w="1216" w:type="dxa"/>
            <w:tcBorders>
              <w:top w:val="nil"/>
              <w:left w:val="nil"/>
              <w:bottom w:val="single" w:sz="4" w:space="0" w:color="auto"/>
              <w:right w:val="single" w:sz="4" w:space="0" w:color="auto"/>
            </w:tcBorders>
            <w:shd w:val="clear" w:color="auto" w:fill="C6EFCE"/>
          </w:tcPr>
          <w:p w14:paraId="195A017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65" w:type="dxa"/>
            <w:tcBorders>
              <w:top w:val="nil"/>
              <w:left w:val="nil"/>
              <w:bottom w:val="single" w:sz="4" w:space="0" w:color="auto"/>
              <w:right w:val="single" w:sz="4" w:space="0" w:color="auto"/>
            </w:tcBorders>
            <w:shd w:val="clear" w:color="auto" w:fill="C6EFCE"/>
          </w:tcPr>
          <w:p w14:paraId="2CF6C56A" w14:textId="3ABC4975"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Average </w:t>
            </w:r>
            <w:r w:rsidR="006A15EB" w:rsidRPr="006A15EB">
              <w:rPr>
                <w:rFonts w:ascii="Times New Roman" w:eastAsia="Aptos" w:hAnsi="Times New Roman" w:cs="Times New Roman"/>
                <w:noProof/>
                <w:color w:val="000000"/>
                <w:kern w:val="2"/>
                <w:sz w:val="22"/>
                <w:szCs w:val="22"/>
                <w:lang w:val="en-IE" w:eastAsia="en-US"/>
                <w14:ligatures w14:val="standardContextual"/>
              </w:rPr>
              <w:t>duration</w:t>
            </w:r>
            <w:r w:rsidRPr="00137D7A">
              <w:rPr>
                <w:rFonts w:ascii="Times New Roman" w:eastAsia="Aptos" w:hAnsi="Times New Roman" w:cs="Times New Roman"/>
                <w:noProof/>
                <w:color w:val="000000"/>
                <w:kern w:val="2"/>
                <w:sz w:val="22"/>
                <w:szCs w:val="22"/>
                <w:lang w:val="en-IE" w:eastAsia="en-US"/>
                <w14:ligatures w14:val="standardContextual"/>
              </w:rPr>
              <w:t xml:space="preserve"> of interventions on the TSO’s network</w:t>
            </w:r>
          </w:p>
        </w:tc>
      </w:tr>
      <w:tr w:rsidR="00137D7A" w:rsidRPr="00137D7A" w14:paraId="05AC045B"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2DC4421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RO-C[C16]-I[I5.]-M[522]</w:t>
            </w:r>
          </w:p>
        </w:tc>
        <w:tc>
          <w:tcPr>
            <w:tcW w:w="3607" w:type="dxa"/>
            <w:tcBorders>
              <w:top w:val="nil"/>
              <w:left w:val="nil"/>
              <w:bottom w:val="single" w:sz="4" w:space="0" w:color="auto"/>
              <w:right w:val="single" w:sz="4" w:space="0" w:color="auto"/>
            </w:tcBorders>
            <w:shd w:val="clear" w:color="auto" w:fill="C6EFCE"/>
          </w:tcPr>
          <w:p w14:paraId="5D2918B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Digitalisation and modernisation of the national electricity transmission network</w:t>
            </w:r>
            <w:r w:rsidRPr="00137D7A">
              <w:rPr>
                <w:rFonts w:ascii="Times New Roman" w:eastAsia="Times New Roman" w:hAnsi="Times New Roman" w:cs="Times New Roman"/>
                <w:noProof/>
                <w:kern w:val="2"/>
                <w:sz w:val="22"/>
                <w:szCs w:val="22"/>
                <w:lang w:val="en-IE" w:eastAsia="en-US"/>
                <w14:ligatures w14:val="standardContextual"/>
              </w:rPr>
              <w:t xml:space="preserve"> </w:t>
            </w:r>
          </w:p>
        </w:tc>
        <w:tc>
          <w:tcPr>
            <w:tcW w:w="1216" w:type="dxa"/>
            <w:tcBorders>
              <w:top w:val="nil"/>
              <w:left w:val="nil"/>
              <w:bottom w:val="single" w:sz="4" w:space="0" w:color="auto"/>
              <w:right w:val="single" w:sz="4" w:space="0" w:color="auto"/>
            </w:tcBorders>
            <w:shd w:val="clear" w:color="auto" w:fill="C6EFCE"/>
          </w:tcPr>
          <w:p w14:paraId="0CA7126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w:t>
            </w:r>
          </w:p>
        </w:tc>
        <w:tc>
          <w:tcPr>
            <w:tcW w:w="3465" w:type="dxa"/>
            <w:tcBorders>
              <w:top w:val="nil"/>
              <w:left w:val="nil"/>
              <w:bottom w:val="single" w:sz="4" w:space="0" w:color="auto"/>
              <w:right w:val="single" w:sz="4" w:space="0" w:color="auto"/>
            </w:tcBorders>
            <w:shd w:val="clear" w:color="auto" w:fill="C6EFCE"/>
          </w:tcPr>
          <w:p w14:paraId="007AE4E6"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Data centre in use</w:t>
            </w:r>
          </w:p>
        </w:tc>
      </w:tr>
      <w:tr w:rsidR="00137D7A" w:rsidRPr="00137D7A" w14:paraId="1E0F0BF7" w14:textId="77777777" w:rsidTr="00BD01A2">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332FBE6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p>
        </w:tc>
        <w:tc>
          <w:tcPr>
            <w:tcW w:w="3607" w:type="dxa"/>
            <w:tcBorders>
              <w:top w:val="single" w:sz="4" w:space="0" w:color="auto"/>
              <w:left w:val="nil"/>
              <w:bottom w:val="single" w:sz="4" w:space="0" w:color="auto"/>
              <w:right w:val="single" w:sz="4" w:space="0" w:color="auto"/>
            </w:tcBorders>
            <w:shd w:val="clear" w:color="auto" w:fill="C6EFCE"/>
          </w:tcPr>
          <w:p w14:paraId="49A81BE4"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p>
        </w:tc>
        <w:tc>
          <w:tcPr>
            <w:tcW w:w="1216" w:type="dxa"/>
            <w:tcBorders>
              <w:top w:val="single" w:sz="4" w:space="0" w:color="auto"/>
              <w:left w:val="nil"/>
              <w:bottom w:val="single" w:sz="4" w:space="0" w:color="auto"/>
              <w:right w:val="single" w:sz="4" w:space="0" w:color="auto"/>
            </w:tcBorders>
            <w:shd w:val="clear" w:color="auto" w:fill="C6EFCE"/>
          </w:tcPr>
          <w:p w14:paraId="5142C34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Instalment Amount</w:t>
            </w:r>
          </w:p>
        </w:tc>
        <w:tc>
          <w:tcPr>
            <w:tcW w:w="3465" w:type="dxa"/>
            <w:tcBorders>
              <w:top w:val="single" w:sz="4" w:space="0" w:color="auto"/>
              <w:left w:val="nil"/>
              <w:bottom w:val="single" w:sz="4" w:space="0" w:color="auto"/>
              <w:right w:val="single" w:sz="4" w:space="0" w:color="auto"/>
            </w:tcBorders>
            <w:shd w:val="clear" w:color="auto" w:fill="C6EFCE"/>
            <w:vAlign w:val="center"/>
          </w:tcPr>
          <w:p w14:paraId="094B0517" w14:textId="77777777" w:rsidR="00137D7A" w:rsidRPr="00137D7A" w:rsidRDefault="00137D7A" w:rsidP="00137D7A">
            <w:pPr>
              <w:spacing w:after="0" w:line="259" w:lineRule="auto"/>
              <w:jc w:val="right"/>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EUR 1 921 906 723</w:t>
            </w:r>
          </w:p>
        </w:tc>
      </w:tr>
    </w:tbl>
    <w:p w14:paraId="424AB695" w14:textId="77777777" w:rsidR="00137D7A" w:rsidRPr="00137D7A"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bCs/>
          <w:i/>
          <w:noProof/>
          <w:lang w:val="fr-FR" w:eastAsia="en-US"/>
        </w:rPr>
      </w:pPr>
      <w:r w:rsidRPr="00137D7A">
        <w:rPr>
          <w:rFonts w:ascii="Times New Roman" w:eastAsia="Times New Roman" w:hAnsi="Times New Roman" w:cs="Times New Roman"/>
          <w:bCs/>
          <w:i/>
          <w:noProof/>
          <w:lang w:val="fr-FR" w:eastAsia="en-US"/>
        </w:rPr>
        <w:t xml:space="preserve">2.1.6 Sixth Instalment (non-repayable support): </w:t>
      </w:r>
    </w:p>
    <w:tbl>
      <w:tblPr>
        <w:tblW w:w="9635" w:type="dxa"/>
        <w:tblInd w:w="113" w:type="dxa"/>
        <w:tblLook w:val="04A0" w:firstRow="1" w:lastRow="0" w:firstColumn="1" w:lastColumn="0" w:noHBand="0" w:noVBand="1"/>
      </w:tblPr>
      <w:tblGrid>
        <w:gridCol w:w="1413"/>
        <w:gridCol w:w="9"/>
        <w:gridCol w:w="3535"/>
        <w:gridCol w:w="1275"/>
        <w:gridCol w:w="10"/>
        <w:gridCol w:w="3393"/>
      </w:tblGrid>
      <w:tr w:rsidR="00137D7A" w:rsidRPr="00137D7A" w14:paraId="261AA432" w14:textId="77777777" w:rsidTr="00BA040A">
        <w:trPr>
          <w:trHeight w:val="906"/>
          <w:tblHeader/>
        </w:trPr>
        <w:tc>
          <w:tcPr>
            <w:tcW w:w="1422"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4B4047"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Sequential Number</w:t>
            </w:r>
          </w:p>
        </w:tc>
        <w:tc>
          <w:tcPr>
            <w:tcW w:w="35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CEDCEF1"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Related Measure</w:t>
            </w:r>
          </w:p>
          <w:p w14:paraId="3A28C3A6"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(Reform or Investment)</w:t>
            </w:r>
          </w:p>
        </w:tc>
        <w:tc>
          <w:tcPr>
            <w:tcW w:w="1285"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E697D0"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Milestone / Target</w:t>
            </w:r>
          </w:p>
        </w:tc>
        <w:tc>
          <w:tcPr>
            <w:tcW w:w="339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5ADE9A"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Name</w:t>
            </w:r>
          </w:p>
        </w:tc>
      </w:tr>
      <w:tr w:rsidR="00137D7A" w:rsidRPr="00137D7A" w14:paraId="13979E9A" w14:textId="77777777" w:rsidTr="00BA040A">
        <w:trPr>
          <w:trHeight w:val="509"/>
          <w:tblHeader/>
        </w:trPr>
        <w:tc>
          <w:tcPr>
            <w:tcW w:w="1422" w:type="dxa"/>
            <w:gridSpan w:val="2"/>
            <w:vMerge/>
            <w:tcBorders>
              <w:top w:val="single" w:sz="4" w:space="0" w:color="auto"/>
              <w:left w:val="single" w:sz="4" w:space="0" w:color="auto"/>
              <w:bottom w:val="single" w:sz="4" w:space="0" w:color="auto"/>
              <w:right w:val="single" w:sz="4" w:space="0" w:color="auto"/>
            </w:tcBorders>
            <w:vAlign w:val="center"/>
            <w:hideMark/>
          </w:tcPr>
          <w:p w14:paraId="6719DB5E" w14:textId="77777777" w:rsidR="00137D7A" w:rsidRPr="00137D7A"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3535" w:type="dxa"/>
            <w:vMerge/>
            <w:tcBorders>
              <w:top w:val="single" w:sz="4" w:space="0" w:color="auto"/>
              <w:left w:val="single" w:sz="4" w:space="0" w:color="auto"/>
              <w:bottom w:val="single" w:sz="4" w:space="0" w:color="auto"/>
              <w:right w:val="single" w:sz="4" w:space="0" w:color="auto"/>
            </w:tcBorders>
            <w:vAlign w:val="center"/>
            <w:hideMark/>
          </w:tcPr>
          <w:p w14:paraId="660190BE"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c>
          <w:tcPr>
            <w:tcW w:w="1285" w:type="dxa"/>
            <w:gridSpan w:val="2"/>
            <w:vMerge/>
            <w:tcBorders>
              <w:top w:val="single" w:sz="4" w:space="0" w:color="auto"/>
              <w:left w:val="single" w:sz="4" w:space="0" w:color="auto"/>
              <w:bottom w:val="single" w:sz="4" w:space="0" w:color="auto"/>
              <w:right w:val="single" w:sz="4" w:space="0" w:color="auto"/>
            </w:tcBorders>
            <w:vAlign w:val="center"/>
            <w:hideMark/>
          </w:tcPr>
          <w:p w14:paraId="651AC2EE" w14:textId="77777777" w:rsidR="00137D7A" w:rsidRPr="00137D7A" w:rsidRDefault="00137D7A" w:rsidP="00137D7A">
            <w:pPr>
              <w:spacing w:after="0" w:line="259" w:lineRule="auto"/>
              <w:jc w:val="center"/>
              <w:rPr>
                <w:rFonts w:ascii="Times New Roman" w:eastAsia="Times New Roman" w:hAnsi="Times New Roman" w:cs="Times New Roman"/>
                <w:b/>
                <w:bCs/>
                <w:noProof/>
                <w:kern w:val="2"/>
                <w:sz w:val="22"/>
                <w:szCs w:val="22"/>
                <w:lang w:val="en-IE" w:eastAsia="en-GB"/>
                <w14:ligatures w14:val="standardContextual"/>
              </w:rPr>
            </w:pPr>
          </w:p>
        </w:tc>
        <w:tc>
          <w:tcPr>
            <w:tcW w:w="3393" w:type="dxa"/>
            <w:vMerge/>
            <w:tcBorders>
              <w:top w:val="single" w:sz="4" w:space="0" w:color="auto"/>
              <w:left w:val="single" w:sz="4" w:space="0" w:color="auto"/>
              <w:bottom w:val="single" w:sz="4" w:space="0" w:color="auto"/>
              <w:right w:val="single" w:sz="4" w:space="0" w:color="auto"/>
            </w:tcBorders>
            <w:vAlign w:val="center"/>
            <w:hideMark/>
          </w:tcPr>
          <w:p w14:paraId="4EB5129B"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r>
      <w:tr w:rsidR="00137D7A" w:rsidRPr="00137D7A" w14:paraId="2F1C975E"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3AAC28B4"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RO-C[C4]-I[I1.0]-M[75b]</w:t>
            </w:r>
          </w:p>
        </w:tc>
        <w:tc>
          <w:tcPr>
            <w:tcW w:w="3535" w:type="dxa"/>
            <w:tcBorders>
              <w:top w:val="single" w:sz="4" w:space="0" w:color="auto"/>
              <w:left w:val="nil"/>
              <w:bottom w:val="single" w:sz="4" w:space="0" w:color="auto"/>
              <w:right w:val="single" w:sz="4" w:space="0" w:color="auto"/>
            </w:tcBorders>
            <w:shd w:val="clear" w:color="auto" w:fill="C6EFCE"/>
            <w:noWrap/>
          </w:tcPr>
          <w:p w14:paraId="79A2420D" w14:textId="7A131B8C" w:rsidR="00137D7A" w:rsidRPr="00137D7A" w:rsidRDefault="006A3A59"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6A3A59">
              <w:rPr>
                <w:rFonts w:ascii="Times New Roman" w:eastAsia="Aptos" w:hAnsi="Times New Roman" w:cs="Times New Roman"/>
                <w:noProof/>
                <w:kern w:val="2"/>
                <w:sz w:val="22"/>
                <w:szCs w:val="22"/>
                <w:lang w:val="en-IE" w:eastAsia="en-US"/>
                <w14:ligatures w14:val="standardContextual"/>
              </w:rPr>
              <w:t>Modernisation and/or upgrading of railway infrastructure</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60CCE38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393" w:type="dxa"/>
            <w:tcBorders>
              <w:top w:val="single" w:sz="4" w:space="0" w:color="auto"/>
              <w:left w:val="nil"/>
              <w:bottom w:val="single" w:sz="4" w:space="0" w:color="auto"/>
              <w:right w:val="single" w:sz="4" w:space="0" w:color="auto"/>
            </w:tcBorders>
            <w:shd w:val="clear" w:color="auto" w:fill="C6EFCE"/>
            <w:noWrap/>
          </w:tcPr>
          <w:p w14:paraId="2F42C216" w14:textId="0ABDF6EF"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Modernised</w:t>
            </w:r>
            <w:r w:rsidR="00C43D00">
              <w:rPr>
                <w:rFonts w:ascii="Times New Roman" w:eastAsia="Aptos" w:hAnsi="Times New Roman" w:cs="Times New Roman"/>
                <w:noProof/>
                <w:kern w:val="2"/>
                <w:sz w:val="22"/>
                <w:szCs w:val="22"/>
                <w:lang w:val="en-IE" w:eastAsia="en-US"/>
                <w14:ligatures w14:val="standardContextual"/>
              </w:rPr>
              <w:t xml:space="preserve"> </w:t>
            </w:r>
            <w:r w:rsidR="00C43D00" w:rsidRPr="00C43D00">
              <w:rPr>
                <w:rFonts w:ascii="Times New Roman" w:eastAsia="Aptos" w:hAnsi="Times New Roman" w:cs="Times New Roman"/>
                <w:noProof/>
                <w:kern w:val="2"/>
                <w:sz w:val="22"/>
                <w:szCs w:val="22"/>
                <w:lang w:val="en-IE" w:eastAsia="en-US"/>
                <w14:ligatures w14:val="standardContextual"/>
              </w:rPr>
              <w:t xml:space="preserve">and/or </w:t>
            </w:r>
            <w:r w:rsidRPr="00137D7A">
              <w:rPr>
                <w:rFonts w:ascii="Times New Roman" w:eastAsia="Aptos" w:hAnsi="Times New Roman" w:cs="Times New Roman"/>
                <w:noProof/>
                <w:kern w:val="2"/>
                <w:sz w:val="22"/>
                <w:szCs w:val="22"/>
                <w:lang w:val="en-IE" w:eastAsia="en-US"/>
                <w14:ligatures w14:val="standardContextual"/>
              </w:rPr>
              <w:t>upgraded railway infrastructure delivered</w:t>
            </w:r>
          </w:p>
        </w:tc>
      </w:tr>
      <w:tr w:rsidR="00137D7A" w:rsidRPr="00137D7A" w14:paraId="42DED0C5"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76E7AEA9"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RO-C[C4]-I[I3a.0]-M[530]</w:t>
            </w:r>
          </w:p>
        </w:tc>
        <w:tc>
          <w:tcPr>
            <w:tcW w:w="3535" w:type="dxa"/>
            <w:tcBorders>
              <w:top w:val="nil"/>
              <w:left w:val="nil"/>
              <w:bottom w:val="single" w:sz="4" w:space="0" w:color="auto"/>
              <w:right w:val="single" w:sz="4" w:space="0" w:color="auto"/>
            </w:tcBorders>
            <w:shd w:val="clear" w:color="auto" w:fill="C6EFCE"/>
            <w:noWrap/>
          </w:tcPr>
          <w:p w14:paraId="31248E78" w14:textId="67BE0E03"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Increasing the sustainability of road infrastructure on TEN-T network, road charging, traffic management and road safety</w:t>
            </w:r>
          </w:p>
        </w:tc>
        <w:tc>
          <w:tcPr>
            <w:tcW w:w="1285" w:type="dxa"/>
            <w:gridSpan w:val="2"/>
            <w:tcBorders>
              <w:top w:val="nil"/>
              <w:left w:val="nil"/>
              <w:bottom w:val="single" w:sz="4" w:space="0" w:color="auto"/>
              <w:right w:val="single" w:sz="4" w:space="0" w:color="auto"/>
            </w:tcBorders>
            <w:shd w:val="clear" w:color="auto" w:fill="C6EFCE"/>
            <w:noWrap/>
          </w:tcPr>
          <w:p w14:paraId="627A5BD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w:t>
            </w:r>
          </w:p>
        </w:tc>
        <w:tc>
          <w:tcPr>
            <w:tcW w:w="3393" w:type="dxa"/>
            <w:tcBorders>
              <w:top w:val="nil"/>
              <w:left w:val="nil"/>
              <w:bottom w:val="single" w:sz="4" w:space="0" w:color="auto"/>
              <w:right w:val="single" w:sz="4" w:space="0" w:color="auto"/>
            </w:tcBorders>
            <w:shd w:val="clear" w:color="auto" w:fill="C6EFCE"/>
            <w:noWrap/>
          </w:tcPr>
          <w:p w14:paraId="0B226DE6"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Construction of new roads </w:t>
            </w:r>
          </w:p>
        </w:tc>
      </w:tr>
      <w:tr w:rsidR="00137D7A" w:rsidRPr="00137D7A" w14:paraId="252F0845"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78FBE297"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RO-C[C5]-I[I1.a]-T[103a]</w:t>
            </w:r>
          </w:p>
        </w:tc>
        <w:tc>
          <w:tcPr>
            <w:tcW w:w="3535" w:type="dxa"/>
            <w:tcBorders>
              <w:top w:val="nil"/>
              <w:left w:val="nil"/>
              <w:bottom w:val="single" w:sz="4" w:space="0" w:color="auto"/>
              <w:right w:val="single" w:sz="4" w:space="0" w:color="auto"/>
            </w:tcBorders>
            <w:shd w:val="clear" w:color="auto" w:fill="C6EFCE"/>
            <w:noWrap/>
          </w:tcPr>
          <w:p w14:paraId="7230B091"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Establishment of a renovation wave fund to finance works to increase the energy efficiency of the existing building stock</w:t>
            </w:r>
          </w:p>
        </w:tc>
        <w:tc>
          <w:tcPr>
            <w:tcW w:w="1285" w:type="dxa"/>
            <w:gridSpan w:val="2"/>
            <w:tcBorders>
              <w:top w:val="nil"/>
              <w:left w:val="nil"/>
              <w:bottom w:val="single" w:sz="4" w:space="0" w:color="auto"/>
              <w:right w:val="single" w:sz="4" w:space="0" w:color="auto"/>
            </w:tcBorders>
            <w:shd w:val="clear" w:color="auto" w:fill="C6EFCE"/>
            <w:noWrap/>
          </w:tcPr>
          <w:p w14:paraId="50F2924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nil"/>
              <w:left w:val="nil"/>
              <w:bottom w:val="single" w:sz="4" w:space="0" w:color="auto"/>
              <w:right w:val="single" w:sz="4" w:space="0" w:color="auto"/>
            </w:tcBorders>
            <w:shd w:val="clear" w:color="auto" w:fill="C6EFCE"/>
            <w:noWrap/>
          </w:tcPr>
          <w:p w14:paraId="04E375E8" w14:textId="012C7BE2" w:rsidR="00137D7A" w:rsidRPr="00137D7A" w:rsidRDefault="00E505EE" w:rsidP="00137D7A">
            <w:pPr>
              <w:spacing w:after="0" w:line="259" w:lineRule="auto"/>
              <w:rPr>
                <w:rFonts w:ascii="Times New Roman" w:eastAsia="Aptos" w:hAnsi="Times New Roman" w:cs="Times New Roman"/>
                <w:noProof/>
                <w:kern w:val="2"/>
                <w:sz w:val="22"/>
                <w:szCs w:val="22"/>
                <w:lang w:val="en-IE" w:eastAsia="en-US"/>
                <w14:ligatures w14:val="standardContextual"/>
              </w:rPr>
            </w:pPr>
            <w:r>
              <w:rPr>
                <w:rFonts w:ascii="Times New Roman" w:eastAsia="Aptos" w:hAnsi="Times New Roman" w:cs="Times New Roman"/>
                <w:noProof/>
                <w:color w:val="000000"/>
                <w:kern w:val="2"/>
                <w:sz w:val="22"/>
                <w:szCs w:val="22"/>
                <w:lang w:val="en-IE" w:eastAsia="en-US"/>
                <w14:ligatures w14:val="standardContextual"/>
              </w:rPr>
              <w:t>E</w:t>
            </w:r>
            <w:r w:rsidR="00137D7A" w:rsidRPr="00137D7A">
              <w:rPr>
                <w:rFonts w:ascii="Times New Roman" w:eastAsia="Aptos" w:hAnsi="Times New Roman" w:cs="Times New Roman"/>
                <w:noProof/>
                <w:color w:val="000000"/>
                <w:kern w:val="2"/>
                <w:sz w:val="22"/>
                <w:szCs w:val="22"/>
                <w:lang w:val="en-IE" w:eastAsia="en-US"/>
                <w14:ligatures w14:val="standardContextual"/>
              </w:rPr>
              <w:t>nergy renovation of multi-family residential buildings</w:t>
            </w:r>
          </w:p>
        </w:tc>
      </w:tr>
      <w:tr w:rsidR="00137D7A" w:rsidRPr="00137D7A" w14:paraId="2912D23E"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185D0161"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RO-C[C5]-I[I1.a]-T[106a]</w:t>
            </w:r>
          </w:p>
        </w:tc>
        <w:tc>
          <w:tcPr>
            <w:tcW w:w="3535" w:type="dxa"/>
            <w:tcBorders>
              <w:top w:val="nil"/>
              <w:left w:val="nil"/>
              <w:bottom w:val="single" w:sz="4" w:space="0" w:color="auto"/>
              <w:right w:val="single" w:sz="4" w:space="0" w:color="auto"/>
            </w:tcBorders>
            <w:shd w:val="clear" w:color="auto" w:fill="C6EFCE"/>
            <w:noWrap/>
          </w:tcPr>
          <w:p w14:paraId="430AB690"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Establishment of a renovation wave fund to finance works to increase the energy efficiency of the existing building stock</w:t>
            </w:r>
          </w:p>
        </w:tc>
        <w:tc>
          <w:tcPr>
            <w:tcW w:w="1285" w:type="dxa"/>
            <w:gridSpan w:val="2"/>
            <w:tcBorders>
              <w:top w:val="nil"/>
              <w:left w:val="nil"/>
              <w:bottom w:val="single" w:sz="4" w:space="0" w:color="auto"/>
              <w:right w:val="single" w:sz="4" w:space="0" w:color="auto"/>
            </w:tcBorders>
            <w:shd w:val="clear" w:color="auto" w:fill="C6EFCE"/>
            <w:noWrap/>
          </w:tcPr>
          <w:p w14:paraId="0D0A815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nil"/>
              <w:left w:val="nil"/>
              <w:bottom w:val="single" w:sz="4" w:space="0" w:color="auto"/>
              <w:right w:val="single" w:sz="4" w:space="0" w:color="auto"/>
            </w:tcBorders>
            <w:shd w:val="clear" w:color="auto" w:fill="C6EFCE"/>
            <w:noWrap/>
          </w:tcPr>
          <w:p w14:paraId="67119876" w14:textId="22994B12" w:rsidR="00137D7A" w:rsidRPr="00137D7A" w:rsidRDefault="00E505EE" w:rsidP="00137D7A">
            <w:pPr>
              <w:spacing w:after="0" w:line="259" w:lineRule="auto"/>
              <w:rPr>
                <w:rFonts w:ascii="Times New Roman" w:eastAsia="Aptos" w:hAnsi="Times New Roman" w:cs="Times New Roman"/>
                <w:noProof/>
                <w:kern w:val="2"/>
                <w:sz w:val="22"/>
                <w:szCs w:val="22"/>
                <w:lang w:val="en-IE" w:eastAsia="en-US"/>
                <w14:ligatures w14:val="standardContextual"/>
              </w:rPr>
            </w:pPr>
            <w:r>
              <w:rPr>
                <w:rFonts w:ascii="Times New Roman" w:eastAsia="Aptos" w:hAnsi="Times New Roman" w:cs="Times New Roman"/>
                <w:noProof/>
                <w:color w:val="000000"/>
                <w:kern w:val="2"/>
                <w:sz w:val="22"/>
                <w:szCs w:val="22"/>
                <w:lang w:val="en-IE" w:eastAsia="en-US"/>
                <w14:ligatures w14:val="standardContextual"/>
              </w:rPr>
              <w:t>E</w:t>
            </w:r>
            <w:r w:rsidR="00137D7A" w:rsidRPr="00137D7A">
              <w:rPr>
                <w:rFonts w:ascii="Times New Roman" w:eastAsia="Aptos" w:hAnsi="Times New Roman" w:cs="Times New Roman"/>
                <w:noProof/>
                <w:color w:val="000000"/>
                <w:kern w:val="2"/>
                <w:sz w:val="22"/>
                <w:szCs w:val="22"/>
                <w:lang w:val="en-IE" w:eastAsia="en-US"/>
                <w14:ligatures w14:val="standardContextual"/>
              </w:rPr>
              <w:t>nergy renovation of public buildings</w:t>
            </w:r>
          </w:p>
        </w:tc>
      </w:tr>
      <w:tr w:rsidR="00137D7A" w:rsidRPr="00137D7A" w14:paraId="46BC70AE"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5218532A"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RO-C[C5]-I[I4.0]-M[110]</w:t>
            </w:r>
          </w:p>
        </w:tc>
        <w:tc>
          <w:tcPr>
            <w:tcW w:w="3535" w:type="dxa"/>
            <w:tcBorders>
              <w:top w:val="nil"/>
              <w:left w:val="nil"/>
              <w:bottom w:val="single" w:sz="4" w:space="0" w:color="auto"/>
              <w:right w:val="single" w:sz="4" w:space="0" w:color="auto"/>
            </w:tcBorders>
            <w:shd w:val="clear" w:color="auto" w:fill="C6EFCE"/>
            <w:noWrap/>
          </w:tcPr>
          <w:p w14:paraId="0A3B466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Circular economy and increased energy efficiency of historical buildings</w:t>
            </w:r>
          </w:p>
        </w:tc>
        <w:tc>
          <w:tcPr>
            <w:tcW w:w="1285" w:type="dxa"/>
            <w:gridSpan w:val="2"/>
            <w:tcBorders>
              <w:top w:val="nil"/>
              <w:left w:val="nil"/>
              <w:bottom w:val="single" w:sz="4" w:space="0" w:color="auto"/>
              <w:right w:val="single" w:sz="4" w:space="0" w:color="auto"/>
            </w:tcBorders>
            <w:shd w:val="clear" w:color="auto" w:fill="C6EFCE"/>
            <w:noWrap/>
          </w:tcPr>
          <w:p w14:paraId="1F08B696"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w:t>
            </w:r>
          </w:p>
        </w:tc>
        <w:tc>
          <w:tcPr>
            <w:tcW w:w="3393" w:type="dxa"/>
            <w:tcBorders>
              <w:top w:val="nil"/>
              <w:left w:val="nil"/>
              <w:bottom w:val="single" w:sz="4" w:space="0" w:color="auto"/>
              <w:right w:val="single" w:sz="4" w:space="0" w:color="auto"/>
            </w:tcBorders>
            <w:shd w:val="clear" w:color="auto" w:fill="C6EFCE"/>
            <w:noWrap/>
          </w:tcPr>
          <w:p w14:paraId="2C5151D0" w14:textId="05C37946"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Structures </w:t>
            </w:r>
            <w:r w:rsidR="002C2258" w:rsidRPr="002C2258">
              <w:rPr>
                <w:rFonts w:ascii="Times New Roman" w:eastAsia="Aptos" w:hAnsi="Times New Roman" w:cs="Times New Roman"/>
                <w:noProof/>
                <w:color w:val="000000"/>
                <w:kern w:val="2"/>
                <w:sz w:val="22"/>
                <w:szCs w:val="22"/>
                <w:lang w:val="en-IE" w:eastAsia="en-US"/>
                <w14:ligatures w14:val="standardContextual"/>
              </w:rPr>
              <w:t>for energy-efficient renovation</w:t>
            </w:r>
            <w:r w:rsidRPr="00137D7A">
              <w:rPr>
                <w:rFonts w:ascii="Times New Roman" w:eastAsia="Aptos" w:hAnsi="Times New Roman" w:cs="Times New Roman"/>
                <w:noProof/>
                <w:color w:val="000000"/>
                <w:kern w:val="2"/>
                <w:sz w:val="22"/>
                <w:szCs w:val="22"/>
                <w:lang w:val="en-IE" w:eastAsia="en-US"/>
                <w14:ligatures w14:val="standardContextual"/>
              </w:rPr>
              <w:t xml:space="preserve"> of historical building</w:t>
            </w:r>
            <w:r w:rsidR="00603B39">
              <w:rPr>
                <w:rFonts w:ascii="Times New Roman" w:eastAsia="Aptos" w:hAnsi="Times New Roman" w:cs="Times New Roman"/>
                <w:noProof/>
                <w:color w:val="000000"/>
                <w:kern w:val="2"/>
                <w:sz w:val="22"/>
                <w:szCs w:val="22"/>
                <w:lang w:val="en-IE" w:eastAsia="en-US"/>
                <w14:ligatures w14:val="standardContextual"/>
              </w:rPr>
              <w:t>s</w:t>
            </w:r>
            <w:r w:rsidRPr="00137D7A">
              <w:rPr>
                <w:rFonts w:ascii="Times New Roman" w:eastAsia="Aptos" w:hAnsi="Times New Roman" w:cs="Times New Roman"/>
                <w:noProof/>
                <w:color w:val="000000"/>
                <w:kern w:val="2"/>
                <w:sz w:val="22"/>
                <w:szCs w:val="22"/>
                <w:lang w:val="en-IE" w:eastAsia="en-US"/>
                <w14:ligatures w14:val="standardContextual"/>
              </w:rPr>
              <w:t xml:space="preserve"> </w:t>
            </w:r>
          </w:p>
        </w:tc>
      </w:tr>
      <w:tr w:rsidR="00137D7A" w:rsidRPr="00137D7A" w14:paraId="25AA5F62"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463B8E1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RO-C[C5]-I[I4.0]-T[112]</w:t>
            </w:r>
          </w:p>
        </w:tc>
        <w:tc>
          <w:tcPr>
            <w:tcW w:w="3535" w:type="dxa"/>
            <w:tcBorders>
              <w:top w:val="nil"/>
              <w:left w:val="nil"/>
              <w:bottom w:val="single" w:sz="4" w:space="0" w:color="auto"/>
              <w:right w:val="single" w:sz="4" w:space="0" w:color="auto"/>
            </w:tcBorders>
            <w:shd w:val="clear" w:color="auto" w:fill="C6EFCE"/>
            <w:noWrap/>
          </w:tcPr>
          <w:p w14:paraId="75C5E74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Circular economy and increased energy efficiency of historical buildings</w:t>
            </w:r>
          </w:p>
        </w:tc>
        <w:tc>
          <w:tcPr>
            <w:tcW w:w="1285" w:type="dxa"/>
            <w:gridSpan w:val="2"/>
            <w:tcBorders>
              <w:top w:val="nil"/>
              <w:left w:val="nil"/>
              <w:bottom w:val="single" w:sz="4" w:space="0" w:color="auto"/>
              <w:right w:val="single" w:sz="4" w:space="0" w:color="auto"/>
            </w:tcBorders>
            <w:shd w:val="clear" w:color="auto" w:fill="C6EFCE"/>
            <w:noWrap/>
          </w:tcPr>
          <w:p w14:paraId="4445BAF3"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nil"/>
              <w:left w:val="nil"/>
              <w:bottom w:val="single" w:sz="4" w:space="0" w:color="auto"/>
              <w:right w:val="single" w:sz="4" w:space="0" w:color="auto"/>
            </w:tcBorders>
            <w:shd w:val="clear" w:color="auto" w:fill="C6EFCE"/>
            <w:noWrap/>
          </w:tcPr>
          <w:p w14:paraId="4221CC60" w14:textId="37103724"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At least 200 professionals </w:t>
            </w:r>
            <w:r w:rsidR="00610474">
              <w:rPr>
                <w:rFonts w:ascii="Times New Roman" w:eastAsia="Aptos" w:hAnsi="Times New Roman" w:cs="Times New Roman"/>
                <w:noProof/>
                <w:color w:val="000000"/>
                <w:kern w:val="2"/>
                <w:sz w:val="22"/>
                <w:szCs w:val="22"/>
                <w:lang w:val="en-IE" w:eastAsia="en-US"/>
                <w14:ligatures w14:val="standardContextual"/>
              </w:rPr>
              <w:t>trained</w:t>
            </w:r>
            <w:r w:rsidR="00610474" w:rsidRPr="00137D7A">
              <w:rPr>
                <w:rFonts w:ascii="Times New Roman" w:eastAsia="Aptos" w:hAnsi="Times New Roman" w:cs="Times New Roman"/>
                <w:noProof/>
                <w:color w:val="000000"/>
                <w:kern w:val="2"/>
                <w:sz w:val="22"/>
                <w:szCs w:val="22"/>
                <w:lang w:val="en-IE" w:eastAsia="en-US"/>
                <w14:ligatures w14:val="standardContextual"/>
              </w:rPr>
              <w:t xml:space="preserve"> </w:t>
            </w:r>
            <w:r w:rsidRPr="00137D7A">
              <w:rPr>
                <w:rFonts w:ascii="Times New Roman" w:eastAsia="Aptos" w:hAnsi="Times New Roman" w:cs="Times New Roman"/>
                <w:noProof/>
                <w:color w:val="000000"/>
                <w:kern w:val="2"/>
                <w:sz w:val="22"/>
                <w:szCs w:val="22"/>
                <w:lang w:val="en-IE" w:eastAsia="en-US"/>
                <w14:ligatures w14:val="standardContextual"/>
              </w:rPr>
              <w:t>in energy efficiency renovations of historical buildings</w:t>
            </w:r>
          </w:p>
        </w:tc>
      </w:tr>
      <w:tr w:rsidR="00137D7A" w:rsidRPr="00137D7A" w14:paraId="4425BD19"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141A0AA5"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RO-C[C6]-R[R1.0]-M[116]</w:t>
            </w:r>
          </w:p>
        </w:tc>
        <w:tc>
          <w:tcPr>
            <w:tcW w:w="3535" w:type="dxa"/>
            <w:tcBorders>
              <w:top w:val="nil"/>
              <w:left w:val="nil"/>
              <w:bottom w:val="single" w:sz="4" w:space="0" w:color="auto"/>
              <w:right w:val="single" w:sz="4" w:space="0" w:color="auto"/>
            </w:tcBorders>
            <w:shd w:val="clear" w:color="auto" w:fill="C6EFCE"/>
            <w:noWrap/>
          </w:tcPr>
          <w:p w14:paraId="46171FD4"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Electricity market reform, replacement of coal in the energy mix and support for a legislative and regulatory framework for private investment in renewable electricity production</w:t>
            </w:r>
          </w:p>
        </w:tc>
        <w:tc>
          <w:tcPr>
            <w:tcW w:w="1285" w:type="dxa"/>
            <w:gridSpan w:val="2"/>
            <w:tcBorders>
              <w:top w:val="nil"/>
              <w:left w:val="nil"/>
              <w:bottom w:val="single" w:sz="4" w:space="0" w:color="auto"/>
              <w:right w:val="single" w:sz="4" w:space="0" w:color="auto"/>
            </w:tcBorders>
            <w:shd w:val="clear" w:color="auto" w:fill="C6EFCE"/>
            <w:noWrap/>
          </w:tcPr>
          <w:p w14:paraId="002CD13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w:t>
            </w:r>
          </w:p>
        </w:tc>
        <w:tc>
          <w:tcPr>
            <w:tcW w:w="3393" w:type="dxa"/>
            <w:tcBorders>
              <w:top w:val="nil"/>
              <w:left w:val="nil"/>
              <w:bottom w:val="single" w:sz="4" w:space="0" w:color="auto"/>
              <w:right w:val="single" w:sz="4" w:space="0" w:color="auto"/>
            </w:tcBorders>
            <w:shd w:val="clear" w:color="auto" w:fill="C6EFCE"/>
            <w:noWrap/>
          </w:tcPr>
          <w:p w14:paraId="52633CF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Entry into force of </w:t>
            </w:r>
            <w:r w:rsidRPr="00137D7A">
              <w:rPr>
                <w:rFonts w:ascii="Times New Roman" w:eastAsia="Times New Roman" w:hAnsi="Times New Roman" w:cs="Times New Roman"/>
                <w:noProof/>
                <w:kern w:val="2"/>
                <w:sz w:val="22"/>
                <w:szCs w:val="22"/>
                <w:lang w:val="en-IE" w:eastAsia="en-US"/>
                <w14:ligatures w14:val="standardContextual"/>
              </w:rPr>
              <w:t>the legal and regulatory acts</w:t>
            </w:r>
          </w:p>
        </w:tc>
      </w:tr>
      <w:tr w:rsidR="00137D7A" w:rsidRPr="00137D7A" w14:paraId="0721452F"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76D43E3F"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RO-C[C6]-R[R1.0]-T[119a]</w:t>
            </w:r>
          </w:p>
        </w:tc>
        <w:tc>
          <w:tcPr>
            <w:tcW w:w="3535" w:type="dxa"/>
            <w:tcBorders>
              <w:top w:val="nil"/>
              <w:left w:val="nil"/>
              <w:bottom w:val="single" w:sz="4" w:space="0" w:color="auto"/>
              <w:right w:val="single" w:sz="4" w:space="0" w:color="auto"/>
            </w:tcBorders>
            <w:shd w:val="clear" w:color="auto" w:fill="C6EFCE"/>
            <w:noWrap/>
          </w:tcPr>
          <w:p w14:paraId="4764F2BE"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Electricity market reform, replacement of coal in the energy mix and support for a legislative and regulatory framework for private investment in renewable electricity production</w:t>
            </w:r>
          </w:p>
        </w:tc>
        <w:tc>
          <w:tcPr>
            <w:tcW w:w="1285" w:type="dxa"/>
            <w:gridSpan w:val="2"/>
            <w:tcBorders>
              <w:top w:val="nil"/>
              <w:left w:val="nil"/>
              <w:bottom w:val="single" w:sz="4" w:space="0" w:color="auto"/>
              <w:right w:val="single" w:sz="4" w:space="0" w:color="auto"/>
            </w:tcBorders>
            <w:shd w:val="clear" w:color="auto" w:fill="C6EFCE"/>
            <w:noWrap/>
          </w:tcPr>
          <w:p w14:paraId="06C1469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nil"/>
              <w:left w:val="nil"/>
              <w:bottom w:val="single" w:sz="4" w:space="0" w:color="auto"/>
              <w:right w:val="single" w:sz="4" w:space="0" w:color="auto"/>
            </w:tcBorders>
            <w:shd w:val="clear" w:color="auto" w:fill="C6EFCE"/>
            <w:noWrap/>
          </w:tcPr>
          <w:p w14:paraId="3FBE6B25"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Decommissioning of coal/lignite-fired power production capacity</w:t>
            </w:r>
          </w:p>
        </w:tc>
      </w:tr>
      <w:tr w:rsidR="00137D7A" w:rsidRPr="00137D7A" w14:paraId="7B082E89"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2267CE47"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RO-C[C6]-I[I2.0]-T[131]</w:t>
            </w:r>
          </w:p>
        </w:tc>
        <w:tc>
          <w:tcPr>
            <w:tcW w:w="3535" w:type="dxa"/>
            <w:tcBorders>
              <w:top w:val="nil"/>
              <w:left w:val="nil"/>
              <w:bottom w:val="single" w:sz="4" w:space="0" w:color="auto"/>
              <w:right w:val="single" w:sz="4" w:space="0" w:color="auto"/>
            </w:tcBorders>
            <w:shd w:val="clear" w:color="auto" w:fill="C6EFCE"/>
            <w:noWrap/>
          </w:tcPr>
          <w:p w14:paraId="03614819"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Green hydrogen production capacities for use </w:t>
            </w:r>
            <w:r w:rsidRPr="00137D7A">
              <w:rPr>
                <w:rFonts w:ascii="Times New Roman" w:eastAsia="Times New Roman" w:hAnsi="Times New Roman" w:cs="Times New Roman"/>
                <w:noProof/>
                <w:kern w:val="2"/>
                <w:sz w:val="22"/>
                <w:szCs w:val="22"/>
                <w:lang w:val="en-IE" w:eastAsia="en-US"/>
                <w14:ligatures w14:val="standardContextual"/>
              </w:rPr>
              <w:t>as electricity storage and/or for the decarbonisation of industry</w:t>
            </w:r>
          </w:p>
        </w:tc>
        <w:tc>
          <w:tcPr>
            <w:tcW w:w="1285" w:type="dxa"/>
            <w:gridSpan w:val="2"/>
            <w:tcBorders>
              <w:top w:val="nil"/>
              <w:left w:val="nil"/>
              <w:bottom w:val="single" w:sz="4" w:space="0" w:color="auto"/>
              <w:right w:val="single" w:sz="4" w:space="0" w:color="auto"/>
            </w:tcBorders>
            <w:shd w:val="clear" w:color="auto" w:fill="C6EFCE"/>
            <w:noWrap/>
          </w:tcPr>
          <w:p w14:paraId="4617937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nil"/>
              <w:left w:val="nil"/>
              <w:bottom w:val="single" w:sz="4" w:space="0" w:color="auto"/>
              <w:right w:val="single" w:sz="4" w:space="0" w:color="auto"/>
            </w:tcBorders>
            <w:shd w:val="clear" w:color="auto" w:fill="C6EFCE"/>
            <w:noWrap/>
          </w:tcPr>
          <w:p w14:paraId="11801DE9" w14:textId="04202936" w:rsidR="00137D7A" w:rsidRPr="00137D7A" w:rsidRDefault="00B97311"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B97311">
              <w:rPr>
                <w:rFonts w:ascii="Times New Roman" w:eastAsia="Aptos" w:hAnsi="Times New Roman" w:cs="Times New Roman"/>
                <w:noProof/>
                <w:color w:val="000000"/>
                <w:kern w:val="2"/>
                <w:sz w:val="22"/>
                <w:szCs w:val="22"/>
                <w:lang w:val="en-IE" w:eastAsia="en-US"/>
                <w14:ligatures w14:val="standardContextual"/>
              </w:rPr>
              <w:t>Installation of electrolysers </w:t>
            </w:r>
          </w:p>
        </w:tc>
      </w:tr>
      <w:tr w:rsidR="00137D7A" w:rsidRPr="00137D7A" w14:paraId="398D20A5"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03EE352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RO-C[C7]-I[I3.0]-M[158]</w:t>
            </w:r>
          </w:p>
        </w:tc>
        <w:tc>
          <w:tcPr>
            <w:tcW w:w="3535" w:type="dxa"/>
            <w:tcBorders>
              <w:top w:val="nil"/>
              <w:left w:val="nil"/>
              <w:bottom w:val="single" w:sz="4" w:space="0" w:color="auto"/>
              <w:right w:val="single" w:sz="4" w:space="0" w:color="auto"/>
            </w:tcBorders>
            <w:shd w:val="clear" w:color="auto" w:fill="C6EFCE"/>
            <w:noWrap/>
          </w:tcPr>
          <w:p w14:paraId="64791A76"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Establishment of eHealth </w:t>
            </w:r>
          </w:p>
        </w:tc>
        <w:tc>
          <w:tcPr>
            <w:tcW w:w="1285" w:type="dxa"/>
            <w:gridSpan w:val="2"/>
            <w:tcBorders>
              <w:top w:val="nil"/>
              <w:left w:val="nil"/>
              <w:bottom w:val="single" w:sz="4" w:space="0" w:color="auto"/>
              <w:right w:val="single" w:sz="4" w:space="0" w:color="auto"/>
            </w:tcBorders>
            <w:shd w:val="clear" w:color="auto" w:fill="C6EFCE"/>
            <w:noWrap/>
          </w:tcPr>
          <w:p w14:paraId="14F91B27"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393" w:type="dxa"/>
            <w:tcBorders>
              <w:top w:val="nil"/>
              <w:left w:val="nil"/>
              <w:bottom w:val="single" w:sz="4" w:space="0" w:color="auto"/>
              <w:right w:val="single" w:sz="4" w:space="0" w:color="auto"/>
            </w:tcBorders>
            <w:shd w:val="clear" w:color="auto" w:fill="C6EFCE"/>
            <w:noWrap/>
          </w:tcPr>
          <w:p w14:paraId="33936B6E" w14:textId="1BE347C5"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Public health institutions have received funding for digitalisation</w:t>
            </w:r>
          </w:p>
        </w:tc>
      </w:tr>
      <w:tr w:rsidR="00137D7A" w:rsidRPr="00137D7A" w14:paraId="34BE151C"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762A30EE"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RO-C[C7]-I[I3.0]-M[160]</w:t>
            </w:r>
          </w:p>
        </w:tc>
        <w:tc>
          <w:tcPr>
            <w:tcW w:w="3535" w:type="dxa"/>
            <w:tcBorders>
              <w:top w:val="nil"/>
              <w:left w:val="nil"/>
              <w:bottom w:val="single" w:sz="4" w:space="0" w:color="auto"/>
              <w:right w:val="single" w:sz="4" w:space="0" w:color="auto"/>
            </w:tcBorders>
            <w:shd w:val="clear" w:color="auto" w:fill="C6EFCE"/>
            <w:noWrap/>
          </w:tcPr>
          <w:p w14:paraId="4BA4163E"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Establishment of eHealth </w:t>
            </w:r>
          </w:p>
        </w:tc>
        <w:tc>
          <w:tcPr>
            <w:tcW w:w="1285" w:type="dxa"/>
            <w:gridSpan w:val="2"/>
            <w:tcBorders>
              <w:top w:val="nil"/>
              <w:left w:val="nil"/>
              <w:bottom w:val="single" w:sz="4" w:space="0" w:color="auto"/>
              <w:right w:val="single" w:sz="4" w:space="0" w:color="auto"/>
            </w:tcBorders>
            <w:shd w:val="clear" w:color="auto" w:fill="C6EFCE"/>
            <w:noWrap/>
          </w:tcPr>
          <w:p w14:paraId="70F6250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393" w:type="dxa"/>
            <w:tcBorders>
              <w:top w:val="nil"/>
              <w:left w:val="nil"/>
              <w:bottom w:val="single" w:sz="4" w:space="0" w:color="auto"/>
              <w:right w:val="single" w:sz="4" w:space="0" w:color="auto"/>
            </w:tcBorders>
            <w:shd w:val="clear" w:color="auto" w:fill="C6EFCE"/>
            <w:noWrap/>
          </w:tcPr>
          <w:p w14:paraId="2DF896CD"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New PIA (Health insurance IT platform) is functional</w:t>
            </w:r>
          </w:p>
        </w:tc>
      </w:tr>
      <w:tr w:rsidR="00137D7A" w:rsidRPr="00137D7A" w14:paraId="3382F2F9"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7B3C9674"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RO-C[C7]-I[I3.0]-M[161]</w:t>
            </w:r>
          </w:p>
        </w:tc>
        <w:tc>
          <w:tcPr>
            <w:tcW w:w="3535" w:type="dxa"/>
            <w:tcBorders>
              <w:top w:val="nil"/>
              <w:left w:val="nil"/>
              <w:bottom w:val="single" w:sz="4" w:space="0" w:color="auto"/>
              <w:right w:val="single" w:sz="4" w:space="0" w:color="auto"/>
            </w:tcBorders>
            <w:shd w:val="clear" w:color="auto" w:fill="C6EFCE"/>
            <w:noWrap/>
          </w:tcPr>
          <w:p w14:paraId="5E64E4B0"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Establishment of eHealth </w:t>
            </w:r>
          </w:p>
        </w:tc>
        <w:tc>
          <w:tcPr>
            <w:tcW w:w="1285" w:type="dxa"/>
            <w:gridSpan w:val="2"/>
            <w:tcBorders>
              <w:top w:val="nil"/>
              <w:left w:val="nil"/>
              <w:bottom w:val="single" w:sz="4" w:space="0" w:color="auto"/>
              <w:right w:val="single" w:sz="4" w:space="0" w:color="auto"/>
            </w:tcBorders>
            <w:shd w:val="clear" w:color="auto" w:fill="C6EFCE"/>
            <w:noWrap/>
          </w:tcPr>
          <w:p w14:paraId="5FA61A3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393" w:type="dxa"/>
            <w:tcBorders>
              <w:top w:val="nil"/>
              <w:left w:val="nil"/>
              <w:bottom w:val="single" w:sz="4" w:space="0" w:color="auto"/>
              <w:right w:val="single" w:sz="4" w:space="0" w:color="auto"/>
            </w:tcBorders>
            <w:shd w:val="clear" w:color="auto" w:fill="C6EFCE"/>
            <w:noWrap/>
          </w:tcPr>
          <w:p w14:paraId="0248878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IT infrastructure of public hospitals in Romania replaced or upgraded</w:t>
            </w:r>
          </w:p>
        </w:tc>
      </w:tr>
      <w:tr w:rsidR="00137D7A" w:rsidRPr="00137D7A" w14:paraId="53FE0737"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41AFFA26"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RO-C[C7]-I[I4.0]-M[164]</w:t>
            </w:r>
          </w:p>
        </w:tc>
        <w:tc>
          <w:tcPr>
            <w:tcW w:w="3535" w:type="dxa"/>
            <w:tcBorders>
              <w:top w:val="nil"/>
              <w:left w:val="nil"/>
              <w:bottom w:val="single" w:sz="4" w:space="0" w:color="auto"/>
              <w:right w:val="single" w:sz="4" w:space="0" w:color="auto"/>
            </w:tcBorders>
            <w:shd w:val="clear" w:color="auto" w:fill="C6EFCE"/>
            <w:noWrap/>
          </w:tcPr>
          <w:p w14:paraId="171C5D6C"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Digitalisation of the judiciary</w:t>
            </w:r>
          </w:p>
        </w:tc>
        <w:tc>
          <w:tcPr>
            <w:tcW w:w="1285" w:type="dxa"/>
            <w:gridSpan w:val="2"/>
            <w:tcBorders>
              <w:top w:val="nil"/>
              <w:left w:val="nil"/>
              <w:bottom w:val="single" w:sz="4" w:space="0" w:color="auto"/>
              <w:right w:val="single" w:sz="4" w:space="0" w:color="auto"/>
            </w:tcBorders>
            <w:shd w:val="clear" w:color="auto" w:fill="C6EFCE"/>
            <w:noWrap/>
          </w:tcPr>
          <w:p w14:paraId="3638B50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393" w:type="dxa"/>
            <w:tcBorders>
              <w:top w:val="nil"/>
              <w:left w:val="nil"/>
              <w:bottom w:val="single" w:sz="4" w:space="0" w:color="auto"/>
              <w:right w:val="single" w:sz="4" w:space="0" w:color="auto"/>
            </w:tcBorders>
            <w:shd w:val="clear" w:color="auto" w:fill="C6EFCE"/>
            <w:noWrap/>
          </w:tcPr>
          <w:p w14:paraId="3884A6C1" w14:textId="23CFF7E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Electronic case record and information system ECRIS V and the digital transformation of the judicial system</w:t>
            </w:r>
            <w:r w:rsidR="00D23D91">
              <w:rPr>
                <w:rFonts w:ascii="Times New Roman" w:eastAsia="Aptos" w:hAnsi="Times New Roman" w:cs="Times New Roman"/>
                <w:noProof/>
                <w:color w:val="000000"/>
                <w:kern w:val="2"/>
                <w:sz w:val="22"/>
                <w:szCs w:val="22"/>
                <w:lang w:val="en-IE" w:eastAsia="en-US"/>
                <w14:ligatures w14:val="standardContextual"/>
              </w:rPr>
              <w:t xml:space="preserve"> </w:t>
            </w:r>
          </w:p>
        </w:tc>
      </w:tr>
      <w:tr w:rsidR="00137D7A" w:rsidRPr="00137D7A" w14:paraId="262B2FCD"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53679F4C"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RO-C[C7]-I[I4.0]-M[166]</w:t>
            </w:r>
          </w:p>
        </w:tc>
        <w:tc>
          <w:tcPr>
            <w:tcW w:w="3535" w:type="dxa"/>
            <w:tcBorders>
              <w:top w:val="nil"/>
              <w:left w:val="nil"/>
              <w:bottom w:val="single" w:sz="4" w:space="0" w:color="auto"/>
              <w:right w:val="single" w:sz="4" w:space="0" w:color="auto"/>
            </w:tcBorders>
            <w:shd w:val="clear" w:color="auto" w:fill="C6EFCE"/>
            <w:noWrap/>
          </w:tcPr>
          <w:p w14:paraId="49570A0A"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Digitalisation of the judiciary</w:t>
            </w:r>
          </w:p>
        </w:tc>
        <w:tc>
          <w:tcPr>
            <w:tcW w:w="1285" w:type="dxa"/>
            <w:gridSpan w:val="2"/>
            <w:tcBorders>
              <w:top w:val="nil"/>
              <w:left w:val="nil"/>
              <w:bottom w:val="single" w:sz="4" w:space="0" w:color="auto"/>
              <w:right w:val="single" w:sz="4" w:space="0" w:color="auto"/>
            </w:tcBorders>
            <w:shd w:val="clear" w:color="auto" w:fill="C6EFCE"/>
            <w:noWrap/>
          </w:tcPr>
          <w:p w14:paraId="2B28FCE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393" w:type="dxa"/>
            <w:tcBorders>
              <w:top w:val="nil"/>
              <w:left w:val="nil"/>
              <w:bottom w:val="single" w:sz="4" w:space="0" w:color="auto"/>
              <w:right w:val="single" w:sz="4" w:space="0" w:color="auto"/>
            </w:tcBorders>
            <w:shd w:val="clear" w:color="auto" w:fill="C6EFCE"/>
            <w:noWrap/>
          </w:tcPr>
          <w:p w14:paraId="5E7AC02C"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Data centre set up</w:t>
            </w:r>
          </w:p>
        </w:tc>
      </w:tr>
      <w:tr w:rsidR="00137D7A" w:rsidRPr="00270B0B" w14:paraId="3990FADF"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61D5A0D0"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RO-C[C7]-I[I5.0]-T[168]</w:t>
            </w:r>
          </w:p>
        </w:tc>
        <w:tc>
          <w:tcPr>
            <w:tcW w:w="3535" w:type="dxa"/>
            <w:tcBorders>
              <w:top w:val="nil"/>
              <w:left w:val="nil"/>
              <w:bottom w:val="single" w:sz="4" w:space="0" w:color="auto"/>
              <w:right w:val="single" w:sz="4" w:space="0" w:color="auto"/>
            </w:tcBorders>
            <w:shd w:val="clear" w:color="auto" w:fill="C6EFCE"/>
            <w:noWrap/>
          </w:tcPr>
          <w:p w14:paraId="5B87477E"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Digitalisation in the field of the environment</w:t>
            </w:r>
          </w:p>
        </w:tc>
        <w:tc>
          <w:tcPr>
            <w:tcW w:w="1285" w:type="dxa"/>
            <w:gridSpan w:val="2"/>
            <w:tcBorders>
              <w:top w:val="nil"/>
              <w:left w:val="nil"/>
              <w:bottom w:val="single" w:sz="4" w:space="0" w:color="auto"/>
              <w:right w:val="single" w:sz="4" w:space="0" w:color="auto"/>
            </w:tcBorders>
            <w:shd w:val="clear" w:color="auto" w:fill="C6EFCE"/>
            <w:noWrap/>
          </w:tcPr>
          <w:p w14:paraId="6FCE973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nil"/>
              <w:left w:val="nil"/>
              <w:bottom w:val="single" w:sz="4" w:space="0" w:color="auto"/>
              <w:right w:val="single" w:sz="4" w:space="0" w:color="auto"/>
            </w:tcBorders>
            <w:shd w:val="clear" w:color="auto" w:fill="C6EFCE"/>
            <w:noWrap/>
          </w:tcPr>
          <w:p w14:paraId="638D29FF" w14:textId="794517F8" w:rsidR="00137D7A" w:rsidRPr="0061489A" w:rsidRDefault="00D07399" w:rsidP="00137D7A">
            <w:pPr>
              <w:spacing w:after="0" w:line="259" w:lineRule="auto"/>
              <w:rPr>
                <w:rFonts w:ascii="Times New Roman" w:eastAsia="Aptos" w:hAnsi="Times New Roman" w:cs="Times New Roman"/>
                <w:noProof/>
                <w:kern w:val="2"/>
                <w:sz w:val="22"/>
                <w:szCs w:val="22"/>
                <w:lang w:val="fr-BE" w:eastAsia="en-US"/>
                <w14:ligatures w14:val="standardContextual"/>
              </w:rPr>
            </w:pPr>
            <w:r w:rsidRPr="0061489A">
              <w:rPr>
                <w:rFonts w:ascii="Times New Roman" w:eastAsia="Aptos" w:hAnsi="Times New Roman" w:cs="Times New Roman"/>
                <w:noProof/>
                <w:color w:val="000000"/>
                <w:kern w:val="2"/>
                <w:sz w:val="22"/>
                <w:szCs w:val="22"/>
                <w:lang w:val="fr-BE" w:eastAsia="en-US"/>
                <w14:ligatures w14:val="standardContextual"/>
              </w:rPr>
              <w:t>P</w:t>
            </w:r>
            <w:r w:rsidR="00137D7A" w:rsidRPr="0061489A">
              <w:rPr>
                <w:rFonts w:ascii="Times New Roman" w:eastAsia="Aptos" w:hAnsi="Times New Roman" w:cs="Times New Roman"/>
                <w:noProof/>
                <w:color w:val="000000"/>
                <w:kern w:val="2"/>
                <w:sz w:val="22"/>
                <w:szCs w:val="22"/>
                <w:lang w:val="fr-BE" w:eastAsia="en-US"/>
                <w14:ligatures w14:val="standardContextual"/>
              </w:rPr>
              <w:t>ublic environmental services</w:t>
            </w:r>
            <w:r w:rsidR="006F3BD5" w:rsidRPr="0061489A">
              <w:rPr>
                <w:rFonts w:ascii="Times New Roman" w:eastAsia="Aptos" w:hAnsi="Times New Roman" w:cs="Times New Roman"/>
                <w:noProof/>
                <w:color w:val="000000"/>
                <w:kern w:val="2"/>
                <w:sz w:val="22"/>
                <w:szCs w:val="22"/>
                <w:lang w:val="fr-BE" w:eastAsia="en-US"/>
                <w14:ligatures w14:val="standardContextual"/>
              </w:rPr>
              <w:t xml:space="preserve"> available online </w:t>
            </w:r>
          </w:p>
        </w:tc>
      </w:tr>
      <w:tr w:rsidR="00137D7A" w:rsidRPr="00137D7A" w14:paraId="4C83A037"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09F511AF"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RO-C[C7]-I[I6.0]-T[170]</w:t>
            </w:r>
          </w:p>
        </w:tc>
        <w:tc>
          <w:tcPr>
            <w:tcW w:w="3535" w:type="dxa"/>
            <w:tcBorders>
              <w:top w:val="nil"/>
              <w:left w:val="nil"/>
              <w:bottom w:val="single" w:sz="4" w:space="0" w:color="auto"/>
              <w:right w:val="single" w:sz="4" w:space="0" w:color="auto"/>
            </w:tcBorders>
            <w:shd w:val="clear" w:color="auto" w:fill="C6EFCE"/>
            <w:noWrap/>
          </w:tcPr>
          <w:p w14:paraId="19B423CB"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Digitalisation in employment and social protection</w:t>
            </w:r>
          </w:p>
        </w:tc>
        <w:tc>
          <w:tcPr>
            <w:tcW w:w="1285" w:type="dxa"/>
            <w:gridSpan w:val="2"/>
            <w:tcBorders>
              <w:top w:val="nil"/>
              <w:left w:val="nil"/>
              <w:bottom w:val="single" w:sz="4" w:space="0" w:color="auto"/>
              <w:right w:val="single" w:sz="4" w:space="0" w:color="auto"/>
            </w:tcBorders>
            <w:shd w:val="clear" w:color="auto" w:fill="C6EFCE"/>
            <w:noWrap/>
          </w:tcPr>
          <w:p w14:paraId="2ECDE59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nil"/>
              <w:left w:val="nil"/>
              <w:bottom w:val="single" w:sz="4" w:space="0" w:color="auto"/>
              <w:right w:val="single" w:sz="4" w:space="0" w:color="auto"/>
            </w:tcBorders>
            <w:shd w:val="clear" w:color="auto" w:fill="C6EFCE"/>
            <w:noWrap/>
          </w:tcPr>
          <w:p w14:paraId="2BED5FDE"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Digital services in the field of employment and social protection functional</w:t>
            </w:r>
          </w:p>
        </w:tc>
      </w:tr>
      <w:tr w:rsidR="00137D7A" w:rsidRPr="00137D7A" w14:paraId="0EFBD052"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70A62C47"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RO-C[C7]-I[I8.0]-M[173]</w:t>
            </w:r>
          </w:p>
        </w:tc>
        <w:tc>
          <w:tcPr>
            <w:tcW w:w="3535" w:type="dxa"/>
            <w:tcBorders>
              <w:top w:val="nil"/>
              <w:left w:val="nil"/>
              <w:bottom w:val="single" w:sz="4" w:space="0" w:color="auto"/>
              <w:right w:val="single" w:sz="4" w:space="0" w:color="auto"/>
            </w:tcBorders>
            <w:shd w:val="clear" w:color="auto" w:fill="C6EFCE"/>
            <w:noWrap/>
          </w:tcPr>
          <w:p w14:paraId="31FD98E1"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Electronic identity card and digital signature</w:t>
            </w:r>
          </w:p>
        </w:tc>
        <w:tc>
          <w:tcPr>
            <w:tcW w:w="1285" w:type="dxa"/>
            <w:gridSpan w:val="2"/>
            <w:tcBorders>
              <w:top w:val="nil"/>
              <w:left w:val="nil"/>
              <w:bottom w:val="single" w:sz="4" w:space="0" w:color="auto"/>
              <w:right w:val="single" w:sz="4" w:space="0" w:color="auto"/>
            </w:tcBorders>
            <w:shd w:val="clear" w:color="auto" w:fill="C6EFCE"/>
            <w:noWrap/>
          </w:tcPr>
          <w:p w14:paraId="68DEB79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393" w:type="dxa"/>
            <w:tcBorders>
              <w:top w:val="nil"/>
              <w:left w:val="nil"/>
              <w:bottom w:val="single" w:sz="4" w:space="0" w:color="auto"/>
              <w:right w:val="single" w:sz="4" w:space="0" w:color="auto"/>
            </w:tcBorders>
            <w:shd w:val="clear" w:color="auto" w:fill="C6EFCE"/>
            <w:noWrap/>
          </w:tcPr>
          <w:p w14:paraId="4336237A" w14:textId="6AB58944"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Issuance of </w:t>
            </w:r>
            <w:r w:rsidR="00683674" w:rsidRPr="00683674">
              <w:rPr>
                <w:rFonts w:ascii="Times New Roman" w:eastAsia="Aptos" w:hAnsi="Times New Roman" w:cs="Times New Roman"/>
                <w:noProof/>
                <w:color w:val="000000"/>
                <w:kern w:val="2"/>
                <w:sz w:val="22"/>
                <w:szCs w:val="22"/>
                <w:lang w:val="en-IE" w:eastAsia="en-US"/>
                <w14:ligatures w14:val="standardContextual"/>
              </w:rPr>
              <w:t>electronic identity cards </w:t>
            </w:r>
          </w:p>
        </w:tc>
      </w:tr>
      <w:tr w:rsidR="00137D7A" w:rsidRPr="00137D7A" w14:paraId="41FFAEE4"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6D739AD3"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RO-C[C7]-I[I8.0]-M[174]</w:t>
            </w:r>
          </w:p>
        </w:tc>
        <w:tc>
          <w:tcPr>
            <w:tcW w:w="3535" w:type="dxa"/>
            <w:tcBorders>
              <w:top w:val="nil"/>
              <w:left w:val="nil"/>
              <w:bottom w:val="single" w:sz="4" w:space="0" w:color="auto"/>
              <w:right w:val="single" w:sz="4" w:space="0" w:color="auto"/>
            </w:tcBorders>
            <w:shd w:val="clear" w:color="auto" w:fill="C6EFCE"/>
            <w:noWrap/>
          </w:tcPr>
          <w:p w14:paraId="070783F9"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Electronic identity card and digital signature</w:t>
            </w:r>
          </w:p>
        </w:tc>
        <w:tc>
          <w:tcPr>
            <w:tcW w:w="1285" w:type="dxa"/>
            <w:gridSpan w:val="2"/>
            <w:tcBorders>
              <w:top w:val="nil"/>
              <w:left w:val="nil"/>
              <w:bottom w:val="single" w:sz="4" w:space="0" w:color="auto"/>
              <w:right w:val="single" w:sz="4" w:space="0" w:color="auto"/>
            </w:tcBorders>
            <w:shd w:val="clear" w:color="auto" w:fill="C6EFCE"/>
            <w:noWrap/>
          </w:tcPr>
          <w:p w14:paraId="465E898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393" w:type="dxa"/>
            <w:tcBorders>
              <w:top w:val="nil"/>
              <w:left w:val="nil"/>
              <w:bottom w:val="single" w:sz="4" w:space="0" w:color="auto"/>
              <w:right w:val="single" w:sz="4" w:space="0" w:color="auto"/>
            </w:tcBorders>
            <w:shd w:val="clear" w:color="auto" w:fill="C6EFCE"/>
            <w:noWrap/>
          </w:tcPr>
          <w:p w14:paraId="33CFB280"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Support measures for the use of electronic identity card </w:t>
            </w:r>
          </w:p>
        </w:tc>
      </w:tr>
      <w:tr w:rsidR="00137D7A" w:rsidRPr="00137D7A" w14:paraId="09CDEDDB"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08E54B3B"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RO-C[C7]-I[I12.0]-T[179]</w:t>
            </w:r>
          </w:p>
        </w:tc>
        <w:tc>
          <w:tcPr>
            <w:tcW w:w="3535" w:type="dxa"/>
            <w:tcBorders>
              <w:top w:val="nil"/>
              <w:left w:val="nil"/>
              <w:bottom w:val="single" w:sz="4" w:space="0" w:color="auto"/>
              <w:right w:val="single" w:sz="4" w:space="0" w:color="auto"/>
            </w:tcBorders>
            <w:shd w:val="clear" w:color="auto" w:fill="C6EFCE"/>
            <w:noWrap/>
          </w:tcPr>
          <w:p w14:paraId="5F83C736"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Ensuring cybersecurity protection for both public and private ITC infrastructures important for national security</w:t>
            </w:r>
          </w:p>
        </w:tc>
        <w:tc>
          <w:tcPr>
            <w:tcW w:w="1285" w:type="dxa"/>
            <w:gridSpan w:val="2"/>
            <w:tcBorders>
              <w:top w:val="nil"/>
              <w:left w:val="nil"/>
              <w:bottom w:val="single" w:sz="4" w:space="0" w:color="auto"/>
              <w:right w:val="single" w:sz="4" w:space="0" w:color="auto"/>
            </w:tcBorders>
            <w:shd w:val="clear" w:color="auto" w:fill="C6EFCE"/>
            <w:noWrap/>
          </w:tcPr>
          <w:p w14:paraId="5D7E45F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nil"/>
              <w:left w:val="nil"/>
              <w:bottom w:val="single" w:sz="4" w:space="0" w:color="auto"/>
              <w:right w:val="single" w:sz="4" w:space="0" w:color="auto"/>
            </w:tcBorders>
            <w:shd w:val="clear" w:color="auto" w:fill="C6EFCE"/>
            <w:noWrap/>
          </w:tcPr>
          <w:p w14:paraId="504F35C0"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 Support to the infrastructure security of entities </w:t>
            </w:r>
          </w:p>
        </w:tc>
      </w:tr>
      <w:tr w:rsidR="0059112F" w:rsidRPr="00137D7A" w14:paraId="36DEC028"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03348256" w14:textId="77777777" w:rsidR="0059112F" w:rsidRPr="00137D7A" w:rsidRDefault="0059112F" w:rsidP="0059112F">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RO-C[C8]-R[R1.0]-M[197]</w:t>
            </w:r>
          </w:p>
        </w:tc>
        <w:tc>
          <w:tcPr>
            <w:tcW w:w="3535" w:type="dxa"/>
            <w:tcBorders>
              <w:top w:val="nil"/>
              <w:left w:val="nil"/>
              <w:bottom w:val="single" w:sz="4" w:space="0" w:color="auto"/>
              <w:right w:val="single" w:sz="4" w:space="0" w:color="auto"/>
            </w:tcBorders>
            <w:shd w:val="clear" w:color="auto" w:fill="C6EFCE"/>
            <w:noWrap/>
          </w:tcPr>
          <w:p w14:paraId="1078C22F" w14:textId="77777777" w:rsidR="0059112F" w:rsidRPr="00137D7A" w:rsidRDefault="0059112F" w:rsidP="0059112F">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Reform of the National Agency for Fiscal Administration (ANAF) through digitalisation</w:t>
            </w:r>
          </w:p>
        </w:tc>
        <w:tc>
          <w:tcPr>
            <w:tcW w:w="1285" w:type="dxa"/>
            <w:gridSpan w:val="2"/>
            <w:tcBorders>
              <w:top w:val="nil"/>
              <w:left w:val="nil"/>
              <w:bottom w:val="single" w:sz="4" w:space="0" w:color="auto"/>
              <w:right w:val="single" w:sz="4" w:space="0" w:color="auto"/>
            </w:tcBorders>
            <w:shd w:val="clear" w:color="auto" w:fill="C6EFCE"/>
            <w:noWrap/>
          </w:tcPr>
          <w:p w14:paraId="03BE4D9C" w14:textId="77777777" w:rsidR="0059112F" w:rsidRPr="00137D7A" w:rsidRDefault="0059112F" w:rsidP="0059112F">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393" w:type="dxa"/>
            <w:tcBorders>
              <w:top w:val="nil"/>
              <w:left w:val="nil"/>
              <w:bottom w:val="single" w:sz="4" w:space="0" w:color="auto"/>
              <w:right w:val="single" w:sz="4" w:space="0" w:color="auto"/>
            </w:tcBorders>
            <w:shd w:val="clear" w:color="auto" w:fill="C6EFCE"/>
            <w:noWrap/>
          </w:tcPr>
          <w:p w14:paraId="36B41D8F" w14:textId="512C59EB"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59112F">
              <w:rPr>
                <w:rFonts w:ascii="Times New Roman" w:eastAsia="Aptos" w:hAnsi="Times New Roman" w:cs="Times New Roman"/>
                <w:noProof/>
                <w:color w:val="000000"/>
                <w:kern w:val="2"/>
                <w:sz w:val="22"/>
                <w:szCs w:val="22"/>
                <w:lang w:val="en-IE" w:eastAsia="en-US"/>
                <w14:ligatures w14:val="standardContextual"/>
              </w:rPr>
              <w:t>Structural reform of ANAF and legal acts to increase tax compliance</w:t>
            </w:r>
          </w:p>
        </w:tc>
      </w:tr>
      <w:tr w:rsidR="0059112F" w:rsidRPr="00137D7A" w14:paraId="499F61FB"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1A7E83C5" w14:textId="77777777" w:rsidR="0059112F" w:rsidRPr="00137D7A" w:rsidRDefault="0059112F" w:rsidP="0059112F">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RO-C[C8]-R[R2.0]-M[198]</w:t>
            </w:r>
          </w:p>
        </w:tc>
        <w:tc>
          <w:tcPr>
            <w:tcW w:w="3535" w:type="dxa"/>
            <w:tcBorders>
              <w:top w:val="nil"/>
              <w:left w:val="nil"/>
              <w:bottom w:val="single" w:sz="4" w:space="0" w:color="auto"/>
              <w:right w:val="single" w:sz="4" w:space="0" w:color="auto"/>
            </w:tcBorders>
            <w:shd w:val="clear" w:color="auto" w:fill="C6EFCE"/>
            <w:noWrap/>
          </w:tcPr>
          <w:p w14:paraId="0291C9C1" w14:textId="515FDF6D" w:rsidR="0059112F" w:rsidRPr="00137D7A" w:rsidRDefault="0059112F" w:rsidP="0059112F">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Modernisation of the customs system and </w:t>
            </w:r>
            <w:r w:rsidR="00857F5C" w:rsidRPr="00857F5C">
              <w:rPr>
                <w:rFonts w:ascii="Times New Roman" w:eastAsia="Aptos" w:hAnsi="Times New Roman" w:cs="Times New Roman"/>
                <w:noProof/>
                <w:color w:val="000000"/>
                <w:kern w:val="2"/>
                <w:sz w:val="22"/>
                <w:szCs w:val="22"/>
                <w:lang w:val="en-IE" w:eastAsia="en-US"/>
                <w14:ligatures w14:val="standardContextual"/>
              </w:rPr>
              <w:t>establishment</w:t>
            </w:r>
            <w:r w:rsidR="00857F5C" w:rsidRPr="00857F5C" w:rsidDel="00857F5C">
              <w:rPr>
                <w:rFonts w:ascii="Times New Roman" w:eastAsia="Aptos" w:hAnsi="Times New Roman" w:cs="Times New Roman"/>
                <w:noProof/>
                <w:color w:val="000000"/>
                <w:kern w:val="2"/>
                <w:sz w:val="22"/>
                <w:szCs w:val="22"/>
                <w:lang w:val="en-IE" w:eastAsia="en-US"/>
                <w14:ligatures w14:val="standardContextual"/>
              </w:rPr>
              <w:t xml:space="preserve"> </w:t>
            </w:r>
            <w:r w:rsidRPr="00137D7A">
              <w:rPr>
                <w:rFonts w:ascii="Times New Roman" w:eastAsia="Aptos" w:hAnsi="Times New Roman" w:cs="Times New Roman"/>
                <w:noProof/>
                <w:color w:val="000000"/>
                <w:kern w:val="2"/>
                <w:sz w:val="22"/>
                <w:szCs w:val="22"/>
                <w:lang w:val="en-IE" w:eastAsia="en-US"/>
                <w14:ligatures w14:val="standardContextual"/>
              </w:rPr>
              <w:t>of electronic customs</w:t>
            </w:r>
          </w:p>
        </w:tc>
        <w:tc>
          <w:tcPr>
            <w:tcW w:w="1285" w:type="dxa"/>
            <w:gridSpan w:val="2"/>
            <w:tcBorders>
              <w:top w:val="nil"/>
              <w:left w:val="nil"/>
              <w:bottom w:val="single" w:sz="4" w:space="0" w:color="auto"/>
              <w:right w:val="single" w:sz="4" w:space="0" w:color="auto"/>
            </w:tcBorders>
            <w:shd w:val="clear" w:color="auto" w:fill="C6EFCE"/>
            <w:noWrap/>
          </w:tcPr>
          <w:p w14:paraId="2DF59288" w14:textId="77777777" w:rsidR="0059112F" w:rsidRPr="00137D7A" w:rsidRDefault="0059112F" w:rsidP="0059112F">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393" w:type="dxa"/>
            <w:tcBorders>
              <w:top w:val="nil"/>
              <w:left w:val="nil"/>
              <w:bottom w:val="single" w:sz="4" w:space="0" w:color="auto"/>
              <w:right w:val="single" w:sz="4" w:space="0" w:color="auto"/>
            </w:tcBorders>
            <w:shd w:val="clear" w:color="auto" w:fill="C6EFCE"/>
            <w:noWrap/>
          </w:tcPr>
          <w:p w14:paraId="410345B3"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Enhance the functioning of the Customs administration </w:t>
            </w:r>
          </w:p>
          <w:p w14:paraId="3595A9C9" w14:textId="77777777" w:rsidR="0059112F" w:rsidRPr="00137D7A" w:rsidRDefault="0059112F" w:rsidP="0059112F">
            <w:pPr>
              <w:spacing w:after="0" w:line="259" w:lineRule="auto"/>
              <w:rPr>
                <w:rFonts w:ascii="Times New Roman" w:eastAsia="Aptos" w:hAnsi="Times New Roman" w:cs="Times New Roman"/>
                <w:noProof/>
                <w:kern w:val="2"/>
                <w:sz w:val="22"/>
                <w:szCs w:val="22"/>
                <w:lang w:val="en-IE" w:eastAsia="en-US"/>
                <w14:ligatures w14:val="standardContextual"/>
              </w:rPr>
            </w:pPr>
          </w:p>
        </w:tc>
      </w:tr>
      <w:tr w:rsidR="0059112F" w:rsidRPr="00137D7A" w14:paraId="47C641D4"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027EAB7C" w14:textId="77777777" w:rsidR="0059112F" w:rsidRPr="00137D7A" w:rsidRDefault="0059112F" w:rsidP="0059112F">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RO-C[C8]-I[I2.0]-M[225]</w:t>
            </w:r>
          </w:p>
        </w:tc>
        <w:tc>
          <w:tcPr>
            <w:tcW w:w="3535" w:type="dxa"/>
            <w:tcBorders>
              <w:top w:val="nil"/>
              <w:left w:val="nil"/>
              <w:bottom w:val="single" w:sz="4" w:space="0" w:color="auto"/>
              <w:right w:val="single" w:sz="4" w:space="0" w:color="auto"/>
            </w:tcBorders>
            <w:shd w:val="clear" w:color="auto" w:fill="C6EFCE"/>
            <w:noWrap/>
          </w:tcPr>
          <w:p w14:paraId="50856A98" w14:textId="4FFF3380" w:rsidR="0059112F" w:rsidRPr="00137D7A" w:rsidRDefault="00563437" w:rsidP="0059112F">
            <w:pPr>
              <w:spacing w:after="0" w:line="259" w:lineRule="auto"/>
              <w:rPr>
                <w:rFonts w:ascii="Times New Roman" w:eastAsia="Aptos" w:hAnsi="Times New Roman" w:cs="Times New Roman"/>
                <w:noProof/>
                <w:kern w:val="2"/>
                <w:sz w:val="22"/>
                <w:szCs w:val="22"/>
                <w:lang w:val="en-IE" w:eastAsia="en-US"/>
                <w14:ligatures w14:val="standardContextual"/>
              </w:rPr>
            </w:pPr>
            <w:r w:rsidRPr="00563437">
              <w:rPr>
                <w:rFonts w:ascii="Times New Roman" w:eastAsia="Aptos" w:hAnsi="Times New Roman" w:cs="Times New Roman"/>
                <w:noProof/>
                <w:color w:val="000000"/>
                <w:kern w:val="2"/>
                <w:sz w:val="22"/>
                <w:szCs w:val="22"/>
                <w:lang w:val="en-IE" w:eastAsia="en-US"/>
                <w14:ligatures w14:val="standardContextual"/>
              </w:rPr>
              <w:t>Improving tax and tax administration processes</w:t>
            </w:r>
          </w:p>
        </w:tc>
        <w:tc>
          <w:tcPr>
            <w:tcW w:w="1285" w:type="dxa"/>
            <w:gridSpan w:val="2"/>
            <w:tcBorders>
              <w:top w:val="nil"/>
              <w:left w:val="nil"/>
              <w:bottom w:val="single" w:sz="4" w:space="0" w:color="auto"/>
              <w:right w:val="single" w:sz="4" w:space="0" w:color="auto"/>
            </w:tcBorders>
            <w:shd w:val="clear" w:color="auto" w:fill="C6EFCE"/>
            <w:noWrap/>
          </w:tcPr>
          <w:p w14:paraId="29572C0E" w14:textId="77777777" w:rsidR="0059112F" w:rsidRPr="00137D7A" w:rsidRDefault="0059112F" w:rsidP="0059112F">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393" w:type="dxa"/>
            <w:tcBorders>
              <w:top w:val="nil"/>
              <w:left w:val="nil"/>
              <w:bottom w:val="single" w:sz="4" w:space="0" w:color="auto"/>
              <w:right w:val="single" w:sz="4" w:space="0" w:color="auto"/>
            </w:tcBorders>
            <w:shd w:val="clear" w:color="auto" w:fill="C6EFCE"/>
            <w:noWrap/>
          </w:tcPr>
          <w:p w14:paraId="1041CF9C" w14:textId="77777777" w:rsidR="0059112F" w:rsidRPr="00137D7A" w:rsidRDefault="0059112F" w:rsidP="0059112F">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Functional electronic risk register</w:t>
            </w:r>
          </w:p>
        </w:tc>
      </w:tr>
      <w:tr w:rsidR="0059112F" w:rsidRPr="00137D7A" w14:paraId="59A32CD3"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1BD837A9" w14:textId="77777777" w:rsidR="0059112F" w:rsidRPr="00137D7A" w:rsidRDefault="0059112F" w:rsidP="0059112F">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RO-C[C8]-I[I2.0]-M[226]</w:t>
            </w:r>
          </w:p>
        </w:tc>
        <w:tc>
          <w:tcPr>
            <w:tcW w:w="3535" w:type="dxa"/>
            <w:tcBorders>
              <w:top w:val="nil"/>
              <w:left w:val="nil"/>
              <w:bottom w:val="single" w:sz="4" w:space="0" w:color="auto"/>
              <w:right w:val="single" w:sz="4" w:space="0" w:color="auto"/>
            </w:tcBorders>
            <w:shd w:val="clear" w:color="auto" w:fill="C6EFCE"/>
            <w:noWrap/>
          </w:tcPr>
          <w:p w14:paraId="50DC1979" w14:textId="0FA8FFEA" w:rsidR="0059112F" w:rsidRPr="00137D7A" w:rsidRDefault="0059112F" w:rsidP="0059112F">
            <w:pPr>
              <w:spacing w:after="0" w:line="259" w:lineRule="auto"/>
              <w:rPr>
                <w:rFonts w:ascii="Times New Roman" w:eastAsia="Aptos" w:hAnsi="Times New Roman" w:cs="Times New Roman"/>
                <w:noProof/>
                <w:kern w:val="2"/>
                <w:sz w:val="22"/>
                <w:szCs w:val="22"/>
                <w:lang w:val="en-IE" w:eastAsia="en-US"/>
                <w14:ligatures w14:val="standardContextual"/>
              </w:rPr>
            </w:pPr>
            <w:r w:rsidRPr="00D02E4A">
              <w:rPr>
                <w:rFonts w:ascii="Times New Roman" w:eastAsia="Aptos" w:hAnsi="Times New Roman" w:cs="Times New Roman"/>
                <w:noProof/>
                <w:color w:val="000000"/>
                <w:kern w:val="2"/>
                <w:sz w:val="22"/>
                <w:szCs w:val="22"/>
                <w:lang w:val="en-IE" w:eastAsia="en-US"/>
                <w14:ligatures w14:val="standardContextual"/>
              </w:rPr>
              <w:t>Improving tax and tax administration processes</w:t>
            </w:r>
          </w:p>
        </w:tc>
        <w:tc>
          <w:tcPr>
            <w:tcW w:w="1285" w:type="dxa"/>
            <w:gridSpan w:val="2"/>
            <w:tcBorders>
              <w:top w:val="nil"/>
              <w:left w:val="nil"/>
              <w:bottom w:val="single" w:sz="4" w:space="0" w:color="auto"/>
              <w:right w:val="single" w:sz="4" w:space="0" w:color="auto"/>
            </w:tcBorders>
            <w:shd w:val="clear" w:color="auto" w:fill="C6EFCE"/>
            <w:noWrap/>
          </w:tcPr>
          <w:p w14:paraId="26CA10F3" w14:textId="77777777" w:rsidR="0059112F" w:rsidRPr="00137D7A" w:rsidRDefault="0059112F" w:rsidP="0059112F">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393" w:type="dxa"/>
            <w:tcBorders>
              <w:top w:val="nil"/>
              <w:left w:val="nil"/>
              <w:bottom w:val="single" w:sz="4" w:space="0" w:color="auto"/>
              <w:right w:val="single" w:sz="4" w:space="0" w:color="auto"/>
            </w:tcBorders>
            <w:shd w:val="clear" w:color="auto" w:fill="C6EFCE"/>
            <w:noWrap/>
          </w:tcPr>
          <w:p w14:paraId="30F8F386" w14:textId="584CD0D4" w:rsidR="0059112F" w:rsidRPr="00137D7A" w:rsidRDefault="0059112F" w:rsidP="0059112F">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Tax administration system</w:t>
            </w:r>
            <w:r w:rsidR="00991939">
              <w:rPr>
                <w:rFonts w:ascii="Times New Roman" w:eastAsia="Aptos" w:hAnsi="Times New Roman" w:cs="Times New Roman"/>
                <w:noProof/>
                <w:color w:val="000000"/>
                <w:kern w:val="2"/>
                <w:sz w:val="22"/>
                <w:szCs w:val="22"/>
                <w:lang w:val="en-IE" w:eastAsia="en-US"/>
                <w14:ligatures w14:val="standardContextual"/>
              </w:rPr>
              <w:t>s</w:t>
            </w:r>
            <w:r w:rsidRPr="00137D7A">
              <w:rPr>
                <w:rFonts w:ascii="Times New Roman" w:eastAsia="Aptos" w:hAnsi="Times New Roman" w:cs="Times New Roman"/>
                <w:noProof/>
                <w:color w:val="000000"/>
                <w:kern w:val="2"/>
                <w:sz w:val="22"/>
                <w:szCs w:val="22"/>
                <w:lang w:val="en-IE" w:eastAsia="en-US"/>
                <w14:ligatures w14:val="standardContextual"/>
              </w:rPr>
              <w:t xml:space="preserve">, including Big Data, </w:t>
            </w:r>
            <w:r w:rsidR="00DF0017">
              <w:rPr>
                <w:rFonts w:ascii="Times New Roman" w:eastAsia="Aptos" w:hAnsi="Times New Roman" w:cs="Times New Roman"/>
                <w:noProof/>
                <w:color w:val="000000"/>
                <w:kern w:val="2"/>
                <w:sz w:val="22"/>
                <w:szCs w:val="22"/>
                <w:lang w:val="en-IE" w:eastAsia="en-US"/>
                <w14:ligatures w14:val="standardContextual"/>
              </w:rPr>
              <w:t>are</w:t>
            </w:r>
            <w:r w:rsidRPr="00137D7A">
              <w:rPr>
                <w:rFonts w:ascii="Times New Roman" w:eastAsia="Aptos" w:hAnsi="Times New Roman" w:cs="Times New Roman"/>
                <w:noProof/>
                <w:color w:val="000000"/>
                <w:kern w:val="2"/>
                <w:sz w:val="22"/>
                <w:szCs w:val="22"/>
                <w:lang w:val="en-IE" w:eastAsia="en-US"/>
                <w14:ligatures w14:val="standardContextual"/>
              </w:rPr>
              <w:t xml:space="preserve">functional </w:t>
            </w:r>
          </w:p>
        </w:tc>
      </w:tr>
      <w:tr w:rsidR="0059112F" w:rsidRPr="00137D7A" w14:paraId="0BD1DC11"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63FB8FFD" w14:textId="77777777" w:rsidR="0059112F" w:rsidRPr="00137D7A" w:rsidRDefault="0059112F" w:rsidP="0059112F">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RO-C[C8]-I[I4.0]-T[233]</w:t>
            </w:r>
          </w:p>
        </w:tc>
        <w:tc>
          <w:tcPr>
            <w:tcW w:w="3535" w:type="dxa"/>
            <w:tcBorders>
              <w:top w:val="nil"/>
              <w:left w:val="nil"/>
              <w:bottom w:val="single" w:sz="4" w:space="0" w:color="auto"/>
              <w:right w:val="single" w:sz="4" w:space="0" w:color="auto"/>
            </w:tcBorders>
            <w:shd w:val="clear" w:color="auto" w:fill="C6EFCE"/>
            <w:noWrap/>
          </w:tcPr>
          <w:p w14:paraId="44CFC7FC" w14:textId="77777777" w:rsidR="0059112F" w:rsidRPr="00137D7A" w:rsidRDefault="0059112F" w:rsidP="0059112F">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Establishment</w:t>
            </w:r>
            <w:r w:rsidRPr="00137D7A" w:rsidDel="009068C5">
              <w:rPr>
                <w:rFonts w:ascii="Times New Roman" w:eastAsia="Aptos" w:hAnsi="Times New Roman" w:cs="Times New Roman"/>
                <w:noProof/>
                <w:color w:val="000000"/>
                <w:kern w:val="2"/>
                <w:sz w:val="22"/>
                <w:szCs w:val="22"/>
                <w:lang w:val="en-IE" w:eastAsia="en-US"/>
                <w14:ligatures w14:val="standardContextual"/>
              </w:rPr>
              <w:t xml:space="preserve"> </w:t>
            </w:r>
            <w:r w:rsidRPr="00137D7A">
              <w:rPr>
                <w:rFonts w:ascii="Times New Roman" w:eastAsia="Aptos" w:hAnsi="Times New Roman" w:cs="Times New Roman"/>
                <w:noProof/>
                <w:color w:val="000000"/>
                <w:kern w:val="2"/>
                <w:sz w:val="22"/>
                <w:szCs w:val="22"/>
                <w:lang w:val="en-IE" w:eastAsia="en-US"/>
                <w14:ligatures w14:val="standardContextual"/>
              </w:rPr>
              <w:t>of electronic customs</w:t>
            </w:r>
          </w:p>
        </w:tc>
        <w:tc>
          <w:tcPr>
            <w:tcW w:w="1285" w:type="dxa"/>
            <w:gridSpan w:val="2"/>
            <w:tcBorders>
              <w:top w:val="nil"/>
              <w:left w:val="nil"/>
              <w:bottom w:val="single" w:sz="4" w:space="0" w:color="auto"/>
              <w:right w:val="single" w:sz="4" w:space="0" w:color="auto"/>
            </w:tcBorders>
            <w:shd w:val="clear" w:color="auto" w:fill="C6EFCE"/>
            <w:noWrap/>
          </w:tcPr>
          <w:p w14:paraId="7237D7AD" w14:textId="77777777" w:rsidR="0059112F" w:rsidRPr="00137D7A" w:rsidRDefault="0059112F" w:rsidP="0059112F">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nil"/>
              <w:left w:val="nil"/>
              <w:bottom w:val="single" w:sz="4" w:space="0" w:color="auto"/>
              <w:right w:val="single" w:sz="4" w:space="0" w:color="auto"/>
            </w:tcBorders>
            <w:shd w:val="clear" w:color="auto" w:fill="C6EFCE"/>
            <w:noWrap/>
          </w:tcPr>
          <w:p w14:paraId="6359EC79" w14:textId="77777777" w:rsidR="0059112F" w:rsidRPr="00137D7A" w:rsidRDefault="0059112F" w:rsidP="0059112F">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Percentage of customs activities performed electronically</w:t>
            </w:r>
          </w:p>
        </w:tc>
      </w:tr>
      <w:tr w:rsidR="00BA040A" w:rsidRPr="00137D7A" w14:paraId="2E37C360" w14:textId="77777777" w:rsidTr="00BA040A">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2EB8251" w14:textId="77777777" w:rsidR="00BA040A" w:rsidRPr="00137D7A" w:rsidRDefault="00BA040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D303B2">
              <w:rPr>
                <w:rFonts w:ascii="Times New Roman" w:eastAsia="Aptos" w:hAnsi="Times New Roman" w:cs="Times New Roman"/>
                <w:noProof/>
                <w:kern w:val="2"/>
                <w:sz w:val="22"/>
                <w:szCs w:val="22"/>
                <w:lang w:val="en-IE" w:eastAsia="en-US"/>
                <w14:ligatures w14:val="standardContextual"/>
              </w:rPr>
              <w:t>RO-C[C8]-I[I5.0]-M[234]</w:t>
            </w:r>
          </w:p>
        </w:tc>
        <w:tc>
          <w:tcPr>
            <w:tcW w:w="3544" w:type="dxa"/>
            <w:gridSpan w:val="2"/>
            <w:tcBorders>
              <w:top w:val="nil"/>
              <w:left w:val="nil"/>
              <w:bottom w:val="single" w:sz="4" w:space="0" w:color="auto"/>
              <w:right w:val="single" w:sz="4" w:space="0" w:color="auto"/>
            </w:tcBorders>
            <w:shd w:val="clear" w:color="auto" w:fill="C6EFCE"/>
            <w:noWrap/>
          </w:tcPr>
          <w:p w14:paraId="5FF33889" w14:textId="77777777" w:rsidR="00BA040A" w:rsidRPr="00137D7A" w:rsidRDefault="00BA040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D303B2">
              <w:rPr>
                <w:rFonts w:ascii="Times New Roman" w:eastAsia="Aptos" w:hAnsi="Times New Roman" w:cs="Times New Roman"/>
                <w:noProof/>
                <w:kern w:val="2"/>
                <w:sz w:val="22"/>
                <w:szCs w:val="22"/>
                <w:lang w:val="en-IE" w:eastAsia="en-US"/>
                <w14:ligatures w14:val="standardContextual"/>
              </w:rPr>
              <w:t>Enhancing the budgetary programming mechanism</w:t>
            </w:r>
          </w:p>
        </w:tc>
        <w:tc>
          <w:tcPr>
            <w:tcW w:w="1275" w:type="dxa"/>
            <w:tcBorders>
              <w:top w:val="nil"/>
              <w:left w:val="nil"/>
              <w:bottom w:val="single" w:sz="4" w:space="0" w:color="auto"/>
              <w:right w:val="single" w:sz="4" w:space="0" w:color="auto"/>
            </w:tcBorders>
            <w:shd w:val="clear" w:color="auto" w:fill="C6EFCE"/>
            <w:noWrap/>
          </w:tcPr>
          <w:p w14:paraId="10CCDB2E" w14:textId="77777777" w:rsidR="00BA040A" w:rsidRPr="00137D7A" w:rsidRDefault="00BA040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D303B2">
              <w:rPr>
                <w:rFonts w:ascii="Times New Roman" w:eastAsia="Aptos" w:hAnsi="Times New Roman" w:cs="Times New Roman"/>
                <w:noProof/>
                <w:kern w:val="2"/>
                <w:sz w:val="22"/>
                <w:szCs w:val="22"/>
                <w:lang w:val="en-IE" w:eastAsia="en-US"/>
                <w14:ligatures w14:val="standardContextual"/>
              </w:rPr>
              <w:t>M</w:t>
            </w:r>
          </w:p>
        </w:tc>
        <w:tc>
          <w:tcPr>
            <w:tcW w:w="3403" w:type="dxa"/>
            <w:gridSpan w:val="2"/>
            <w:tcBorders>
              <w:top w:val="nil"/>
              <w:left w:val="nil"/>
              <w:bottom w:val="single" w:sz="4" w:space="0" w:color="auto"/>
              <w:right w:val="single" w:sz="4" w:space="0" w:color="auto"/>
            </w:tcBorders>
            <w:shd w:val="clear" w:color="auto" w:fill="C6EFCE"/>
            <w:noWrap/>
          </w:tcPr>
          <w:p w14:paraId="1E012D68" w14:textId="15F44C4E" w:rsidR="00BA040A" w:rsidRPr="00137D7A" w:rsidRDefault="00BA040A">
            <w:pPr>
              <w:spacing w:after="0" w:line="259" w:lineRule="auto"/>
              <w:rPr>
                <w:rFonts w:ascii="Times New Roman" w:eastAsia="Aptos" w:hAnsi="Times New Roman" w:cs="Times New Roman"/>
                <w:noProof/>
                <w:kern w:val="2"/>
                <w:sz w:val="22"/>
                <w:szCs w:val="22"/>
                <w:lang w:val="en-IE" w:eastAsia="en-US"/>
                <w14:ligatures w14:val="standardContextual"/>
              </w:rPr>
            </w:pPr>
            <w:r w:rsidRPr="00D303B2">
              <w:rPr>
                <w:rFonts w:ascii="Times New Roman" w:eastAsia="Aptos" w:hAnsi="Times New Roman" w:cs="Times New Roman"/>
                <w:noProof/>
                <w:kern w:val="2"/>
                <w:sz w:val="22"/>
                <w:szCs w:val="22"/>
                <w:lang w:val="en-IE" w:eastAsia="en-US"/>
                <w14:ligatures w14:val="standardContextual"/>
              </w:rPr>
              <w:t>Update of the IT system BUGET_NG</w:t>
            </w:r>
          </w:p>
        </w:tc>
      </w:tr>
      <w:tr w:rsidR="0059112F" w:rsidRPr="00137D7A" w14:paraId="78DB05EC"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0CF42031"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RO-C[C8]-I[I10.0]-M[240]</w:t>
            </w:r>
          </w:p>
        </w:tc>
        <w:tc>
          <w:tcPr>
            <w:tcW w:w="3535" w:type="dxa"/>
            <w:tcBorders>
              <w:top w:val="nil"/>
              <w:left w:val="nil"/>
              <w:bottom w:val="single" w:sz="4" w:space="0" w:color="auto"/>
              <w:right w:val="single" w:sz="4" w:space="0" w:color="auto"/>
            </w:tcBorders>
            <w:shd w:val="clear" w:color="auto" w:fill="C6EFCE"/>
            <w:noWrap/>
          </w:tcPr>
          <w:p w14:paraId="0C83AB21"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Advanced e-services through digitalisation of the pension system</w:t>
            </w:r>
          </w:p>
        </w:tc>
        <w:tc>
          <w:tcPr>
            <w:tcW w:w="1285" w:type="dxa"/>
            <w:gridSpan w:val="2"/>
            <w:tcBorders>
              <w:top w:val="nil"/>
              <w:left w:val="nil"/>
              <w:bottom w:val="single" w:sz="4" w:space="0" w:color="auto"/>
              <w:right w:val="single" w:sz="4" w:space="0" w:color="auto"/>
            </w:tcBorders>
            <w:shd w:val="clear" w:color="auto" w:fill="C6EFCE"/>
            <w:noWrap/>
          </w:tcPr>
          <w:p w14:paraId="3248D4BA" w14:textId="77777777" w:rsidR="0059112F" w:rsidRPr="00137D7A" w:rsidRDefault="0059112F" w:rsidP="0059112F">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393" w:type="dxa"/>
            <w:tcBorders>
              <w:top w:val="nil"/>
              <w:left w:val="nil"/>
              <w:bottom w:val="single" w:sz="4" w:space="0" w:color="auto"/>
              <w:right w:val="single" w:sz="4" w:space="0" w:color="auto"/>
            </w:tcBorders>
            <w:shd w:val="clear" w:color="auto" w:fill="C6EFCE"/>
            <w:noWrap/>
          </w:tcPr>
          <w:p w14:paraId="2F159ED7"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Functional IT system in the National Public Pensions Agency </w:t>
            </w:r>
          </w:p>
          <w:p w14:paraId="6B7B6B94"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p>
        </w:tc>
      </w:tr>
      <w:tr w:rsidR="0059112F" w:rsidRPr="00137D7A" w14:paraId="5A9DACF7"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57F2400"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RO-C[C9]-R[R2.a]-M[272]</w:t>
            </w:r>
          </w:p>
        </w:tc>
        <w:tc>
          <w:tcPr>
            <w:tcW w:w="3535" w:type="dxa"/>
            <w:tcBorders>
              <w:top w:val="single" w:sz="4" w:space="0" w:color="auto"/>
              <w:left w:val="nil"/>
              <w:bottom w:val="single" w:sz="4" w:space="0" w:color="auto"/>
              <w:right w:val="single" w:sz="4" w:space="0" w:color="auto"/>
            </w:tcBorders>
            <w:shd w:val="clear" w:color="auto" w:fill="C6EFCE"/>
            <w:noWrap/>
          </w:tcPr>
          <w:p w14:paraId="7994D1D0"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Streamline governance of research, development and innovation</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5D421325"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w:t>
            </w:r>
          </w:p>
        </w:tc>
        <w:tc>
          <w:tcPr>
            <w:tcW w:w="3393" w:type="dxa"/>
            <w:tcBorders>
              <w:top w:val="single" w:sz="4" w:space="0" w:color="auto"/>
              <w:left w:val="nil"/>
              <w:bottom w:val="single" w:sz="4" w:space="0" w:color="auto"/>
              <w:right w:val="single" w:sz="4" w:space="0" w:color="auto"/>
            </w:tcBorders>
            <w:shd w:val="clear" w:color="auto" w:fill="C6EFCE"/>
            <w:noWrap/>
          </w:tcPr>
          <w:p w14:paraId="4AE55293" w14:textId="5FA294DA"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Establishment of a permanent system </w:t>
            </w:r>
            <w:r w:rsidR="002D2922" w:rsidRPr="002D2922">
              <w:rPr>
                <w:rFonts w:ascii="Times New Roman" w:eastAsia="Aptos" w:hAnsi="Times New Roman" w:cs="Times New Roman"/>
                <w:noProof/>
                <w:color w:val="000000"/>
                <w:kern w:val="2"/>
                <w:sz w:val="22"/>
                <w:szCs w:val="22"/>
                <w:lang w:val="en-IE" w:eastAsia="en-US"/>
                <w14:ligatures w14:val="standardContextual"/>
              </w:rPr>
              <w:t>that ensures</w:t>
            </w:r>
            <w:r w:rsidRPr="00137D7A">
              <w:rPr>
                <w:rFonts w:ascii="Times New Roman" w:eastAsia="Aptos" w:hAnsi="Times New Roman" w:cs="Times New Roman"/>
                <w:noProof/>
                <w:color w:val="000000"/>
                <w:kern w:val="2"/>
                <w:sz w:val="22"/>
                <w:szCs w:val="22"/>
                <w:lang w:val="en-IE" w:eastAsia="en-US"/>
                <w14:ligatures w14:val="standardContextual"/>
              </w:rPr>
              <w:t xml:space="preserve"> </w:t>
            </w:r>
            <w:r w:rsidR="002747D0">
              <w:rPr>
                <w:rFonts w:ascii="Times New Roman" w:eastAsia="Aptos" w:hAnsi="Times New Roman" w:cs="Times New Roman"/>
                <w:noProof/>
                <w:color w:val="000000"/>
                <w:kern w:val="2"/>
                <w:sz w:val="22"/>
                <w:szCs w:val="22"/>
                <w:lang w:val="en-IE" w:eastAsia="en-US"/>
                <w14:ligatures w14:val="standardContextual"/>
              </w:rPr>
              <w:t xml:space="preserve">the </w:t>
            </w:r>
            <w:r w:rsidRPr="00137D7A">
              <w:rPr>
                <w:rFonts w:ascii="Times New Roman" w:eastAsia="Aptos" w:hAnsi="Times New Roman" w:cs="Times New Roman"/>
                <w:noProof/>
                <w:color w:val="000000"/>
                <w:kern w:val="2"/>
                <w:sz w:val="22"/>
                <w:szCs w:val="22"/>
                <w:lang w:val="en-IE" w:eastAsia="en-US"/>
                <w14:ligatures w14:val="standardContextual"/>
              </w:rPr>
              <w:t>design, implement</w:t>
            </w:r>
            <w:r w:rsidR="00A15D1F">
              <w:rPr>
                <w:rFonts w:ascii="Times New Roman" w:eastAsia="Aptos" w:hAnsi="Times New Roman" w:cs="Times New Roman"/>
                <w:noProof/>
                <w:color w:val="000000"/>
                <w:kern w:val="2"/>
                <w:sz w:val="22"/>
                <w:szCs w:val="22"/>
                <w:lang w:val="en-IE" w:eastAsia="en-US"/>
                <w14:ligatures w14:val="standardContextual"/>
              </w:rPr>
              <w:t>ation</w:t>
            </w:r>
            <w:r w:rsidRPr="00137D7A">
              <w:rPr>
                <w:rFonts w:ascii="Times New Roman" w:eastAsia="Aptos" w:hAnsi="Times New Roman" w:cs="Times New Roman"/>
                <w:noProof/>
                <w:color w:val="000000"/>
                <w:kern w:val="2"/>
                <w:sz w:val="22"/>
                <w:szCs w:val="22"/>
                <w:lang w:val="en-IE" w:eastAsia="en-US"/>
                <w14:ligatures w14:val="standardContextual"/>
              </w:rPr>
              <w:t>, monitor</w:t>
            </w:r>
            <w:r w:rsidR="00A15D1F">
              <w:rPr>
                <w:rFonts w:ascii="Times New Roman" w:eastAsia="Aptos" w:hAnsi="Times New Roman" w:cs="Times New Roman"/>
                <w:noProof/>
                <w:color w:val="000000"/>
                <w:kern w:val="2"/>
                <w:sz w:val="22"/>
                <w:szCs w:val="22"/>
                <w:lang w:val="en-IE" w:eastAsia="en-US"/>
                <w14:ligatures w14:val="standardContextual"/>
              </w:rPr>
              <w:t>ing</w:t>
            </w:r>
            <w:r w:rsidRPr="00137D7A">
              <w:rPr>
                <w:rFonts w:ascii="Times New Roman" w:eastAsia="Aptos" w:hAnsi="Times New Roman" w:cs="Times New Roman"/>
                <w:noProof/>
                <w:color w:val="000000"/>
                <w:kern w:val="2"/>
                <w:sz w:val="22"/>
                <w:szCs w:val="22"/>
                <w:lang w:val="en-IE" w:eastAsia="en-US"/>
                <w14:ligatures w14:val="standardContextual"/>
              </w:rPr>
              <w:t xml:space="preserve"> and evaluat</w:t>
            </w:r>
            <w:r w:rsidR="00D316E3">
              <w:rPr>
                <w:rFonts w:ascii="Times New Roman" w:eastAsia="Aptos" w:hAnsi="Times New Roman" w:cs="Times New Roman"/>
                <w:noProof/>
                <w:color w:val="000000"/>
                <w:kern w:val="2"/>
                <w:sz w:val="22"/>
                <w:szCs w:val="22"/>
                <w:lang w:val="en-IE" w:eastAsia="en-US"/>
                <w14:ligatures w14:val="standardContextual"/>
              </w:rPr>
              <w:t>i</w:t>
            </w:r>
            <w:r w:rsidR="00A15D1F">
              <w:rPr>
                <w:rFonts w:ascii="Times New Roman" w:eastAsia="Aptos" w:hAnsi="Times New Roman" w:cs="Times New Roman"/>
                <w:noProof/>
                <w:color w:val="000000"/>
                <w:kern w:val="2"/>
                <w:sz w:val="22"/>
                <w:szCs w:val="22"/>
                <w:lang w:val="en-IE" w:eastAsia="en-US"/>
                <w14:ligatures w14:val="standardContextual"/>
              </w:rPr>
              <w:t>on</w:t>
            </w:r>
            <w:r w:rsidRPr="00137D7A">
              <w:rPr>
                <w:rFonts w:ascii="Times New Roman" w:eastAsia="Aptos" w:hAnsi="Times New Roman" w:cs="Times New Roman"/>
                <w:noProof/>
                <w:color w:val="000000"/>
                <w:kern w:val="2"/>
                <w:sz w:val="22"/>
                <w:szCs w:val="22"/>
                <w:lang w:val="en-IE" w:eastAsia="en-US"/>
                <w14:ligatures w14:val="standardContextual"/>
              </w:rPr>
              <w:t xml:space="preserve"> RDI policy</w:t>
            </w:r>
            <w:r w:rsidR="008A0CE7">
              <w:rPr>
                <w:rFonts w:ascii="Times New Roman" w:eastAsia="Aptos" w:hAnsi="Times New Roman" w:cs="Times New Roman"/>
                <w:noProof/>
                <w:color w:val="000000"/>
                <w:kern w:val="2"/>
                <w:sz w:val="22"/>
                <w:szCs w:val="22"/>
                <w:lang w:val="en-IE" w:eastAsia="en-US"/>
                <w14:ligatures w14:val="standardContextual"/>
              </w:rPr>
              <w:t xml:space="preserve">, </w:t>
            </w:r>
            <w:r w:rsidR="008A0CE7" w:rsidRPr="008A0CE7">
              <w:rPr>
                <w:rFonts w:ascii="Times New Roman" w:eastAsia="Aptos" w:hAnsi="Times New Roman" w:cs="Times New Roman"/>
                <w:noProof/>
                <w:color w:val="000000"/>
                <w:kern w:val="2"/>
                <w:sz w:val="22"/>
                <w:szCs w:val="22"/>
                <w:lang w:val="en-IE" w:eastAsia="en-US"/>
                <w14:ligatures w14:val="standardContextual"/>
              </w:rPr>
              <w:t>and approval of a report on the progress on the implementation of the recommendations detailed in the Policy Support Facility Romania Country Report.</w:t>
            </w:r>
          </w:p>
        </w:tc>
      </w:tr>
      <w:tr w:rsidR="0059112F" w:rsidRPr="00137D7A" w14:paraId="2E690841"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6E015838"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RO-C[C10]-I[I1.0]-T[296]</w:t>
            </w:r>
          </w:p>
        </w:tc>
        <w:tc>
          <w:tcPr>
            <w:tcW w:w="3535" w:type="dxa"/>
            <w:tcBorders>
              <w:top w:val="single" w:sz="4" w:space="0" w:color="auto"/>
              <w:left w:val="nil"/>
              <w:bottom w:val="single" w:sz="4" w:space="0" w:color="auto"/>
              <w:right w:val="single" w:sz="4" w:space="0" w:color="auto"/>
            </w:tcBorders>
            <w:shd w:val="clear" w:color="auto" w:fill="C6EFCE"/>
            <w:noWrap/>
          </w:tcPr>
          <w:p w14:paraId="44A24A0A"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Sustainable urban mobility</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20FF387A"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7A2667CC"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Additional zero-emission vehicles delivered</w:t>
            </w:r>
          </w:p>
        </w:tc>
      </w:tr>
      <w:tr w:rsidR="0059112F" w:rsidRPr="00137D7A" w14:paraId="3BE837C7"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E6E64EE"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RO-C[C10]-I[I1.0]-T[299]</w:t>
            </w:r>
          </w:p>
        </w:tc>
        <w:tc>
          <w:tcPr>
            <w:tcW w:w="3535" w:type="dxa"/>
            <w:tcBorders>
              <w:top w:val="single" w:sz="4" w:space="0" w:color="auto"/>
              <w:left w:val="nil"/>
              <w:bottom w:val="single" w:sz="4" w:space="0" w:color="auto"/>
              <w:right w:val="single" w:sz="4" w:space="0" w:color="auto"/>
            </w:tcBorders>
            <w:shd w:val="clear" w:color="auto" w:fill="C6EFCE"/>
            <w:noWrap/>
          </w:tcPr>
          <w:p w14:paraId="3C22C498"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Sustainable urban mobility</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CDCD5A9"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5EFD7116"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Cycling lanes constructed</w:t>
            </w:r>
          </w:p>
        </w:tc>
      </w:tr>
      <w:tr w:rsidR="0059112F" w:rsidRPr="00137D7A" w14:paraId="24CAB006"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56B09E84"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RO-C[C10]-I[I1.0]-T[303]</w:t>
            </w:r>
          </w:p>
        </w:tc>
        <w:tc>
          <w:tcPr>
            <w:tcW w:w="3535" w:type="dxa"/>
            <w:tcBorders>
              <w:top w:val="single" w:sz="4" w:space="0" w:color="auto"/>
              <w:left w:val="nil"/>
              <w:bottom w:val="single" w:sz="4" w:space="0" w:color="auto"/>
              <w:right w:val="single" w:sz="4" w:space="0" w:color="auto"/>
            </w:tcBorders>
            <w:shd w:val="clear" w:color="auto" w:fill="C6EFCE"/>
            <w:noWrap/>
          </w:tcPr>
          <w:p w14:paraId="50BE03E5"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Sustainable urban mobility</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24A84F25"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67F107F2" w14:textId="7B355D90"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Number of recharging points for electric vehicles </w:t>
            </w:r>
            <w:r w:rsidR="007765B9" w:rsidRPr="007765B9">
              <w:rPr>
                <w:rFonts w:ascii="Times New Roman" w:eastAsia="Aptos" w:hAnsi="Times New Roman" w:cs="Times New Roman"/>
                <w:noProof/>
                <w:color w:val="000000"/>
                <w:kern w:val="2"/>
                <w:sz w:val="22"/>
                <w:szCs w:val="22"/>
                <w:lang w:val="en-IE" w:eastAsia="en-US"/>
                <w14:ligatures w14:val="standardContextual"/>
              </w:rPr>
              <w:t>connected to the electricity grid </w:t>
            </w:r>
          </w:p>
        </w:tc>
      </w:tr>
      <w:tr w:rsidR="0059112F" w:rsidRPr="00137D7A" w14:paraId="63D5459A"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ECF993E"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RO-C[C10]-I[I3.0]-T[322a]</w:t>
            </w:r>
          </w:p>
        </w:tc>
        <w:tc>
          <w:tcPr>
            <w:tcW w:w="3535" w:type="dxa"/>
            <w:tcBorders>
              <w:top w:val="single" w:sz="4" w:space="0" w:color="auto"/>
              <w:left w:val="nil"/>
              <w:bottom w:val="single" w:sz="4" w:space="0" w:color="auto"/>
              <w:right w:val="single" w:sz="4" w:space="0" w:color="auto"/>
            </w:tcBorders>
            <w:shd w:val="clear" w:color="auto" w:fill="C6EFCE"/>
            <w:noWrap/>
          </w:tcPr>
          <w:p w14:paraId="4D36A8CE"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Renovation of public buildings to support better public service delivery by administrative territorial units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44F6B30A"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473F560F"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Energy renovation of public buildings </w:t>
            </w:r>
          </w:p>
        </w:tc>
      </w:tr>
      <w:tr w:rsidR="0059112F" w:rsidRPr="00137D7A" w14:paraId="55FE6E97"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7DC2214"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RO-C[C11]-I[I5.0]-M[347]</w:t>
            </w:r>
          </w:p>
        </w:tc>
        <w:tc>
          <w:tcPr>
            <w:tcW w:w="3535" w:type="dxa"/>
            <w:tcBorders>
              <w:top w:val="single" w:sz="4" w:space="0" w:color="auto"/>
              <w:left w:val="nil"/>
              <w:bottom w:val="single" w:sz="4" w:space="0" w:color="auto"/>
              <w:right w:val="single" w:sz="4" w:space="0" w:color="auto"/>
            </w:tcBorders>
            <w:shd w:val="clear" w:color="auto" w:fill="C6EFCE"/>
            <w:noWrap/>
          </w:tcPr>
          <w:p w14:paraId="231419C8"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Increasing access to culture in culturally deprived areas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552DD031" w14:textId="77777777" w:rsidR="0059112F" w:rsidRPr="00137D7A" w:rsidRDefault="0059112F" w:rsidP="0059112F">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w:t>
            </w:r>
          </w:p>
        </w:tc>
        <w:tc>
          <w:tcPr>
            <w:tcW w:w="3393" w:type="dxa"/>
            <w:tcBorders>
              <w:top w:val="single" w:sz="4" w:space="0" w:color="auto"/>
              <w:left w:val="nil"/>
              <w:bottom w:val="single" w:sz="4" w:space="0" w:color="auto"/>
              <w:right w:val="single" w:sz="4" w:space="0" w:color="auto"/>
            </w:tcBorders>
            <w:shd w:val="clear" w:color="auto" w:fill="C6EFCE"/>
            <w:noWrap/>
          </w:tcPr>
          <w:p w14:paraId="5998CD07"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Small localities with access to culture</w:t>
            </w:r>
          </w:p>
        </w:tc>
      </w:tr>
      <w:tr w:rsidR="0059112F" w:rsidRPr="00137D7A" w14:paraId="679948BD"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1CE58A06"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RO-C[C12]-R[R3.0]-T[360]</w:t>
            </w:r>
          </w:p>
        </w:tc>
        <w:tc>
          <w:tcPr>
            <w:tcW w:w="3535" w:type="dxa"/>
            <w:tcBorders>
              <w:top w:val="single" w:sz="4" w:space="0" w:color="auto"/>
              <w:left w:val="nil"/>
              <w:bottom w:val="single" w:sz="4" w:space="0" w:color="auto"/>
              <w:right w:val="single" w:sz="4" w:space="0" w:color="auto"/>
            </w:tcBorders>
            <w:shd w:val="clear" w:color="auto" w:fill="C6EFCE"/>
            <w:noWrap/>
          </w:tcPr>
          <w:p w14:paraId="2CECC2A0"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Increased capacity for health management and human resources in health</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1F341AE"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3C2B639D"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Construction and equipment of two skill development centres for training public healthcare staff</w:t>
            </w:r>
          </w:p>
        </w:tc>
      </w:tr>
      <w:tr w:rsidR="0059112F" w:rsidRPr="00137D7A" w14:paraId="4AB06E52"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E88582B"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RO-C[C12]-I[I1.0]-T[370]</w:t>
            </w:r>
          </w:p>
        </w:tc>
        <w:tc>
          <w:tcPr>
            <w:tcW w:w="3535" w:type="dxa"/>
            <w:tcBorders>
              <w:top w:val="single" w:sz="4" w:space="0" w:color="auto"/>
              <w:left w:val="nil"/>
              <w:bottom w:val="single" w:sz="4" w:space="0" w:color="auto"/>
              <w:right w:val="single" w:sz="4" w:space="0" w:color="auto"/>
            </w:tcBorders>
            <w:shd w:val="clear" w:color="auto" w:fill="C6EFCE"/>
            <w:noWrap/>
          </w:tcPr>
          <w:p w14:paraId="4FAB5DD6"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Pre-hospital medical infrastructure</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7C3BAA17"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17F91BE9" w14:textId="055F8856"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Integrated community centres constructed</w:t>
            </w:r>
            <w:r w:rsidR="008A17E7">
              <w:rPr>
                <w:rFonts w:ascii="Times New Roman" w:eastAsia="Aptos" w:hAnsi="Times New Roman" w:cs="Times New Roman"/>
                <w:noProof/>
                <w:color w:val="000000"/>
                <w:kern w:val="2"/>
                <w:sz w:val="22"/>
                <w:szCs w:val="22"/>
                <w:lang w:val="en-IE" w:eastAsia="en-US"/>
                <w14:ligatures w14:val="standardContextual"/>
              </w:rPr>
              <w:t xml:space="preserve"> or</w:t>
            </w:r>
            <w:r w:rsidR="007975AB">
              <w:rPr>
                <w:rFonts w:ascii="Times New Roman" w:eastAsia="Aptos" w:hAnsi="Times New Roman" w:cs="Times New Roman"/>
                <w:noProof/>
                <w:color w:val="000000"/>
                <w:kern w:val="2"/>
                <w:sz w:val="22"/>
                <w:szCs w:val="22"/>
                <w:lang w:val="en-IE" w:eastAsia="en-US"/>
                <w14:ligatures w14:val="standardContextual"/>
              </w:rPr>
              <w:t xml:space="preserve"> </w:t>
            </w:r>
            <w:r w:rsidRPr="00137D7A">
              <w:rPr>
                <w:rFonts w:ascii="Times New Roman" w:eastAsia="Aptos" w:hAnsi="Times New Roman" w:cs="Times New Roman"/>
                <w:noProof/>
                <w:color w:val="000000"/>
                <w:kern w:val="2"/>
                <w:sz w:val="22"/>
                <w:szCs w:val="22"/>
                <w:lang w:val="en-IE" w:eastAsia="en-US"/>
                <w14:ligatures w14:val="standardContextual"/>
              </w:rPr>
              <w:t xml:space="preserve">renovated </w:t>
            </w:r>
          </w:p>
        </w:tc>
      </w:tr>
      <w:tr w:rsidR="0059112F" w:rsidRPr="00137D7A" w14:paraId="1190571A"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6D850DDD"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RO-C[C12]-I[I2.0]-T[376]</w:t>
            </w:r>
          </w:p>
        </w:tc>
        <w:tc>
          <w:tcPr>
            <w:tcW w:w="3535" w:type="dxa"/>
            <w:tcBorders>
              <w:top w:val="single" w:sz="4" w:space="0" w:color="auto"/>
              <w:left w:val="nil"/>
              <w:bottom w:val="single" w:sz="4" w:space="0" w:color="auto"/>
              <w:right w:val="single" w:sz="4" w:space="0" w:color="auto"/>
            </w:tcBorders>
            <w:shd w:val="clear" w:color="auto" w:fill="C6EFCE"/>
            <w:noWrap/>
          </w:tcPr>
          <w:p w14:paraId="2471BB77"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Public hospital infrastructure</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3A319887"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1BB533C9" w14:textId="79E4CAB3" w:rsidR="0059112F" w:rsidRPr="00137D7A" w:rsidRDefault="00762CA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Pr>
                <w:rFonts w:ascii="Times New Roman" w:eastAsia="Aptos" w:hAnsi="Times New Roman" w:cs="Times New Roman"/>
                <w:noProof/>
                <w:color w:val="000000"/>
                <w:kern w:val="2"/>
                <w:sz w:val="22"/>
                <w:szCs w:val="22"/>
                <w:lang w:val="en-IE" w:eastAsia="en-US"/>
                <w14:ligatures w14:val="standardContextual"/>
              </w:rPr>
              <w:t>Investments in n</w:t>
            </w:r>
            <w:r w:rsidR="0059112F" w:rsidRPr="00137D7A">
              <w:rPr>
                <w:rFonts w:ascii="Times New Roman" w:eastAsia="Aptos" w:hAnsi="Times New Roman" w:cs="Times New Roman"/>
                <w:noProof/>
                <w:color w:val="000000"/>
                <w:kern w:val="2"/>
                <w:sz w:val="22"/>
                <w:szCs w:val="22"/>
                <w:lang w:val="en-IE" w:eastAsia="en-US"/>
                <w14:ligatures w14:val="standardContextual"/>
              </w:rPr>
              <w:t xml:space="preserve">ew-born intensive care units </w:t>
            </w:r>
          </w:p>
        </w:tc>
      </w:tr>
      <w:tr w:rsidR="0059112F" w:rsidRPr="00137D7A" w14:paraId="2841B693"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696A32F2"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RO-C[C12]-I[I2.0]-T[377]</w:t>
            </w:r>
          </w:p>
        </w:tc>
        <w:tc>
          <w:tcPr>
            <w:tcW w:w="3535" w:type="dxa"/>
            <w:tcBorders>
              <w:top w:val="single" w:sz="4" w:space="0" w:color="auto"/>
              <w:left w:val="nil"/>
              <w:bottom w:val="single" w:sz="4" w:space="0" w:color="auto"/>
              <w:right w:val="single" w:sz="4" w:space="0" w:color="auto"/>
            </w:tcBorders>
            <w:shd w:val="clear" w:color="auto" w:fill="C6EFCE"/>
            <w:noWrap/>
          </w:tcPr>
          <w:p w14:paraId="2A315817"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Public hospital infrastructure</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420D2C98"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0E748C94"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Construction of and/or equipping new public health units/hospitals</w:t>
            </w:r>
          </w:p>
        </w:tc>
      </w:tr>
      <w:tr w:rsidR="0059112F" w:rsidRPr="00137D7A" w14:paraId="1BC86CBB"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C05F0B4"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RO-C[C12]-I[I4.0]-T[534]</w:t>
            </w:r>
          </w:p>
        </w:tc>
        <w:tc>
          <w:tcPr>
            <w:tcW w:w="3535" w:type="dxa"/>
            <w:tcBorders>
              <w:top w:val="single" w:sz="4" w:space="0" w:color="auto"/>
              <w:left w:val="nil"/>
              <w:bottom w:val="single" w:sz="4" w:space="0" w:color="auto"/>
              <w:right w:val="single" w:sz="4" w:space="0" w:color="auto"/>
            </w:tcBorders>
            <w:shd w:val="clear" w:color="auto" w:fill="C6EFCE"/>
            <w:noWrap/>
          </w:tcPr>
          <w:p w14:paraId="0AF0184A"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Modernisation of emergency health care</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37E07BC4" w14:textId="77777777" w:rsidR="0059112F" w:rsidRPr="00137D7A" w:rsidRDefault="0059112F" w:rsidP="0059112F">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39F8E07A"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Purchasing of new ambulances</w:t>
            </w:r>
          </w:p>
        </w:tc>
      </w:tr>
      <w:tr w:rsidR="0059112F" w:rsidRPr="00137D7A" w14:paraId="42783B9C"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300158D"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RO-C[C13]-R[R2.0]-T[383]</w:t>
            </w:r>
          </w:p>
        </w:tc>
        <w:tc>
          <w:tcPr>
            <w:tcW w:w="3535" w:type="dxa"/>
            <w:tcBorders>
              <w:top w:val="single" w:sz="4" w:space="0" w:color="auto"/>
              <w:left w:val="nil"/>
              <w:bottom w:val="single" w:sz="4" w:space="0" w:color="auto"/>
              <w:right w:val="single" w:sz="4" w:space="0" w:color="auto"/>
            </w:tcBorders>
            <w:shd w:val="clear" w:color="auto" w:fill="C6EFCE"/>
            <w:noWrap/>
          </w:tcPr>
          <w:p w14:paraId="6547B755"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Reform of the protection system for adults with disabilities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0B51347D"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45575582"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Persons with disabilities deinstitutionalised</w:t>
            </w:r>
          </w:p>
        </w:tc>
      </w:tr>
      <w:tr w:rsidR="0059112F" w:rsidRPr="00137D7A" w14:paraId="2C77D5D2"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1993B248"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RO-C[C13]-I[I1.0]-T[394]</w:t>
            </w:r>
          </w:p>
        </w:tc>
        <w:tc>
          <w:tcPr>
            <w:tcW w:w="3535" w:type="dxa"/>
            <w:tcBorders>
              <w:top w:val="single" w:sz="4" w:space="0" w:color="auto"/>
              <w:left w:val="nil"/>
              <w:bottom w:val="single" w:sz="4" w:space="0" w:color="auto"/>
              <w:right w:val="single" w:sz="4" w:space="0" w:color="auto"/>
            </w:tcBorders>
            <w:shd w:val="clear" w:color="auto" w:fill="C6EFCE"/>
            <w:noWrap/>
          </w:tcPr>
          <w:p w14:paraId="522B2921"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Creation of a network of day centres for children at risk of separation</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5CD5C0EF" w14:textId="77777777" w:rsidR="0059112F" w:rsidRPr="00137D7A" w:rsidRDefault="0059112F" w:rsidP="0059112F">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0F578AE3"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Day centres to prevent the separation of children from the family</w:t>
            </w:r>
          </w:p>
        </w:tc>
      </w:tr>
      <w:tr w:rsidR="0059112F" w:rsidRPr="00137D7A" w14:paraId="51335543"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C52AB57"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RO-C[C13]-I[I2.0]-T[396]</w:t>
            </w:r>
          </w:p>
        </w:tc>
        <w:tc>
          <w:tcPr>
            <w:tcW w:w="3535" w:type="dxa"/>
            <w:tcBorders>
              <w:top w:val="single" w:sz="4" w:space="0" w:color="auto"/>
              <w:left w:val="nil"/>
              <w:bottom w:val="single" w:sz="4" w:space="0" w:color="auto"/>
              <w:right w:val="single" w:sz="4" w:space="0" w:color="auto"/>
            </w:tcBorders>
            <w:shd w:val="clear" w:color="auto" w:fill="C6EFCE"/>
            <w:noWrap/>
          </w:tcPr>
          <w:p w14:paraId="5A83D81C" w14:textId="59412472" w:rsidR="0059112F" w:rsidRPr="00137D7A" w:rsidRDefault="00290679"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290679">
              <w:rPr>
                <w:rFonts w:ascii="Times New Roman" w:eastAsia="Aptos" w:hAnsi="Times New Roman" w:cs="Times New Roman"/>
                <w:noProof/>
                <w:color w:val="000000"/>
                <w:kern w:val="2"/>
                <w:sz w:val="22"/>
                <w:szCs w:val="22"/>
                <w:lang w:val="en-IE" w:eastAsia="en-US"/>
                <w14:ligatures w14:val="standardContextual"/>
              </w:rPr>
              <w:t>Licensing and modernisation of</w:t>
            </w:r>
            <w:r w:rsidRPr="00290679" w:rsidDel="00290679">
              <w:rPr>
                <w:rFonts w:ascii="Times New Roman" w:eastAsia="Aptos" w:hAnsi="Times New Roman" w:cs="Times New Roman"/>
                <w:noProof/>
                <w:color w:val="000000"/>
                <w:kern w:val="2"/>
                <w:sz w:val="22"/>
                <w:szCs w:val="22"/>
                <w:lang w:val="en-IE" w:eastAsia="en-US"/>
                <w14:ligatures w14:val="standardContextual"/>
              </w:rPr>
              <w:t xml:space="preserve"> </w:t>
            </w:r>
            <w:r>
              <w:rPr>
                <w:rFonts w:ascii="Times New Roman" w:eastAsia="Aptos" w:hAnsi="Times New Roman" w:cs="Times New Roman"/>
                <w:noProof/>
                <w:color w:val="000000"/>
                <w:kern w:val="2"/>
                <w:sz w:val="22"/>
                <w:szCs w:val="22"/>
                <w:lang w:val="en-IE" w:eastAsia="en-US"/>
                <w14:ligatures w14:val="standardContextual"/>
              </w:rPr>
              <w:t xml:space="preserve"> </w:t>
            </w:r>
            <w:r w:rsidR="0059112F" w:rsidRPr="00137D7A">
              <w:rPr>
                <w:rFonts w:ascii="Times New Roman" w:eastAsia="Aptos" w:hAnsi="Times New Roman" w:cs="Times New Roman"/>
                <w:noProof/>
                <w:color w:val="000000"/>
                <w:kern w:val="2"/>
                <w:sz w:val="22"/>
                <w:szCs w:val="22"/>
                <w:lang w:val="en-IE" w:eastAsia="en-US"/>
                <w14:ligatures w14:val="standardContextual"/>
              </w:rPr>
              <w:t>social infrastructure for persons with disabilities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0F068A29"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08EEEE29"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New community services for persons with disabilities</w:t>
            </w:r>
          </w:p>
        </w:tc>
      </w:tr>
      <w:tr w:rsidR="0059112F" w:rsidRPr="00137D7A" w14:paraId="1FBB5259"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395AD849"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RO-C[C13]-I[I4.0]-T[400]</w:t>
            </w:r>
          </w:p>
        </w:tc>
        <w:tc>
          <w:tcPr>
            <w:tcW w:w="3535" w:type="dxa"/>
            <w:tcBorders>
              <w:top w:val="single" w:sz="4" w:space="0" w:color="auto"/>
              <w:left w:val="nil"/>
              <w:bottom w:val="single" w:sz="4" w:space="0" w:color="auto"/>
              <w:right w:val="single" w:sz="4" w:space="0" w:color="auto"/>
            </w:tcBorders>
            <w:shd w:val="clear" w:color="auto" w:fill="C6EFCE"/>
            <w:noWrap/>
          </w:tcPr>
          <w:p w14:paraId="6D284667"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Creation of a network of day care and rehabilitating centres for elderly </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3D21CE1C"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54ECE934"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Licensed day care and rehabilitating centres for the elderly</w:t>
            </w:r>
          </w:p>
        </w:tc>
      </w:tr>
      <w:tr w:rsidR="0059112F" w:rsidRPr="00137D7A" w14:paraId="65EE995D"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052EDBB"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RO-C[C14]-R[R3.0]-M[418]</w:t>
            </w:r>
          </w:p>
        </w:tc>
        <w:tc>
          <w:tcPr>
            <w:tcW w:w="3535" w:type="dxa"/>
            <w:tcBorders>
              <w:top w:val="single" w:sz="4" w:space="0" w:color="auto"/>
              <w:left w:val="nil"/>
              <w:bottom w:val="single" w:sz="4" w:space="0" w:color="auto"/>
              <w:right w:val="single" w:sz="4" w:space="0" w:color="auto"/>
            </w:tcBorders>
            <w:shd w:val="clear" w:color="auto" w:fill="C6EFCE"/>
            <w:noWrap/>
          </w:tcPr>
          <w:p w14:paraId="38771120"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 xml:space="preserve">Modernising human resources management in the public sector </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4AD8CB92"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393" w:type="dxa"/>
            <w:tcBorders>
              <w:top w:val="single" w:sz="4" w:space="0" w:color="auto"/>
              <w:left w:val="nil"/>
              <w:bottom w:val="single" w:sz="4" w:space="0" w:color="auto"/>
              <w:right w:val="single" w:sz="4" w:space="0" w:color="auto"/>
            </w:tcBorders>
            <w:shd w:val="clear" w:color="auto" w:fill="C6EFCE"/>
            <w:noWrap/>
          </w:tcPr>
          <w:p w14:paraId="7A067CCC" w14:textId="73F8D936"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Entry into force of legal acts for the adoption of</w:t>
            </w:r>
            <w:r w:rsidR="00D23D91">
              <w:rPr>
                <w:rFonts w:ascii="Times New Roman" w:eastAsia="Times New Roman" w:hAnsi="Times New Roman" w:cs="Times New Roman"/>
                <w:noProof/>
                <w:color w:val="000000"/>
                <w:kern w:val="2"/>
                <w:sz w:val="22"/>
                <w:szCs w:val="22"/>
                <w:lang w:val="en-IE" w:eastAsia="en-US"/>
                <w14:ligatures w14:val="standardContextual"/>
              </w:rPr>
              <w:t xml:space="preserve"> </w:t>
            </w:r>
            <w:r w:rsidRPr="00137D7A">
              <w:rPr>
                <w:rFonts w:ascii="Times New Roman" w:eastAsia="Times New Roman" w:hAnsi="Times New Roman" w:cs="Times New Roman"/>
                <w:noProof/>
                <w:color w:val="000000"/>
                <w:kern w:val="2"/>
                <w:sz w:val="22"/>
                <w:szCs w:val="22"/>
                <w:lang w:val="en-IE" w:eastAsia="en-US"/>
                <w14:ligatures w14:val="standardContextual"/>
              </w:rPr>
              <w:t>merit-based human resources management and competence frameworks in central public administration</w:t>
            </w:r>
            <w:r w:rsidRPr="00137D7A">
              <w:rPr>
                <w:rFonts w:ascii="Times New Roman" w:eastAsia="Times New Roman" w:hAnsi="Times New Roman" w:cs="Times New Roman"/>
                <w:noProof/>
                <w:kern w:val="2"/>
                <w:sz w:val="22"/>
                <w:szCs w:val="22"/>
                <w:lang w:val="en-IE" w:eastAsia="en-US"/>
                <w14:ligatures w14:val="standardContextual"/>
              </w:rPr>
              <w:t xml:space="preserve"> </w:t>
            </w:r>
          </w:p>
        </w:tc>
      </w:tr>
      <w:tr w:rsidR="0059112F" w:rsidRPr="00137D7A" w14:paraId="3E2ADC9D"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D7E7D59"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RO-C[C14]-R[R4.0]-M[420]</w:t>
            </w:r>
          </w:p>
        </w:tc>
        <w:tc>
          <w:tcPr>
            <w:tcW w:w="3535" w:type="dxa"/>
            <w:tcBorders>
              <w:top w:val="single" w:sz="4" w:space="0" w:color="auto"/>
              <w:left w:val="nil"/>
              <w:bottom w:val="single" w:sz="4" w:space="0" w:color="auto"/>
              <w:right w:val="single" w:sz="4" w:space="0" w:color="auto"/>
            </w:tcBorders>
            <w:shd w:val="clear" w:color="auto" w:fill="C6EFCE"/>
            <w:noWrap/>
          </w:tcPr>
          <w:p w14:paraId="489B7CC6" w14:textId="77777777" w:rsidR="0059112F" w:rsidRPr="00137D7A" w:rsidRDefault="0059112F" w:rsidP="0059112F">
            <w:pPr>
              <w:spacing w:after="0" w:line="259" w:lineRule="auto"/>
              <w:rPr>
                <w:rFonts w:ascii="Times New Roman" w:eastAsia="Times New Roman"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Developing of a fair unitary pay system in the public sector</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00E8FAD" w14:textId="77777777" w:rsidR="0059112F" w:rsidRPr="00137D7A" w:rsidRDefault="0059112F" w:rsidP="0059112F">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393" w:type="dxa"/>
            <w:tcBorders>
              <w:top w:val="single" w:sz="4" w:space="0" w:color="auto"/>
              <w:left w:val="nil"/>
              <w:bottom w:val="single" w:sz="4" w:space="0" w:color="auto"/>
              <w:right w:val="single" w:sz="4" w:space="0" w:color="auto"/>
            </w:tcBorders>
            <w:shd w:val="clear" w:color="auto" w:fill="C6EFCE"/>
            <w:noWrap/>
          </w:tcPr>
          <w:p w14:paraId="19AA87DD" w14:textId="6EBF1F8F" w:rsidR="0059112F" w:rsidRPr="00137D7A" w:rsidRDefault="007054BD" w:rsidP="0059112F">
            <w:pPr>
              <w:spacing w:after="0" w:line="240" w:lineRule="auto"/>
              <w:jc w:val="both"/>
              <w:rPr>
                <w:rFonts w:ascii="Times New Roman" w:eastAsia="Times New Roman" w:hAnsi="Times New Roman" w:cs="Times New Roman"/>
                <w:noProof/>
                <w:color w:val="000000"/>
                <w:kern w:val="2"/>
                <w:sz w:val="22"/>
                <w:szCs w:val="22"/>
                <w:lang w:val="en-IE" w:eastAsia="en-US"/>
                <w14:ligatures w14:val="standardContextual"/>
              </w:rPr>
            </w:pPr>
            <w:r w:rsidRPr="007054BD">
              <w:rPr>
                <w:rFonts w:ascii="Times New Roman" w:eastAsia="Times New Roman" w:hAnsi="Times New Roman" w:cs="Times New Roman"/>
                <w:noProof/>
                <w:color w:val="000000"/>
                <w:kern w:val="2"/>
                <w:sz w:val="22"/>
                <w:szCs w:val="22"/>
                <w:lang w:val="en-IE" w:eastAsia="en-US"/>
                <w14:ligatures w14:val="standardContextual"/>
              </w:rPr>
              <w:t>Publication in the Official Journal of the legal acts on remuneration of public sector employees </w:t>
            </w:r>
            <w:r w:rsidR="0059112F" w:rsidRPr="00137D7A">
              <w:rPr>
                <w:rFonts w:ascii="Times New Roman" w:eastAsia="Times New Roman" w:hAnsi="Times New Roman" w:cs="Times New Roman"/>
                <w:noProof/>
                <w:color w:val="000000"/>
                <w:kern w:val="2"/>
                <w:sz w:val="22"/>
                <w:szCs w:val="22"/>
                <w:lang w:val="en-IE" w:eastAsia="en-US"/>
                <w14:ligatures w14:val="standardContextual"/>
              </w:rPr>
              <w:t xml:space="preserve"> </w:t>
            </w:r>
          </w:p>
        </w:tc>
      </w:tr>
      <w:tr w:rsidR="0059112F" w:rsidRPr="00137D7A" w14:paraId="63ECC375"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D5E36C6"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RO-C[C14]-R[R7.0]-M[431]</w:t>
            </w:r>
          </w:p>
        </w:tc>
        <w:tc>
          <w:tcPr>
            <w:tcW w:w="3535" w:type="dxa"/>
            <w:tcBorders>
              <w:top w:val="single" w:sz="4" w:space="0" w:color="auto"/>
              <w:left w:val="nil"/>
              <w:bottom w:val="single" w:sz="4" w:space="0" w:color="auto"/>
              <w:right w:val="single" w:sz="4" w:space="0" w:color="auto"/>
            </w:tcBorders>
            <w:shd w:val="clear" w:color="auto" w:fill="C6EFCE"/>
            <w:noWrap/>
          </w:tcPr>
          <w:p w14:paraId="72680532"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Updating the integrity legal framework for the civil service</w:t>
            </w:r>
            <w:r w:rsidRPr="00137D7A">
              <w:rPr>
                <w:rFonts w:ascii="Times New Roman" w:eastAsia="Times New Roman" w:hAnsi="Times New Roman" w:cs="Times New Roman"/>
                <w:noProof/>
                <w:kern w:val="2"/>
                <w:sz w:val="22"/>
                <w:szCs w:val="22"/>
                <w:lang w:val="en-IE" w:eastAsia="en-US"/>
                <w14:ligatures w14:val="standardContextual"/>
              </w:rPr>
              <w:t xml:space="preserve"> </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B9C4301"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393" w:type="dxa"/>
            <w:tcBorders>
              <w:top w:val="single" w:sz="4" w:space="0" w:color="auto"/>
              <w:left w:val="nil"/>
              <w:bottom w:val="single" w:sz="4" w:space="0" w:color="auto"/>
              <w:right w:val="single" w:sz="4" w:space="0" w:color="auto"/>
            </w:tcBorders>
            <w:shd w:val="clear" w:color="auto" w:fill="C6EFCE"/>
            <w:noWrap/>
          </w:tcPr>
          <w:p w14:paraId="54C3504F" w14:textId="3E6B5E7D"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w:t>
            </w:r>
            <w:r w:rsidR="001060B6" w:rsidRPr="001060B6">
              <w:rPr>
                <w:rFonts w:ascii="Times New Roman" w:eastAsia="Aptos" w:hAnsi="Times New Roman" w:cs="Times New Roman"/>
                <w:noProof/>
                <w:kern w:val="2"/>
                <w:sz w:val="22"/>
                <w:szCs w:val="22"/>
                <w:lang w:val="en-IE" w:eastAsia="en-US"/>
                <w14:ligatures w14:val="standardContextual"/>
              </w:rPr>
              <w:t>of the legal act for updating the legislative framework on integrity </w:t>
            </w:r>
          </w:p>
        </w:tc>
      </w:tr>
      <w:tr w:rsidR="0059112F" w:rsidRPr="00137D7A" w14:paraId="2C4FBE1D"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D135AC4"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RO-C[C14]-R[R9.0]-T[442]</w:t>
            </w:r>
          </w:p>
        </w:tc>
        <w:tc>
          <w:tcPr>
            <w:tcW w:w="3535" w:type="dxa"/>
            <w:tcBorders>
              <w:top w:val="single" w:sz="4" w:space="0" w:color="auto"/>
              <w:left w:val="nil"/>
              <w:bottom w:val="single" w:sz="4" w:space="0" w:color="auto"/>
              <w:right w:val="single" w:sz="4" w:space="0" w:color="auto"/>
            </w:tcBorders>
            <w:shd w:val="clear" w:color="auto" w:fill="C6EFCE"/>
            <w:noWrap/>
          </w:tcPr>
          <w:p w14:paraId="3A8DBCF6"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Improve the procedural framework for the implementation of corporate governance principles in state-owned enterprises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6A970633"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3ED5D4C1" w14:textId="3BE1781C" w:rsidR="0059112F" w:rsidRPr="00137D7A" w:rsidRDefault="0059112F" w:rsidP="0059112F">
            <w:pPr>
              <w:spacing w:after="0" w:line="240"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 xml:space="preserve">Reduction </w:t>
            </w:r>
            <w:r w:rsidR="00E35279" w:rsidRPr="005D3E6B">
              <w:rPr>
                <w:rFonts w:ascii="Times New Roman" w:eastAsia="Times New Roman" w:hAnsi="Times New Roman" w:cs="Times New Roman"/>
                <w:noProof/>
                <w:color w:val="000000"/>
                <w:kern w:val="2"/>
                <w:sz w:val="22"/>
                <w:szCs w:val="22"/>
                <w:lang w:val="en-IE" w:eastAsia="en-US"/>
                <w14:ligatures w14:val="standardContextual"/>
              </w:rPr>
              <w:t>in the number</w:t>
            </w:r>
            <w:r w:rsidR="00E35279">
              <w:rPr>
                <w:rFonts w:ascii="Times New Roman" w:eastAsia="Times New Roman" w:hAnsi="Times New Roman" w:cs="Times New Roman"/>
                <w:noProof/>
                <w:color w:val="000000"/>
                <w:kern w:val="2"/>
                <w:sz w:val="22"/>
                <w:szCs w:val="22"/>
                <w:lang w:val="en-IE" w:eastAsia="en-US"/>
                <w14:ligatures w14:val="standardContextual"/>
              </w:rPr>
              <w:t xml:space="preserve"> </w:t>
            </w:r>
            <w:r w:rsidRPr="00137D7A">
              <w:rPr>
                <w:rFonts w:ascii="Times New Roman" w:eastAsia="Times New Roman" w:hAnsi="Times New Roman" w:cs="Times New Roman"/>
                <w:noProof/>
                <w:color w:val="000000"/>
                <w:kern w:val="2"/>
                <w:sz w:val="22"/>
                <w:szCs w:val="22"/>
                <w:lang w:val="en-IE" w:eastAsia="en-US"/>
                <w14:ligatures w14:val="standardContextual"/>
              </w:rPr>
              <w:t>of interim</w:t>
            </w:r>
            <w:r w:rsidR="00E35279" w:rsidRPr="005D3E6B">
              <w:rPr>
                <w:rFonts w:ascii="Times New Roman" w:eastAsia="Times New Roman" w:hAnsi="Times New Roman" w:cs="Times New Roman"/>
                <w:noProof/>
                <w:color w:val="000000"/>
                <w:kern w:val="2"/>
                <w:sz w:val="22"/>
                <w:szCs w:val="22"/>
                <w:lang w:val="en-IE" w:eastAsia="en-US"/>
                <w14:ligatures w14:val="standardContextual"/>
              </w:rPr>
              <w:t xml:space="preserve"> mandates on</w:t>
            </w:r>
            <w:r w:rsidRPr="00137D7A">
              <w:rPr>
                <w:rFonts w:ascii="Times New Roman" w:eastAsia="Times New Roman" w:hAnsi="Times New Roman" w:cs="Times New Roman"/>
                <w:noProof/>
                <w:color w:val="000000"/>
                <w:kern w:val="2"/>
                <w:sz w:val="22"/>
                <w:szCs w:val="22"/>
                <w:lang w:val="en-IE" w:eastAsia="en-US"/>
                <w14:ligatures w14:val="standardContextual"/>
              </w:rPr>
              <w:t xml:space="preserve"> management/supervisory board</w:t>
            </w:r>
            <w:r w:rsidR="00E35279">
              <w:rPr>
                <w:rFonts w:ascii="Times New Roman" w:eastAsia="Times New Roman" w:hAnsi="Times New Roman" w:cs="Times New Roman"/>
                <w:noProof/>
                <w:color w:val="000000"/>
                <w:kern w:val="2"/>
                <w:sz w:val="22"/>
                <w:szCs w:val="22"/>
                <w:lang w:val="en-IE" w:eastAsia="en-US"/>
                <w14:ligatures w14:val="standardContextual"/>
              </w:rPr>
              <w:t>s</w:t>
            </w:r>
            <w:r w:rsidRPr="00137D7A">
              <w:rPr>
                <w:rFonts w:ascii="Times New Roman" w:eastAsia="Times New Roman" w:hAnsi="Times New Roman" w:cs="Times New Roman"/>
                <w:noProof/>
                <w:color w:val="000000"/>
                <w:kern w:val="2"/>
                <w:sz w:val="22"/>
                <w:szCs w:val="22"/>
                <w:lang w:val="en-IE" w:eastAsia="en-US"/>
                <w14:ligatures w14:val="standardContextual"/>
              </w:rPr>
              <w:t xml:space="preserve"> SOEs under the remit of public authorities at central level</w:t>
            </w:r>
            <w:r w:rsidR="00E35279">
              <w:rPr>
                <w:rFonts w:ascii="Times New Roman" w:eastAsia="Times New Roman" w:hAnsi="Times New Roman" w:cs="Times New Roman"/>
                <w:noProof/>
                <w:color w:val="000000"/>
                <w:kern w:val="2"/>
                <w:sz w:val="22"/>
                <w:szCs w:val="22"/>
                <w:lang w:val="en-IE" w:eastAsia="en-US"/>
                <w14:ligatures w14:val="standardContextual"/>
              </w:rPr>
              <w:t>.</w:t>
            </w:r>
            <w:r w:rsidRPr="00137D7A">
              <w:rPr>
                <w:rFonts w:ascii="Times New Roman" w:eastAsia="Times New Roman" w:hAnsi="Times New Roman" w:cs="Times New Roman"/>
                <w:noProof/>
                <w:color w:val="000000"/>
                <w:kern w:val="2"/>
                <w:sz w:val="22"/>
                <w:szCs w:val="22"/>
                <w:lang w:val="en-IE" w:eastAsia="en-US"/>
                <w14:ligatures w14:val="standardContextual"/>
              </w:rPr>
              <w:t xml:space="preserve"> </w:t>
            </w:r>
            <w:r w:rsidR="00E35279" w:rsidRPr="005D3E6B">
              <w:rPr>
                <w:rFonts w:ascii="Times New Roman" w:eastAsia="Times New Roman" w:hAnsi="Times New Roman" w:cs="Times New Roman"/>
                <w:noProof/>
                <w:color w:val="000000"/>
                <w:kern w:val="2"/>
                <w:sz w:val="22"/>
                <w:szCs w:val="22"/>
                <w:lang w:val="en-IE" w:eastAsia="en-US"/>
                <w14:ligatures w14:val="standardContextual"/>
              </w:rPr>
              <w:t>Increase in the share of permanent mandates on management/supervisory boards of</w:t>
            </w:r>
            <w:r w:rsidR="00E35279" w:rsidRPr="00137D7A">
              <w:rPr>
                <w:rFonts w:ascii="Times New Roman" w:eastAsia="Times New Roman" w:hAnsi="Times New Roman" w:cs="Times New Roman"/>
                <w:noProof/>
                <w:color w:val="000000"/>
                <w:kern w:val="2"/>
                <w:sz w:val="22"/>
                <w:szCs w:val="22"/>
                <w:lang w:val="en-IE" w:eastAsia="en-US"/>
                <w14:ligatures w14:val="standardContextual"/>
              </w:rPr>
              <w:t xml:space="preserve"> </w:t>
            </w:r>
            <w:r w:rsidRPr="00137D7A">
              <w:rPr>
                <w:rFonts w:ascii="Times New Roman" w:eastAsia="Times New Roman" w:hAnsi="Times New Roman" w:cs="Times New Roman"/>
                <w:noProof/>
                <w:color w:val="000000"/>
                <w:kern w:val="2"/>
                <w:sz w:val="22"/>
                <w:szCs w:val="22"/>
                <w:lang w:val="en-IE" w:eastAsia="en-US"/>
                <w14:ligatures w14:val="standardContextual"/>
              </w:rPr>
              <w:t xml:space="preserve">SOEs under the remit of public authorities </w:t>
            </w:r>
          </w:p>
        </w:tc>
      </w:tr>
      <w:tr w:rsidR="0059112F" w:rsidRPr="00137D7A" w14:paraId="0443D0AE"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A3D3BC0"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RO-C[C14]-R[R9.0]-T[443]</w:t>
            </w:r>
          </w:p>
        </w:tc>
        <w:tc>
          <w:tcPr>
            <w:tcW w:w="3535" w:type="dxa"/>
            <w:tcBorders>
              <w:top w:val="single" w:sz="4" w:space="0" w:color="auto"/>
              <w:left w:val="nil"/>
              <w:bottom w:val="single" w:sz="4" w:space="0" w:color="auto"/>
              <w:right w:val="single" w:sz="4" w:space="0" w:color="auto"/>
            </w:tcBorders>
            <w:shd w:val="clear" w:color="auto" w:fill="C6EFCE"/>
            <w:noWrap/>
          </w:tcPr>
          <w:p w14:paraId="6A29E6BA"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Improve the procedural framework for the implementation of corporate governance principles in state-owned enterprises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64854D54"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68F46E99" w14:textId="53C998B2"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Central state-owned companies listed</w:t>
            </w:r>
            <w:r w:rsidR="008A68C0">
              <w:rPr>
                <w:noProof/>
              </w:rPr>
              <w:t xml:space="preserve"> </w:t>
            </w:r>
            <w:r w:rsidR="008A68C0" w:rsidRPr="008A68C0">
              <w:rPr>
                <w:rFonts w:ascii="Times New Roman" w:eastAsia="Aptos" w:hAnsi="Times New Roman" w:cs="Times New Roman"/>
                <w:noProof/>
                <w:color w:val="000000"/>
                <w:kern w:val="2"/>
                <w:sz w:val="22"/>
                <w:szCs w:val="22"/>
                <w:lang w:val="en-IE" w:eastAsia="en-US"/>
                <w14:ligatures w14:val="standardContextual"/>
              </w:rPr>
              <w:t>or restructured under the remit of the Ministry of Energy or of the Ministry of Transport </w:t>
            </w:r>
          </w:p>
        </w:tc>
      </w:tr>
      <w:tr w:rsidR="0059112F" w:rsidRPr="00137D7A" w14:paraId="693ECCF1"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38A968AC"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RO-C[C15]-R[R2.0]-T[454]</w:t>
            </w:r>
          </w:p>
        </w:tc>
        <w:tc>
          <w:tcPr>
            <w:tcW w:w="3535" w:type="dxa"/>
            <w:tcBorders>
              <w:top w:val="single" w:sz="4" w:space="0" w:color="auto"/>
              <w:left w:val="nil"/>
              <w:bottom w:val="single" w:sz="4" w:space="0" w:color="auto"/>
              <w:right w:val="single" w:sz="4" w:space="0" w:color="auto"/>
            </w:tcBorders>
            <w:shd w:val="clear" w:color="auto" w:fill="C6EFCE"/>
            <w:noWrap/>
          </w:tcPr>
          <w:p w14:paraId="56215092" w14:textId="77F3CC49"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Unitary, inclusive and quality early childhood education system</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571CD2D2"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07D09DB5"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Number of 0-3 year-olds enrolled in early childhood education services</w:t>
            </w:r>
          </w:p>
        </w:tc>
      </w:tr>
      <w:tr w:rsidR="0059112F" w:rsidRPr="00137D7A" w14:paraId="6FE5DAB6"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29492F7D"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RO-C[C15]-I[I1.0]-T[457]</w:t>
            </w:r>
          </w:p>
        </w:tc>
        <w:tc>
          <w:tcPr>
            <w:tcW w:w="3535" w:type="dxa"/>
            <w:tcBorders>
              <w:top w:val="single" w:sz="4" w:space="0" w:color="auto"/>
              <w:left w:val="nil"/>
              <w:bottom w:val="single" w:sz="4" w:space="0" w:color="auto"/>
              <w:right w:val="single" w:sz="4" w:space="0" w:color="auto"/>
            </w:tcBorders>
            <w:shd w:val="clear" w:color="auto" w:fill="C6EFCE"/>
            <w:noWrap/>
          </w:tcPr>
          <w:p w14:paraId="77AFA480"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Construction and equipping of crèches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2846B764" w14:textId="77777777" w:rsidR="0059112F" w:rsidRPr="00137D7A" w:rsidRDefault="0059112F" w:rsidP="0059112F">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3BF63897"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Built and equipped crèches</w:t>
            </w:r>
          </w:p>
        </w:tc>
      </w:tr>
      <w:tr w:rsidR="0059112F" w:rsidRPr="00137D7A" w14:paraId="68E1030F"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60045A7F"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RO-C[C15]-I[I2.0]-T[459]</w:t>
            </w:r>
          </w:p>
        </w:tc>
        <w:tc>
          <w:tcPr>
            <w:tcW w:w="3535" w:type="dxa"/>
            <w:tcBorders>
              <w:top w:val="single" w:sz="4" w:space="0" w:color="auto"/>
              <w:left w:val="nil"/>
              <w:bottom w:val="single" w:sz="4" w:space="0" w:color="auto"/>
              <w:right w:val="single" w:sz="4" w:space="0" w:color="auto"/>
            </w:tcBorders>
            <w:shd w:val="clear" w:color="auto" w:fill="C6EFCE"/>
            <w:noWrap/>
          </w:tcPr>
          <w:p w14:paraId="2210A702" w14:textId="5EF114BD"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Setting up, equipping and approving complementary services </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73E3CEA4" w14:textId="77777777" w:rsidR="0059112F" w:rsidRPr="00137D7A" w:rsidRDefault="0059112F" w:rsidP="0059112F">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057B5E65"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Complementary services set up, equipped and </w:t>
            </w:r>
            <w:r w:rsidRPr="00137D7A">
              <w:rPr>
                <w:rFonts w:ascii="Times New Roman" w:eastAsia="Aptos" w:hAnsi="Times New Roman" w:cs="Times New Roman"/>
                <w:noProof/>
                <w:kern w:val="2"/>
                <w:sz w:val="22"/>
                <w:szCs w:val="22"/>
                <w:lang w:val="en-IE" w:eastAsia="en-US"/>
                <w14:ligatures w14:val="standardContextual"/>
              </w:rPr>
              <w:t>approved by the county school inspectorates</w:t>
            </w:r>
          </w:p>
        </w:tc>
      </w:tr>
      <w:tr w:rsidR="0059112F" w:rsidRPr="00137D7A" w14:paraId="03CF0836"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1B3F4366"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RO-C[C15]-I[I4.0]-T[466]</w:t>
            </w:r>
          </w:p>
        </w:tc>
        <w:tc>
          <w:tcPr>
            <w:tcW w:w="3535" w:type="dxa"/>
            <w:tcBorders>
              <w:top w:val="single" w:sz="4" w:space="0" w:color="auto"/>
              <w:left w:val="nil"/>
              <w:bottom w:val="single" w:sz="4" w:space="0" w:color="auto"/>
              <w:right w:val="single" w:sz="4" w:space="0" w:color="auto"/>
            </w:tcBorders>
            <w:shd w:val="clear" w:color="auto" w:fill="C6EFCE"/>
            <w:noWrap/>
          </w:tcPr>
          <w:p w14:paraId="65095793"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Supporting educational establishments with medium and high risk of drop-outs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32719318" w14:textId="77777777" w:rsidR="0059112F" w:rsidRPr="00137D7A" w:rsidRDefault="0059112F" w:rsidP="0059112F">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4A24E0C0" w14:textId="77777777" w:rsidR="0059112F" w:rsidRPr="00137D7A" w:rsidRDefault="0059112F" w:rsidP="0059112F">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Additional educational establishments awarded with grants </w:t>
            </w:r>
          </w:p>
        </w:tc>
      </w:tr>
      <w:tr w:rsidR="0059112F" w:rsidRPr="00137D7A" w14:paraId="7D438609"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387AA6A8"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RO-C[C15]-I[I4.0]-T[468]</w:t>
            </w:r>
          </w:p>
        </w:tc>
        <w:tc>
          <w:tcPr>
            <w:tcW w:w="3535" w:type="dxa"/>
            <w:tcBorders>
              <w:top w:val="single" w:sz="4" w:space="0" w:color="auto"/>
              <w:left w:val="nil"/>
              <w:bottom w:val="single" w:sz="4" w:space="0" w:color="auto"/>
              <w:right w:val="single" w:sz="4" w:space="0" w:color="auto"/>
            </w:tcBorders>
            <w:shd w:val="clear" w:color="auto" w:fill="C6EFCE"/>
            <w:noWrap/>
          </w:tcPr>
          <w:p w14:paraId="545846DC"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Supporting educational establishments with medium and high risk of drop-outs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59A338DE" w14:textId="77777777" w:rsidR="0059112F" w:rsidRPr="00137D7A" w:rsidRDefault="0059112F" w:rsidP="0059112F">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65C97968" w14:textId="77777777" w:rsidR="0059112F" w:rsidRPr="00137D7A" w:rsidRDefault="0059112F" w:rsidP="0059112F">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Reduction of the number of schools with medium and high risk of drop outs</w:t>
            </w:r>
          </w:p>
        </w:tc>
      </w:tr>
      <w:tr w:rsidR="0059112F" w:rsidRPr="00137D7A" w14:paraId="37DF707A"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2279FFC2"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RO-C[C15]-R[R4.0]-T[471]</w:t>
            </w:r>
          </w:p>
        </w:tc>
        <w:tc>
          <w:tcPr>
            <w:tcW w:w="3535" w:type="dxa"/>
            <w:tcBorders>
              <w:top w:val="single" w:sz="4" w:space="0" w:color="auto"/>
              <w:left w:val="nil"/>
              <w:bottom w:val="single" w:sz="4" w:space="0" w:color="auto"/>
              <w:right w:val="single" w:sz="4" w:space="0" w:color="auto"/>
            </w:tcBorders>
            <w:shd w:val="clear" w:color="auto" w:fill="C6EFCE"/>
            <w:noWrap/>
          </w:tcPr>
          <w:p w14:paraId="3D556BF3"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Creation of a full professional route for higher technical education</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11B2525"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596CA414"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Share of students enrolled in the professional route, in relation to the number of high school students</w:t>
            </w:r>
          </w:p>
        </w:tc>
      </w:tr>
      <w:tr w:rsidR="0059112F" w:rsidRPr="00137D7A" w14:paraId="68AA6DA9"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11EAD0AA"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RO-C[C15]-I[I6.0]-T[472]</w:t>
            </w:r>
          </w:p>
        </w:tc>
        <w:tc>
          <w:tcPr>
            <w:tcW w:w="3535" w:type="dxa"/>
            <w:tcBorders>
              <w:top w:val="single" w:sz="4" w:space="0" w:color="auto"/>
              <w:left w:val="nil"/>
              <w:bottom w:val="single" w:sz="4" w:space="0" w:color="auto"/>
              <w:right w:val="single" w:sz="4" w:space="0" w:color="auto"/>
            </w:tcBorders>
            <w:shd w:val="clear" w:color="auto" w:fill="C6EFCE"/>
            <w:noWrap/>
          </w:tcPr>
          <w:p w14:paraId="7853C326"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Building and equipping vocational campuses within regional consortia</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40728E41" w14:textId="77777777" w:rsidR="0059112F" w:rsidRPr="00137D7A" w:rsidRDefault="0059112F" w:rsidP="0059112F">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05C81A6D" w14:textId="61B57930" w:rsidR="0059112F" w:rsidRPr="00137D7A" w:rsidRDefault="0059112F" w:rsidP="0059112F">
            <w:pPr>
              <w:spacing w:after="120" w:line="240"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Five integrated vocational campuses </w:t>
            </w:r>
            <w:r w:rsidRPr="00137D7A">
              <w:rPr>
                <w:rFonts w:ascii="Times New Roman" w:eastAsia="Aptos" w:hAnsi="Times New Roman" w:cs="Times New Roman"/>
                <w:noProof/>
                <w:kern w:val="2"/>
                <w:sz w:val="22"/>
                <w:szCs w:val="22"/>
                <w:lang w:val="en-IE" w:eastAsia="en-US"/>
                <w14:ligatures w14:val="standardContextual"/>
              </w:rPr>
              <w:t xml:space="preserve">constructed and equipped within </w:t>
            </w:r>
            <w:r w:rsidR="00A03341">
              <w:rPr>
                <w:rFonts w:ascii="Times New Roman" w:eastAsia="Aptos" w:hAnsi="Times New Roman" w:cs="Times New Roman"/>
                <w:noProof/>
                <w:kern w:val="2"/>
                <w:sz w:val="22"/>
                <w:szCs w:val="22"/>
                <w:lang w:val="en-IE" w:eastAsia="en-US"/>
                <w14:ligatures w14:val="standardContextual"/>
              </w:rPr>
              <w:t>five</w:t>
            </w:r>
            <w:r w:rsidRPr="00137D7A">
              <w:rPr>
                <w:rFonts w:ascii="Times New Roman" w:eastAsia="Aptos" w:hAnsi="Times New Roman" w:cs="Times New Roman"/>
                <w:noProof/>
                <w:kern w:val="2"/>
                <w:sz w:val="22"/>
                <w:szCs w:val="22"/>
                <w:lang w:val="en-IE" w:eastAsia="en-US"/>
                <w14:ligatures w14:val="standardContextual"/>
              </w:rPr>
              <w:t xml:space="preserve"> regional consortia</w:t>
            </w:r>
          </w:p>
        </w:tc>
      </w:tr>
      <w:tr w:rsidR="0059112F" w:rsidRPr="00137D7A" w14:paraId="2C8AC4FF"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6D3DD0B9"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RO-C[C15]-I[I10.0]-M[486]</w:t>
            </w:r>
          </w:p>
        </w:tc>
        <w:tc>
          <w:tcPr>
            <w:tcW w:w="3535" w:type="dxa"/>
            <w:tcBorders>
              <w:top w:val="single" w:sz="4" w:space="0" w:color="auto"/>
              <w:left w:val="nil"/>
              <w:bottom w:val="single" w:sz="4" w:space="0" w:color="auto"/>
              <w:right w:val="single" w:sz="4" w:space="0" w:color="auto"/>
            </w:tcBorders>
            <w:shd w:val="clear" w:color="auto" w:fill="C6EFCE"/>
            <w:noWrap/>
          </w:tcPr>
          <w:p w14:paraId="777D2B5C"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Green-schools network development and purchase of green minibuses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7F566D4" w14:textId="77777777" w:rsidR="0059112F" w:rsidRPr="00137D7A" w:rsidRDefault="0059112F" w:rsidP="0059112F">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393" w:type="dxa"/>
            <w:tcBorders>
              <w:top w:val="single" w:sz="4" w:space="0" w:color="auto"/>
              <w:left w:val="nil"/>
              <w:bottom w:val="single" w:sz="4" w:space="0" w:color="auto"/>
              <w:right w:val="single" w:sz="4" w:space="0" w:color="auto"/>
            </w:tcBorders>
            <w:shd w:val="clear" w:color="auto" w:fill="C6EFCE"/>
            <w:noWrap/>
          </w:tcPr>
          <w:p w14:paraId="3C7696FA" w14:textId="77777777" w:rsidR="0059112F" w:rsidRPr="00137D7A" w:rsidRDefault="0059112F" w:rsidP="0059112F">
            <w:pPr>
              <w:spacing w:after="120" w:line="240"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Delivery of electric minibuses </w:t>
            </w:r>
          </w:p>
        </w:tc>
      </w:tr>
      <w:tr w:rsidR="0059112F" w:rsidRPr="00137D7A" w14:paraId="6DF7AC87"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62B42BBF"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RO-C[C15]-I[I10.0]-T[487]</w:t>
            </w:r>
          </w:p>
        </w:tc>
        <w:tc>
          <w:tcPr>
            <w:tcW w:w="3535" w:type="dxa"/>
            <w:tcBorders>
              <w:top w:val="single" w:sz="4" w:space="0" w:color="auto"/>
              <w:left w:val="nil"/>
              <w:bottom w:val="single" w:sz="4" w:space="0" w:color="auto"/>
              <w:right w:val="single" w:sz="4" w:space="0" w:color="auto"/>
            </w:tcBorders>
            <w:shd w:val="clear" w:color="auto" w:fill="C6EFCE"/>
            <w:noWrap/>
          </w:tcPr>
          <w:p w14:paraId="34FF38AC"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Green-schools network development and purchase of green minibuses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3E2DE2BF" w14:textId="77777777" w:rsidR="0059112F" w:rsidRPr="00137D7A" w:rsidRDefault="0059112F" w:rsidP="0059112F">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01607F13" w14:textId="77777777" w:rsidR="0059112F" w:rsidRPr="00137D7A" w:rsidRDefault="0059112F" w:rsidP="0059112F">
            <w:pPr>
              <w:spacing w:after="120" w:line="240"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Pre-university school area renovated</w:t>
            </w:r>
          </w:p>
        </w:tc>
      </w:tr>
      <w:tr w:rsidR="0059112F" w:rsidRPr="00137D7A" w14:paraId="489401AD"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51A2B2D3"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RO-C[C15]-R[R7.0]-M[495]</w:t>
            </w:r>
          </w:p>
        </w:tc>
        <w:tc>
          <w:tcPr>
            <w:tcW w:w="3535" w:type="dxa"/>
            <w:tcBorders>
              <w:top w:val="single" w:sz="4" w:space="0" w:color="auto"/>
              <w:left w:val="nil"/>
              <w:bottom w:val="single" w:sz="4" w:space="0" w:color="auto"/>
              <w:right w:val="single" w:sz="4" w:space="0" w:color="auto"/>
            </w:tcBorders>
            <w:shd w:val="clear" w:color="auto" w:fill="C6EFCE"/>
            <w:noWrap/>
          </w:tcPr>
          <w:p w14:paraId="69B330BA"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Reform of the governance of the pre-university education system and professionalisation of management</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A6134E0"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w:t>
            </w:r>
          </w:p>
        </w:tc>
        <w:tc>
          <w:tcPr>
            <w:tcW w:w="3393" w:type="dxa"/>
            <w:tcBorders>
              <w:top w:val="single" w:sz="4" w:space="0" w:color="auto"/>
              <w:left w:val="nil"/>
              <w:bottom w:val="single" w:sz="4" w:space="0" w:color="auto"/>
              <w:right w:val="single" w:sz="4" w:space="0" w:color="auto"/>
            </w:tcBorders>
            <w:shd w:val="clear" w:color="auto" w:fill="C6EFCE"/>
            <w:noWrap/>
          </w:tcPr>
          <w:p w14:paraId="1E363F08" w14:textId="3F7855D0" w:rsidR="0059112F" w:rsidRPr="00137D7A" w:rsidRDefault="0059112F" w:rsidP="0059112F">
            <w:pPr>
              <w:spacing w:after="120" w:line="240"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Analysis of the governance of the pre-university education system and plan of actions</w:t>
            </w:r>
            <w:r w:rsidR="00D23D91">
              <w:rPr>
                <w:rFonts w:ascii="Times New Roman" w:eastAsia="Aptos" w:hAnsi="Times New Roman" w:cs="Times New Roman"/>
                <w:noProof/>
                <w:kern w:val="2"/>
                <w:sz w:val="22"/>
                <w:szCs w:val="22"/>
                <w:lang w:val="en-IE" w:eastAsia="en-US"/>
                <w14:ligatures w14:val="standardContextual"/>
              </w:rPr>
              <w:t xml:space="preserve"> </w:t>
            </w:r>
            <w:r w:rsidRPr="00137D7A">
              <w:rPr>
                <w:rFonts w:ascii="Times New Roman" w:eastAsia="Aptos" w:hAnsi="Times New Roman" w:cs="Times New Roman"/>
                <w:noProof/>
                <w:kern w:val="2"/>
                <w:sz w:val="22"/>
                <w:szCs w:val="22"/>
                <w:lang w:val="en-IE" w:eastAsia="en-US"/>
                <w14:ligatures w14:val="standardContextual"/>
              </w:rPr>
              <w:t>published</w:t>
            </w:r>
          </w:p>
          <w:p w14:paraId="221CDE97"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p>
        </w:tc>
      </w:tr>
      <w:tr w:rsidR="0059112F" w:rsidRPr="00137D7A" w14:paraId="1A632892"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113E0"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RO-C[C15]-I[I18.0]-T[507]</w:t>
            </w:r>
          </w:p>
        </w:tc>
        <w:tc>
          <w:tcPr>
            <w:tcW w:w="3535" w:type="dxa"/>
            <w:tcBorders>
              <w:top w:val="single" w:sz="4" w:space="0" w:color="auto"/>
              <w:left w:val="nil"/>
              <w:bottom w:val="single" w:sz="4" w:space="0" w:color="auto"/>
              <w:right w:val="single" w:sz="4" w:space="0" w:color="auto"/>
            </w:tcBorders>
            <w:shd w:val="clear" w:color="auto" w:fill="C6EFCE"/>
            <w:noWrap/>
          </w:tcPr>
          <w:p w14:paraId="373463E6" w14:textId="09F7212C"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Training and coaching for </w:t>
            </w:r>
            <w:r w:rsidRPr="00137D7A">
              <w:rPr>
                <w:rFonts w:ascii="Times New Roman" w:eastAsia="Aptos" w:hAnsi="Times New Roman" w:cs="Times New Roman"/>
                <w:noProof/>
                <w:kern w:val="2"/>
                <w:sz w:val="22"/>
                <w:szCs w:val="22"/>
                <w:lang w:val="en-IE" w:eastAsia="en-US"/>
                <w14:ligatures w14:val="standardContextual"/>
              </w:rPr>
              <w:t>educational management staff</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6FE93B34"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6191331F"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Educational management staff trained</w:t>
            </w:r>
          </w:p>
        </w:tc>
      </w:tr>
      <w:tr w:rsidR="0059112F" w:rsidRPr="00137D7A" w14:paraId="5AEFEC09"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691829A0"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RO-C[C16]-I[I4.0]-T[516]</w:t>
            </w:r>
          </w:p>
        </w:tc>
        <w:tc>
          <w:tcPr>
            <w:tcW w:w="3535" w:type="dxa"/>
            <w:tcBorders>
              <w:top w:val="single" w:sz="4" w:space="0" w:color="auto"/>
              <w:left w:val="nil"/>
              <w:bottom w:val="single" w:sz="4" w:space="0" w:color="auto"/>
              <w:right w:val="single" w:sz="4" w:space="0" w:color="auto"/>
            </w:tcBorders>
            <w:shd w:val="clear" w:color="auto" w:fill="C6EFCE"/>
            <w:noWrap/>
          </w:tcPr>
          <w:p w14:paraId="5F01CEFE" w14:textId="68C05CB0"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Grant Voucher</w:t>
            </w:r>
            <w:r w:rsidR="00B0018B">
              <w:rPr>
                <w:rFonts w:ascii="Times New Roman" w:eastAsia="Aptos" w:hAnsi="Times New Roman" w:cs="Times New Roman"/>
                <w:noProof/>
                <w:color w:val="000000"/>
                <w:kern w:val="2"/>
                <w:sz w:val="22"/>
                <w:szCs w:val="22"/>
                <w:lang w:val="en-IE" w:eastAsia="en-US"/>
                <w14:ligatures w14:val="standardContextual"/>
              </w:rPr>
              <w:t>s</w:t>
            </w:r>
            <w:r w:rsidRPr="00137D7A">
              <w:rPr>
                <w:rFonts w:ascii="Times New Roman" w:eastAsia="Aptos" w:hAnsi="Times New Roman" w:cs="Times New Roman"/>
                <w:noProof/>
                <w:color w:val="000000"/>
                <w:kern w:val="2"/>
                <w:sz w:val="22"/>
                <w:szCs w:val="22"/>
                <w:lang w:val="en-IE" w:eastAsia="en-US"/>
                <w14:ligatures w14:val="standardContextual"/>
              </w:rPr>
              <w:t xml:space="preserve"> to accelerate the rollout of renewable energy by households</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636EC761"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2BE3BDAA"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US"/>
                <w14:ligatures w14:val="standardContextual"/>
              </w:rPr>
              <w:t>Installation of solar panels and electricity storage systems by households</w:t>
            </w:r>
          </w:p>
        </w:tc>
      </w:tr>
      <w:tr w:rsidR="0059112F" w:rsidRPr="00137D7A" w14:paraId="53BF6853"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413F07D6"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RO-C[C16]-I[I5.0]-T[518]</w:t>
            </w:r>
          </w:p>
        </w:tc>
        <w:tc>
          <w:tcPr>
            <w:tcW w:w="3535" w:type="dxa"/>
            <w:tcBorders>
              <w:top w:val="single" w:sz="4" w:space="0" w:color="auto"/>
              <w:left w:val="nil"/>
              <w:bottom w:val="single" w:sz="4" w:space="0" w:color="auto"/>
              <w:right w:val="single" w:sz="4" w:space="0" w:color="auto"/>
            </w:tcBorders>
            <w:shd w:val="clear" w:color="auto" w:fill="C6EFCE"/>
            <w:noWrap/>
          </w:tcPr>
          <w:p w14:paraId="2A1C6C2B"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Digitalisation and modernisation of the national electricity transmission network</w:t>
            </w:r>
            <w:r w:rsidRPr="00137D7A">
              <w:rPr>
                <w:rFonts w:ascii="Times New Roman" w:eastAsia="Times New Roman" w:hAnsi="Times New Roman" w:cs="Times New Roman"/>
                <w:noProof/>
                <w:kern w:val="2"/>
                <w:sz w:val="22"/>
                <w:szCs w:val="22"/>
                <w:lang w:val="en-IE" w:eastAsia="en-US"/>
                <w14:ligatures w14:val="standardContextual"/>
              </w:rPr>
              <w:t xml:space="preserve"> </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F6E75C8"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6BA92A0F"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Reduction of annual electricity consumption</w:t>
            </w:r>
          </w:p>
        </w:tc>
      </w:tr>
      <w:tr w:rsidR="0059112F" w:rsidRPr="00137D7A" w14:paraId="7EFC2199"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22120"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RO-C[C16]-I[I7]-T[529]</w:t>
            </w:r>
          </w:p>
        </w:tc>
        <w:tc>
          <w:tcPr>
            <w:tcW w:w="3535" w:type="dxa"/>
            <w:tcBorders>
              <w:top w:val="single" w:sz="4" w:space="0" w:color="auto"/>
              <w:left w:val="nil"/>
              <w:bottom w:val="single" w:sz="4" w:space="0" w:color="auto"/>
              <w:right w:val="single" w:sz="4" w:space="0" w:color="auto"/>
            </w:tcBorders>
            <w:shd w:val="clear" w:color="auto" w:fill="C6EFCE"/>
            <w:noWrap/>
          </w:tcPr>
          <w:p w14:paraId="5F8DB4D2" w14:textId="36B0C59F"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Grant Voucher</w:t>
            </w:r>
            <w:r w:rsidR="00F953EF">
              <w:rPr>
                <w:rFonts w:ascii="Times New Roman" w:eastAsia="Aptos" w:hAnsi="Times New Roman" w:cs="Times New Roman"/>
                <w:noProof/>
                <w:color w:val="000000"/>
                <w:kern w:val="2"/>
                <w:sz w:val="22"/>
                <w:szCs w:val="22"/>
                <w:lang w:val="en-IE" w:eastAsia="en-US"/>
                <w14:ligatures w14:val="standardContextual"/>
              </w:rPr>
              <w:t>s</w:t>
            </w:r>
            <w:r w:rsidRPr="00137D7A">
              <w:rPr>
                <w:rFonts w:ascii="Times New Roman" w:eastAsia="Aptos" w:hAnsi="Times New Roman" w:cs="Times New Roman"/>
                <w:noProof/>
                <w:color w:val="000000"/>
                <w:kern w:val="2"/>
                <w:sz w:val="22"/>
                <w:szCs w:val="22"/>
                <w:lang w:val="en-IE" w:eastAsia="en-US"/>
                <w14:ligatures w14:val="standardContextual"/>
              </w:rPr>
              <w:t xml:space="preserve"> for support households’ energy efficiency upgrades </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5A5EC137"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393" w:type="dxa"/>
            <w:tcBorders>
              <w:top w:val="single" w:sz="4" w:space="0" w:color="auto"/>
              <w:left w:val="nil"/>
              <w:bottom w:val="single" w:sz="4" w:space="0" w:color="auto"/>
              <w:right w:val="single" w:sz="4" w:space="0" w:color="auto"/>
            </w:tcBorders>
            <w:shd w:val="clear" w:color="auto" w:fill="C6EFCE"/>
            <w:noWrap/>
          </w:tcPr>
          <w:p w14:paraId="00274E86"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Energy renovation of dwellings</w:t>
            </w:r>
          </w:p>
        </w:tc>
      </w:tr>
      <w:tr w:rsidR="0059112F" w:rsidRPr="00137D7A" w14:paraId="35B56CAA"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29A1F042"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p>
        </w:tc>
        <w:tc>
          <w:tcPr>
            <w:tcW w:w="3535" w:type="dxa"/>
            <w:tcBorders>
              <w:top w:val="single" w:sz="4" w:space="0" w:color="auto"/>
              <w:left w:val="nil"/>
              <w:bottom w:val="single" w:sz="4" w:space="0" w:color="auto"/>
              <w:right w:val="single" w:sz="4" w:space="0" w:color="auto"/>
            </w:tcBorders>
            <w:shd w:val="clear" w:color="auto" w:fill="C6EFCE"/>
            <w:noWrap/>
          </w:tcPr>
          <w:p w14:paraId="448AD7A3" w14:textId="77777777" w:rsidR="0059112F" w:rsidRPr="00137D7A" w:rsidRDefault="0059112F" w:rsidP="0059112F">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D7F62E1"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Instalment Amount</w:t>
            </w:r>
          </w:p>
        </w:tc>
        <w:tc>
          <w:tcPr>
            <w:tcW w:w="3393" w:type="dxa"/>
            <w:tcBorders>
              <w:top w:val="single" w:sz="4" w:space="0" w:color="auto"/>
              <w:left w:val="nil"/>
              <w:bottom w:val="single" w:sz="4" w:space="0" w:color="auto"/>
              <w:right w:val="single" w:sz="4" w:space="0" w:color="auto"/>
            </w:tcBorders>
            <w:shd w:val="clear" w:color="auto" w:fill="C6EFCE"/>
            <w:noWrap/>
            <w:vAlign w:val="center"/>
          </w:tcPr>
          <w:p w14:paraId="3B012356" w14:textId="77777777" w:rsidR="0059112F" w:rsidRPr="00137D7A" w:rsidRDefault="0059112F" w:rsidP="0059112F">
            <w:pPr>
              <w:spacing w:after="0" w:line="259" w:lineRule="auto"/>
              <w:jc w:val="right"/>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EUR 3 005 420 748</w:t>
            </w:r>
          </w:p>
        </w:tc>
      </w:tr>
    </w:tbl>
    <w:p w14:paraId="7154A567" w14:textId="77777777" w:rsidR="001B1E82" w:rsidRDefault="001B1E82">
      <w:pPr>
        <w:rPr>
          <w:rFonts w:ascii="Times New Roman" w:eastAsia="Times New Roman" w:hAnsi="Times New Roman" w:cs="Times New Roman"/>
          <w:b/>
          <w:bCs/>
          <w:noProof/>
          <w:szCs w:val="26"/>
          <w:lang w:val="en-IE" w:eastAsia="en-US"/>
        </w:rPr>
      </w:pPr>
      <w:r>
        <w:rPr>
          <w:rFonts w:ascii="Times New Roman" w:eastAsia="Times New Roman" w:hAnsi="Times New Roman" w:cs="Times New Roman"/>
          <w:b/>
          <w:bCs/>
          <w:noProof/>
          <w:szCs w:val="26"/>
          <w:lang w:val="en-IE" w:eastAsia="en-US"/>
        </w:rPr>
        <w:br w:type="page"/>
      </w:r>
    </w:p>
    <w:p w14:paraId="0C16881C" w14:textId="03266C4E" w:rsidR="00137D7A" w:rsidRPr="00137D7A" w:rsidRDefault="00137D7A" w:rsidP="00137D7A">
      <w:pPr>
        <w:keepNext/>
        <w:tabs>
          <w:tab w:val="num" w:pos="850"/>
        </w:tabs>
        <w:spacing w:before="120" w:after="120" w:line="240" w:lineRule="auto"/>
        <w:ind w:left="850" w:hanging="850"/>
        <w:jc w:val="both"/>
        <w:outlineLvl w:val="1"/>
        <w:rPr>
          <w:rFonts w:ascii="Times New Roman" w:eastAsia="Times New Roman" w:hAnsi="Times New Roman" w:cs="Times New Roman"/>
          <w:b/>
          <w:bCs/>
          <w:noProof/>
          <w:szCs w:val="26"/>
          <w:lang w:val="en-IE" w:eastAsia="en-US"/>
        </w:rPr>
      </w:pPr>
      <w:r w:rsidRPr="00137D7A">
        <w:rPr>
          <w:rFonts w:ascii="Times New Roman" w:eastAsia="Times New Roman" w:hAnsi="Times New Roman" w:cs="Times New Roman"/>
          <w:b/>
          <w:bCs/>
          <w:noProof/>
          <w:szCs w:val="26"/>
          <w:lang w:val="en-IE" w:eastAsia="en-US"/>
        </w:rPr>
        <w:t xml:space="preserve">2.2 Loan </w:t>
      </w:r>
    </w:p>
    <w:p w14:paraId="57703F2F" w14:textId="77777777" w:rsidR="00137D7A" w:rsidRPr="00137D7A" w:rsidRDefault="00137D7A" w:rsidP="00137D7A">
      <w:pPr>
        <w:spacing w:before="120" w:after="120" w:line="240" w:lineRule="auto"/>
        <w:ind w:left="850"/>
        <w:jc w:val="both"/>
        <w:rPr>
          <w:rFonts w:ascii="Times New Roman" w:eastAsia="Aptos" w:hAnsi="Times New Roman" w:cs="Times New Roman"/>
          <w:noProof/>
          <w:lang w:val="en-IE" w:eastAsia="en-US"/>
          <w14:ligatures w14:val="standardContextual"/>
        </w:rPr>
      </w:pPr>
      <w:r w:rsidRPr="00137D7A">
        <w:rPr>
          <w:rFonts w:ascii="Times New Roman" w:eastAsia="Aptos" w:hAnsi="Times New Roman" w:cs="Times New Roman"/>
          <w:noProof/>
          <w:szCs w:val="22"/>
          <w:lang w:val="en-IE" w:eastAsia="en-US"/>
          <w14:ligatures w14:val="standardContextual"/>
        </w:rPr>
        <w:t>The instalments referred to in Article 3(2) shall be organised in the following manner:</w:t>
      </w:r>
    </w:p>
    <w:p w14:paraId="0834E3F1" w14:textId="77777777" w:rsidR="00137D7A" w:rsidRPr="00137D7A"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bCs/>
          <w:i/>
          <w:noProof/>
          <w:lang w:val="en-IE" w:eastAsia="en-US"/>
        </w:rPr>
      </w:pPr>
      <w:r w:rsidRPr="00137D7A">
        <w:rPr>
          <w:rFonts w:ascii="Times New Roman" w:eastAsia="Times New Roman" w:hAnsi="Times New Roman" w:cs="Times New Roman"/>
          <w:bCs/>
          <w:i/>
          <w:noProof/>
          <w:lang w:val="en-IE" w:eastAsia="en-US"/>
        </w:rPr>
        <w:t xml:space="preserve">2.2.1 First Instalment (loan support): </w:t>
      </w:r>
    </w:p>
    <w:tbl>
      <w:tblPr>
        <w:tblW w:w="9634" w:type="dxa"/>
        <w:tblInd w:w="113" w:type="dxa"/>
        <w:tblLook w:val="04A0" w:firstRow="1" w:lastRow="0" w:firstColumn="1" w:lastColumn="0" w:noHBand="0" w:noVBand="1"/>
      </w:tblPr>
      <w:tblGrid>
        <w:gridCol w:w="1413"/>
        <w:gridCol w:w="3544"/>
        <w:gridCol w:w="1275"/>
        <w:gridCol w:w="3402"/>
      </w:tblGrid>
      <w:tr w:rsidR="00137D7A" w:rsidRPr="00137D7A" w14:paraId="0397B812" w14:textId="77777777" w:rsidTr="00137D7A">
        <w:trPr>
          <w:trHeight w:val="509"/>
          <w:tblHeader/>
        </w:trPr>
        <w:tc>
          <w:tcPr>
            <w:tcW w:w="1413"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70193D4F"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Sequential Number</w:t>
            </w:r>
          </w:p>
        </w:tc>
        <w:tc>
          <w:tcPr>
            <w:tcW w:w="3544"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351F8B6"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Related Measure</w:t>
            </w:r>
          </w:p>
          <w:p w14:paraId="4ABF1F14"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(Reform or Investment)</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1182E9D"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Milestone / Target</w:t>
            </w:r>
          </w:p>
        </w:tc>
        <w:tc>
          <w:tcPr>
            <w:tcW w:w="3402" w:type="dxa"/>
            <w:vMerge w:val="restart"/>
            <w:tcBorders>
              <w:top w:val="single" w:sz="4" w:space="0" w:color="auto"/>
              <w:left w:val="nil"/>
              <w:bottom w:val="single" w:sz="4" w:space="0" w:color="000000"/>
              <w:right w:val="single" w:sz="4" w:space="0" w:color="auto"/>
            </w:tcBorders>
            <w:shd w:val="clear" w:color="auto" w:fill="BDD7EE"/>
            <w:vAlign w:val="center"/>
            <w:hideMark/>
          </w:tcPr>
          <w:p w14:paraId="37C1098A"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Name</w:t>
            </w:r>
          </w:p>
        </w:tc>
      </w:tr>
      <w:tr w:rsidR="00137D7A" w:rsidRPr="00137D7A" w14:paraId="2AC37C69" w14:textId="77777777">
        <w:trPr>
          <w:trHeight w:val="509"/>
          <w:tblHeader/>
        </w:trPr>
        <w:tc>
          <w:tcPr>
            <w:tcW w:w="1413" w:type="dxa"/>
            <w:vMerge/>
            <w:tcBorders>
              <w:top w:val="single" w:sz="4" w:space="0" w:color="auto"/>
              <w:left w:val="single" w:sz="4" w:space="0" w:color="auto"/>
              <w:bottom w:val="single" w:sz="4" w:space="0" w:color="000000"/>
              <w:right w:val="single" w:sz="4" w:space="0" w:color="auto"/>
            </w:tcBorders>
            <w:vAlign w:val="center"/>
            <w:hideMark/>
          </w:tcPr>
          <w:p w14:paraId="6E7D4235" w14:textId="77777777" w:rsidR="00137D7A" w:rsidRPr="00137D7A" w:rsidRDefault="00137D7A" w:rsidP="00137D7A">
            <w:pPr>
              <w:spacing w:after="0" w:line="259" w:lineRule="auto"/>
              <w:rPr>
                <w:rFonts w:ascii="Times New Roman" w:eastAsia="Times New Roman" w:hAnsi="Times New Roman" w:cs="Times New Roman"/>
                <w:b/>
                <w:bCs/>
                <w:noProof/>
                <w:kern w:val="2"/>
                <w:sz w:val="22"/>
                <w:lang w:val="en-IE" w:eastAsia="en-GB"/>
                <w14:ligatures w14:val="standardContextual"/>
              </w:rPr>
            </w:pPr>
          </w:p>
        </w:tc>
        <w:tc>
          <w:tcPr>
            <w:tcW w:w="3544" w:type="dxa"/>
            <w:vMerge/>
            <w:tcBorders>
              <w:top w:val="single" w:sz="4" w:space="0" w:color="auto"/>
              <w:left w:val="single" w:sz="4" w:space="0" w:color="auto"/>
              <w:bottom w:val="single" w:sz="4" w:space="0" w:color="000000"/>
              <w:right w:val="single" w:sz="4" w:space="0" w:color="auto"/>
            </w:tcBorders>
            <w:vAlign w:val="center"/>
            <w:hideMark/>
          </w:tcPr>
          <w:p w14:paraId="5661E9E2"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lang w:val="en-IE" w:eastAsia="en-GB"/>
                <w14:ligatures w14:val="standardContextual"/>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05565C0C" w14:textId="77777777" w:rsidR="00137D7A" w:rsidRPr="00137D7A" w:rsidRDefault="00137D7A" w:rsidP="00137D7A">
            <w:pPr>
              <w:spacing w:after="0" w:line="259" w:lineRule="auto"/>
              <w:rPr>
                <w:rFonts w:ascii="Times New Roman" w:eastAsia="Times New Roman" w:hAnsi="Times New Roman" w:cs="Times New Roman"/>
                <w:b/>
                <w:bCs/>
                <w:noProof/>
                <w:kern w:val="2"/>
                <w:sz w:val="22"/>
                <w:lang w:val="en-IE" w:eastAsia="en-GB"/>
                <w14:ligatures w14:val="standardContextual"/>
              </w:rPr>
            </w:pPr>
          </w:p>
        </w:tc>
        <w:tc>
          <w:tcPr>
            <w:tcW w:w="3402" w:type="dxa"/>
            <w:vMerge/>
            <w:tcBorders>
              <w:top w:val="single" w:sz="4" w:space="0" w:color="auto"/>
              <w:left w:val="nil"/>
              <w:bottom w:val="single" w:sz="4" w:space="0" w:color="000000"/>
              <w:right w:val="single" w:sz="4" w:space="0" w:color="auto"/>
            </w:tcBorders>
            <w:vAlign w:val="center"/>
            <w:hideMark/>
          </w:tcPr>
          <w:p w14:paraId="5D15DCC6" w14:textId="77777777" w:rsidR="00137D7A" w:rsidRPr="00137D7A" w:rsidRDefault="00137D7A" w:rsidP="00137D7A">
            <w:pPr>
              <w:spacing w:after="0" w:line="259" w:lineRule="auto"/>
              <w:rPr>
                <w:rFonts w:ascii="Times New Roman" w:eastAsia="Times New Roman" w:hAnsi="Times New Roman" w:cs="Times New Roman"/>
                <w:b/>
                <w:bCs/>
                <w:noProof/>
                <w:kern w:val="2"/>
                <w:sz w:val="22"/>
                <w:lang w:val="en-IE" w:eastAsia="en-GB"/>
                <w14:ligatures w14:val="standardContextual"/>
              </w:rPr>
            </w:pPr>
          </w:p>
        </w:tc>
      </w:tr>
      <w:tr w:rsidR="00137D7A" w:rsidRPr="00137D7A" w14:paraId="0234CA6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hideMark/>
          </w:tcPr>
          <w:p w14:paraId="288891E0"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78</w:t>
            </w:r>
          </w:p>
        </w:tc>
        <w:tc>
          <w:tcPr>
            <w:tcW w:w="3544" w:type="dxa"/>
            <w:tcBorders>
              <w:top w:val="nil"/>
              <w:left w:val="nil"/>
              <w:bottom w:val="single" w:sz="4" w:space="0" w:color="auto"/>
              <w:right w:val="single" w:sz="4" w:space="0" w:color="auto"/>
            </w:tcBorders>
            <w:shd w:val="clear" w:color="auto" w:fill="C6EFCE"/>
            <w:noWrap/>
            <w:hideMark/>
          </w:tcPr>
          <w:p w14:paraId="1A510E07"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C4.R2</w:t>
            </w:r>
          </w:p>
          <w:p w14:paraId="3293D93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Performance-based quality management in transport - Improving institutional capacity and corporate governance</w:t>
            </w:r>
          </w:p>
        </w:tc>
        <w:tc>
          <w:tcPr>
            <w:tcW w:w="1275" w:type="dxa"/>
            <w:tcBorders>
              <w:top w:val="nil"/>
              <w:left w:val="nil"/>
              <w:bottom w:val="single" w:sz="4" w:space="0" w:color="auto"/>
              <w:right w:val="single" w:sz="4" w:space="0" w:color="auto"/>
            </w:tcBorders>
            <w:shd w:val="clear" w:color="auto" w:fill="C6EFCE"/>
            <w:noWrap/>
            <w:hideMark/>
          </w:tcPr>
          <w:p w14:paraId="6D01E9E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M</w:t>
            </w:r>
          </w:p>
        </w:tc>
        <w:tc>
          <w:tcPr>
            <w:tcW w:w="3402" w:type="dxa"/>
            <w:tcBorders>
              <w:top w:val="nil"/>
              <w:left w:val="nil"/>
              <w:bottom w:val="single" w:sz="4" w:space="0" w:color="auto"/>
              <w:right w:val="single" w:sz="4" w:space="0" w:color="auto"/>
            </w:tcBorders>
            <w:shd w:val="clear" w:color="auto" w:fill="C6EFCE"/>
            <w:noWrap/>
            <w:vAlign w:val="center"/>
            <w:hideMark/>
          </w:tcPr>
          <w:p w14:paraId="7D78111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the Law no. 50/2021 for the approval of the Emergency Ordinance no. 55/2016 on the reorganization of the National Company of Highways and National Roads in Romania - S.A. (C.N.A.I.R.) and the establishment of the National Road Investment Company - S.A. (C.N.I.R.) </w:t>
            </w:r>
          </w:p>
        </w:tc>
      </w:tr>
      <w:tr w:rsidR="00137D7A" w:rsidRPr="00137D7A" w14:paraId="3D2DA23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hideMark/>
          </w:tcPr>
          <w:p w14:paraId="3E4638B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1</w:t>
            </w:r>
          </w:p>
        </w:tc>
        <w:tc>
          <w:tcPr>
            <w:tcW w:w="3544" w:type="dxa"/>
            <w:tcBorders>
              <w:top w:val="nil"/>
              <w:left w:val="nil"/>
              <w:bottom w:val="single" w:sz="4" w:space="0" w:color="auto"/>
              <w:right w:val="single" w:sz="4" w:space="0" w:color="auto"/>
            </w:tcBorders>
            <w:shd w:val="clear" w:color="auto" w:fill="C6EFCE"/>
            <w:noWrap/>
            <w:hideMark/>
          </w:tcPr>
          <w:p w14:paraId="26FAE07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 xml:space="preserve">C1.R1 </w:t>
            </w:r>
          </w:p>
          <w:p w14:paraId="0182C646"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Strengthening the regulatory framework for the sustainable management of the water and wastewater sector and accelerating public access to quality services under European directives</w:t>
            </w:r>
          </w:p>
        </w:tc>
        <w:tc>
          <w:tcPr>
            <w:tcW w:w="1275" w:type="dxa"/>
            <w:tcBorders>
              <w:top w:val="nil"/>
              <w:left w:val="nil"/>
              <w:bottom w:val="single" w:sz="4" w:space="0" w:color="auto"/>
              <w:right w:val="single" w:sz="4" w:space="0" w:color="auto"/>
            </w:tcBorders>
            <w:shd w:val="clear" w:color="auto" w:fill="C6EFCE"/>
            <w:noWrap/>
            <w:hideMark/>
          </w:tcPr>
          <w:p w14:paraId="10FD1B03"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M</w:t>
            </w:r>
          </w:p>
        </w:tc>
        <w:tc>
          <w:tcPr>
            <w:tcW w:w="3402" w:type="dxa"/>
            <w:tcBorders>
              <w:top w:val="nil"/>
              <w:left w:val="nil"/>
              <w:bottom w:val="single" w:sz="4" w:space="0" w:color="auto"/>
              <w:right w:val="single" w:sz="4" w:space="0" w:color="auto"/>
            </w:tcBorders>
            <w:shd w:val="clear" w:color="auto" w:fill="C6EFCE"/>
            <w:noWrap/>
            <w:hideMark/>
          </w:tcPr>
          <w:p w14:paraId="590202A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Entry into force of the amendments to the Law No 241/2006 on water supply and sewerage</w:t>
            </w:r>
          </w:p>
        </w:tc>
      </w:tr>
      <w:tr w:rsidR="00137D7A" w:rsidRPr="00137D7A" w14:paraId="043CA003"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AB507C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247</w:t>
            </w:r>
          </w:p>
        </w:tc>
        <w:tc>
          <w:tcPr>
            <w:tcW w:w="3544" w:type="dxa"/>
            <w:tcBorders>
              <w:top w:val="nil"/>
              <w:left w:val="nil"/>
              <w:bottom w:val="single" w:sz="4" w:space="0" w:color="auto"/>
              <w:right w:val="single" w:sz="4" w:space="0" w:color="auto"/>
            </w:tcBorders>
            <w:shd w:val="clear" w:color="auto" w:fill="C6EFCE"/>
            <w:noWrap/>
          </w:tcPr>
          <w:p w14:paraId="2DF8111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 xml:space="preserve">C9.I2.1 </w:t>
            </w:r>
          </w:p>
          <w:p w14:paraId="20B3A6B9"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 xml:space="preserve">Financial instruments for the private sector - Portfolio guarantee for resilience </w:t>
            </w:r>
          </w:p>
        </w:tc>
        <w:tc>
          <w:tcPr>
            <w:tcW w:w="1275" w:type="dxa"/>
            <w:tcBorders>
              <w:top w:val="nil"/>
              <w:left w:val="nil"/>
              <w:bottom w:val="single" w:sz="4" w:space="0" w:color="auto"/>
              <w:right w:val="single" w:sz="4" w:space="0" w:color="auto"/>
            </w:tcBorders>
            <w:shd w:val="clear" w:color="auto" w:fill="C6EFCE"/>
            <w:noWrap/>
          </w:tcPr>
          <w:p w14:paraId="270FD01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4AFB84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Signature of the contribution agreement between the European Commission and the Romanian Government</w:t>
            </w:r>
          </w:p>
        </w:tc>
      </w:tr>
      <w:tr w:rsidR="00137D7A" w:rsidRPr="00137D7A" w14:paraId="14128EAA"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4D33303"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250</w:t>
            </w:r>
          </w:p>
        </w:tc>
        <w:tc>
          <w:tcPr>
            <w:tcW w:w="3544" w:type="dxa"/>
            <w:tcBorders>
              <w:top w:val="nil"/>
              <w:left w:val="nil"/>
              <w:bottom w:val="single" w:sz="4" w:space="0" w:color="auto"/>
              <w:right w:val="single" w:sz="4" w:space="0" w:color="auto"/>
            </w:tcBorders>
            <w:shd w:val="clear" w:color="auto" w:fill="C6EFCE"/>
            <w:noWrap/>
          </w:tcPr>
          <w:p w14:paraId="5558BC1A"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C9.I2.2</w:t>
            </w:r>
          </w:p>
          <w:p w14:paraId="48350C4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Financial instruments for the private sector - Climate Action Portfolio Guarantee</w:t>
            </w:r>
          </w:p>
        </w:tc>
        <w:tc>
          <w:tcPr>
            <w:tcW w:w="1275" w:type="dxa"/>
            <w:tcBorders>
              <w:top w:val="nil"/>
              <w:left w:val="nil"/>
              <w:bottom w:val="single" w:sz="4" w:space="0" w:color="auto"/>
              <w:right w:val="single" w:sz="4" w:space="0" w:color="auto"/>
            </w:tcBorders>
            <w:shd w:val="clear" w:color="auto" w:fill="C6EFCE"/>
            <w:noWrap/>
          </w:tcPr>
          <w:p w14:paraId="36241F83"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2D9AEC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Signature of the contribution agreement between the European Commission and the Romanian Government</w:t>
            </w:r>
          </w:p>
        </w:tc>
      </w:tr>
      <w:tr w:rsidR="00137D7A" w:rsidRPr="00137D7A" w14:paraId="74C4917F"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hideMark/>
          </w:tcPr>
          <w:p w14:paraId="26F7D41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253</w:t>
            </w:r>
          </w:p>
        </w:tc>
        <w:tc>
          <w:tcPr>
            <w:tcW w:w="3544" w:type="dxa"/>
            <w:tcBorders>
              <w:top w:val="nil"/>
              <w:left w:val="nil"/>
              <w:bottom w:val="single" w:sz="4" w:space="0" w:color="auto"/>
              <w:right w:val="single" w:sz="4" w:space="0" w:color="auto"/>
            </w:tcBorders>
            <w:shd w:val="clear" w:color="auto" w:fill="C6EFCE"/>
            <w:noWrap/>
            <w:hideMark/>
          </w:tcPr>
          <w:p w14:paraId="0C90696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 xml:space="preserve">C9.I2.3 </w:t>
            </w:r>
          </w:p>
          <w:p w14:paraId="1B27346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Financial instruments for the private sector - Recovery Venture Capital Fund</w:t>
            </w:r>
          </w:p>
        </w:tc>
        <w:tc>
          <w:tcPr>
            <w:tcW w:w="1275" w:type="dxa"/>
            <w:tcBorders>
              <w:top w:val="nil"/>
              <w:left w:val="nil"/>
              <w:bottom w:val="single" w:sz="4" w:space="0" w:color="auto"/>
              <w:right w:val="single" w:sz="4" w:space="0" w:color="auto"/>
            </w:tcBorders>
            <w:shd w:val="clear" w:color="auto" w:fill="C6EFCE"/>
            <w:noWrap/>
            <w:hideMark/>
          </w:tcPr>
          <w:p w14:paraId="4A11696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M</w:t>
            </w:r>
          </w:p>
        </w:tc>
        <w:tc>
          <w:tcPr>
            <w:tcW w:w="3402" w:type="dxa"/>
            <w:tcBorders>
              <w:top w:val="nil"/>
              <w:left w:val="nil"/>
              <w:bottom w:val="single" w:sz="4" w:space="0" w:color="auto"/>
              <w:right w:val="single" w:sz="4" w:space="0" w:color="auto"/>
            </w:tcBorders>
            <w:shd w:val="clear" w:color="auto" w:fill="C6EFCE"/>
            <w:noWrap/>
            <w:hideMark/>
          </w:tcPr>
          <w:p w14:paraId="190520B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Signature of the financing agreement between the European Investment Fund and the Romanian Government for the creation of the Recovery Risk Capital Fund (“the Fund”) and adoption of the investment policy of the Fund</w:t>
            </w:r>
          </w:p>
        </w:tc>
      </w:tr>
      <w:tr w:rsidR="00137D7A" w:rsidRPr="00137D7A" w14:paraId="5C4A2625"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40EBBD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259</w:t>
            </w:r>
          </w:p>
        </w:tc>
        <w:tc>
          <w:tcPr>
            <w:tcW w:w="3544" w:type="dxa"/>
            <w:tcBorders>
              <w:top w:val="nil"/>
              <w:left w:val="nil"/>
              <w:bottom w:val="single" w:sz="4" w:space="0" w:color="auto"/>
              <w:right w:val="single" w:sz="4" w:space="0" w:color="auto"/>
            </w:tcBorders>
            <w:shd w:val="clear" w:color="auto" w:fill="C6EFCE"/>
            <w:noWrap/>
          </w:tcPr>
          <w:p w14:paraId="3449B12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C9.I2.5 </w:t>
            </w:r>
          </w:p>
          <w:p w14:paraId="0A1EE56A"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Financial instruments for the private sector - Energy efficiency investment in the residential and buildings sector </w:t>
            </w:r>
          </w:p>
        </w:tc>
        <w:tc>
          <w:tcPr>
            <w:tcW w:w="1275" w:type="dxa"/>
            <w:tcBorders>
              <w:top w:val="nil"/>
              <w:left w:val="nil"/>
              <w:bottom w:val="single" w:sz="4" w:space="0" w:color="auto"/>
              <w:right w:val="single" w:sz="4" w:space="0" w:color="auto"/>
            </w:tcBorders>
            <w:shd w:val="clear" w:color="auto" w:fill="C6EFCE"/>
            <w:noWrap/>
          </w:tcPr>
          <w:p w14:paraId="5E53D3B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50EE2D3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Signature of the contribution agreement between the European Commission and the Romanian Government</w:t>
            </w:r>
          </w:p>
        </w:tc>
      </w:tr>
      <w:tr w:rsidR="00137D7A" w:rsidRPr="00137D7A" w14:paraId="4FEC228A"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3A640F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270</w:t>
            </w:r>
          </w:p>
        </w:tc>
        <w:tc>
          <w:tcPr>
            <w:tcW w:w="3544" w:type="dxa"/>
            <w:tcBorders>
              <w:top w:val="nil"/>
              <w:left w:val="nil"/>
              <w:bottom w:val="single" w:sz="4" w:space="0" w:color="auto"/>
              <w:right w:val="single" w:sz="4" w:space="0" w:color="auto"/>
            </w:tcBorders>
            <w:shd w:val="clear" w:color="auto" w:fill="C6EFCE"/>
            <w:noWrap/>
          </w:tcPr>
          <w:p w14:paraId="3C182B2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C9.R2</w:t>
            </w:r>
          </w:p>
          <w:p w14:paraId="063CAA6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Streamline governance of research, development and innovation </w:t>
            </w:r>
          </w:p>
        </w:tc>
        <w:tc>
          <w:tcPr>
            <w:tcW w:w="1275" w:type="dxa"/>
            <w:tcBorders>
              <w:top w:val="nil"/>
              <w:left w:val="nil"/>
              <w:bottom w:val="single" w:sz="4" w:space="0" w:color="auto"/>
              <w:right w:val="single" w:sz="4" w:space="0" w:color="auto"/>
            </w:tcBorders>
            <w:shd w:val="clear" w:color="auto" w:fill="C6EFCE"/>
            <w:noWrap/>
          </w:tcPr>
          <w:p w14:paraId="6061D11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3A0190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Policy Support Facility (PSF) Reform Implementation Unit established and operational </w:t>
            </w:r>
          </w:p>
        </w:tc>
      </w:tr>
      <w:tr w:rsidR="00137D7A" w:rsidRPr="00137D7A" w14:paraId="2EF04B7E" w14:textId="77777777">
        <w:trPr>
          <w:trHeight w:val="283"/>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0F5E68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lang w:val="en-IE" w:eastAsia="en-GB"/>
                <w14:ligatures w14:val="standardContextual"/>
              </w:rPr>
            </w:pPr>
          </w:p>
        </w:tc>
        <w:tc>
          <w:tcPr>
            <w:tcW w:w="3544" w:type="dxa"/>
            <w:tcBorders>
              <w:top w:val="single" w:sz="4" w:space="0" w:color="auto"/>
              <w:left w:val="nil"/>
              <w:bottom w:val="single" w:sz="4" w:space="0" w:color="auto"/>
              <w:right w:val="single" w:sz="4" w:space="0" w:color="auto"/>
            </w:tcBorders>
            <w:shd w:val="clear" w:color="auto" w:fill="C6EFCE"/>
            <w:noWrap/>
          </w:tcPr>
          <w:p w14:paraId="649A373D"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lang w:val="en-IE" w:eastAsia="en-GB"/>
                <w14:ligatures w14:val="standardContextual"/>
              </w:rPr>
            </w:pPr>
          </w:p>
        </w:tc>
        <w:tc>
          <w:tcPr>
            <w:tcW w:w="1275" w:type="dxa"/>
            <w:tcBorders>
              <w:top w:val="single" w:sz="4" w:space="0" w:color="auto"/>
              <w:left w:val="nil"/>
              <w:bottom w:val="single" w:sz="4" w:space="0" w:color="auto"/>
              <w:right w:val="single" w:sz="4" w:space="0" w:color="auto"/>
            </w:tcBorders>
            <w:shd w:val="clear" w:color="auto" w:fill="C6EFCE"/>
            <w:noWrap/>
          </w:tcPr>
          <w:p w14:paraId="0B4609B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Instalment Amount</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18EF49D6" w14:textId="77777777" w:rsidR="00137D7A" w:rsidRPr="00137D7A" w:rsidRDefault="00137D7A" w:rsidP="00137D7A">
            <w:pPr>
              <w:spacing w:after="0" w:line="259" w:lineRule="auto"/>
              <w:jc w:val="right"/>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EUR 907 669 494</w:t>
            </w:r>
          </w:p>
        </w:tc>
      </w:tr>
    </w:tbl>
    <w:p w14:paraId="538CF5D1" w14:textId="77777777" w:rsidR="00137D7A" w:rsidRPr="00137D7A"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bCs/>
          <w:i/>
          <w:noProof/>
          <w:lang w:val="en-IE" w:eastAsia="en-US"/>
        </w:rPr>
      </w:pPr>
      <w:r w:rsidRPr="00137D7A">
        <w:rPr>
          <w:rFonts w:ascii="Times New Roman" w:eastAsia="Times New Roman" w:hAnsi="Times New Roman" w:cs="Times New Roman"/>
          <w:bCs/>
          <w:i/>
          <w:noProof/>
          <w:lang w:val="en-IE" w:eastAsia="en-US"/>
        </w:rPr>
        <w:t xml:space="preserve">2.2.2 Second Instalment (loan support): </w:t>
      </w:r>
    </w:p>
    <w:tbl>
      <w:tblPr>
        <w:tblW w:w="9634" w:type="dxa"/>
        <w:tblInd w:w="113" w:type="dxa"/>
        <w:tblLook w:val="04A0" w:firstRow="1" w:lastRow="0" w:firstColumn="1" w:lastColumn="0" w:noHBand="0" w:noVBand="1"/>
      </w:tblPr>
      <w:tblGrid>
        <w:gridCol w:w="1413"/>
        <w:gridCol w:w="3544"/>
        <w:gridCol w:w="1275"/>
        <w:gridCol w:w="3402"/>
      </w:tblGrid>
      <w:tr w:rsidR="00137D7A" w:rsidRPr="00137D7A" w14:paraId="6A9807B1" w14:textId="77777777">
        <w:trPr>
          <w:trHeight w:val="906"/>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BF32FB"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Sequential Number</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F13C223"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Related Measure</w:t>
            </w:r>
          </w:p>
          <w:p w14:paraId="340BBBB1"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(Reform or Investment)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12C3C42"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Milestone / Target</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9108A57"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Name</w:t>
            </w:r>
          </w:p>
        </w:tc>
      </w:tr>
      <w:tr w:rsidR="00137D7A" w:rsidRPr="00137D7A" w14:paraId="51964E7A" w14:textId="77777777">
        <w:trPr>
          <w:trHeight w:val="509"/>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656BF434" w14:textId="77777777" w:rsidR="00137D7A" w:rsidRPr="00137D7A"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9846619"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74DCCE8" w14:textId="77777777" w:rsidR="00137D7A" w:rsidRPr="00137D7A"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EBADBFD"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r>
      <w:tr w:rsidR="00137D7A" w:rsidRPr="00137D7A" w14:paraId="5CDE5444"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hideMark/>
          </w:tcPr>
          <w:p w14:paraId="0E4D88C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2</w:t>
            </w:r>
          </w:p>
        </w:tc>
        <w:tc>
          <w:tcPr>
            <w:tcW w:w="3544" w:type="dxa"/>
            <w:tcBorders>
              <w:top w:val="single" w:sz="4" w:space="0" w:color="auto"/>
              <w:left w:val="nil"/>
              <w:bottom w:val="single" w:sz="4" w:space="0" w:color="auto"/>
              <w:right w:val="single" w:sz="4" w:space="0" w:color="auto"/>
            </w:tcBorders>
            <w:shd w:val="clear" w:color="auto" w:fill="C6EFCE"/>
            <w:noWrap/>
            <w:hideMark/>
          </w:tcPr>
          <w:p w14:paraId="4F85B1D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 xml:space="preserve">C1.R1 </w:t>
            </w:r>
          </w:p>
          <w:p w14:paraId="5704FDC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Strengthening the regulatory framework for sustainable management of water and waste water sector and accelerating people’s access to quality services under European directives</w:t>
            </w:r>
          </w:p>
        </w:tc>
        <w:tc>
          <w:tcPr>
            <w:tcW w:w="1275" w:type="dxa"/>
            <w:tcBorders>
              <w:top w:val="single" w:sz="4" w:space="0" w:color="auto"/>
              <w:left w:val="nil"/>
              <w:bottom w:val="single" w:sz="4" w:space="0" w:color="auto"/>
              <w:right w:val="single" w:sz="4" w:space="0" w:color="auto"/>
            </w:tcBorders>
            <w:shd w:val="clear" w:color="auto" w:fill="C6EFCE"/>
            <w:noWrap/>
            <w:hideMark/>
          </w:tcPr>
          <w:p w14:paraId="7589296A"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M</w:t>
            </w:r>
          </w:p>
        </w:tc>
        <w:tc>
          <w:tcPr>
            <w:tcW w:w="3402" w:type="dxa"/>
            <w:tcBorders>
              <w:top w:val="single" w:sz="4" w:space="0" w:color="auto"/>
              <w:left w:val="nil"/>
              <w:bottom w:val="single" w:sz="4" w:space="0" w:color="auto"/>
              <w:right w:val="single" w:sz="4" w:space="0" w:color="auto"/>
            </w:tcBorders>
            <w:shd w:val="clear" w:color="auto" w:fill="C6EFCE"/>
            <w:noWrap/>
            <w:hideMark/>
          </w:tcPr>
          <w:p w14:paraId="2A06AB17"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Entry into force of the law approving the national programme First Connection to Water and Sanitation</w:t>
            </w:r>
          </w:p>
        </w:tc>
      </w:tr>
      <w:tr w:rsidR="00137D7A" w:rsidRPr="00137D7A" w14:paraId="5ED070DD"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853966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95</w:t>
            </w:r>
          </w:p>
        </w:tc>
        <w:tc>
          <w:tcPr>
            <w:tcW w:w="3544" w:type="dxa"/>
            <w:tcBorders>
              <w:top w:val="nil"/>
              <w:left w:val="nil"/>
              <w:bottom w:val="single" w:sz="4" w:space="0" w:color="auto"/>
              <w:right w:val="single" w:sz="4" w:space="0" w:color="auto"/>
            </w:tcBorders>
            <w:shd w:val="clear" w:color="auto" w:fill="C6EFCE"/>
            <w:noWrap/>
          </w:tcPr>
          <w:p w14:paraId="19BE0E97"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C5.I1</w:t>
            </w:r>
          </w:p>
          <w:p w14:paraId="2B42858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Establishment of a renovation wave fund to finance works to increase the energy efficiency of the existing building stock</w:t>
            </w:r>
          </w:p>
        </w:tc>
        <w:tc>
          <w:tcPr>
            <w:tcW w:w="1275" w:type="dxa"/>
            <w:tcBorders>
              <w:top w:val="nil"/>
              <w:left w:val="nil"/>
              <w:bottom w:val="single" w:sz="4" w:space="0" w:color="auto"/>
              <w:right w:val="single" w:sz="4" w:space="0" w:color="auto"/>
            </w:tcBorders>
            <w:shd w:val="clear" w:color="auto" w:fill="C6EFCE"/>
            <w:noWrap/>
          </w:tcPr>
          <w:p w14:paraId="3209819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31BDF0ED"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Establishing a national support scheme for energy efficiency renovation and integrated renovation (seismic consolidation and energy efficiency) of multifamily residential buildings</w:t>
            </w:r>
          </w:p>
        </w:tc>
      </w:tr>
      <w:tr w:rsidR="00137D7A" w:rsidRPr="00137D7A" w14:paraId="570CF8F5"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D86B40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96</w:t>
            </w:r>
          </w:p>
        </w:tc>
        <w:tc>
          <w:tcPr>
            <w:tcW w:w="3544" w:type="dxa"/>
            <w:tcBorders>
              <w:top w:val="nil"/>
              <w:left w:val="nil"/>
              <w:bottom w:val="single" w:sz="4" w:space="0" w:color="auto"/>
              <w:right w:val="single" w:sz="4" w:space="0" w:color="auto"/>
            </w:tcBorders>
            <w:shd w:val="clear" w:color="auto" w:fill="C6EFCE"/>
            <w:noWrap/>
          </w:tcPr>
          <w:p w14:paraId="33B5B0B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C5.I1</w:t>
            </w:r>
          </w:p>
          <w:p w14:paraId="5C49F2B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Establishment of a renovation wave fund to finance works to increase the energy efficiency of the existing building stock</w:t>
            </w:r>
          </w:p>
        </w:tc>
        <w:tc>
          <w:tcPr>
            <w:tcW w:w="1275" w:type="dxa"/>
            <w:tcBorders>
              <w:top w:val="nil"/>
              <w:left w:val="nil"/>
              <w:bottom w:val="single" w:sz="4" w:space="0" w:color="auto"/>
              <w:right w:val="single" w:sz="4" w:space="0" w:color="auto"/>
            </w:tcBorders>
            <w:shd w:val="clear" w:color="auto" w:fill="C6EFCE"/>
            <w:noWrap/>
          </w:tcPr>
          <w:p w14:paraId="1BF0345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69149E6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Establishing a national support scheme for energy efficiency renovation and integrated renovation (seismic consolidation and energy efficiency) for public buildings)</w:t>
            </w:r>
          </w:p>
        </w:tc>
      </w:tr>
      <w:tr w:rsidR="00137D7A" w:rsidRPr="00137D7A" w14:paraId="2FA84DB7"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7B7A34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189</w:t>
            </w:r>
          </w:p>
        </w:tc>
        <w:tc>
          <w:tcPr>
            <w:tcW w:w="3544" w:type="dxa"/>
            <w:tcBorders>
              <w:top w:val="nil"/>
              <w:left w:val="nil"/>
              <w:bottom w:val="single" w:sz="4" w:space="0" w:color="auto"/>
              <w:right w:val="single" w:sz="4" w:space="0" w:color="auto"/>
            </w:tcBorders>
            <w:shd w:val="clear" w:color="auto" w:fill="C6EFCE"/>
            <w:noWrap/>
          </w:tcPr>
          <w:p w14:paraId="4B0081B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C7.I19</w:t>
            </w:r>
          </w:p>
          <w:p w14:paraId="6D7CFA8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Schemes to upskill/reskill employees in firms</w:t>
            </w:r>
          </w:p>
        </w:tc>
        <w:tc>
          <w:tcPr>
            <w:tcW w:w="1275" w:type="dxa"/>
            <w:tcBorders>
              <w:top w:val="nil"/>
              <w:left w:val="nil"/>
              <w:bottom w:val="single" w:sz="4" w:space="0" w:color="auto"/>
              <w:right w:val="single" w:sz="4" w:space="0" w:color="auto"/>
            </w:tcBorders>
            <w:shd w:val="clear" w:color="auto" w:fill="C6EFCE"/>
            <w:noWrap/>
          </w:tcPr>
          <w:p w14:paraId="6EA518D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4EB5CDE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Launch of the call for ‘Grant Support for Digital Skills’</w:t>
            </w:r>
          </w:p>
        </w:tc>
      </w:tr>
      <w:tr w:rsidR="00137D7A" w:rsidRPr="00137D7A" w14:paraId="1358DB1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6BA2D8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256</w:t>
            </w:r>
          </w:p>
        </w:tc>
        <w:tc>
          <w:tcPr>
            <w:tcW w:w="3544" w:type="dxa"/>
            <w:tcBorders>
              <w:top w:val="nil"/>
              <w:left w:val="nil"/>
              <w:bottom w:val="single" w:sz="4" w:space="0" w:color="auto"/>
              <w:right w:val="single" w:sz="4" w:space="0" w:color="auto"/>
            </w:tcBorders>
            <w:shd w:val="clear" w:color="auto" w:fill="C6EFCE"/>
            <w:noWrap/>
          </w:tcPr>
          <w:p w14:paraId="0F72BD1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C9.I2.4 </w:t>
            </w:r>
          </w:p>
          <w:p w14:paraId="3FCDC62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Financial instruments for the private sector - Fund for digitisation, climate action, and other areas of interest </w:t>
            </w:r>
          </w:p>
        </w:tc>
        <w:tc>
          <w:tcPr>
            <w:tcW w:w="1275" w:type="dxa"/>
            <w:tcBorders>
              <w:top w:val="nil"/>
              <w:left w:val="nil"/>
              <w:bottom w:val="single" w:sz="4" w:space="0" w:color="auto"/>
              <w:right w:val="single" w:sz="4" w:space="0" w:color="auto"/>
            </w:tcBorders>
            <w:shd w:val="clear" w:color="auto" w:fill="C6EFCE"/>
            <w:noWrap/>
          </w:tcPr>
          <w:p w14:paraId="5438482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0E349C3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Establishment of the financial instrument (“the Fund”), and adoption of the investment policy of the Fund</w:t>
            </w:r>
          </w:p>
        </w:tc>
      </w:tr>
      <w:tr w:rsidR="00137D7A" w:rsidRPr="00137D7A" w14:paraId="41086803"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2D9F2A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262</w:t>
            </w:r>
          </w:p>
        </w:tc>
        <w:tc>
          <w:tcPr>
            <w:tcW w:w="3544" w:type="dxa"/>
            <w:tcBorders>
              <w:top w:val="nil"/>
              <w:left w:val="nil"/>
              <w:bottom w:val="single" w:sz="4" w:space="0" w:color="auto"/>
              <w:right w:val="single" w:sz="4" w:space="0" w:color="auto"/>
            </w:tcBorders>
            <w:shd w:val="clear" w:color="auto" w:fill="C6EFCE"/>
            <w:noWrap/>
          </w:tcPr>
          <w:p w14:paraId="0E3E965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C9.I3.1</w:t>
            </w:r>
          </w:p>
          <w:p w14:paraId="121B08EA"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Private sector aid schemes - Aid scheme for the digitalisation of SMEs </w:t>
            </w:r>
          </w:p>
        </w:tc>
        <w:tc>
          <w:tcPr>
            <w:tcW w:w="1275" w:type="dxa"/>
            <w:tcBorders>
              <w:top w:val="nil"/>
              <w:left w:val="nil"/>
              <w:bottom w:val="single" w:sz="4" w:space="0" w:color="auto"/>
              <w:right w:val="single" w:sz="4" w:space="0" w:color="auto"/>
            </w:tcBorders>
            <w:shd w:val="clear" w:color="auto" w:fill="C6EFCE"/>
            <w:noWrap/>
          </w:tcPr>
          <w:p w14:paraId="3231A30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3548B304"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Selection of the scheme administrator </w:t>
            </w:r>
          </w:p>
        </w:tc>
      </w:tr>
      <w:tr w:rsidR="00137D7A" w:rsidRPr="00137D7A" w14:paraId="69801415"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A8B007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vertAlign w:val="subscript"/>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326</w:t>
            </w:r>
          </w:p>
        </w:tc>
        <w:tc>
          <w:tcPr>
            <w:tcW w:w="3544" w:type="dxa"/>
            <w:tcBorders>
              <w:top w:val="nil"/>
              <w:left w:val="nil"/>
              <w:bottom w:val="single" w:sz="4" w:space="0" w:color="auto"/>
              <w:right w:val="single" w:sz="4" w:space="0" w:color="auto"/>
            </w:tcBorders>
            <w:shd w:val="clear" w:color="auto" w:fill="C6EFCE"/>
            <w:noWrap/>
          </w:tcPr>
          <w:p w14:paraId="419E0370"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C11.R1</w:t>
            </w:r>
          </w:p>
          <w:p w14:paraId="65F6C5AA"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Operationalisation of Destination Management Organisations (DMOs) </w:t>
            </w:r>
          </w:p>
        </w:tc>
        <w:tc>
          <w:tcPr>
            <w:tcW w:w="1275" w:type="dxa"/>
            <w:tcBorders>
              <w:top w:val="nil"/>
              <w:left w:val="nil"/>
              <w:bottom w:val="single" w:sz="4" w:space="0" w:color="auto"/>
              <w:right w:val="single" w:sz="4" w:space="0" w:color="auto"/>
            </w:tcBorders>
            <w:shd w:val="clear" w:color="auto" w:fill="C6EFCE"/>
            <w:noWrap/>
          </w:tcPr>
          <w:p w14:paraId="4709ECC4"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62CCE52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All the optimum destination areas for regional Destination Management Organisations (DMOs) in Romania mapped</w:t>
            </w:r>
          </w:p>
        </w:tc>
      </w:tr>
      <w:tr w:rsidR="00137D7A" w:rsidRPr="00137D7A" w14:paraId="35028E6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18F60B0"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327</w:t>
            </w:r>
          </w:p>
        </w:tc>
        <w:tc>
          <w:tcPr>
            <w:tcW w:w="3544" w:type="dxa"/>
            <w:tcBorders>
              <w:top w:val="nil"/>
              <w:left w:val="nil"/>
              <w:bottom w:val="single" w:sz="4" w:space="0" w:color="auto"/>
              <w:right w:val="single" w:sz="4" w:space="0" w:color="auto"/>
            </w:tcBorders>
            <w:shd w:val="clear" w:color="auto" w:fill="C6EFCE"/>
            <w:noWrap/>
          </w:tcPr>
          <w:p w14:paraId="247D31D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C11.R1</w:t>
            </w:r>
          </w:p>
          <w:p w14:paraId="71ED6F7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Operationalisation of Destination Management Organisations (DMOs)</w:t>
            </w:r>
          </w:p>
        </w:tc>
        <w:tc>
          <w:tcPr>
            <w:tcW w:w="1275" w:type="dxa"/>
            <w:tcBorders>
              <w:top w:val="nil"/>
              <w:left w:val="nil"/>
              <w:bottom w:val="single" w:sz="4" w:space="0" w:color="auto"/>
              <w:right w:val="single" w:sz="4" w:space="0" w:color="auto"/>
            </w:tcBorders>
            <w:shd w:val="clear" w:color="auto" w:fill="C6EFCE"/>
            <w:noWrap/>
          </w:tcPr>
          <w:p w14:paraId="3CD97C0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7E77C5B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Action plan for the use of cultural heritage to increase the competitiveness of the Romanian tourism sector</w:t>
            </w:r>
          </w:p>
          <w:p w14:paraId="53E9385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p>
          <w:p w14:paraId="3523AF2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p>
        </w:tc>
      </w:tr>
      <w:tr w:rsidR="00137D7A" w:rsidRPr="00137D7A" w14:paraId="46B73B7D"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E1E0A9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331</w:t>
            </w:r>
          </w:p>
        </w:tc>
        <w:tc>
          <w:tcPr>
            <w:tcW w:w="3544" w:type="dxa"/>
            <w:tcBorders>
              <w:top w:val="nil"/>
              <w:left w:val="nil"/>
              <w:bottom w:val="single" w:sz="4" w:space="0" w:color="auto"/>
              <w:right w:val="single" w:sz="4" w:space="0" w:color="auto"/>
            </w:tcBorders>
            <w:shd w:val="clear" w:color="auto" w:fill="C6EFCE"/>
            <w:noWrap/>
          </w:tcPr>
          <w:p w14:paraId="21882DE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C11.I1</w:t>
            </w:r>
          </w:p>
          <w:p w14:paraId="0055A68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Promotion of the 12 touristic/ cultural routes </w:t>
            </w:r>
          </w:p>
        </w:tc>
        <w:tc>
          <w:tcPr>
            <w:tcW w:w="1275" w:type="dxa"/>
            <w:tcBorders>
              <w:top w:val="nil"/>
              <w:left w:val="nil"/>
              <w:bottom w:val="single" w:sz="4" w:space="0" w:color="auto"/>
              <w:right w:val="single" w:sz="4" w:space="0" w:color="auto"/>
            </w:tcBorders>
            <w:shd w:val="clear" w:color="auto" w:fill="C6EFCE"/>
            <w:noWrap/>
          </w:tcPr>
          <w:p w14:paraId="70E13D1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0BF164DD"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Sites that shall be included in the cultural routes</w:t>
            </w:r>
          </w:p>
        </w:tc>
      </w:tr>
      <w:tr w:rsidR="00137D7A" w:rsidRPr="00137D7A" w14:paraId="43C78F53"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E72160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338</w:t>
            </w:r>
          </w:p>
        </w:tc>
        <w:tc>
          <w:tcPr>
            <w:tcW w:w="3544" w:type="dxa"/>
            <w:tcBorders>
              <w:top w:val="nil"/>
              <w:left w:val="nil"/>
              <w:bottom w:val="single" w:sz="4" w:space="0" w:color="auto"/>
              <w:right w:val="single" w:sz="4" w:space="0" w:color="auto"/>
            </w:tcBorders>
            <w:shd w:val="clear" w:color="auto" w:fill="C6EFCE"/>
            <w:noWrap/>
          </w:tcPr>
          <w:p w14:paraId="79C31E4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C11.R2</w:t>
            </w:r>
          </w:p>
          <w:p w14:paraId="4D6D2B49"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Framework for the operationalisation of cycling routes at national level </w:t>
            </w:r>
          </w:p>
        </w:tc>
        <w:tc>
          <w:tcPr>
            <w:tcW w:w="1275" w:type="dxa"/>
            <w:tcBorders>
              <w:top w:val="nil"/>
              <w:left w:val="nil"/>
              <w:bottom w:val="single" w:sz="4" w:space="0" w:color="auto"/>
              <w:right w:val="single" w:sz="4" w:space="0" w:color="auto"/>
            </w:tcBorders>
            <w:shd w:val="clear" w:color="auto" w:fill="C6EFCE"/>
            <w:noWrap/>
          </w:tcPr>
          <w:p w14:paraId="702270D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74503329"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the regulatory framework on cycling tourism </w:t>
            </w:r>
          </w:p>
        </w:tc>
      </w:tr>
      <w:tr w:rsidR="00137D7A" w:rsidRPr="00137D7A" w14:paraId="72B0982B"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9D23E7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30</w:t>
            </w:r>
          </w:p>
        </w:tc>
        <w:tc>
          <w:tcPr>
            <w:tcW w:w="3544" w:type="dxa"/>
            <w:tcBorders>
              <w:top w:val="nil"/>
              <w:left w:val="nil"/>
              <w:bottom w:val="single" w:sz="4" w:space="0" w:color="auto"/>
              <w:right w:val="single" w:sz="4" w:space="0" w:color="auto"/>
            </w:tcBorders>
            <w:shd w:val="clear" w:color="auto" w:fill="C6EFCE"/>
            <w:noWrap/>
          </w:tcPr>
          <w:p w14:paraId="71B42B5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C2.R2</w:t>
            </w:r>
          </w:p>
          <w:p w14:paraId="27F03C1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Reform of the management system for protected natural areas for the European Biodiversity Strategy</w:t>
            </w:r>
          </w:p>
        </w:tc>
        <w:tc>
          <w:tcPr>
            <w:tcW w:w="1275" w:type="dxa"/>
            <w:tcBorders>
              <w:top w:val="nil"/>
              <w:left w:val="nil"/>
              <w:bottom w:val="single" w:sz="4" w:space="0" w:color="auto"/>
              <w:right w:val="single" w:sz="4" w:space="0" w:color="auto"/>
            </w:tcBorders>
            <w:shd w:val="clear" w:color="auto" w:fill="C6EFCE"/>
            <w:noWrap/>
          </w:tcPr>
          <w:p w14:paraId="463F20B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7ED5FF5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the legislative act setting up the inter-institutional committee to analyse the legal framework applicable to sectors with an impact on biodiversity </w:t>
            </w:r>
          </w:p>
        </w:tc>
      </w:tr>
      <w:tr w:rsidR="00137D7A" w:rsidRPr="00137D7A" w14:paraId="3A3048B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BCAB06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97</w:t>
            </w:r>
          </w:p>
        </w:tc>
        <w:tc>
          <w:tcPr>
            <w:tcW w:w="3544" w:type="dxa"/>
            <w:tcBorders>
              <w:top w:val="nil"/>
              <w:left w:val="nil"/>
              <w:bottom w:val="single" w:sz="4" w:space="0" w:color="auto"/>
              <w:right w:val="single" w:sz="4" w:space="0" w:color="auto"/>
            </w:tcBorders>
            <w:shd w:val="clear" w:color="auto" w:fill="C6EFCE"/>
            <w:noWrap/>
          </w:tcPr>
          <w:p w14:paraId="29DECA0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C5.I1</w:t>
            </w:r>
          </w:p>
          <w:p w14:paraId="62F8F0D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Establishment of a renovation wave fund to finance works to increase the energy efficiency of the existing building stock</w:t>
            </w:r>
          </w:p>
        </w:tc>
        <w:tc>
          <w:tcPr>
            <w:tcW w:w="1275" w:type="dxa"/>
            <w:tcBorders>
              <w:top w:val="nil"/>
              <w:left w:val="nil"/>
              <w:bottom w:val="single" w:sz="4" w:space="0" w:color="auto"/>
              <w:right w:val="single" w:sz="4" w:space="0" w:color="auto"/>
            </w:tcBorders>
            <w:shd w:val="clear" w:color="auto" w:fill="C6EFCE"/>
            <w:noWrap/>
          </w:tcPr>
          <w:p w14:paraId="033D405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5FD99B8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Calls for proposals for the energy efficiency renovation and integrated renovation (seismic consolidation and energy efficiency) for residential buildings</w:t>
            </w:r>
          </w:p>
        </w:tc>
      </w:tr>
      <w:tr w:rsidR="00137D7A" w:rsidRPr="00137D7A" w14:paraId="74542D8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9614CB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98</w:t>
            </w:r>
          </w:p>
        </w:tc>
        <w:tc>
          <w:tcPr>
            <w:tcW w:w="3544" w:type="dxa"/>
            <w:tcBorders>
              <w:top w:val="nil"/>
              <w:left w:val="nil"/>
              <w:bottom w:val="single" w:sz="4" w:space="0" w:color="auto"/>
              <w:right w:val="single" w:sz="4" w:space="0" w:color="auto"/>
            </w:tcBorders>
            <w:shd w:val="clear" w:color="auto" w:fill="C6EFCE"/>
            <w:noWrap/>
          </w:tcPr>
          <w:p w14:paraId="54C9254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C5.I1</w:t>
            </w:r>
          </w:p>
          <w:p w14:paraId="43A901D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Establishment of a renovation wave fund to finance works to increase the energy efficiency of the existing building stock</w:t>
            </w:r>
          </w:p>
        </w:tc>
        <w:tc>
          <w:tcPr>
            <w:tcW w:w="1275" w:type="dxa"/>
            <w:tcBorders>
              <w:top w:val="nil"/>
              <w:left w:val="nil"/>
              <w:bottom w:val="single" w:sz="4" w:space="0" w:color="auto"/>
              <w:right w:val="single" w:sz="4" w:space="0" w:color="auto"/>
            </w:tcBorders>
            <w:shd w:val="clear" w:color="auto" w:fill="C6EFCE"/>
            <w:noWrap/>
          </w:tcPr>
          <w:p w14:paraId="45B8938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54FFCC7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Call for proposals for the energy efficiency renovation and integrated renovation (seismic consolidation and energy efficiency) (public buildings)</w:t>
            </w:r>
          </w:p>
        </w:tc>
      </w:tr>
      <w:tr w:rsidR="00137D7A" w:rsidRPr="00137D7A" w14:paraId="35DCC7F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C63594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129</w:t>
            </w:r>
          </w:p>
        </w:tc>
        <w:tc>
          <w:tcPr>
            <w:tcW w:w="3544" w:type="dxa"/>
            <w:tcBorders>
              <w:top w:val="nil"/>
              <w:left w:val="nil"/>
              <w:bottom w:val="single" w:sz="4" w:space="0" w:color="auto"/>
              <w:right w:val="single" w:sz="4" w:space="0" w:color="auto"/>
            </w:tcBorders>
            <w:shd w:val="clear" w:color="auto" w:fill="C6EFCE"/>
            <w:noWrap/>
          </w:tcPr>
          <w:p w14:paraId="6A64CC5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C6.I2</w:t>
            </w:r>
          </w:p>
          <w:p w14:paraId="37FFED6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US"/>
                <w14:ligatures w14:val="standardContextual"/>
              </w:rPr>
              <w:t xml:space="preserve"> Green hydrogen production capacities for the use as electricity storage and/or for the decarbonisation of industry</w:t>
            </w:r>
          </w:p>
        </w:tc>
        <w:tc>
          <w:tcPr>
            <w:tcW w:w="1275" w:type="dxa"/>
            <w:tcBorders>
              <w:top w:val="nil"/>
              <w:left w:val="nil"/>
              <w:bottom w:val="single" w:sz="4" w:space="0" w:color="auto"/>
              <w:right w:val="single" w:sz="4" w:space="0" w:color="auto"/>
            </w:tcBorders>
            <w:shd w:val="clear" w:color="auto" w:fill="C6EFCE"/>
            <w:noWrap/>
          </w:tcPr>
          <w:p w14:paraId="7042C94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4D2F97BB" w14:textId="1BA91CDB"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Signature of contracts for the construction of at least</w:t>
            </w:r>
            <w:r w:rsidR="00D23D91">
              <w:rPr>
                <w:rFonts w:ascii="Times New Roman" w:eastAsia="Aptos" w:hAnsi="Times New Roman" w:cs="Times New Roman"/>
                <w:noProof/>
                <w:kern w:val="2"/>
                <w:sz w:val="22"/>
                <w:szCs w:val="22"/>
                <w:lang w:val="en-IE" w:eastAsia="en-US"/>
                <w14:ligatures w14:val="standardContextual"/>
              </w:rPr>
              <w:t xml:space="preserve"> </w:t>
            </w:r>
            <w:r w:rsidRPr="00137D7A">
              <w:rPr>
                <w:rFonts w:ascii="Times New Roman" w:eastAsia="Times New Roman" w:hAnsi="Times New Roman" w:cs="Times New Roman"/>
                <w:noProof/>
                <w:kern w:val="2"/>
                <w:sz w:val="22"/>
                <w:szCs w:val="22"/>
                <w:lang w:val="en-IE" w:eastAsia="en-US"/>
                <w14:ligatures w14:val="standardContextual"/>
              </w:rPr>
              <w:t>60 MW</w:t>
            </w:r>
            <w:r w:rsidRPr="00137D7A">
              <w:rPr>
                <w:rFonts w:ascii="Times New Roman" w:eastAsia="Times New Roman" w:hAnsi="Times New Roman" w:cs="Times New Roman"/>
                <w:noProof/>
                <w:kern w:val="2"/>
                <w:sz w:val="22"/>
                <w:szCs w:val="22"/>
                <w:vertAlign w:val="subscript"/>
                <w:lang w:val="en-IE" w:eastAsia="en-US"/>
                <w14:ligatures w14:val="standardContextual"/>
              </w:rPr>
              <w:t>H2</w:t>
            </w:r>
            <w:r w:rsidRPr="00137D7A">
              <w:rPr>
                <w:rFonts w:ascii="Times New Roman" w:eastAsia="Aptos" w:hAnsi="Times New Roman" w:cs="Times New Roman"/>
                <w:noProof/>
                <w:kern w:val="2"/>
                <w:sz w:val="22"/>
                <w:szCs w:val="22"/>
                <w:lang w:val="en-IE" w:eastAsia="en-US"/>
                <w14:ligatures w14:val="standardContextual"/>
              </w:rPr>
              <w:t xml:space="preserve"> of new electrolysers capacity</w:t>
            </w:r>
          </w:p>
        </w:tc>
      </w:tr>
      <w:tr w:rsidR="00137D7A" w:rsidRPr="00137D7A" w14:paraId="389090F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1EFF8D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133</w:t>
            </w:r>
          </w:p>
        </w:tc>
        <w:tc>
          <w:tcPr>
            <w:tcW w:w="3544" w:type="dxa"/>
            <w:tcBorders>
              <w:top w:val="nil"/>
              <w:left w:val="nil"/>
              <w:bottom w:val="single" w:sz="4" w:space="0" w:color="auto"/>
              <w:right w:val="single" w:sz="4" w:space="0" w:color="auto"/>
            </w:tcBorders>
            <w:shd w:val="clear" w:color="auto" w:fill="C6EFCE"/>
            <w:noWrap/>
          </w:tcPr>
          <w:p w14:paraId="1E2A2D1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C6.I3</w:t>
            </w:r>
          </w:p>
          <w:p w14:paraId="5310B53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Construction of flexible and high-efficient gas-fired combined heat and power generation (CHP) in district heating</w:t>
            </w:r>
          </w:p>
        </w:tc>
        <w:tc>
          <w:tcPr>
            <w:tcW w:w="1275" w:type="dxa"/>
            <w:tcBorders>
              <w:top w:val="nil"/>
              <w:left w:val="nil"/>
              <w:bottom w:val="single" w:sz="4" w:space="0" w:color="auto"/>
              <w:right w:val="single" w:sz="4" w:space="0" w:color="auto"/>
            </w:tcBorders>
            <w:shd w:val="clear" w:color="auto" w:fill="C6EFCE"/>
            <w:noWrap/>
          </w:tcPr>
          <w:p w14:paraId="4305652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4106AFB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Signature of contracts for high-efficient gas cogeneration and district heating projects</w:t>
            </w:r>
          </w:p>
        </w:tc>
      </w:tr>
      <w:tr w:rsidR="00137D7A" w:rsidRPr="00137D7A" w14:paraId="27FE05B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D16537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140</w:t>
            </w:r>
          </w:p>
        </w:tc>
        <w:tc>
          <w:tcPr>
            <w:tcW w:w="3544" w:type="dxa"/>
            <w:tcBorders>
              <w:top w:val="nil"/>
              <w:left w:val="nil"/>
              <w:bottom w:val="single" w:sz="4" w:space="0" w:color="auto"/>
              <w:right w:val="single" w:sz="4" w:space="0" w:color="auto"/>
            </w:tcBorders>
            <w:shd w:val="clear" w:color="auto" w:fill="C6EFCE"/>
            <w:noWrap/>
          </w:tcPr>
          <w:p w14:paraId="7C8D8A4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C6.I5</w:t>
            </w:r>
          </w:p>
          <w:p w14:paraId="5CFE6B2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Ensuring energy efficiency in the industrial sector</w:t>
            </w:r>
          </w:p>
        </w:tc>
        <w:tc>
          <w:tcPr>
            <w:tcW w:w="1275" w:type="dxa"/>
            <w:tcBorders>
              <w:top w:val="nil"/>
              <w:left w:val="nil"/>
              <w:bottom w:val="single" w:sz="4" w:space="0" w:color="auto"/>
              <w:right w:val="single" w:sz="4" w:space="0" w:color="auto"/>
            </w:tcBorders>
            <w:shd w:val="clear" w:color="auto" w:fill="C6EFCE"/>
            <w:noWrap/>
          </w:tcPr>
          <w:p w14:paraId="2762B62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10F1D17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Opening of a call for tender for energy efficiency investments for the industry </w:t>
            </w:r>
          </w:p>
        </w:tc>
      </w:tr>
      <w:tr w:rsidR="00137D7A" w:rsidRPr="00137D7A" w14:paraId="780A3FC9"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72E39D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266</w:t>
            </w:r>
          </w:p>
        </w:tc>
        <w:tc>
          <w:tcPr>
            <w:tcW w:w="3544" w:type="dxa"/>
            <w:tcBorders>
              <w:top w:val="nil"/>
              <w:left w:val="nil"/>
              <w:bottom w:val="single" w:sz="4" w:space="0" w:color="auto"/>
              <w:right w:val="single" w:sz="4" w:space="0" w:color="auto"/>
            </w:tcBorders>
            <w:shd w:val="clear" w:color="auto" w:fill="C6EFCE"/>
            <w:noWrap/>
          </w:tcPr>
          <w:p w14:paraId="236E9AD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C9.I4</w:t>
            </w:r>
          </w:p>
          <w:p w14:paraId="653715D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Cross border and multi-country projects – Low Power Processors</w:t>
            </w:r>
            <w:r w:rsidRPr="00137D7A">
              <w:rPr>
                <w:rFonts w:ascii="Times New Roman" w:eastAsia="Aptos" w:hAnsi="Times New Roman" w:cs="Times New Roman"/>
                <w:noProof/>
                <w:kern w:val="2"/>
                <w:sz w:val="22"/>
                <w:szCs w:val="22"/>
                <w:lang w:val="en-IE" w:eastAsia="en-US"/>
                <w14:ligatures w14:val="standardContextual"/>
              </w:rPr>
              <w:br/>
              <w:t xml:space="preserve">and Semiconductor Chips </w:t>
            </w:r>
          </w:p>
        </w:tc>
        <w:tc>
          <w:tcPr>
            <w:tcW w:w="1275" w:type="dxa"/>
            <w:tcBorders>
              <w:top w:val="nil"/>
              <w:left w:val="nil"/>
              <w:bottom w:val="single" w:sz="4" w:space="0" w:color="auto"/>
              <w:right w:val="single" w:sz="4" w:space="0" w:color="auto"/>
            </w:tcBorders>
            <w:shd w:val="clear" w:color="auto" w:fill="C6EFCE"/>
            <w:noWrap/>
          </w:tcPr>
          <w:p w14:paraId="0D4E2DA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0B3B2BC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Government Decision allocating the necessary funding of EUR 500 million to provide support to the scale-up of the national capabilities up to the first industrial development and the participation in a multi-country project</w:t>
            </w:r>
          </w:p>
        </w:tc>
      </w:tr>
      <w:tr w:rsidR="00137D7A" w:rsidRPr="00137D7A" w14:paraId="4EAE8633"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C3DF67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307</w:t>
            </w:r>
          </w:p>
        </w:tc>
        <w:tc>
          <w:tcPr>
            <w:tcW w:w="3544" w:type="dxa"/>
            <w:tcBorders>
              <w:top w:val="nil"/>
              <w:left w:val="nil"/>
              <w:bottom w:val="single" w:sz="4" w:space="0" w:color="auto"/>
              <w:right w:val="single" w:sz="4" w:space="0" w:color="auto"/>
            </w:tcBorders>
            <w:shd w:val="clear" w:color="auto" w:fill="C6EFCE"/>
            <w:noWrap/>
          </w:tcPr>
          <w:p w14:paraId="3024CAD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C10.R2 </w:t>
            </w:r>
          </w:p>
          <w:p w14:paraId="0E862F8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Creating the policy framework for sustainable urban transformation — Romania’s Urban Policy </w:t>
            </w:r>
          </w:p>
        </w:tc>
        <w:tc>
          <w:tcPr>
            <w:tcW w:w="1275" w:type="dxa"/>
            <w:tcBorders>
              <w:top w:val="nil"/>
              <w:left w:val="nil"/>
              <w:bottom w:val="single" w:sz="4" w:space="0" w:color="auto"/>
              <w:right w:val="single" w:sz="4" w:space="0" w:color="auto"/>
            </w:tcBorders>
            <w:shd w:val="clear" w:color="auto" w:fill="C6EFCE"/>
            <w:noWrap/>
          </w:tcPr>
          <w:p w14:paraId="4CDA72A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736D99B4"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Metropolitan Areas Act</w:t>
            </w:r>
          </w:p>
        </w:tc>
      </w:tr>
      <w:tr w:rsidR="00137D7A" w:rsidRPr="00137D7A" w14:paraId="5304A6B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85F3D7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312</w:t>
            </w:r>
          </w:p>
        </w:tc>
        <w:tc>
          <w:tcPr>
            <w:tcW w:w="3544" w:type="dxa"/>
            <w:tcBorders>
              <w:top w:val="nil"/>
              <w:left w:val="nil"/>
              <w:bottom w:val="single" w:sz="4" w:space="0" w:color="auto"/>
              <w:right w:val="single" w:sz="4" w:space="0" w:color="auto"/>
            </w:tcBorders>
            <w:shd w:val="clear" w:color="auto" w:fill="C6EFCE"/>
            <w:noWrap/>
          </w:tcPr>
          <w:p w14:paraId="18C5465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C10.R4 </w:t>
            </w:r>
          </w:p>
          <w:p w14:paraId="632817B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Improving housing quality </w:t>
            </w:r>
          </w:p>
        </w:tc>
        <w:tc>
          <w:tcPr>
            <w:tcW w:w="1275" w:type="dxa"/>
            <w:tcBorders>
              <w:top w:val="nil"/>
              <w:left w:val="nil"/>
              <w:bottom w:val="single" w:sz="4" w:space="0" w:color="auto"/>
              <w:right w:val="single" w:sz="4" w:space="0" w:color="auto"/>
            </w:tcBorders>
            <w:shd w:val="clear" w:color="auto" w:fill="C6EFCE"/>
            <w:noWrap/>
          </w:tcPr>
          <w:p w14:paraId="1423F7A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42E1299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legislative act for the implementation of the National Housing Strategy and Action Plan to decrease severe housing deprivation</w:t>
            </w:r>
          </w:p>
        </w:tc>
      </w:tr>
      <w:tr w:rsidR="00137D7A" w:rsidRPr="00137D7A" w14:paraId="2572C347"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47BE0A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339</w:t>
            </w:r>
          </w:p>
        </w:tc>
        <w:tc>
          <w:tcPr>
            <w:tcW w:w="3544" w:type="dxa"/>
            <w:tcBorders>
              <w:top w:val="nil"/>
              <w:left w:val="nil"/>
              <w:bottom w:val="single" w:sz="4" w:space="0" w:color="auto"/>
              <w:right w:val="single" w:sz="4" w:space="0" w:color="auto"/>
            </w:tcBorders>
            <w:shd w:val="clear" w:color="auto" w:fill="C6EFCE"/>
            <w:noWrap/>
          </w:tcPr>
          <w:p w14:paraId="4F65D59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C11.R2</w:t>
            </w:r>
          </w:p>
          <w:p w14:paraId="10BFA57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Framework for the operationalisation of cycling routes at national level </w:t>
            </w:r>
          </w:p>
        </w:tc>
        <w:tc>
          <w:tcPr>
            <w:tcW w:w="1275" w:type="dxa"/>
            <w:tcBorders>
              <w:top w:val="nil"/>
              <w:left w:val="nil"/>
              <w:bottom w:val="single" w:sz="4" w:space="0" w:color="auto"/>
              <w:right w:val="single" w:sz="4" w:space="0" w:color="auto"/>
            </w:tcBorders>
            <w:shd w:val="clear" w:color="auto" w:fill="C6EFCE"/>
            <w:noWrap/>
          </w:tcPr>
          <w:p w14:paraId="233AEAF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654FCC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National Coordination Centre Velo Routes established and operational </w:t>
            </w:r>
          </w:p>
        </w:tc>
      </w:tr>
      <w:tr w:rsidR="00137D7A" w:rsidRPr="00137D7A" w14:paraId="34C60265"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EBA31D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398</w:t>
            </w:r>
          </w:p>
        </w:tc>
        <w:tc>
          <w:tcPr>
            <w:tcW w:w="3544" w:type="dxa"/>
            <w:tcBorders>
              <w:top w:val="nil"/>
              <w:left w:val="nil"/>
              <w:bottom w:val="single" w:sz="4" w:space="0" w:color="auto"/>
              <w:right w:val="single" w:sz="4" w:space="0" w:color="auto"/>
            </w:tcBorders>
            <w:shd w:val="clear" w:color="auto" w:fill="C6EFCE"/>
            <w:noWrap/>
          </w:tcPr>
          <w:p w14:paraId="0817D88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C13.R6</w:t>
            </w:r>
          </w:p>
          <w:p w14:paraId="15DAACC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Improvement of the social economy legislation </w:t>
            </w:r>
          </w:p>
        </w:tc>
        <w:tc>
          <w:tcPr>
            <w:tcW w:w="1275" w:type="dxa"/>
            <w:tcBorders>
              <w:top w:val="nil"/>
              <w:left w:val="nil"/>
              <w:bottom w:val="single" w:sz="4" w:space="0" w:color="auto"/>
              <w:right w:val="single" w:sz="4" w:space="0" w:color="auto"/>
            </w:tcBorders>
            <w:shd w:val="clear" w:color="auto" w:fill="C6EFCE"/>
            <w:noWrap/>
          </w:tcPr>
          <w:p w14:paraId="012414A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603A39B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amendment of Law No 219/2015 on the social economy and the implementing rules</w:t>
            </w:r>
          </w:p>
        </w:tc>
      </w:tr>
      <w:tr w:rsidR="00137D7A" w:rsidRPr="00137D7A" w14:paraId="17918E3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B56AFD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500</w:t>
            </w:r>
          </w:p>
        </w:tc>
        <w:tc>
          <w:tcPr>
            <w:tcW w:w="3544" w:type="dxa"/>
            <w:tcBorders>
              <w:top w:val="nil"/>
              <w:left w:val="nil"/>
              <w:bottom w:val="single" w:sz="4" w:space="0" w:color="auto"/>
              <w:right w:val="single" w:sz="4" w:space="0" w:color="auto"/>
            </w:tcBorders>
            <w:shd w:val="clear" w:color="auto" w:fill="C6EFCE"/>
            <w:noWrap/>
          </w:tcPr>
          <w:p w14:paraId="37A57C97"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C15.I16. </w:t>
            </w:r>
          </w:p>
          <w:p w14:paraId="62A9756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Digitisation of universities and preparation for the digital professions of the future</w:t>
            </w:r>
          </w:p>
        </w:tc>
        <w:tc>
          <w:tcPr>
            <w:tcW w:w="1275" w:type="dxa"/>
            <w:tcBorders>
              <w:top w:val="nil"/>
              <w:left w:val="nil"/>
              <w:bottom w:val="single" w:sz="4" w:space="0" w:color="auto"/>
              <w:right w:val="single" w:sz="4" w:space="0" w:color="auto"/>
            </w:tcBorders>
            <w:shd w:val="clear" w:color="auto" w:fill="C6EFCE"/>
            <w:noWrap/>
          </w:tcPr>
          <w:p w14:paraId="1A092A3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6CA52BE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Signature of contracts for grants for innovative technology centres in universities</w:t>
            </w:r>
          </w:p>
        </w:tc>
      </w:tr>
      <w:tr w:rsidR="00137D7A" w:rsidRPr="00137D7A" w14:paraId="70FE2670"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460A8DD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p>
        </w:tc>
        <w:tc>
          <w:tcPr>
            <w:tcW w:w="3544" w:type="dxa"/>
            <w:tcBorders>
              <w:top w:val="single" w:sz="4" w:space="0" w:color="auto"/>
              <w:left w:val="nil"/>
              <w:bottom w:val="single" w:sz="4" w:space="0" w:color="auto"/>
              <w:right w:val="single" w:sz="4" w:space="0" w:color="auto"/>
            </w:tcBorders>
            <w:shd w:val="clear" w:color="auto" w:fill="C6EFCE"/>
            <w:noWrap/>
          </w:tcPr>
          <w:p w14:paraId="1DF0E047"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p>
        </w:tc>
        <w:tc>
          <w:tcPr>
            <w:tcW w:w="1275" w:type="dxa"/>
            <w:tcBorders>
              <w:top w:val="single" w:sz="4" w:space="0" w:color="auto"/>
              <w:left w:val="nil"/>
              <w:bottom w:val="single" w:sz="4" w:space="0" w:color="auto"/>
              <w:right w:val="single" w:sz="4" w:space="0" w:color="auto"/>
            </w:tcBorders>
            <w:shd w:val="clear" w:color="auto" w:fill="C6EFCE"/>
            <w:noWrap/>
          </w:tcPr>
          <w:p w14:paraId="3CD8D5D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Instalment Amount</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65906EF9" w14:textId="77777777" w:rsidR="00137D7A" w:rsidRPr="00137D7A" w:rsidRDefault="00137D7A" w:rsidP="00137D7A">
            <w:pPr>
              <w:spacing w:after="0" w:line="259" w:lineRule="auto"/>
              <w:jc w:val="right"/>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EUR 1 080 198 230</w:t>
            </w:r>
          </w:p>
        </w:tc>
      </w:tr>
    </w:tbl>
    <w:p w14:paraId="61158AAD" w14:textId="77777777" w:rsidR="00137D7A" w:rsidRPr="00137D7A" w:rsidRDefault="00137D7A" w:rsidP="00137D7A">
      <w:pPr>
        <w:spacing w:line="259" w:lineRule="auto"/>
        <w:rPr>
          <w:rFonts w:ascii="Aptos" w:eastAsia="Aptos" w:hAnsi="Aptos" w:cs="Times New Roman"/>
          <w:noProof/>
          <w:kern w:val="2"/>
          <w:sz w:val="22"/>
          <w:vertAlign w:val="subscript"/>
          <w:lang w:val="en-IE" w:eastAsia="en-US"/>
          <w14:ligatures w14:val="standardContextual"/>
        </w:rPr>
      </w:pPr>
    </w:p>
    <w:p w14:paraId="1275EF95" w14:textId="77777777" w:rsidR="00137D7A" w:rsidRPr="00137D7A"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bCs/>
          <w:i/>
          <w:noProof/>
          <w:lang w:val="en-IE" w:eastAsia="en-US"/>
        </w:rPr>
      </w:pPr>
      <w:r w:rsidRPr="00137D7A">
        <w:rPr>
          <w:rFonts w:ascii="Times New Roman" w:eastAsia="Times New Roman" w:hAnsi="Times New Roman" w:cs="Times New Roman"/>
          <w:bCs/>
          <w:i/>
          <w:noProof/>
          <w:lang w:val="en-IE" w:eastAsia="en-US"/>
        </w:rPr>
        <w:t xml:space="preserve">2.2.3 Third Instalment (loan support): </w:t>
      </w:r>
    </w:p>
    <w:tbl>
      <w:tblPr>
        <w:tblW w:w="9806" w:type="dxa"/>
        <w:tblInd w:w="113" w:type="dxa"/>
        <w:tblLook w:val="04A0" w:firstRow="1" w:lastRow="0" w:firstColumn="1" w:lastColumn="0" w:noHBand="0" w:noVBand="1"/>
      </w:tblPr>
      <w:tblGrid>
        <w:gridCol w:w="1585"/>
        <w:gridCol w:w="3544"/>
        <w:gridCol w:w="1275"/>
        <w:gridCol w:w="3402"/>
      </w:tblGrid>
      <w:tr w:rsidR="00137D7A" w:rsidRPr="00137D7A" w14:paraId="254ACFCC" w14:textId="77777777">
        <w:trPr>
          <w:trHeight w:val="906"/>
          <w:tblHeader/>
        </w:trPr>
        <w:tc>
          <w:tcPr>
            <w:tcW w:w="15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74EDB6"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Sequential Number</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DD03D01"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Related Measure</w:t>
            </w:r>
          </w:p>
          <w:p w14:paraId="08C119B2"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(Reform or Investment)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037C55"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Milestone / Target</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7C5AB55"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Name</w:t>
            </w:r>
          </w:p>
        </w:tc>
      </w:tr>
      <w:tr w:rsidR="00137D7A" w:rsidRPr="00137D7A" w14:paraId="670C43CA" w14:textId="77777777">
        <w:trPr>
          <w:trHeight w:val="509"/>
          <w:tblHeader/>
        </w:trPr>
        <w:tc>
          <w:tcPr>
            <w:tcW w:w="1585" w:type="dxa"/>
            <w:vMerge/>
            <w:tcBorders>
              <w:top w:val="single" w:sz="4" w:space="0" w:color="auto"/>
              <w:left w:val="single" w:sz="4" w:space="0" w:color="auto"/>
              <w:bottom w:val="single" w:sz="4" w:space="0" w:color="auto"/>
              <w:right w:val="single" w:sz="4" w:space="0" w:color="auto"/>
            </w:tcBorders>
            <w:vAlign w:val="center"/>
            <w:hideMark/>
          </w:tcPr>
          <w:p w14:paraId="42127883" w14:textId="77777777" w:rsidR="00137D7A" w:rsidRPr="00137D7A"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59A6044B"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0FF8EC2" w14:textId="77777777" w:rsidR="00137D7A" w:rsidRPr="00137D7A" w:rsidRDefault="00137D7A" w:rsidP="00137D7A">
            <w:pPr>
              <w:spacing w:after="0" w:line="259" w:lineRule="auto"/>
              <w:jc w:val="center"/>
              <w:rPr>
                <w:rFonts w:ascii="Times New Roman" w:eastAsia="Times New Roman" w:hAnsi="Times New Roman" w:cs="Times New Roman"/>
                <w:b/>
                <w:bCs/>
                <w:noProof/>
                <w:kern w:val="2"/>
                <w:sz w:val="22"/>
                <w:szCs w:val="22"/>
                <w:lang w:val="en-IE" w:eastAsia="en-GB"/>
                <w14:ligatures w14:val="standardContextual"/>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7147653"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r>
      <w:tr w:rsidR="00137D7A" w:rsidRPr="00137D7A" w14:paraId="3B564F2B" w14:textId="77777777">
        <w:trPr>
          <w:trHeight w:val="302"/>
        </w:trPr>
        <w:tc>
          <w:tcPr>
            <w:tcW w:w="1585" w:type="dxa"/>
            <w:tcBorders>
              <w:top w:val="single" w:sz="4" w:space="0" w:color="auto"/>
              <w:left w:val="single" w:sz="4" w:space="0" w:color="auto"/>
              <w:bottom w:val="single" w:sz="4" w:space="0" w:color="auto"/>
              <w:right w:val="single" w:sz="4" w:space="0" w:color="auto"/>
            </w:tcBorders>
            <w:shd w:val="clear" w:color="auto" w:fill="C6EFCE"/>
            <w:noWrap/>
            <w:hideMark/>
          </w:tcPr>
          <w:p w14:paraId="5C917D1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43</w:t>
            </w:r>
          </w:p>
        </w:tc>
        <w:tc>
          <w:tcPr>
            <w:tcW w:w="3544" w:type="dxa"/>
            <w:tcBorders>
              <w:top w:val="single" w:sz="4" w:space="0" w:color="auto"/>
              <w:left w:val="nil"/>
              <w:bottom w:val="single" w:sz="4" w:space="0" w:color="auto"/>
              <w:right w:val="single" w:sz="4" w:space="0" w:color="auto"/>
            </w:tcBorders>
            <w:shd w:val="clear" w:color="auto" w:fill="C6EFCE"/>
            <w:noWrap/>
            <w:hideMark/>
          </w:tcPr>
          <w:p w14:paraId="5479AE7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C3.R1</w:t>
            </w:r>
          </w:p>
          <w:p w14:paraId="5B278291"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Improving waste management governance to accelerate the transition to the circular economy </w:t>
            </w:r>
          </w:p>
        </w:tc>
        <w:tc>
          <w:tcPr>
            <w:tcW w:w="1275" w:type="dxa"/>
            <w:tcBorders>
              <w:top w:val="single" w:sz="4" w:space="0" w:color="auto"/>
              <w:left w:val="nil"/>
              <w:bottom w:val="single" w:sz="4" w:space="0" w:color="auto"/>
              <w:right w:val="single" w:sz="4" w:space="0" w:color="auto"/>
            </w:tcBorders>
            <w:shd w:val="clear" w:color="auto" w:fill="C6EFCE"/>
            <w:noWrap/>
            <w:hideMark/>
          </w:tcPr>
          <w:p w14:paraId="15C8E55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single" w:sz="4" w:space="0" w:color="auto"/>
              <w:left w:val="nil"/>
              <w:bottom w:val="single" w:sz="4" w:space="0" w:color="auto"/>
              <w:right w:val="single" w:sz="4" w:space="0" w:color="auto"/>
            </w:tcBorders>
            <w:shd w:val="clear" w:color="auto" w:fill="C6EFCE"/>
            <w:noWrap/>
            <w:hideMark/>
          </w:tcPr>
          <w:p w14:paraId="5714282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The adoption of the National Circular Economy Strategy</w:t>
            </w:r>
          </w:p>
        </w:tc>
      </w:tr>
      <w:tr w:rsidR="00137D7A" w:rsidRPr="00137D7A" w14:paraId="5E25CDC7"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7927F20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46</w:t>
            </w:r>
          </w:p>
        </w:tc>
        <w:tc>
          <w:tcPr>
            <w:tcW w:w="3544" w:type="dxa"/>
            <w:tcBorders>
              <w:top w:val="nil"/>
              <w:left w:val="nil"/>
              <w:bottom w:val="single" w:sz="4" w:space="0" w:color="auto"/>
              <w:right w:val="single" w:sz="4" w:space="0" w:color="auto"/>
            </w:tcBorders>
            <w:shd w:val="clear" w:color="auto" w:fill="C6EFCE"/>
            <w:noWrap/>
          </w:tcPr>
          <w:p w14:paraId="0C7C9C0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C3.R1</w:t>
            </w:r>
          </w:p>
          <w:p w14:paraId="2379CBA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Improving waste management governance to accelerate the transition to the circular economy </w:t>
            </w:r>
          </w:p>
        </w:tc>
        <w:tc>
          <w:tcPr>
            <w:tcW w:w="1275" w:type="dxa"/>
            <w:tcBorders>
              <w:top w:val="nil"/>
              <w:left w:val="nil"/>
              <w:bottom w:val="single" w:sz="4" w:space="0" w:color="auto"/>
              <w:right w:val="single" w:sz="4" w:space="0" w:color="auto"/>
            </w:tcBorders>
            <w:shd w:val="clear" w:color="auto" w:fill="C6EFCE"/>
            <w:noWrap/>
          </w:tcPr>
          <w:p w14:paraId="1287624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6ED0DFC7"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legislative acts necessary for an operationalisation of a unitary waste management in accordance with the National Waste Management Plan</w:t>
            </w:r>
          </w:p>
        </w:tc>
      </w:tr>
      <w:tr w:rsidR="00137D7A" w:rsidRPr="00137D7A" w14:paraId="3B366225"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6B54282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127</w:t>
            </w:r>
          </w:p>
        </w:tc>
        <w:tc>
          <w:tcPr>
            <w:tcW w:w="3544" w:type="dxa"/>
            <w:tcBorders>
              <w:top w:val="nil"/>
              <w:left w:val="nil"/>
              <w:bottom w:val="single" w:sz="4" w:space="0" w:color="auto"/>
              <w:right w:val="single" w:sz="4" w:space="0" w:color="auto"/>
            </w:tcBorders>
            <w:shd w:val="clear" w:color="auto" w:fill="C6EFCE"/>
            <w:noWrap/>
          </w:tcPr>
          <w:p w14:paraId="169455D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C6.R5</w:t>
            </w:r>
          </w:p>
          <w:p w14:paraId="53AE5A5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Reducing the energy intensity of the economy by establishing a sustainable mechanism to boost energy efficiency in industry </w:t>
            </w:r>
          </w:p>
        </w:tc>
        <w:tc>
          <w:tcPr>
            <w:tcW w:w="1275" w:type="dxa"/>
            <w:tcBorders>
              <w:top w:val="nil"/>
              <w:left w:val="nil"/>
              <w:bottom w:val="single" w:sz="4" w:space="0" w:color="auto"/>
              <w:right w:val="single" w:sz="4" w:space="0" w:color="auto"/>
            </w:tcBorders>
            <w:shd w:val="clear" w:color="auto" w:fill="C6EFCE"/>
            <w:noWrap/>
          </w:tcPr>
          <w:p w14:paraId="62CCCD1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65E5C7F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legislative framework introducing measures to facilitate investment in energy efficiency in the industry</w:t>
            </w:r>
          </w:p>
        </w:tc>
      </w:tr>
      <w:tr w:rsidR="00137D7A" w:rsidRPr="00137D7A" w14:paraId="15544ECD"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305FFD7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241</w:t>
            </w:r>
          </w:p>
        </w:tc>
        <w:tc>
          <w:tcPr>
            <w:tcW w:w="3544" w:type="dxa"/>
            <w:tcBorders>
              <w:top w:val="nil"/>
              <w:left w:val="nil"/>
              <w:bottom w:val="single" w:sz="4" w:space="0" w:color="auto"/>
              <w:right w:val="single" w:sz="4" w:space="0" w:color="auto"/>
            </w:tcBorders>
            <w:shd w:val="clear" w:color="auto" w:fill="C6EFCE"/>
            <w:noWrap/>
          </w:tcPr>
          <w:p w14:paraId="6D8C41E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C9.R1</w:t>
            </w:r>
          </w:p>
          <w:p w14:paraId="38CA370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Legislative transparency, de-bureaucratisation and procedural simplification for business </w:t>
            </w:r>
          </w:p>
        </w:tc>
        <w:tc>
          <w:tcPr>
            <w:tcW w:w="1275" w:type="dxa"/>
            <w:tcBorders>
              <w:top w:val="nil"/>
              <w:left w:val="nil"/>
              <w:bottom w:val="single" w:sz="4" w:space="0" w:color="auto"/>
              <w:right w:val="single" w:sz="4" w:space="0" w:color="auto"/>
            </w:tcBorders>
            <w:shd w:val="clear" w:color="auto" w:fill="C6EFCE"/>
            <w:noWrap/>
          </w:tcPr>
          <w:p w14:paraId="40ADF33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6C585F7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legislative amendments to streamline, simplify and fully digitise business related procedures </w:t>
            </w:r>
          </w:p>
        </w:tc>
      </w:tr>
      <w:tr w:rsidR="00137D7A" w:rsidRPr="00137D7A" w14:paraId="796619D8"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5E5FC2D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242</w:t>
            </w:r>
          </w:p>
        </w:tc>
        <w:tc>
          <w:tcPr>
            <w:tcW w:w="3544" w:type="dxa"/>
            <w:tcBorders>
              <w:top w:val="nil"/>
              <w:left w:val="nil"/>
              <w:bottom w:val="single" w:sz="4" w:space="0" w:color="auto"/>
              <w:right w:val="single" w:sz="4" w:space="0" w:color="auto"/>
            </w:tcBorders>
            <w:shd w:val="clear" w:color="auto" w:fill="C6EFCE"/>
            <w:noWrap/>
          </w:tcPr>
          <w:p w14:paraId="1AC2D76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C9.R1</w:t>
            </w:r>
          </w:p>
          <w:p w14:paraId="3FCE325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Legislative transparency, de-bureaucratisation and procedural simplification for business </w:t>
            </w:r>
          </w:p>
        </w:tc>
        <w:tc>
          <w:tcPr>
            <w:tcW w:w="1275" w:type="dxa"/>
            <w:tcBorders>
              <w:top w:val="nil"/>
              <w:left w:val="nil"/>
              <w:bottom w:val="single" w:sz="4" w:space="0" w:color="auto"/>
              <w:right w:val="single" w:sz="4" w:space="0" w:color="auto"/>
            </w:tcBorders>
            <w:shd w:val="clear" w:color="auto" w:fill="C6EFCE"/>
            <w:noWrap/>
          </w:tcPr>
          <w:p w14:paraId="646E9FC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02F48384"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legislative amendments to simplify and make the conduct of the SME test transparent and applicable</w:t>
            </w:r>
          </w:p>
        </w:tc>
      </w:tr>
      <w:tr w:rsidR="00137D7A" w:rsidRPr="00137D7A" w14:paraId="3CD2CA90"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5CFA6AD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328</w:t>
            </w:r>
          </w:p>
        </w:tc>
        <w:tc>
          <w:tcPr>
            <w:tcW w:w="3544" w:type="dxa"/>
            <w:tcBorders>
              <w:top w:val="nil"/>
              <w:left w:val="nil"/>
              <w:bottom w:val="single" w:sz="4" w:space="0" w:color="auto"/>
              <w:right w:val="single" w:sz="4" w:space="0" w:color="auto"/>
            </w:tcBorders>
            <w:shd w:val="clear" w:color="auto" w:fill="C6EFCE"/>
            <w:noWrap/>
          </w:tcPr>
          <w:p w14:paraId="0DE1456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C11.R1</w:t>
            </w:r>
          </w:p>
          <w:p w14:paraId="1631041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Operationalisation of Destination Management Organisations (DMOs)</w:t>
            </w:r>
          </w:p>
        </w:tc>
        <w:tc>
          <w:tcPr>
            <w:tcW w:w="1275" w:type="dxa"/>
            <w:tcBorders>
              <w:top w:val="nil"/>
              <w:left w:val="nil"/>
              <w:bottom w:val="single" w:sz="4" w:space="0" w:color="auto"/>
              <w:right w:val="single" w:sz="4" w:space="0" w:color="auto"/>
            </w:tcBorders>
            <w:shd w:val="clear" w:color="auto" w:fill="C6EFCE"/>
            <w:noWrap/>
          </w:tcPr>
          <w:p w14:paraId="7177E27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1F37DAD4"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legislative framework by Government Decision which shall include a clear description of the financing mechanism to support the development of the network of DMOs and a clear governance model</w:t>
            </w:r>
          </w:p>
        </w:tc>
      </w:tr>
      <w:tr w:rsidR="00137D7A" w:rsidRPr="00137D7A" w14:paraId="0C5FA0F0"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7DB1BE1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332</w:t>
            </w:r>
          </w:p>
        </w:tc>
        <w:tc>
          <w:tcPr>
            <w:tcW w:w="3544" w:type="dxa"/>
            <w:tcBorders>
              <w:top w:val="nil"/>
              <w:left w:val="nil"/>
              <w:bottom w:val="single" w:sz="4" w:space="0" w:color="auto"/>
              <w:right w:val="single" w:sz="4" w:space="0" w:color="auto"/>
            </w:tcBorders>
            <w:shd w:val="clear" w:color="auto" w:fill="C6EFCE"/>
            <w:noWrap/>
          </w:tcPr>
          <w:p w14:paraId="26D6790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C11.I1</w:t>
            </w:r>
          </w:p>
          <w:p w14:paraId="0CED16E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Promotion of the 12 touristic/ cultural routes </w:t>
            </w:r>
          </w:p>
        </w:tc>
        <w:tc>
          <w:tcPr>
            <w:tcW w:w="1275" w:type="dxa"/>
            <w:tcBorders>
              <w:top w:val="nil"/>
              <w:left w:val="nil"/>
              <w:bottom w:val="single" w:sz="4" w:space="0" w:color="auto"/>
              <w:right w:val="single" w:sz="4" w:space="0" w:color="auto"/>
            </w:tcBorders>
            <w:shd w:val="clear" w:color="auto" w:fill="C6EFCE"/>
            <w:noWrap/>
          </w:tcPr>
          <w:p w14:paraId="7E95235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3A7A9980"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Signature of the contracts for the promotion of the 12 routes </w:t>
            </w:r>
          </w:p>
        </w:tc>
      </w:tr>
      <w:tr w:rsidR="00137D7A" w:rsidRPr="00137D7A" w14:paraId="37171D4E"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4BADDE1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340</w:t>
            </w:r>
          </w:p>
        </w:tc>
        <w:tc>
          <w:tcPr>
            <w:tcW w:w="3544" w:type="dxa"/>
            <w:tcBorders>
              <w:top w:val="nil"/>
              <w:left w:val="nil"/>
              <w:bottom w:val="single" w:sz="4" w:space="0" w:color="auto"/>
              <w:right w:val="single" w:sz="4" w:space="0" w:color="auto"/>
            </w:tcBorders>
            <w:shd w:val="clear" w:color="auto" w:fill="C6EFCE"/>
            <w:noWrap/>
          </w:tcPr>
          <w:p w14:paraId="682D2BE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C11.R2</w:t>
            </w:r>
          </w:p>
          <w:p w14:paraId="27FB500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Framework for the operationalisation of cycling routes at national level </w:t>
            </w:r>
          </w:p>
        </w:tc>
        <w:tc>
          <w:tcPr>
            <w:tcW w:w="1275" w:type="dxa"/>
            <w:tcBorders>
              <w:top w:val="nil"/>
              <w:left w:val="nil"/>
              <w:bottom w:val="single" w:sz="4" w:space="0" w:color="auto"/>
              <w:right w:val="single" w:sz="4" w:space="0" w:color="auto"/>
            </w:tcBorders>
            <w:shd w:val="clear" w:color="auto" w:fill="C6EFCE"/>
            <w:noWrap/>
          </w:tcPr>
          <w:p w14:paraId="6F3A256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4BB0E0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Comprehensive study on the territorial distribution of national cycling routes</w:t>
            </w:r>
          </w:p>
        </w:tc>
      </w:tr>
      <w:tr w:rsidR="00137D7A" w:rsidRPr="00137D7A" w14:paraId="0980A168"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0CCC1A9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341</w:t>
            </w:r>
          </w:p>
        </w:tc>
        <w:tc>
          <w:tcPr>
            <w:tcW w:w="3544" w:type="dxa"/>
            <w:tcBorders>
              <w:top w:val="nil"/>
              <w:left w:val="nil"/>
              <w:bottom w:val="single" w:sz="4" w:space="0" w:color="auto"/>
              <w:right w:val="single" w:sz="4" w:space="0" w:color="auto"/>
            </w:tcBorders>
            <w:shd w:val="clear" w:color="auto" w:fill="C6EFCE"/>
            <w:noWrap/>
          </w:tcPr>
          <w:p w14:paraId="0D250A3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C11.I3</w:t>
            </w:r>
          </w:p>
          <w:p w14:paraId="6105C76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Establishment and operationalisation of the Velo National Coordination Centre </w:t>
            </w:r>
          </w:p>
        </w:tc>
        <w:tc>
          <w:tcPr>
            <w:tcW w:w="1275" w:type="dxa"/>
            <w:tcBorders>
              <w:top w:val="nil"/>
              <w:left w:val="nil"/>
              <w:bottom w:val="single" w:sz="4" w:space="0" w:color="auto"/>
              <w:right w:val="single" w:sz="4" w:space="0" w:color="auto"/>
            </w:tcBorders>
            <w:shd w:val="clear" w:color="auto" w:fill="C6EFCE"/>
            <w:noWrap/>
          </w:tcPr>
          <w:p w14:paraId="35BEC78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72FA5AF7"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Integrated National eVelo Platform and smartphone application</w:t>
            </w:r>
          </w:p>
        </w:tc>
      </w:tr>
      <w:tr w:rsidR="00137D7A" w:rsidRPr="00137D7A" w14:paraId="3292952C"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26BCC70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344</w:t>
            </w:r>
          </w:p>
        </w:tc>
        <w:tc>
          <w:tcPr>
            <w:tcW w:w="3544" w:type="dxa"/>
            <w:tcBorders>
              <w:top w:val="nil"/>
              <w:left w:val="nil"/>
              <w:bottom w:val="single" w:sz="4" w:space="0" w:color="auto"/>
              <w:right w:val="single" w:sz="4" w:space="0" w:color="auto"/>
            </w:tcBorders>
            <w:shd w:val="clear" w:color="auto" w:fill="C6EFCE"/>
            <w:noWrap/>
          </w:tcPr>
          <w:p w14:paraId="332B625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C11.R3</w:t>
            </w:r>
          </w:p>
          <w:p w14:paraId="2269139A" w14:textId="369F6034"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Reforming the funding system for the cultural sector</w:t>
            </w:r>
            <w:r w:rsidR="00D23D91">
              <w:rPr>
                <w:rFonts w:ascii="Times New Roman" w:eastAsia="Aptos" w:hAnsi="Times New Roman" w:cs="Times New Roman"/>
                <w:noProof/>
                <w:kern w:val="2"/>
                <w:sz w:val="22"/>
                <w:szCs w:val="22"/>
                <w:lang w:val="en-IE" w:eastAsia="en-US"/>
                <w14:ligatures w14:val="standardContextual"/>
              </w:rPr>
              <w:t xml:space="preserve"> </w:t>
            </w:r>
          </w:p>
        </w:tc>
        <w:tc>
          <w:tcPr>
            <w:tcW w:w="1275" w:type="dxa"/>
            <w:tcBorders>
              <w:top w:val="nil"/>
              <w:left w:val="nil"/>
              <w:bottom w:val="single" w:sz="4" w:space="0" w:color="auto"/>
              <w:right w:val="single" w:sz="4" w:space="0" w:color="auto"/>
            </w:tcBorders>
            <w:shd w:val="clear" w:color="auto" w:fill="C6EFCE"/>
            <w:noWrap/>
          </w:tcPr>
          <w:p w14:paraId="3421CCE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0FBF224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law on the funding system for the cultural sector</w:t>
            </w:r>
          </w:p>
        </w:tc>
      </w:tr>
      <w:tr w:rsidR="00137D7A" w:rsidRPr="00137D7A" w14:paraId="15A1EE24"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3C71863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w:t>
            </w:r>
          </w:p>
        </w:tc>
        <w:tc>
          <w:tcPr>
            <w:tcW w:w="3544" w:type="dxa"/>
            <w:tcBorders>
              <w:top w:val="nil"/>
              <w:left w:val="nil"/>
              <w:bottom w:val="single" w:sz="4" w:space="0" w:color="auto"/>
              <w:right w:val="single" w:sz="4" w:space="0" w:color="auto"/>
            </w:tcBorders>
            <w:shd w:val="clear" w:color="auto" w:fill="C6EFCE"/>
            <w:noWrap/>
          </w:tcPr>
          <w:p w14:paraId="6A37900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C1.R1</w:t>
            </w:r>
          </w:p>
          <w:p w14:paraId="709E1DE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Strengthening the regulatory framework for the sustainable management of the water and waste water sector and accelerating people’s access to quality services under European directives</w:t>
            </w:r>
          </w:p>
        </w:tc>
        <w:tc>
          <w:tcPr>
            <w:tcW w:w="1275" w:type="dxa"/>
            <w:tcBorders>
              <w:top w:val="nil"/>
              <w:left w:val="nil"/>
              <w:bottom w:val="single" w:sz="4" w:space="0" w:color="auto"/>
              <w:right w:val="single" w:sz="4" w:space="0" w:color="auto"/>
            </w:tcBorders>
            <w:shd w:val="clear" w:color="auto" w:fill="C6EFCE"/>
            <w:noWrap/>
          </w:tcPr>
          <w:p w14:paraId="7CEE4FA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5D72BBF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Implementation agreements signed with the local authorities participating in the First Connection to Water and Sanitation Program me</w:t>
            </w:r>
          </w:p>
        </w:tc>
      </w:tr>
      <w:tr w:rsidR="00137D7A" w:rsidRPr="00137D7A" w14:paraId="77D052B4"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003994C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79</w:t>
            </w:r>
          </w:p>
        </w:tc>
        <w:tc>
          <w:tcPr>
            <w:tcW w:w="3544" w:type="dxa"/>
            <w:tcBorders>
              <w:top w:val="nil"/>
              <w:left w:val="nil"/>
              <w:bottom w:val="single" w:sz="4" w:space="0" w:color="auto"/>
              <w:right w:val="single" w:sz="4" w:space="0" w:color="auto"/>
            </w:tcBorders>
            <w:shd w:val="clear" w:color="auto" w:fill="C6EFCE"/>
            <w:noWrap/>
          </w:tcPr>
          <w:p w14:paraId="3C0D448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C4.R2</w:t>
            </w:r>
          </w:p>
          <w:p w14:paraId="640AA54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Performance-based quality management in transport - Improving institutional capacity and corporate governance </w:t>
            </w:r>
          </w:p>
        </w:tc>
        <w:tc>
          <w:tcPr>
            <w:tcW w:w="1275" w:type="dxa"/>
            <w:tcBorders>
              <w:top w:val="nil"/>
              <w:left w:val="nil"/>
              <w:bottom w:val="single" w:sz="4" w:space="0" w:color="auto"/>
              <w:right w:val="single" w:sz="4" w:space="0" w:color="auto"/>
            </w:tcBorders>
            <w:shd w:val="clear" w:color="auto" w:fill="C6EFCE"/>
            <w:noWrap/>
          </w:tcPr>
          <w:p w14:paraId="0774039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08BA8D6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Selection and appointment of members of the Board of Directors of C.N.A.I.R., C.N.I.R, C.F.R., Metrorex, C.F.R. Călători.</w:t>
            </w:r>
          </w:p>
        </w:tc>
      </w:tr>
      <w:tr w:rsidR="00137D7A" w:rsidRPr="00137D7A" w14:paraId="2543622C"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0E01C7D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90</w:t>
            </w:r>
          </w:p>
        </w:tc>
        <w:tc>
          <w:tcPr>
            <w:tcW w:w="3544" w:type="dxa"/>
            <w:tcBorders>
              <w:top w:val="nil"/>
              <w:left w:val="nil"/>
              <w:bottom w:val="single" w:sz="4" w:space="0" w:color="auto"/>
              <w:right w:val="single" w:sz="4" w:space="0" w:color="auto"/>
            </w:tcBorders>
            <w:shd w:val="clear" w:color="auto" w:fill="C6EFCE"/>
            <w:noWrap/>
          </w:tcPr>
          <w:p w14:paraId="755D4884"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C5.R1</w:t>
            </w:r>
          </w:p>
          <w:p w14:paraId="16B3EAF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Simplified and updated legal and regulatory framework to support energy efficiency renovations of buildings </w:t>
            </w:r>
          </w:p>
        </w:tc>
        <w:tc>
          <w:tcPr>
            <w:tcW w:w="1275" w:type="dxa"/>
            <w:tcBorders>
              <w:top w:val="nil"/>
              <w:left w:val="nil"/>
              <w:bottom w:val="single" w:sz="4" w:space="0" w:color="auto"/>
              <w:right w:val="single" w:sz="4" w:space="0" w:color="auto"/>
            </w:tcBorders>
            <w:shd w:val="clear" w:color="auto" w:fill="C6EFCE"/>
            <w:noWrap/>
          </w:tcPr>
          <w:p w14:paraId="0F4AA94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3E4CD99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the amendments to the existing legislative framework on the multiannual national programme for improving the energy performance of residential buildings (Government Emergency Ordonnance No 18/2009) </w:t>
            </w:r>
          </w:p>
        </w:tc>
      </w:tr>
      <w:tr w:rsidR="00137D7A" w:rsidRPr="00137D7A" w14:paraId="5552DAEE"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251A0B4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91</w:t>
            </w:r>
          </w:p>
        </w:tc>
        <w:tc>
          <w:tcPr>
            <w:tcW w:w="3544" w:type="dxa"/>
            <w:tcBorders>
              <w:top w:val="nil"/>
              <w:left w:val="nil"/>
              <w:bottom w:val="single" w:sz="4" w:space="0" w:color="auto"/>
              <w:right w:val="single" w:sz="4" w:space="0" w:color="auto"/>
            </w:tcBorders>
            <w:shd w:val="clear" w:color="auto" w:fill="C6EFCE"/>
            <w:noWrap/>
          </w:tcPr>
          <w:p w14:paraId="7330503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C5.R1</w:t>
            </w:r>
          </w:p>
          <w:p w14:paraId="1F82B74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Simplified and updated legal and regulatory framework to support energy efficiency renovations of buildings </w:t>
            </w:r>
          </w:p>
        </w:tc>
        <w:tc>
          <w:tcPr>
            <w:tcW w:w="1275" w:type="dxa"/>
            <w:tcBorders>
              <w:top w:val="nil"/>
              <w:left w:val="nil"/>
              <w:bottom w:val="single" w:sz="4" w:space="0" w:color="auto"/>
              <w:right w:val="single" w:sz="4" w:space="0" w:color="auto"/>
            </w:tcBorders>
            <w:shd w:val="clear" w:color="auto" w:fill="C6EFCE"/>
            <w:noWrap/>
          </w:tcPr>
          <w:p w14:paraId="74BF1D7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62D9B71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The technical regulatory framework on investments for the transition to green and digital buildings is operational</w:t>
            </w:r>
          </w:p>
        </w:tc>
      </w:tr>
      <w:tr w:rsidR="00137D7A" w:rsidRPr="00137D7A" w14:paraId="11EC5489"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66A5BEE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93</w:t>
            </w:r>
          </w:p>
        </w:tc>
        <w:tc>
          <w:tcPr>
            <w:tcW w:w="3544" w:type="dxa"/>
            <w:tcBorders>
              <w:top w:val="nil"/>
              <w:left w:val="nil"/>
              <w:bottom w:val="single" w:sz="4" w:space="0" w:color="auto"/>
              <w:right w:val="single" w:sz="4" w:space="0" w:color="auto"/>
            </w:tcBorders>
            <w:shd w:val="clear" w:color="auto" w:fill="C6EFCE"/>
            <w:noWrap/>
          </w:tcPr>
          <w:p w14:paraId="7F9A0AC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C5.R2</w:t>
            </w:r>
          </w:p>
          <w:p w14:paraId="539C19C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Strategic, legislative and procedural framework to support seismic resilience of the buildings stock</w:t>
            </w:r>
          </w:p>
        </w:tc>
        <w:tc>
          <w:tcPr>
            <w:tcW w:w="1275" w:type="dxa"/>
            <w:tcBorders>
              <w:top w:val="nil"/>
              <w:left w:val="nil"/>
              <w:bottom w:val="single" w:sz="4" w:space="0" w:color="auto"/>
              <w:right w:val="single" w:sz="4" w:space="0" w:color="auto"/>
            </w:tcBorders>
            <w:shd w:val="clear" w:color="auto" w:fill="C6EFCE"/>
            <w:noWrap/>
          </w:tcPr>
          <w:p w14:paraId="2694FA6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3C57DDF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Adoption and implementation of the National Seismic Risk Reduction strategy for the seismic retrofitting the existing building stock</w:t>
            </w:r>
          </w:p>
        </w:tc>
      </w:tr>
      <w:tr w:rsidR="00137D7A" w:rsidRPr="00137D7A" w14:paraId="6DA63AD6"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3273B78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94</w:t>
            </w:r>
          </w:p>
        </w:tc>
        <w:tc>
          <w:tcPr>
            <w:tcW w:w="3544" w:type="dxa"/>
            <w:tcBorders>
              <w:top w:val="nil"/>
              <w:left w:val="nil"/>
              <w:bottom w:val="single" w:sz="4" w:space="0" w:color="auto"/>
              <w:right w:val="single" w:sz="4" w:space="0" w:color="auto"/>
            </w:tcBorders>
            <w:shd w:val="clear" w:color="auto" w:fill="C6EFCE"/>
            <w:noWrap/>
          </w:tcPr>
          <w:p w14:paraId="1C5492E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C5.R2</w:t>
            </w:r>
          </w:p>
          <w:p w14:paraId="73939D9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Strategic, legislative and procedural framework to support seismic resilience of the buildings stock</w:t>
            </w:r>
          </w:p>
        </w:tc>
        <w:tc>
          <w:tcPr>
            <w:tcW w:w="1275" w:type="dxa"/>
            <w:tcBorders>
              <w:top w:val="nil"/>
              <w:left w:val="nil"/>
              <w:bottom w:val="single" w:sz="4" w:space="0" w:color="auto"/>
              <w:right w:val="single" w:sz="4" w:space="0" w:color="auto"/>
            </w:tcBorders>
            <w:shd w:val="clear" w:color="auto" w:fill="C6EFCE"/>
            <w:noWrap/>
          </w:tcPr>
          <w:p w14:paraId="0111EAF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76F2334"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new law on seismic risk reduction of buildings</w:t>
            </w:r>
          </w:p>
        </w:tc>
      </w:tr>
      <w:tr w:rsidR="00137D7A" w:rsidRPr="00137D7A" w14:paraId="010D7BA7"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1D2C0AE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99</w:t>
            </w:r>
          </w:p>
          <w:p w14:paraId="3DAA47F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p>
        </w:tc>
        <w:tc>
          <w:tcPr>
            <w:tcW w:w="3544" w:type="dxa"/>
            <w:tcBorders>
              <w:top w:val="nil"/>
              <w:left w:val="nil"/>
              <w:bottom w:val="single" w:sz="4" w:space="0" w:color="auto"/>
              <w:right w:val="single" w:sz="4" w:space="0" w:color="auto"/>
            </w:tcBorders>
            <w:shd w:val="clear" w:color="auto" w:fill="C6EFCE"/>
            <w:noWrap/>
          </w:tcPr>
          <w:p w14:paraId="4897634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C5.I1</w:t>
            </w:r>
          </w:p>
          <w:p w14:paraId="72C7D25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Establishment of a renovation wave fund to finance works to increase the energy efficiency of the existing building stock</w:t>
            </w:r>
          </w:p>
        </w:tc>
        <w:tc>
          <w:tcPr>
            <w:tcW w:w="1275" w:type="dxa"/>
            <w:tcBorders>
              <w:top w:val="nil"/>
              <w:left w:val="nil"/>
              <w:bottom w:val="single" w:sz="4" w:space="0" w:color="auto"/>
              <w:right w:val="single" w:sz="4" w:space="0" w:color="auto"/>
            </w:tcBorders>
            <w:shd w:val="clear" w:color="auto" w:fill="C6EFCE"/>
            <w:noWrap/>
          </w:tcPr>
          <w:p w14:paraId="76DD14A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1A6DCAE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Signature of contracts for the energy efficiency renovation and integrated renovation (seismic consolidation and energy efficiency) for residential buildings</w:t>
            </w:r>
          </w:p>
        </w:tc>
      </w:tr>
      <w:tr w:rsidR="00137D7A" w:rsidRPr="00137D7A" w14:paraId="624AB99F"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7D4D5B9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100</w:t>
            </w:r>
          </w:p>
        </w:tc>
        <w:tc>
          <w:tcPr>
            <w:tcW w:w="3544" w:type="dxa"/>
            <w:tcBorders>
              <w:top w:val="nil"/>
              <w:left w:val="nil"/>
              <w:bottom w:val="single" w:sz="4" w:space="0" w:color="auto"/>
              <w:right w:val="single" w:sz="4" w:space="0" w:color="auto"/>
            </w:tcBorders>
            <w:shd w:val="clear" w:color="auto" w:fill="C6EFCE"/>
            <w:noWrap/>
          </w:tcPr>
          <w:p w14:paraId="1BBF398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C5.I1</w:t>
            </w:r>
          </w:p>
          <w:p w14:paraId="120E995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Establishment of a renovation wave fund to finance works to increase the energy efficiency of the existing building stock</w:t>
            </w:r>
          </w:p>
        </w:tc>
        <w:tc>
          <w:tcPr>
            <w:tcW w:w="1275" w:type="dxa"/>
            <w:tcBorders>
              <w:top w:val="nil"/>
              <w:left w:val="nil"/>
              <w:bottom w:val="single" w:sz="4" w:space="0" w:color="auto"/>
              <w:right w:val="single" w:sz="4" w:space="0" w:color="auto"/>
            </w:tcBorders>
            <w:shd w:val="clear" w:color="auto" w:fill="C6EFCE"/>
            <w:noWrap/>
          </w:tcPr>
          <w:p w14:paraId="551D089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55DEE02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Signature of contracts for the energy efficiency renovation and integrated renovation (seismic consolidation and energy efficiency) for public buildings</w:t>
            </w:r>
          </w:p>
        </w:tc>
      </w:tr>
      <w:tr w:rsidR="00137D7A" w:rsidRPr="00137D7A" w14:paraId="6B0D83F6"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67BFE71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243</w:t>
            </w:r>
          </w:p>
        </w:tc>
        <w:tc>
          <w:tcPr>
            <w:tcW w:w="3544" w:type="dxa"/>
            <w:tcBorders>
              <w:top w:val="nil"/>
              <w:left w:val="nil"/>
              <w:bottom w:val="single" w:sz="4" w:space="0" w:color="auto"/>
              <w:right w:val="single" w:sz="4" w:space="0" w:color="auto"/>
            </w:tcBorders>
            <w:shd w:val="clear" w:color="auto" w:fill="C6EFCE"/>
            <w:noWrap/>
          </w:tcPr>
          <w:p w14:paraId="481177D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C9.R1</w:t>
            </w:r>
          </w:p>
          <w:p w14:paraId="612FFB3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Legislative transparency, de-bureaucratisation and procedural simplification for business </w:t>
            </w:r>
          </w:p>
        </w:tc>
        <w:tc>
          <w:tcPr>
            <w:tcW w:w="1275" w:type="dxa"/>
            <w:tcBorders>
              <w:top w:val="nil"/>
              <w:left w:val="nil"/>
              <w:bottom w:val="single" w:sz="4" w:space="0" w:color="auto"/>
              <w:right w:val="single" w:sz="4" w:space="0" w:color="auto"/>
            </w:tcBorders>
            <w:shd w:val="clear" w:color="auto" w:fill="C6EFCE"/>
            <w:noWrap/>
          </w:tcPr>
          <w:p w14:paraId="08C5C4C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261ABE9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Entry into force of the law “Single Industrial Licence” </w:t>
            </w:r>
          </w:p>
        </w:tc>
      </w:tr>
      <w:tr w:rsidR="00137D7A" w:rsidRPr="00137D7A" w14:paraId="12BB362B"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008C528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264</w:t>
            </w:r>
          </w:p>
        </w:tc>
        <w:tc>
          <w:tcPr>
            <w:tcW w:w="3544" w:type="dxa"/>
            <w:tcBorders>
              <w:top w:val="nil"/>
              <w:left w:val="nil"/>
              <w:bottom w:val="single" w:sz="4" w:space="0" w:color="auto"/>
              <w:right w:val="single" w:sz="4" w:space="0" w:color="auto"/>
            </w:tcBorders>
            <w:shd w:val="clear" w:color="auto" w:fill="C6EFCE"/>
            <w:noWrap/>
          </w:tcPr>
          <w:p w14:paraId="2247D180"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C9.I3.2 </w:t>
            </w:r>
          </w:p>
          <w:p w14:paraId="383CF30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Private sector aid schemes - De minimis scheme to assist Romanian firms in listing on the stock exchange </w:t>
            </w:r>
          </w:p>
        </w:tc>
        <w:tc>
          <w:tcPr>
            <w:tcW w:w="1275" w:type="dxa"/>
            <w:tcBorders>
              <w:top w:val="nil"/>
              <w:left w:val="nil"/>
              <w:bottom w:val="single" w:sz="4" w:space="0" w:color="auto"/>
              <w:right w:val="single" w:sz="4" w:space="0" w:color="auto"/>
            </w:tcBorders>
            <w:shd w:val="clear" w:color="auto" w:fill="C6EFCE"/>
            <w:noWrap/>
          </w:tcPr>
          <w:p w14:paraId="1543CBC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64EDD2C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Selection of the scheme administrator</w:t>
            </w:r>
          </w:p>
        </w:tc>
      </w:tr>
      <w:tr w:rsidR="00137D7A" w:rsidRPr="00137D7A" w14:paraId="6BE1CB07"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3319D35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268</w:t>
            </w:r>
          </w:p>
        </w:tc>
        <w:tc>
          <w:tcPr>
            <w:tcW w:w="3544" w:type="dxa"/>
            <w:tcBorders>
              <w:top w:val="nil"/>
              <w:left w:val="nil"/>
              <w:bottom w:val="single" w:sz="4" w:space="0" w:color="auto"/>
              <w:right w:val="single" w:sz="4" w:space="0" w:color="auto"/>
            </w:tcBorders>
            <w:shd w:val="clear" w:color="auto" w:fill="C6EFCE"/>
            <w:noWrap/>
          </w:tcPr>
          <w:p w14:paraId="00CE2BB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C9.I4</w:t>
            </w:r>
          </w:p>
          <w:p w14:paraId="006EF2C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Cross border and multi-country projects – Low Power Processors</w:t>
            </w:r>
            <w:r w:rsidRPr="00137D7A">
              <w:rPr>
                <w:rFonts w:ascii="Times New Roman" w:eastAsia="Aptos" w:hAnsi="Times New Roman" w:cs="Times New Roman"/>
                <w:noProof/>
                <w:kern w:val="2"/>
                <w:sz w:val="22"/>
                <w:szCs w:val="22"/>
                <w:lang w:val="en-IE" w:eastAsia="en-US"/>
                <w14:ligatures w14:val="standardContextual"/>
              </w:rPr>
              <w:br/>
              <w:t xml:space="preserve">and Semiconductor Chips </w:t>
            </w:r>
          </w:p>
        </w:tc>
        <w:tc>
          <w:tcPr>
            <w:tcW w:w="1275" w:type="dxa"/>
            <w:tcBorders>
              <w:top w:val="nil"/>
              <w:left w:val="nil"/>
              <w:bottom w:val="single" w:sz="4" w:space="0" w:color="auto"/>
              <w:right w:val="single" w:sz="4" w:space="0" w:color="auto"/>
            </w:tcBorders>
            <w:shd w:val="clear" w:color="auto" w:fill="C6EFCE"/>
            <w:noWrap/>
          </w:tcPr>
          <w:p w14:paraId="3B648F1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02" w:type="dxa"/>
            <w:tcBorders>
              <w:top w:val="nil"/>
              <w:left w:val="nil"/>
              <w:bottom w:val="single" w:sz="4" w:space="0" w:color="auto"/>
              <w:right w:val="single" w:sz="4" w:space="0" w:color="auto"/>
            </w:tcBorders>
            <w:shd w:val="clear" w:color="auto" w:fill="C6EFCE"/>
            <w:noWrap/>
          </w:tcPr>
          <w:p w14:paraId="1BD23FA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Entities in consortia participating to calls for projects by the Joint Undertaking of Essential Digital Technologies (KDT JU)</w:t>
            </w:r>
          </w:p>
        </w:tc>
      </w:tr>
      <w:tr w:rsidR="00137D7A" w:rsidRPr="00137D7A" w14:paraId="70DE7689"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5036BD0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278</w:t>
            </w:r>
          </w:p>
        </w:tc>
        <w:tc>
          <w:tcPr>
            <w:tcW w:w="3544" w:type="dxa"/>
            <w:tcBorders>
              <w:top w:val="nil"/>
              <w:left w:val="nil"/>
              <w:bottom w:val="single" w:sz="4" w:space="0" w:color="auto"/>
              <w:right w:val="single" w:sz="4" w:space="0" w:color="auto"/>
            </w:tcBorders>
            <w:shd w:val="clear" w:color="auto" w:fill="C6EFCE"/>
            <w:noWrap/>
          </w:tcPr>
          <w:p w14:paraId="5EFFC97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C9.R5 </w:t>
            </w:r>
          </w:p>
          <w:p w14:paraId="15E15624"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Support to integrate the research, development and innovation organisations in Romania in the European Research Area</w:t>
            </w:r>
          </w:p>
        </w:tc>
        <w:tc>
          <w:tcPr>
            <w:tcW w:w="1275" w:type="dxa"/>
            <w:tcBorders>
              <w:top w:val="nil"/>
              <w:left w:val="nil"/>
              <w:bottom w:val="single" w:sz="4" w:space="0" w:color="auto"/>
              <w:right w:val="single" w:sz="4" w:space="0" w:color="auto"/>
            </w:tcBorders>
            <w:shd w:val="clear" w:color="auto" w:fill="C6EFCE"/>
            <w:noWrap/>
          </w:tcPr>
          <w:p w14:paraId="00B2707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5891EA8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a law that encourages, facilitates and regulates the voluntary and functional integration and merger of research institutions in Romania</w:t>
            </w:r>
          </w:p>
        </w:tc>
      </w:tr>
      <w:tr w:rsidR="00137D7A" w:rsidRPr="00137D7A" w14:paraId="59E66DD5"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21764DF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280</w:t>
            </w:r>
          </w:p>
        </w:tc>
        <w:tc>
          <w:tcPr>
            <w:tcW w:w="3544" w:type="dxa"/>
            <w:tcBorders>
              <w:top w:val="nil"/>
              <w:left w:val="nil"/>
              <w:bottom w:val="single" w:sz="4" w:space="0" w:color="auto"/>
              <w:right w:val="single" w:sz="4" w:space="0" w:color="auto"/>
            </w:tcBorders>
            <w:shd w:val="clear" w:color="auto" w:fill="C6EFCE"/>
            <w:noWrap/>
          </w:tcPr>
          <w:p w14:paraId="529AFC9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C9.I5</w:t>
            </w:r>
          </w:p>
          <w:p w14:paraId="1ED8F53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Establishment and operationalisation of Competence Centres </w:t>
            </w:r>
          </w:p>
        </w:tc>
        <w:tc>
          <w:tcPr>
            <w:tcW w:w="1275" w:type="dxa"/>
            <w:tcBorders>
              <w:top w:val="nil"/>
              <w:left w:val="nil"/>
              <w:bottom w:val="single" w:sz="4" w:space="0" w:color="auto"/>
              <w:right w:val="single" w:sz="4" w:space="0" w:color="auto"/>
            </w:tcBorders>
            <w:shd w:val="clear" w:color="auto" w:fill="C6EFCE"/>
            <w:noWrap/>
          </w:tcPr>
          <w:p w14:paraId="0444EA7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62E3D81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Establishment of 5 Centres of Competence</w:t>
            </w:r>
          </w:p>
        </w:tc>
      </w:tr>
      <w:tr w:rsidR="00137D7A" w:rsidRPr="00137D7A" w14:paraId="6B757F05"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78105F0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308</w:t>
            </w:r>
          </w:p>
        </w:tc>
        <w:tc>
          <w:tcPr>
            <w:tcW w:w="3544" w:type="dxa"/>
            <w:tcBorders>
              <w:top w:val="nil"/>
              <w:left w:val="nil"/>
              <w:bottom w:val="single" w:sz="4" w:space="0" w:color="auto"/>
              <w:right w:val="single" w:sz="4" w:space="0" w:color="auto"/>
            </w:tcBorders>
            <w:shd w:val="clear" w:color="auto" w:fill="C6EFCE"/>
            <w:noWrap/>
          </w:tcPr>
          <w:p w14:paraId="271AFA9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C10.R2</w:t>
            </w:r>
          </w:p>
          <w:p w14:paraId="510C6BB7"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Creating the policy framework for sustainable urban transformation</w:t>
            </w:r>
          </w:p>
        </w:tc>
        <w:tc>
          <w:tcPr>
            <w:tcW w:w="1275" w:type="dxa"/>
            <w:tcBorders>
              <w:top w:val="nil"/>
              <w:left w:val="nil"/>
              <w:bottom w:val="single" w:sz="4" w:space="0" w:color="auto"/>
              <w:right w:val="single" w:sz="4" w:space="0" w:color="auto"/>
            </w:tcBorders>
            <w:shd w:val="clear" w:color="auto" w:fill="C6EFCE"/>
            <w:noWrap/>
          </w:tcPr>
          <w:p w14:paraId="648D24C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15C96D5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Government Decision establishing the Romanian Urban Policy Framework</w:t>
            </w:r>
          </w:p>
        </w:tc>
      </w:tr>
      <w:tr w:rsidR="00137D7A" w:rsidRPr="00137D7A" w14:paraId="05E4FBEF"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1596D4C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310</w:t>
            </w:r>
          </w:p>
        </w:tc>
        <w:tc>
          <w:tcPr>
            <w:tcW w:w="3544" w:type="dxa"/>
            <w:tcBorders>
              <w:top w:val="nil"/>
              <w:left w:val="nil"/>
              <w:bottom w:val="single" w:sz="4" w:space="0" w:color="auto"/>
              <w:right w:val="single" w:sz="4" w:space="0" w:color="auto"/>
            </w:tcBorders>
            <w:shd w:val="clear" w:color="auto" w:fill="C6EFCE"/>
            <w:noWrap/>
          </w:tcPr>
          <w:p w14:paraId="566DE12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C10.R3 </w:t>
            </w:r>
          </w:p>
          <w:p w14:paraId="5062C57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Creating the policy framework for sustainable rural transformation: establishing administrative consortia in functional rural areas </w:t>
            </w:r>
          </w:p>
        </w:tc>
        <w:tc>
          <w:tcPr>
            <w:tcW w:w="1275" w:type="dxa"/>
            <w:tcBorders>
              <w:top w:val="nil"/>
              <w:left w:val="nil"/>
              <w:bottom w:val="single" w:sz="4" w:space="0" w:color="auto"/>
              <w:right w:val="single" w:sz="4" w:space="0" w:color="auto"/>
            </w:tcBorders>
            <w:shd w:val="clear" w:color="auto" w:fill="C6EFCE"/>
            <w:noWrap/>
          </w:tcPr>
          <w:p w14:paraId="783D760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68E720D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the legislative act amending the Administrative Code and establishing of administrative consortia in neighbouring rural or predominantly rural administrative territorial units, existing as functional rural areas</w:t>
            </w:r>
          </w:p>
        </w:tc>
      </w:tr>
      <w:tr w:rsidR="00137D7A" w:rsidRPr="00137D7A" w14:paraId="6B57B141"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3CA1A90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317</w:t>
            </w:r>
          </w:p>
        </w:tc>
        <w:tc>
          <w:tcPr>
            <w:tcW w:w="3544" w:type="dxa"/>
            <w:tcBorders>
              <w:top w:val="nil"/>
              <w:left w:val="nil"/>
              <w:bottom w:val="single" w:sz="4" w:space="0" w:color="auto"/>
              <w:right w:val="single" w:sz="4" w:space="0" w:color="auto"/>
            </w:tcBorders>
            <w:shd w:val="clear" w:color="auto" w:fill="C6EFCE"/>
            <w:noWrap/>
          </w:tcPr>
          <w:p w14:paraId="20DE945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C10.I2 </w:t>
            </w:r>
          </w:p>
          <w:p w14:paraId="15EE8250"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Construction of housing for youth and for professionals in health and education</w:t>
            </w:r>
          </w:p>
        </w:tc>
        <w:tc>
          <w:tcPr>
            <w:tcW w:w="1275" w:type="dxa"/>
            <w:tcBorders>
              <w:top w:val="nil"/>
              <w:left w:val="nil"/>
              <w:bottom w:val="single" w:sz="4" w:space="0" w:color="auto"/>
              <w:right w:val="single" w:sz="4" w:space="0" w:color="auto"/>
            </w:tcBorders>
            <w:shd w:val="clear" w:color="auto" w:fill="C6EFCE"/>
            <w:noWrap/>
          </w:tcPr>
          <w:p w14:paraId="7A09F85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6B886A0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Signature of all public contracts for building housing for young people coming from vulnerable communities and groups, emergency housing and for health and education professionals in urban or rural areas </w:t>
            </w:r>
          </w:p>
        </w:tc>
      </w:tr>
      <w:tr w:rsidR="00137D7A" w:rsidRPr="00137D7A" w14:paraId="141B7A9A"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1E38056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320</w:t>
            </w:r>
          </w:p>
        </w:tc>
        <w:tc>
          <w:tcPr>
            <w:tcW w:w="3544" w:type="dxa"/>
            <w:tcBorders>
              <w:top w:val="nil"/>
              <w:left w:val="nil"/>
              <w:bottom w:val="single" w:sz="4" w:space="0" w:color="auto"/>
              <w:right w:val="single" w:sz="4" w:space="0" w:color="auto"/>
            </w:tcBorders>
            <w:shd w:val="clear" w:color="auto" w:fill="C6EFCE"/>
            <w:noWrap/>
          </w:tcPr>
          <w:p w14:paraId="6634CEF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C10.I3 </w:t>
            </w:r>
          </w:p>
          <w:p w14:paraId="12F56FB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Moderate rehabilitation of public buildings to improve public service delivery by administrative territorial units </w:t>
            </w:r>
          </w:p>
        </w:tc>
        <w:tc>
          <w:tcPr>
            <w:tcW w:w="1275" w:type="dxa"/>
            <w:tcBorders>
              <w:top w:val="nil"/>
              <w:left w:val="nil"/>
              <w:bottom w:val="single" w:sz="4" w:space="0" w:color="auto"/>
              <w:right w:val="single" w:sz="4" w:space="0" w:color="auto"/>
            </w:tcBorders>
            <w:shd w:val="clear" w:color="auto" w:fill="C6EFCE"/>
            <w:noWrap/>
          </w:tcPr>
          <w:p w14:paraId="6CCB94F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591EF7F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Signature of contracts</w:t>
            </w:r>
            <w:r w:rsidRPr="00137D7A">
              <w:rPr>
                <w:rFonts w:ascii="Times New Roman" w:eastAsia="Aptos" w:hAnsi="Times New Roman" w:cs="Times New Roman"/>
                <w:noProof/>
                <w:kern w:val="2"/>
                <w:sz w:val="22"/>
                <w:szCs w:val="22"/>
                <w:lang w:val="en-IE" w:eastAsia="en-US"/>
                <w14:ligatures w14:val="standardContextual"/>
              </w:rPr>
              <w:br/>
              <w:t>for the moderate renovation of public buildings</w:t>
            </w:r>
          </w:p>
        </w:tc>
      </w:tr>
      <w:tr w:rsidR="00137D7A" w:rsidRPr="00137D7A" w14:paraId="5D35A0EC"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7D3B1E7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323</w:t>
            </w:r>
          </w:p>
        </w:tc>
        <w:tc>
          <w:tcPr>
            <w:tcW w:w="3544" w:type="dxa"/>
            <w:tcBorders>
              <w:top w:val="nil"/>
              <w:left w:val="nil"/>
              <w:bottom w:val="single" w:sz="4" w:space="0" w:color="auto"/>
              <w:right w:val="single" w:sz="4" w:space="0" w:color="auto"/>
            </w:tcBorders>
            <w:shd w:val="clear" w:color="auto" w:fill="C6EFCE"/>
            <w:noWrap/>
          </w:tcPr>
          <w:p w14:paraId="600BAD3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C10.I4</w:t>
            </w:r>
          </w:p>
          <w:p w14:paraId="3B01F56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Development/updating in GIS format of spatial planning and urban planning documents </w:t>
            </w:r>
          </w:p>
        </w:tc>
        <w:tc>
          <w:tcPr>
            <w:tcW w:w="1275" w:type="dxa"/>
            <w:tcBorders>
              <w:top w:val="nil"/>
              <w:left w:val="nil"/>
              <w:bottom w:val="single" w:sz="4" w:space="0" w:color="auto"/>
              <w:right w:val="single" w:sz="4" w:space="0" w:color="auto"/>
            </w:tcBorders>
            <w:shd w:val="clear" w:color="auto" w:fill="C6EFCE"/>
            <w:noWrap/>
          </w:tcPr>
          <w:p w14:paraId="5530F82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52AD4B7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Signature of contracts for the development/updating of spatial planning, urban planning and sustainable urban mobility plans documentation</w:t>
            </w:r>
          </w:p>
        </w:tc>
      </w:tr>
      <w:tr w:rsidR="00137D7A" w:rsidRPr="00137D7A" w14:paraId="79EF6D57"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6D6B658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342</w:t>
            </w:r>
          </w:p>
        </w:tc>
        <w:tc>
          <w:tcPr>
            <w:tcW w:w="3544" w:type="dxa"/>
            <w:tcBorders>
              <w:top w:val="nil"/>
              <w:left w:val="nil"/>
              <w:bottom w:val="single" w:sz="4" w:space="0" w:color="auto"/>
              <w:right w:val="single" w:sz="4" w:space="0" w:color="auto"/>
            </w:tcBorders>
            <w:shd w:val="clear" w:color="auto" w:fill="C6EFCE"/>
            <w:noWrap/>
          </w:tcPr>
          <w:p w14:paraId="4C221C0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C11.I4</w:t>
            </w:r>
            <w:r w:rsidRPr="00137D7A">
              <w:rPr>
                <w:rFonts w:ascii="Aptos" w:eastAsia="Aptos" w:hAnsi="Aptos" w:cs="Times New Roman"/>
                <w:noProof/>
                <w:kern w:val="2"/>
                <w:sz w:val="22"/>
                <w:szCs w:val="22"/>
                <w:lang w:val="en-IE" w:eastAsia="en-US"/>
                <w14:ligatures w14:val="standardContextual"/>
              </w:rPr>
              <w:br/>
            </w:r>
            <w:r w:rsidRPr="00137D7A">
              <w:rPr>
                <w:rFonts w:ascii="Times New Roman" w:eastAsia="Aptos" w:hAnsi="Times New Roman" w:cs="Times New Roman"/>
                <w:noProof/>
                <w:kern w:val="2"/>
                <w:sz w:val="22"/>
                <w:szCs w:val="22"/>
                <w:lang w:val="en-IE" w:eastAsia="en-US"/>
                <w14:ligatures w14:val="standardContextual"/>
              </w:rPr>
              <w:t>Construction of 236,05 km of cycling routes</w:t>
            </w:r>
          </w:p>
        </w:tc>
        <w:tc>
          <w:tcPr>
            <w:tcW w:w="1275" w:type="dxa"/>
            <w:tcBorders>
              <w:top w:val="nil"/>
              <w:left w:val="nil"/>
              <w:bottom w:val="single" w:sz="4" w:space="0" w:color="auto"/>
              <w:right w:val="single" w:sz="4" w:space="0" w:color="auto"/>
            </w:tcBorders>
            <w:shd w:val="clear" w:color="auto" w:fill="C6EFCE"/>
            <w:noWrap/>
          </w:tcPr>
          <w:p w14:paraId="5399C5F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tcPr>
          <w:p w14:paraId="4D4C0F2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Signature of the contracts for cycling routes </w:t>
            </w:r>
          </w:p>
        </w:tc>
      </w:tr>
      <w:tr w:rsidR="00137D7A" w:rsidRPr="00137D7A" w14:paraId="34ADBA7A" w14:textId="77777777">
        <w:trPr>
          <w:trHeight w:val="1201"/>
        </w:trPr>
        <w:tc>
          <w:tcPr>
            <w:tcW w:w="1585" w:type="dxa"/>
            <w:tcBorders>
              <w:top w:val="nil"/>
              <w:left w:val="single" w:sz="4" w:space="0" w:color="auto"/>
              <w:bottom w:val="single" w:sz="4" w:space="0" w:color="auto"/>
              <w:right w:val="single" w:sz="4" w:space="0" w:color="auto"/>
            </w:tcBorders>
            <w:shd w:val="clear" w:color="auto" w:fill="C6EFCE"/>
            <w:noWrap/>
          </w:tcPr>
          <w:p w14:paraId="714298B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399</w:t>
            </w:r>
          </w:p>
        </w:tc>
        <w:tc>
          <w:tcPr>
            <w:tcW w:w="3544" w:type="dxa"/>
            <w:tcBorders>
              <w:top w:val="nil"/>
              <w:left w:val="nil"/>
              <w:bottom w:val="single" w:sz="4" w:space="0" w:color="auto"/>
              <w:right w:val="single" w:sz="4" w:space="0" w:color="auto"/>
            </w:tcBorders>
            <w:shd w:val="clear" w:color="auto" w:fill="C6EFCE"/>
            <w:noWrap/>
          </w:tcPr>
          <w:p w14:paraId="22E8A25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C13.R7</w:t>
            </w:r>
          </w:p>
          <w:p w14:paraId="51A85D3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Reform of long-term care services for older people</w:t>
            </w:r>
          </w:p>
        </w:tc>
        <w:tc>
          <w:tcPr>
            <w:tcW w:w="1275" w:type="dxa"/>
            <w:tcBorders>
              <w:top w:val="nil"/>
              <w:left w:val="nil"/>
              <w:bottom w:val="single" w:sz="4" w:space="0" w:color="auto"/>
              <w:right w:val="single" w:sz="4" w:space="0" w:color="auto"/>
            </w:tcBorders>
            <w:shd w:val="clear" w:color="auto" w:fill="C6EFCE"/>
            <w:noWrap/>
          </w:tcPr>
          <w:p w14:paraId="430DB62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02" w:type="dxa"/>
            <w:tcBorders>
              <w:top w:val="nil"/>
              <w:left w:val="nil"/>
              <w:bottom w:val="single" w:sz="4" w:space="0" w:color="auto"/>
              <w:right w:val="single" w:sz="4" w:space="0" w:color="auto"/>
            </w:tcBorders>
            <w:shd w:val="clear" w:color="auto" w:fill="C6EFCE"/>
            <w:noWrap/>
            <w:vAlign w:val="center"/>
          </w:tcPr>
          <w:p w14:paraId="001159C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Entry into force of a law for the adoption and implementation of the National Long-Term-Care Strategy</w:t>
            </w:r>
          </w:p>
        </w:tc>
      </w:tr>
      <w:tr w:rsidR="00137D7A" w:rsidRPr="00137D7A" w14:paraId="79F7697B" w14:textId="77777777">
        <w:trPr>
          <w:trHeight w:val="302"/>
        </w:trPr>
        <w:tc>
          <w:tcPr>
            <w:tcW w:w="1585" w:type="dxa"/>
            <w:tcBorders>
              <w:top w:val="single" w:sz="4" w:space="0" w:color="auto"/>
              <w:left w:val="single" w:sz="4" w:space="0" w:color="auto"/>
              <w:bottom w:val="single" w:sz="4" w:space="0" w:color="auto"/>
              <w:right w:val="single" w:sz="4" w:space="0" w:color="auto"/>
            </w:tcBorders>
            <w:shd w:val="clear" w:color="auto" w:fill="C6EFCE"/>
            <w:noWrap/>
          </w:tcPr>
          <w:p w14:paraId="07D7A0F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p>
        </w:tc>
        <w:tc>
          <w:tcPr>
            <w:tcW w:w="3544" w:type="dxa"/>
            <w:tcBorders>
              <w:top w:val="single" w:sz="4" w:space="0" w:color="auto"/>
              <w:left w:val="nil"/>
              <w:bottom w:val="single" w:sz="4" w:space="0" w:color="auto"/>
              <w:right w:val="single" w:sz="4" w:space="0" w:color="auto"/>
            </w:tcBorders>
            <w:shd w:val="clear" w:color="auto" w:fill="C6EFCE"/>
            <w:noWrap/>
          </w:tcPr>
          <w:p w14:paraId="7647894F"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p>
        </w:tc>
        <w:tc>
          <w:tcPr>
            <w:tcW w:w="1275" w:type="dxa"/>
            <w:tcBorders>
              <w:top w:val="single" w:sz="4" w:space="0" w:color="auto"/>
              <w:left w:val="nil"/>
              <w:bottom w:val="single" w:sz="4" w:space="0" w:color="auto"/>
              <w:right w:val="single" w:sz="4" w:space="0" w:color="auto"/>
            </w:tcBorders>
            <w:shd w:val="clear" w:color="auto" w:fill="C6EFCE"/>
            <w:noWrap/>
          </w:tcPr>
          <w:p w14:paraId="316B8A8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Instalment Amount</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05ADDCAC" w14:textId="77777777" w:rsidR="00137D7A" w:rsidRPr="00137D7A" w:rsidRDefault="00137D7A" w:rsidP="00137D7A">
            <w:pPr>
              <w:spacing w:after="0" w:line="259" w:lineRule="auto"/>
              <w:jc w:val="right"/>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EUR 775 449 927 </w:t>
            </w:r>
          </w:p>
        </w:tc>
      </w:tr>
    </w:tbl>
    <w:p w14:paraId="239679F6" w14:textId="77777777" w:rsidR="00137D7A" w:rsidRPr="00137D7A"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bCs/>
          <w:i/>
          <w:noProof/>
          <w:lang w:val="en-IE" w:eastAsia="en-US"/>
        </w:rPr>
      </w:pPr>
      <w:r w:rsidRPr="00137D7A">
        <w:rPr>
          <w:rFonts w:ascii="Times New Roman" w:eastAsia="Times New Roman" w:hAnsi="Times New Roman" w:cs="Times New Roman"/>
          <w:bCs/>
          <w:i/>
          <w:noProof/>
          <w:lang w:val="en-IE" w:eastAsia="en-US"/>
        </w:rPr>
        <w:t xml:space="preserve">2.2.4 Fourth Instalment (loan support): </w:t>
      </w:r>
    </w:p>
    <w:tbl>
      <w:tblPr>
        <w:tblW w:w="9634" w:type="dxa"/>
        <w:tblInd w:w="113" w:type="dxa"/>
        <w:tblLook w:val="04A0" w:firstRow="1" w:lastRow="0" w:firstColumn="1" w:lastColumn="0" w:noHBand="0" w:noVBand="1"/>
      </w:tblPr>
      <w:tblGrid>
        <w:gridCol w:w="1413"/>
        <w:gridCol w:w="3544"/>
        <w:gridCol w:w="1230"/>
        <w:gridCol w:w="3447"/>
      </w:tblGrid>
      <w:tr w:rsidR="00137D7A" w:rsidRPr="00137D7A" w14:paraId="24F976E1" w14:textId="77777777">
        <w:trPr>
          <w:trHeight w:val="906"/>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ED1A9F5"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Sequential Number</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C7202CF"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 xml:space="preserve">Related Measure </w:t>
            </w:r>
          </w:p>
          <w:p w14:paraId="2CE27AC5"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(Reform or Investment)</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78C9A8E"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Milestone / Target</w:t>
            </w:r>
          </w:p>
        </w:tc>
        <w:tc>
          <w:tcPr>
            <w:tcW w:w="344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11FBE6"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Name</w:t>
            </w:r>
          </w:p>
        </w:tc>
      </w:tr>
      <w:tr w:rsidR="00137D7A" w:rsidRPr="00137D7A" w14:paraId="518CCD64" w14:textId="77777777">
        <w:trPr>
          <w:trHeight w:val="509"/>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115264CA"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0F16510" w14:textId="77777777" w:rsidR="00137D7A" w:rsidRPr="00137D7A"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14:paraId="67BEDBD2"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p>
        </w:tc>
        <w:tc>
          <w:tcPr>
            <w:tcW w:w="3447" w:type="dxa"/>
            <w:vMerge/>
            <w:tcBorders>
              <w:top w:val="single" w:sz="4" w:space="0" w:color="auto"/>
              <w:left w:val="single" w:sz="4" w:space="0" w:color="auto"/>
              <w:bottom w:val="single" w:sz="4" w:space="0" w:color="auto"/>
              <w:right w:val="single" w:sz="4" w:space="0" w:color="auto"/>
            </w:tcBorders>
            <w:vAlign w:val="center"/>
            <w:hideMark/>
          </w:tcPr>
          <w:p w14:paraId="2003EC4B"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r>
      <w:tr w:rsidR="00137D7A" w:rsidRPr="00137D7A" w14:paraId="365D5987"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21B04E7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RO-C[C1]-R[R2.0]-M[4]</w:t>
            </w:r>
          </w:p>
        </w:tc>
        <w:tc>
          <w:tcPr>
            <w:tcW w:w="3544" w:type="dxa"/>
            <w:tcBorders>
              <w:top w:val="single" w:sz="4" w:space="0" w:color="auto"/>
              <w:left w:val="nil"/>
              <w:bottom w:val="single" w:sz="4" w:space="0" w:color="auto"/>
              <w:right w:val="single" w:sz="4" w:space="0" w:color="auto"/>
            </w:tcBorders>
            <w:shd w:val="clear" w:color="auto" w:fill="C6EFCE"/>
            <w:noWrap/>
          </w:tcPr>
          <w:p w14:paraId="03C01776" w14:textId="56496CA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Reconfiguration of </w:t>
            </w:r>
            <w:r w:rsidR="00B11AC3" w:rsidRPr="00B11AC3">
              <w:rPr>
                <w:rFonts w:ascii="Times New Roman" w:eastAsia="Aptos" w:hAnsi="Times New Roman" w:cs="Times New Roman"/>
                <w:noProof/>
                <w:color w:val="000000"/>
                <w:kern w:val="2"/>
                <w:sz w:val="22"/>
                <w:szCs w:val="22"/>
                <w:lang w:val="en-IE" w:eastAsia="en-US"/>
                <w14:ligatures w14:val="standardContextual"/>
              </w:rPr>
              <w:t>ANAR’s</w:t>
            </w:r>
            <w:r w:rsidR="00B11AC3" w:rsidRPr="00B11AC3" w:rsidDel="00B11AC3">
              <w:rPr>
                <w:rFonts w:ascii="Times New Roman" w:eastAsia="Aptos" w:hAnsi="Times New Roman" w:cs="Times New Roman"/>
                <w:noProof/>
                <w:color w:val="000000"/>
                <w:kern w:val="2"/>
                <w:sz w:val="22"/>
                <w:szCs w:val="22"/>
                <w:lang w:val="en-IE" w:eastAsia="en-US"/>
                <w14:ligatures w14:val="standardContextual"/>
              </w:rPr>
              <w:t xml:space="preserve"> </w:t>
            </w:r>
            <w:r w:rsidRPr="00137D7A">
              <w:rPr>
                <w:rFonts w:ascii="Times New Roman" w:eastAsia="Aptos" w:hAnsi="Times New Roman" w:cs="Times New Roman"/>
                <w:noProof/>
                <w:color w:val="000000"/>
                <w:kern w:val="2"/>
                <w:sz w:val="22"/>
                <w:szCs w:val="22"/>
                <w:lang w:val="en-IE" w:eastAsia="en-US"/>
                <w14:ligatures w14:val="standardContextual"/>
              </w:rPr>
              <w:t xml:space="preserve">current economic mechanism to ensure the modernisation and maintenance of the national water management system </w:t>
            </w:r>
          </w:p>
        </w:tc>
        <w:tc>
          <w:tcPr>
            <w:tcW w:w="1230" w:type="dxa"/>
            <w:tcBorders>
              <w:top w:val="single" w:sz="4" w:space="0" w:color="auto"/>
              <w:left w:val="nil"/>
              <w:bottom w:val="single" w:sz="4" w:space="0" w:color="auto"/>
              <w:right w:val="single" w:sz="4" w:space="0" w:color="auto"/>
            </w:tcBorders>
            <w:shd w:val="clear" w:color="auto" w:fill="C6EFCE"/>
            <w:noWrap/>
          </w:tcPr>
          <w:p w14:paraId="7B50BB9E"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w:t>
            </w:r>
          </w:p>
        </w:tc>
        <w:tc>
          <w:tcPr>
            <w:tcW w:w="3447" w:type="dxa"/>
            <w:tcBorders>
              <w:top w:val="single" w:sz="4" w:space="0" w:color="auto"/>
              <w:left w:val="nil"/>
              <w:bottom w:val="single" w:sz="4" w:space="0" w:color="auto"/>
              <w:right w:val="single" w:sz="4" w:space="0" w:color="auto"/>
            </w:tcBorders>
            <w:shd w:val="clear" w:color="auto" w:fill="C6EFCE"/>
            <w:noWrap/>
          </w:tcPr>
          <w:p w14:paraId="633A8D9D" w14:textId="1EA442FD"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Entry into force of the law introducing amendments to</w:t>
            </w:r>
            <w:r w:rsidRPr="00137D7A">
              <w:rPr>
                <w:rFonts w:ascii="Times New Roman" w:eastAsia="Times New Roman" w:hAnsi="Times New Roman" w:cs="Times New Roman"/>
                <w:noProof/>
                <w:kern w:val="2"/>
                <w:sz w:val="22"/>
                <w:szCs w:val="22"/>
                <w:lang w:val="en-IE" w:eastAsia="en-US"/>
                <w14:ligatures w14:val="standardContextual"/>
              </w:rPr>
              <w:t>regulate the new economic mechanism for water resources in Romania</w:t>
            </w:r>
          </w:p>
          <w:p w14:paraId="5857AB8E" w14:textId="77777777" w:rsidR="00137D7A" w:rsidRPr="00137D7A" w:rsidRDefault="00137D7A" w:rsidP="00137D7A">
            <w:pPr>
              <w:spacing w:after="0" w:line="259" w:lineRule="auto"/>
              <w:rPr>
                <w:rFonts w:ascii="Times New Roman" w:eastAsia="Times New Roman" w:hAnsi="Times New Roman" w:cs="Times New Roman"/>
                <w:noProof/>
                <w:kern w:val="2"/>
                <w:lang w:val="en-GB" w:eastAsia="en-US"/>
                <w14:ligatures w14:val="standardContextual"/>
              </w:rPr>
            </w:pPr>
          </w:p>
        </w:tc>
      </w:tr>
      <w:tr w:rsidR="00137D7A" w:rsidRPr="00137D7A" w14:paraId="61E8339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6405BF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RO-C[C1]-I[I5.0]-T[18]</w:t>
            </w:r>
          </w:p>
        </w:tc>
        <w:tc>
          <w:tcPr>
            <w:tcW w:w="3544" w:type="dxa"/>
            <w:tcBorders>
              <w:top w:val="nil"/>
              <w:left w:val="nil"/>
              <w:bottom w:val="single" w:sz="4" w:space="0" w:color="auto"/>
              <w:right w:val="single" w:sz="4" w:space="0" w:color="auto"/>
            </w:tcBorders>
            <w:shd w:val="clear" w:color="auto" w:fill="C6EFCE"/>
            <w:noWrap/>
          </w:tcPr>
          <w:p w14:paraId="5E142CD4"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Appropriate endowment of river basin administrations for flood monitoring, prevention and emergency response</w:t>
            </w:r>
          </w:p>
        </w:tc>
        <w:tc>
          <w:tcPr>
            <w:tcW w:w="1230" w:type="dxa"/>
            <w:tcBorders>
              <w:top w:val="nil"/>
              <w:left w:val="nil"/>
              <w:bottom w:val="single" w:sz="4" w:space="0" w:color="auto"/>
              <w:right w:val="single" w:sz="4" w:space="0" w:color="auto"/>
            </w:tcBorders>
            <w:shd w:val="clear" w:color="auto" w:fill="C6EFCE"/>
            <w:noWrap/>
          </w:tcPr>
          <w:p w14:paraId="470899A8"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nil"/>
              <w:left w:val="nil"/>
              <w:bottom w:val="single" w:sz="4" w:space="0" w:color="auto"/>
              <w:right w:val="single" w:sz="4" w:space="0" w:color="auto"/>
            </w:tcBorders>
            <w:shd w:val="clear" w:color="auto" w:fill="C6EFCE"/>
            <w:noWrap/>
          </w:tcPr>
          <w:p w14:paraId="2FFB974D" w14:textId="33BF1B04"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River Basin Administrations equipped</w:t>
            </w:r>
            <w:r w:rsidR="00D23D91">
              <w:rPr>
                <w:rFonts w:ascii="Times New Roman" w:eastAsia="Aptos" w:hAnsi="Times New Roman" w:cs="Times New Roman"/>
                <w:noProof/>
                <w:color w:val="000000"/>
                <w:kern w:val="2"/>
                <w:sz w:val="22"/>
                <w:szCs w:val="22"/>
                <w:lang w:val="en-IE" w:eastAsia="en-US"/>
                <w14:ligatures w14:val="standardContextual"/>
              </w:rPr>
              <w:t xml:space="preserve"> </w:t>
            </w:r>
          </w:p>
        </w:tc>
      </w:tr>
      <w:tr w:rsidR="00137D7A" w:rsidRPr="00137D7A" w14:paraId="24F9675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40F56A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RO-C[C2]-R[R2.0]-M[31]</w:t>
            </w:r>
          </w:p>
        </w:tc>
        <w:tc>
          <w:tcPr>
            <w:tcW w:w="3544" w:type="dxa"/>
            <w:tcBorders>
              <w:top w:val="nil"/>
              <w:left w:val="nil"/>
              <w:bottom w:val="single" w:sz="4" w:space="0" w:color="auto"/>
              <w:right w:val="single" w:sz="4" w:space="0" w:color="auto"/>
            </w:tcBorders>
            <w:shd w:val="clear" w:color="auto" w:fill="C6EFCE"/>
            <w:noWrap/>
          </w:tcPr>
          <w:p w14:paraId="7B7B6295" w14:textId="46989C00"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Reform of the management system for</w:t>
            </w:r>
            <w:r w:rsidR="00D23D91">
              <w:rPr>
                <w:rFonts w:ascii="Times New Roman" w:eastAsia="Aptos" w:hAnsi="Times New Roman" w:cs="Times New Roman"/>
                <w:noProof/>
                <w:color w:val="000000"/>
                <w:kern w:val="2"/>
                <w:sz w:val="22"/>
                <w:szCs w:val="22"/>
                <w:lang w:val="en-IE" w:eastAsia="en-US"/>
                <w14:ligatures w14:val="standardContextual"/>
              </w:rPr>
              <w:t xml:space="preserve"> </w:t>
            </w:r>
            <w:r w:rsidRPr="00137D7A">
              <w:rPr>
                <w:rFonts w:ascii="Times New Roman" w:eastAsia="Aptos" w:hAnsi="Times New Roman" w:cs="Times New Roman"/>
                <w:noProof/>
                <w:color w:val="000000"/>
                <w:kern w:val="2"/>
                <w:sz w:val="22"/>
                <w:szCs w:val="22"/>
                <w:lang w:val="en-IE" w:eastAsia="en-US"/>
                <w14:ligatures w14:val="standardContextual"/>
              </w:rPr>
              <w:t>protected natural areas for the European Biodiversity Strategy</w:t>
            </w:r>
          </w:p>
        </w:tc>
        <w:tc>
          <w:tcPr>
            <w:tcW w:w="1230" w:type="dxa"/>
            <w:tcBorders>
              <w:top w:val="nil"/>
              <w:left w:val="nil"/>
              <w:bottom w:val="single" w:sz="4" w:space="0" w:color="auto"/>
              <w:right w:val="single" w:sz="4" w:space="0" w:color="auto"/>
            </w:tcBorders>
            <w:shd w:val="clear" w:color="auto" w:fill="C6EFCE"/>
            <w:noWrap/>
          </w:tcPr>
          <w:p w14:paraId="4781F73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47" w:type="dxa"/>
            <w:tcBorders>
              <w:top w:val="nil"/>
              <w:left w:val="nil"/>
              <w:bottom w:val="single" w:sz="4" w:space="0" w:color="auto"/>
              <w:right w:val="single" w:sz="4" w:space="0" w:color="auto"/>
            </w:tcBorders>
            <w:shd w:val="clear" w:color="auto" w:fill="C6EFCE"/>
            <w:noWrap/>
          </w:tcPr>
          <w:p w14:paraId="5FF7154F" w14:textId="1EAAA57A"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Entry into force of the </w:t>
            </w:r>
            <w:r w:rsidR="004D4E45">
              <w:rPr>
                <w:rFonts w:ascii="Times New Roman" w:eastAsia="Aptos" w:hAnsi="Times New Roman" w:cs="Times New Roman"/>
                <w:noProof/>
                <w:color w:val="000000"/>
                <w:kern w:val="2"/>
                <w:sz w:val="22"/>
                <w:szCs w:val="22"/>
                <w:lang w:val="en-IE" w:eastAsia="en-US"/>
                <w14:ligatures w14:val="standardContextual"/>
              </w:rPr>
              <w:t>legal</w:t>
            </w:r>
            <w:r w:rsidR="004D4E45" w:rsidRPr="00137D7A">
              <w:rPr>
                <w:rFonts w:ascii="Times New Roman" w:eastAsia="Aptos" w:hAnsi="Times New Roman" w:cs="Times New Roman"/>
                <w:noProof/>
                <w:color w:val="000000"/>
                <w:kern w:val="2"/>
                <w:sz w:val="22"/>
                <w:szCs w:val="22"/>
                <w:lang w:val="en-IE" w:eastAsia="en-US"/>
                <w14:ligatures w14:val="standardContextual"/>
              </w:rPr>
              <w:t xml:space="preserve"> </w:t>
            </w:r>
            <w:r w:rsidRPr="00137D7A">
              <w:rPr>
                <w:rFonts w:ascii="Times New Roman" w:eastAsia="Aptos" w:hAnsi="Times New Roman" w:cs="Times New Roman"/>
                <w:noProof/>
                <w:color w:val="000000"/>
                <w:kern w:val="2"/>
                <w:sz w:val="22"/>
                <w:szCs w:val="22"/>
                <w:lang w:val="en-IE" w:eastAsia="en-US"/>
                <w14:ligatures w14:val="standardContextual"/>
              </w:rPr>
              <w:t>act</w:t>
            </w:r>
            <w:r w:rsidR="004D4E45">
              <w:rPr>
                <w:rFonts w:ascii="Times New Roman" w:eastAsia="Aptos" w:hAnsi="Times New Roman" w:cs="Times New Roman"/>
                <w:noProof/>
                <w:color w:val="000000"/>
                <w:kern w:val="2"/>
                <w:sz w:val="22"/>
                <w:szCs w:val="22"/>
                <w:lang w:val="en-IE" w:eastAsia="en-US"/>
                <w14:ligatures w14:val="standardContextual"/>
              </w:rPr>
              <w:t>(s)</w:t>
            </w:r>
            <w:r w:rsidRPr="00137D7A">
              <w:rPr>
                <w:rFonts w:ascii="Times New Roman" w:eastAsia="Aptos" w:hAnsi="Times New Roman" w:cs="Times New Roman"/>
                <w:noProof/>
                <w:color w:val="000000"/>
                <w:kern w:val="2"/>
                <w:sz w:val="22"/>
                <w:szCs w:val="22"/>
                <w:lang w:val="en-IE" w:eastAsia="en-US"/>
                <w14:ligatures w14:val="standardContextual"/>
              </w:rPr>
              <w:t xml:space="preserve"> applicable to sectors with an impact on biodiversity</w:t>
            </w:r>
          </w:p>
        </w:tc>
      </w:tr>
      <w:tr w:rsidR="00137D7A" w:rsidRPr="00137D7A" w14:paraId="7217D789"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EFE672D"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RO-C[C3]-R[R1.0]-M[45]</w:t>
            </w:r>
          </w:p>
        </w:tc>
        <w:tc>
          <w:tcPr>
            <w:tcW w:w="3544" w:type="dxa"/>
            <w:tcBorders>
              <w:top w:val="nil"/>
              <w:left w:val="nil"/>
              <w:bottom w:val="single" w:sz="4" w:space="0" w:color="auto"/>
              <w:right w:val="single" w:sz="4" w:space="0" w:color="auto"/>
            </w:tcBorders>
            <w:shd w:val="clear" w:color="auto" w:fill="C6EFCE"/>
            <w:noWrap/>
          </w:tcPr>
          <w:p w14:paraId="50C8D268"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Support to waste management governance to accelerate the transition to the circular economy</w:t>
            </w:r>
          </w:p>
        </w:tc>
        <w:tc>
          <w:tcPr>
            <w:tcW w:w="1230" w:type="dxa"/>
            <w:tcBorders>
              <w:top w:val="nil"/>
              <w:left w:val="nil"/>
              <w:bottom w:val="single" w:sz="4" w:space="0" w:color="auto"/>
              <w:right w:val="single" w:sz="4" w:space="0" w:color="auto"/>
            </w:tcBorders>
            <w:shd w:val="clear" w:color="auto" w:fill="C6EFCE"/>
            <w:noWrap/>
          </w:tcPr>
          <w:p w14:paraId="433CCE4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47" w:type="dxa"/>
            <w:tcBorders>
              <w:top w:val="nil"/>
              <w:left w:val="nil"/>
              <w:bottom w:val="single" w:sz="4" w:space="0" w:color="auto"/>
              <w:right w:val="single" w:sz="4" w:space="0" w:color="auto"/>
            </w:tcBorders>
            <w:shd w:val="clear" w:color="auto" w:fill="C6EFCE"/>
            <w:noWrap/>
          </w:tcPr>
          <w:p w14:paraId="0EC336BE"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Approval of the Action Plan for the National Circular Economy Strategy and execution of specific actions included therein.</w:t>
            </w:r>
          </w:p>
        </w:tc>
      </w:tr>
      <w:tr w:rsidR="00137D7A" w:rsidRPr="00137D7A" w14:paraId="4E99E73A"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7B48BAC"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RO-C[C3]-I[I1b.0]-T[51]</w:t>
            </w:r>
          </w:p>
        </w:tc>
        <w:tc>
          <w:tcPr>
            <w:tcW w:w="3544" w:type="dxa"/>
            <w:tcBorders>
              <w:top w:val="nil"/>
              <w:left w:val="nil"/>
              <w:bottom w:val="single" w:sz="4" w:space="0" w:color="auto"/>
              <w:right w:val="single" w:sz="4" w:space="0" w:color="auto"/>
            </w:tcBorders>
            <w:shd w:val="clear" w:color="auto" w:fill="C6EFCE"/>
            <w:noWrap/>
          </w:tcPr>
          <w:p w14:paraId="045F045A" w14:textId="391C440D" w:rsidR="00137D7A" w:rsidRPr="00137D7A" w:rsidRDefault="003A0DB0"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3A0DB0">
              <w:rPr>
                <w:rFonts w:ascii="Times New Roman" w:eastAsia="Aptos" w:hAnsi="Times New Roman" w:cs="Times New Roman"/>
                <w:noProof/>
                <w:color w:val="000000"/>
                <w:kern w:val="2"/>
                <w:sz w:val="22"/>
                <w:szCs w:val="22"/>
                <w:lang w:val="en-IE" w:eastAsia="en-US"/>
                <w14:ligatures w14:val="standardContextual"/>
              </w:rPr>
              <w:t>Delivery of digitised eco-islands for separate collection of waste</w:t>
            </w:r>
          </w:p>
        </w:tc>
        <w:tc>
          <w:tcPr>
            <w:tcW w:w="1230" w:type="dxa"/>
            <w:tcBorders>
              <w:top w:val="nil"/>
              <w:left w:val="nil"/>
              <w:bottom w:val="single" w:sz="4" w:space="0" w:color="auto"/>
              <w:right w:val="single" w:sz="4" w:space="0" w:color="auto"/>
            </w:tcBorders>
            <w:shd w:val="clear" w:color="auto" w:fill="C6EFCE"/>
            <w:noWrap/>
          </w:tcPr>
          <w:p w14:paraId="4C36B36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nil"/>
              <w:left w:val="nil"/>
              <w:bottom w:val="single" w:sz="4" w:space="0" w:color="auto"/>
              <w:right w:val="single" w:sz="4" w:space="0" w:color="auto"/>
            </w:tcBorders>
            <w:shd w:val="clear" w:color="auto" w:fill="C6EFCE"/>
            <w:noWrap/>
          </w:tcPr>
          <w:p w14:paraId="698C8367" w14:textId="0C6B6EA8"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Acceptance certificates for the</w:t>
            </w:r>
            <w:r w:rsidR="00D23D91">
              <w:rPr>
                <w:rFonts w:ascii="Times New Roman" w:eastAsia="Aptos" w:hAnsi="Times New Roman" w:cs="Times New Roman"/>
                <w:noProof/>
                <w:color w:val="000000"/>
                <w:kern w:val="2"/>
                <w:sz w:val="22"/>
                <w:szCs w:val="22"/>
                <w:lang w:val="en-IE" w:eastAsia="en-US"/>
                <w14:ligatures w14:val="standardContextual"/>
              </w:rPr>
              <w:t xml:space="preserve"> </w:t>
            </w:r>
            <w:r w:rsidRPr="00137D7A">
              <w:rPr>
                <w:rFonts w:ascii="Times New Roman" w:eastAsia="Aptos" w:hAnsi="Times New Roman" w:cs="Times New Roman"/>
                <w:noProof/>
                <w:color w:val="000000"/>
                <w:kern w:val="2"/>
                <w:sz w:val="22"/>
                <w:szCs w:val="22"/>
                <w:lang w:val="en-IE" w:eastAsia="en-US"/>
                <w14:ligatures w14:val="standardContextual"/>
              </w:rPr>
              <w:t>delivery of digitised eco-islands</w:t>
            </w:r>
          </w:p>
        </w:tc>
      </w:tr>
      <w:tr w:rsidR="00137D7A" w:rsidRPr="00137D7A" w14:paraId="203B249F"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14869A0"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RO-C[C3]-I[I1c.0]-T[53]</w:t>
            </w:r>
          </w:p>
        </w:tc>
        <w:tc>
          <w:tcPr>
            <w:tcW w:w="3544" w:type="dxa"/>
            <w:tcBorders>
              <w:top w:val="nil"/>
              <w:left w:val="nil"/>
              <w:bottom w:val="single" w:sz="4" w:space="0" w:color="auto"/>
              <w:right w:val="single" w:sz="4" w:space="0" w:color="auto"/>
            </w:tcBorders>
            <w:shd w:val="clear" w:color="auto" w:fill="C6EFCE"/>
            <w:noWrap/>
          </w:tcPr>
          <w:p w14:paraId="5208D286" w14:textId="3BD9F212" w:rsidR="00137D7A" w:rsidRPr="00137D7A" w:rsidRDefault="00C5772C"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C5772C">
              <w:rPr>
                <w:rFonts w:ascii="Times New Roman" w:eastAsia="Aptos" w:hAnsi="Times New Roman" w:cs="Times New Roman"/>
                <w:noProof/>
                <w:color w:val="000000"/>
                <w:kern w:val="2"/>
                <w:sz w:val="22"/>
                <w:szCs w:val="22"/>
                <w:lang w:val="en-IE" w:eastAsia="en-US"/>
                <w14:ligatures w14:val="standardContextual"/>
              </w:rPr>
              <w:t>Construction of integrated centres for separate collection</w:t>
            </w:r>
          </w:p>
        </w:tc>
        <w:tc>
          <w:tcPr>
            <w:tcW w:w="1230" w:type="dxa"/>
            <w:tcBorders>
              <w:top w:val="nil"/>
              <w:left w:val="nil"/>
              <w:bottom w:val="single" w:sz="4" w:space="0" w:color="auto"/>
              <w:right w:val="single" w:sz="4" w:space="0" w:color="auto"/>
            </w:tcBorders>
            <w:shd w:val="clear" w:color="auto" w:fill="C6EFCE"/>
            <w:noWrap/>
          </w:tcPr>
          <w:p w14:paraId="37814FC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nil"/>
              <w:left w:val="nil"/>
              <w:bottom w:val="single" w:sz="4" w:space="0" w:color="auto"/>
              <w:right w:val="single" w:sz="4" w:space="0" w:color="auto"/>
            </w:tcBorders>
            <w:shd w:val="clear" w:color="auto" w:fill="C6EFCE"/>
            <w:noWrap/>
          </w:tcPr>
          <w:p w14:paraId="76DD3B5C"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Integrated waste collection centres constructed</w:t>
            </w:r>
          </w:p>
        </w:tc>
      </w:tr>
      <w:tr w:rsidR="00137D7A" w:rsidRPr="00137D7A" w14:paraId="4BDD191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7F8A654"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RO-C[C6]-R[R4.0]-M[126]</w:t>
            </w:r>
          </w:p>
        </w:tc>
        <w:tc>
          <w:tcPr>
            <w:tcW w:w="3544" w:type="dxa"/>
            <w:tcBorders>
              <w:top w:val="nil"/>
              <w:left w:val="nil"/>
              <w:bottom w:val="single" w:sz="4" w:space="0" w:color="auto"/>
              <w:right w:val="single" w:sz="4" w:space="0" w:color="auto"/>
            </w:tcBorders>
            <w:shd w:val="clear" w:color="auto" w:fill="C6EFCE"/>
            <w:noWrap/>
          </w:tcPr>
          <w:p w14:paraId="3911B1B1"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Establishing a favourable legislative and regulatory framework for renewable hydrogen</w:t>
            </w:r>
          </w:p>
        </w:tc>
        <w:tc>
          <w:tcPr>
            <w:tcW w:w="1230" w:type="dxa"/>
            <w:tcBorders>
              <w:top w:val="nil"/>
              <w:left w:val="nil"/>
              <w:bottom w:val="single" w:sz="4" w:space="0" w:color="auto"/>
              <w:right w:val="single" w:sz="4" w:space="0" w:color="auto"/>
            </w:tcBorders>
            <w:shd w:val="clear" w:color="auto" w:fill="C6EFCE"/>
            <w:noWrap/>
          </w:tcPr>
          <w:p w14:paraId="76DAB09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47" w:type="dxa"/>
            <w:tcBorders>
              <w:top w:val="nil"/>
              <w:left w:val="nil"/>
              <w:bottom w:val="single" w:sz="4" w:space="0" w:color="auto"/>
              <w:right w:val="single" w:sz="4" w:space="0" w:color="auto"/>
            </w:tcBorders>
            <w:shd w:val="clear" w:color="auto" w:fill="C6EFCE"/>
            <w:noWrap/>
          </w:tcPr>
          <w:p w14:paraId="3EB549CD" w14:textId="33285DF4"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Entry into force of the amendments to the legislative framework</w:t>
            </w:r>
          </w:p>
        </w:tc>
      </w:tr>
      <w:tr w:rsidR="00137D7A" w:rsidRPr="00137D7A" w14:paraId="20200EA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0C53FBC"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RO-C[C7]-I[I18.0]-T[188]</w:t>
            </w:r>
          </w:p>
        </w:tc>
        <w:tc>
          <w:tcPr>
            <w:tcW w:w="3544" w:type="dxa"/>
            <w:tcBorders>
              <w:top w:val="nil"/>
              <w:left w:val="nil"/>
              <w:bottom w:val="single" w:sz="4" w:space="0" w:color="auto"/>
              <w:right w:val="single" w:sz="4" w:space="0" w:color="auto"/>
            </w:tcBorders>
            <w:shd w:val="clear" w:color="auto" w:fill="C6EFCE"/>
            <w:noWrap/>
          </w:tcPr>
          <w:p w14:paraId="3A2AE82A"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Digital transformation and Robotic Process Automation in public administration</w:t>
            </w:r>
          </w:p>
        </w:tc>
        <w:tc>
          <w:tcPr>
            <w:tcW w:w="1230" w:type="dxa"/>
            <w:tcBorders>
              <w:top w:val="nil"/>
              <w:left w:val="nil"/>
              <w:bottom w:val="single" w:sz="4" w:space="0" w:color="auto"/>
              <w:right w:val="single" w:sz="4" w:space="0" w:color="auto"/>
            </w:tcBorders>
            <w:shd w:val="clear" w:color="auto" w:fill="C6EFCE"/>
            <w:noWrap/>
          </w:tcPr>
          <w:p w14:paraId="1B19571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nil"/>
              <w:left w:val="nil"/>
              <w:bottom w:val="single" w:sz="4" w:space="0" w:color="auto"/>
              <w:right w:val="single" w:sz="4" w:space="0" w:color="auto"/>
            </w:tcBorders>
            <w:shd w:val="clear" w:color="auto" w:fill="C6EFCE"/>
            <w:noWrap/>
          </w:tcPr>
          <w:p w14:paraId="362E0FC7"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Robotic Process Automation (RPA) and promotion of Artificial Intelligence (AI) in public administration</w:t>
            </w:r>
          </w:p>
        </w:tc>
      </w:tr>
      <w:tr w:rsidR="00137D7A" w:rsidRPr="00137D7A" w14:paraId="1790ADA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2CC979E"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RO-C[C9]-R[R1.0]-T[244]</w:t>
            </w:r>
          </w:p>
        </w:tc>
        <w:tc>
          <w:tcPr>
            <w:tcW w:w="3544" w:type="dxa"/>
            <w:tcBorders>
              <w:top w:val="nil"/>
              <w:left w:val="nil"/>
              <w:bottom w:val="single" w:sz="4" w:space="0" w:color="auto"/>
              <w:right w:val="single" w:sz="4" w:space="0" w:color="auto"/>
            </w:tcBorders>
            <w:shd w:val="clear" w:color="auto" w:fill="C6EFCE"/>
            <w:noWrap/>
          </w:tcPr>
          <w:p w14:paraId="5DE17F62"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Legislative transparency, de-bureaucratisation and procedural simplification for business </w:t>
            </w:r>
          </w:p>
        </w:tc>
        <w:tc>
          <w:tcPr>
            <w:tcW w:w="1230" w:type="dxa"/>
            <w:tcBorders>
              <w:top w:val="nil"/>
              <w:left w:val="nil"/>
              <w:bottom w:val="single" w:sz="4" w:space="0" w:color="auto"/>
              <w:right w:val="single" w:sz="4" w:space="0" w:color="auto"/>
            </w:tcBorders>
            <w:shd w:val="clear" w:color="auto" w:fill="C6EFCE"/>
            <w:noWrap/>
          </w:tcPr>
          <w:p w14:paraId="2EE0BD8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nil"/>
              <w:left w:val="nil"/>
              <w:bottom w:val="single" w:sz="4" w:space="0" w:color="auto"/>
              <w:right w:val="single" w:sz="4" w:space="0" w:color="auto"/>
            </w:tcBorders>
            <w:shd w:val="clear" w:color="auto" w:fill="C6EFCE"/>
            <w:noWrap/>
          </w:tcPr>
          <w:p w14:paraId="7ED39F3C" w14:textId="2EA92312"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Reducing the time </w:t>
            </w:r>
            <w:r w:rsidR="009D4D43">
              <w:rPr>
                <w:rFonts w:ascii="Times New Roman" w:eastAsia="Aptos" w:hAnsi="Times New Roman" w:cs="Times New Roman"/>
                <w:noProof/>
                <w:color w:val="000000"/>
                <w:kern w:val="2"/>
                <w:sz w:val="22"/>
                <w:szCs w:val="22"/>
                <w:lang w:val="en-IE" w:eastAsia="en-US"/>
                <w14:ligatures w14:val="standardContextual"/>
              </w:rPr>
              <w:t>to start a business</w:t>
            </w:r>
          </w:p>
        </w:tc>
      </w:tr>
      <w:tr w:rsidR="00137D7A" w:rsidRPr="00137D7A" w14:paraId="18427C4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463501D"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RO-C[C9]-R[R1.0]-T[245]</w:t>
            </w:r>
          </w:p>
        </w:tc>
        <w:tc>
          <w:tcPr>
            <w:tcW w:w="3544" w:type="dxa"/>
            <w:tcBorders>
              <w:top w:val="nil"/>
              <w:left w:val="nil"/>
              <w:bottom w:val="single" w:sz="4" w:space="0" w:color="auto"/>
              <w:right w:val="single" w:sz="4" w:space="0" w:color="auto"/>
            </w:tcBorders>
            <w:shd w:val="clear" w:color="auto" w:fill="C6EFCE"/>
            <w:noWrap/>
          </w:tcPr>
          <w:p w14:paraId="11053DF5"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Legislative transparency, de-bureaucratisation and procedural simplification for business </w:t>
            </w:r>
          </w:p>
        </w:tc>
        <w:tc>
          <w:tcPr>
            <w:tcW w:w="1230" w:type="dxa"/>
            <w:tcBorders>
              <w:top w:val="nil"/>
              <w:left w:val="nil"/>
              <w:bottom w:val="single" w:sz="4" w:space="0" w:color="auto"/>
              <w:right w:val="single" w:sz="4" w:space="0" w:color="auto"/>
            </w:tcBorders>
            <w:shd w:val="clear" w:color="auto" w:fill="C6EFCE"/>
            <w:noWrap/>
          </w:tcPr>
          <w:p w14:paraId="1126962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nil"/>
              <w:left w:val="nil"/>
              <w:bottom w:val="single" w:sz="4" w:space="0" w:color="auto"/>
              <w:right w:val="single" w:sz="4" w:space="0" w:color="auto"/>
            </w:tcBorders>
            <w:shd w:val="clear" w:color="auto" w:fill="C6EFCE"/>
            <w:noWrap/>
          </w:tcPr>
          <w:p w14:paraId="105C22B4"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US"/>
                <w14:ligatures w14:val="standardContextual"/>
              </w:rPr>
              <w:t>Legislative acts/modification related to SMEs for which the test was applied</w:t>
            </w:r>
          </w:p>
          <w:p w14:paraId="39AC0B83"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p>
        </w:tc>
      </w:tr>
      <w:tr w:rsidR="00137D7A" w:rsidRPr="00137D7A" w14:paraId="5B909D8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9A77C66"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RO-C[C9]-I[I2.3]-T[255]</w:t>
            </w:r>
          </w:p>
        </w:tc>
        <w:tc>
          <w:tcPr>
            <w:tcW w:w="3544" w:type="dxa"/>
            <w:tcBorders>
              <w:top w:val="nil"/>
              <w:left w:val="nil"/>
              <w:bottom w:val="single" w:sz="4" w:space="0" w:color="auto"/>
              <w:right w:val="single" w:sz="4" w:space="0" w:color="auto"/>
            </w:tcBorders>
            <w:shd w:val="clear" w:color="auto" w:fill="C6EFCE"/>
            <w:noWrap/>
          </w:tcPr>
          <w:p w14:paraId="395C3A8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Financial instruments for the private sector - Recovery Venture Capital Fund</w:t>
            </w:r>
          </w:p>
        </w:tc>
        <w:tc>
          <w:tcPr>
            <w:tcW w:w="1230" w:type="dxa"/>
            <w:tcBorders>
              <w:top w:val="nil"/>
              <w:left w:val="nil"/>
              <w:bottom w:val="single" w:sz="4" w:space="0" w:color="auto"/>
              <w:right w:val="single" w:sz="4" w:space="0" w:color="auto"/>
            </w:tcBorders>
            <w:shd w:val="clear" w:color="auto" w:fill="C6EFCE"/>
            <w:noWrap/>
          </w:tcPr>
          <w:p w14:paraId="223D64D2"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nil"/>
              <w:left w:val="nil"/>
              <w:bottom w:val="single" w:sz="4" w:space="0" w:color="auto"/>
              <w:right w:val="single" w:sz="4" w:space="0" w:color="auto"/>
            </w:tcBorders>
            <w:shd w:val="clear" w:color="auto" w:fill="C6EFCE"/>
            <w:noWrap/>
          </w:tcPr>
          <w:p w14:paraId="28518CBB"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Finance or investment operations amounting to 100% of the total amount of finance or investment targeted approved by the Investment Committee</w:t>
            </w:r>
          </w:p>
        </w:tc>
      </w:tr>
      <w:tr w:rsidR="00137D7A" w:rsidRPr="00137D7A" w14:paraId="11719D1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5F720D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RO-C[C9]-I[I2.4]-T[258]</w:t>
            </w:r>
          </w:p>
        </w:tc>
        <w:tc>
          <w:tcPr>
            <w:tcW w:w="3544" w:type="dxa"/>
            <w:tcBorders>
              <w:top w:val="nil"/>
              <w:left w:val="nil"/>
              <w:bottom w:val="single" w:sz="4" w:space="0" w:color="auto"/>
              <w:right w:val="single" w:sz="4" w:space="0" w:color="auto"/>
            </w:tcBorders>
            <w:shd w:val="clear" w:color="auto" w:fill="C6EFCE"/>
            <w:noWrap/>
          </w:tcPr>
          <w:p w14:paraId="04B40D83" w14:textId="29B343AE"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Financial instruments for the private sector - Fund for digitisation, climate action, and other areas of interest</w:t>
            </w:r>
          </w:p>
        </w:tc>
        <w:tc>
          <w:tcPr>
            <w:tcW w:w="1230" w:type="dxa"/>
            <w:tcBorders>
              <w:top w:val="nil"/>
              <w:left w:val="nil"/>
              <w:bottom w:val="single" w:sz="4" w:space="0" w:color="auto"/>
              <w:right w:val="single" w:sz="4" w:space="0" w:color="auto"/>
            </w:tcBorders>
            <w:shd w:val="clear" w:color="auto" w:fill="C6EFCE"/>
            <w:noWrap/>
          </w:tcPr>
          <w:p w14:paraId="0A77048E"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nil"/>
              <w:left w:val="nil"/>
              <w:bottom w:val="single" w:sz="4" w:space="0" w:color="auto"/>
              <w:right w:val="single" w:sz="4" w:space="0" w:color="auto"/>
            </w:tcBorders>
            <w:shd w:val="clear" w:color="auto" w:fill="C6EFCE"/>
            <w:noWrap/>
          </w:tcPr>
          <w:p w14:paraId="12F66446"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100% of the targeted beneficiaries supported</w:t>
            </w:r>
          </w:p>
        </w:tc>
      </w:tr>
      <w:tr w:rsidR="00137D7A" w:rsidRPr="00137D7A" w14:paraId="77C4CAB7"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EA5002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RO-C[C9]-I[I2.5]-T[261]</w:t>
            </w:r>
          </w:p>
        </w:tc>
        <w:tc>
          <w:tcPr>
            <w:tcW w:w="3544" w:type="dxa"/>
            <w:tcBorders>
              <w:top w:val="nil"/>
              <w:left w:val="nil"/>
              <w:bottom w:val="single" w:sz="4" w:space="0" w:color="auto"/>
              <w:right w:val="single" w:sz="4" w:space="0" w:color="auto"/>
            </w:tcBorders>
            <w:shd w:val="clear" w:color="auto" w:fill="C6EFCE"/>
            <w:noWrap/>
          </w:tcPr>
          <w:p w14:paraId="2B04C9B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Financial instruments for the private sector - Energy efficiency investment in the residential and buildings sector</w:t>
            </w:r>
          </w:p>
        </w:tc>
        <w:tc>
          <w:tcPr>
            <w:tcW w:w="1230" w:type="dxa"/>
            <w:tcBorders>
              <w:top w:val="nil"/>
              <w:left w:val="nil"/>
              <w:bottom w:val="single" w:sz="4" w:space="0" w:color="auto"/>
              <w:right w:val="single" w:sz="4" w:space="0" w:color="auto"/>
            </w:tcBorders>
            <w:shd w:val="clear" w:color="auto" w:fill="C6EFCE"/>
            <w:noWrap/>
          </w:tcPr>
          <w:p w14:paraId="71BB459F"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nil"/>
              <w:left w:val="nil"/>
              <w:bottom w:val="single" w:sz="4" w:space="0" w:color="auto"/>
              <w:right w:val="single" w:sz="4" w:space="0" w:color="auto"/>
            </w:tcBorders>
            <w:shd w:val="clear" w:color="auto" w:fill="C6EFCE"/>
            <w:noWrap/>
          </w:tcPr>
          <w:p w14:paraId="386AE44A"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Finance or investment operations amounting to 100% of the total amount of finance or investment targeted, approved by the InvestEU Investment Committee.</w:t>
            </w:r>
          </w:p>
        </w:tc>
      </w:tr>
      <w:tr w:rsidR="00137D7A" w:rsidRPr="00137D7A" w14:paraId="144F38F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3A1B48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RO-C[C9]-I[I4.0]-T[267]</w:t>
            </w:r>
          </w:p>
        </w:tc>
        <w:tc>
          <w:tcPr>
            <w:tcW w:w="3544" w:type="dxa"/>
            <w:tcBorders>
              <w:top w:val="nil"/>
              <w:left w:val="nil"/>
              <w:bottom w:val="single" w:sz="4" w:space="0" w:color="auto"/>
              <w:right w:val="single" w:sz="4" w:space="0" w:color="auto"/>
            </w:tcBorders>
            <w:shd w:val="clear" w:color="auto" w:fill="C6EFCE"/>
            <w:noWrap/>
          </w:tcPr>
          <w:p w14:paraId="7D97AE8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Cross border and multi-country projects - Low Power Processors and Semiconductor Chips</w:t>
            </w:r>
          </w:p>
        </w:tc>
        <w:tc>
          <w:tcPr>
            <w:tcW w:w="1230" w:type="dxa"/>
            <w:tcBorders>
              <w:top w:val="nil"/>
              <w:left w:val="nil"/>
              <w:bottom w:val="single" w:sz="4" w:space="0" w:color="auto"/>
              <w:right w:val="single" w:sz="4" w:space="0" w:color="auto"/>
            </w:tcBorders>
            <w:shd w:val="clear" w:color="auto" w:fill="C6EFCE"/>
            <w:noWrap/>
          </w:tcPr>
          <w:p w14:paraId="3F0F6B2D"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nil"/>
              <w:left w:val="nil"/>
              <w:bottom w:val="single" w:sz="4" w:space="0" w:color="auto"/>
              <w:right w:val="single" w:sz="4" w:space="0" w:color="auto"/>
            </w:tcBorders>
            <w:shd w:val="clear" w:color="auto" w:fill="C6EFCE"/>
            <w:noWrap/>
          </w:tcPr>
          <w:p w14:paraId="4D8F7A2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Entities selected for participation or association in the project</w:t>
            </w:r>
          </w:p>
        </w:tc>
      </w:tr>
      <w:tr w:rsidR="00137D7A" w:rsidRPr="00137D7A" w14:paraId="36DD91F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E481D30"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RO-C[C9]-R[R4.0]-M[276]</w:t>
            </w:r>
          </w:p>
        </w:tc>
        <w:tc>
          <w:tcPr>
            <w:tcW w:w="3544" w:type="dxa"/>
            <w:tcBorders>
              <w:top w:val="nil"/>
              <w:left w:val="nil"/>
              <w:bottom w:val="single" w:sz="4" w:space="0" w:color="auto"/>
              <w:right w:val="single" w:sz="4" w:space="0" w:color="auto"/>
            </w:tcBorders>
            <w:shd w:val="clear" w:color="auto" w:fill="C6EFCE"/>
            <w:noWrap/>
          </w:tcPr>
          <w:p w14:paraId="6F9497A5"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Increased cooperation between business and research</w:t>
            </w:r>
          </w:p>
        </w:tc>
        <w:tc>
          <w:tcPr>
            <w:tcW w:w="1230" w:type="dxa"/>
            <w:tcBorders>
              <w:top w:val="nil"/>
              <w:left w:val="nil"/>
              <w:bottom w:val="single" w:sz="4" w:space="0" w:color="auto"/>
              <w:right w:val="single" w:sz="4" w:space="0" w:color="auto"/>
            </w:tcBorders>
            <w:shd w:val="clear" w:color="auto" w:fill="C6EFCE"/>
            <w:noWrap/>
          </w:tcPr>
          <w:p w14:paraId="328A93A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w:t>
            </w:r>
          </w:p>
        </w:tc>
        <w:tc>
          <w:tcPr>
            <w:tcW w:w="3447" w:type="dxa"/>
            <w:tcBorders>
              <w:top w:val="nil"/>
              <w:left w:val="nil"/>
              <w:bottom w:val="single" w:sz="4" w:space="0" w:color="auto"/>
              <w:right w:val="single" w:sz="4" w:space="0" w:color="auto"/>
            </w:tcBorders>
            <w:shd w:val="clear" w:color="auto" w:fill="C6EFCE"/>
            <w:noWrap/>
          </w:tcPr>
          <w:p w14:paraId="094F00C7"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Entry into force of legal act(s) for a favourable environment for public and private investment in research, development and innovation</w:t>
            </w:r>
          </w:p>
        </w:tc>
      </w:tr>
      <w:tr w:rsidR="00137D7A" w:rsidRPr="00137D7A" w14:paraId="60B0122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D363328"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RO-C[C9]-R[R4.0]-T[277]</w:t>
            </w:r>
          </w:p>
        </w:tc>
        <w:tc>
          <w:tcPr>
            <w:tcW w:w="3544" w:type="dxa"/>
            <w:tcBorders>
              <w:top w:val="nil"/>
              <w:left w:val="nil"/>
              <w:bottom w:val="single" w:sz="4" w:space="0" w:color="auto"/>
              <w:right w:val="single" w:sz="4" w:space="0" w:color="auto"/>
            </w:tcBorders>
            <w:shd w:val="clear" w:color="auto" w:fill="C6EFCE"/>
            <w:noWrap/>
          </w:tcPr>
          <w:p w14:paraId="535571BA"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Increased cooperation between business and research</w:t>
            </w:r>
          </w:p>
        </w:tc>
        <w:tc>
          <w:tcPr>
            <w:tcW w:w="1230" w:type="dxa"/>
            <w:tcBorders>
              <w:top w:val="nil"/>
              <w:left w:val="nil"/>
              <w:bottom w:val="single" w:sz="4" w:space="0" w:color="auto"/>
              <w:right w:val="single" w:sz="4" w:space="0" w:color="auto"/>
            </w:tcBorders>
            <w:shd w:val="clear" w:color="auto" w:fill="C6EFCE"/>
            <w:noWrap/>
          </w:tcPr>
          <w:p w14:paraId="0FF8D18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nil"/>
              <w:left w:val="nil"/>
              <w:bottom w:val="single" w:sz="4" w:space="0" w:color="auto"/>
              <w:right w:val="single" w:sz="4" w:space="0" w:color="auto"/>
            </w:tcBorders>
            <w:shd w:val="clear" w:color="auto" w:fill="C6EFCE"/>
            <w:noWrap/>
          </w:tcPr>
          <w:p w14:paraId="5789E8AD"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27% of publicly funded RDI projects have at least one business entity involved as a partner</w:t>
            </w:r>
          </w:p>
        </w:tc>
      </w:tr>
      <w:tr w:rsidR="00137D7A" w:rsidRPr="00137D7A" w14:paraId="59289361"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DB481A9"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RO-C[C10]-R[R5.0]-M[316]</w:t>
            </w:r>
          </w:p>
        </w:tc>
        <w:tc>
          <w:tcPr>
            <w:tcW w:w="3544" w:type="dxa"/>
            <w:tcBorders>
              <w:top w:val="nil"/>
              <w:left w:val="nil"/>
              <w:bottom w:val="single" w:sz="4" w:space="0" w:color="auto"/>
              <w:right w:val="single" w:sz="4" w:space="0" w:color="auto"/>
            </w:tcBorders>
            <w:shd w:val="clear" w:color="auto" w:fill="C6EFCE"/>
            <w:noWrap/>
          </w:tcPr>
          <w:p w14:paraId="70DF0C07"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Development of the planning system - Code of Spatial Planning, Urbanism and Construction</w:t>
            </w:r>
          </w:p>
        </w:tc>
        <w:tc>
          <w:tcPr>
            <w:tcW w:w="1230" w:type="dxa"/>
            <w:tcBorders>
              <w:top w:val="nil"/>
              <w:left w:val="nil"/>
              <w:bottom w:val="single" w:sz="4" w:space="0" w:color="auto"/>
              <w:right w:val="single" w:sz="4" w:space="0" w:color="auto"/>
            </w:tcBorders>
            <w:shd w:val="clear" w:color="auto" w:fill="C6EFCE"/>
            <w:noWrap/>
          </w:tcPr>
          <w:p w14:paraId="37DD6E5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47" w:type="dxa"/>
            <w:tcBorders>
              <w:top w:val="nil"/>
              <w:left w:val="nil"/>
              <w:bottom w:val="single" w:sz="4" w:space="0" w:color="auto"/>
              <w:right w:val="single" w:sz="4" w:space="0" w:color="auto"/>
            </w:tcBorders>
            <w:shd w:val="clear" w:color="auto" w:fill="C6EFCE"/>
            <w:noWrap/>
          </w:tcPr>
          <w:p w14:paraId="44DFCF82" w14:textId="4FCBB899" w:rsidR="00137D7A" w:rsidRPr="00137D7A" w:rsidRDefault="00413445"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413445">
              <w:rPr>
                <w:rFonts w:ascii="Times New Roman" w:eastAsia="Aptos" w:hAnsi="Times New Roman" w:cs="Times New Roman"/>
                <w:noProof/>
                <w:kern w:val="2"/>
                <w:sz w:val="22"/>
                <w:szCs w:val="22"/>
                <w:lang w:val="en-IE" w:eastAsia="en-US"/>
                <w14:ligatures w14:val="standardContextual"/>
              </w:rPr>
              <w:t>Digital data platform (as part of the Territorial Observa-tory)  </w:t>
            </w:r>
          </w:p>
        </w:tc>
      </w:tr>
      <w:tr w:rsidR="00137D7A" w:rsidRPr="00137D7A" w14:paraId="2CADDF9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4AAD253"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RO-C[C16]-I[I8.0]-T[535]</w:t>
            </w:r>
          </w:p>
        </w:tc>
        <w:tc>
          <w:tcPr>
            <w:tcW w:w="3544" w:type="dxa"/>
            <w:tcBorders>
              <w:top w:val="nil"/>
              <w:left w:val="nil"/>
              <w:bottom w:val="single" w:sz="4" w:space="0" w:color="auto"/>
              <w:right w:val="single" w:sz="4" w:space="0" w:color="auto"/>
            </w:tcBorders>
            <w:shd w:val="clear" w:color="auto" w:fill="C6EFCE"/>
            <w:noWrap/>
          </w:tcPr>
          <w:p w14:paraId="285364B7" w14:textId="1AEDB55E"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Contracts for Differenceallocation</w:t>
            </w:r>
          </w:p>
        </w:tc>
        <w:tc>
          <w:tcPr>
            <w:tcW w:w="1230" w:type="dxa"/>
            <w:tcBorders>
              <w:top w:val="nil"/>
              <w:left w:val="nil"/>
              <w:bottom w:val="single" w:sz="4" w:space="0" w:color="auto"/>
              <w:right w:val="single" w:sz="4" w:space="0" w:color="auto"/>
            </w:tcBorders>
            <w:shd w:val="clear" w:color="auto" w:fill="C6EFCE"/>
            <w:noWrap/>
          </w:tcPr>
          <w:p w14:paraId="224B7A8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47" w:type="dxa"/>
            <w:tcBorders>
              <w:top w:val="nil"/>
              <w:left w:val="nil"/>
              <w:bottom w:val="single" w:sz="4" w:space="0" w:color="auto"/>
              <w:right w:val="single" w:sz="4" w:space="0" w:color="auto"/>
            </w:tcBorders>
            <w:shd w:val="clear" w:color="auto" w:fill="C6EFCE"/>
            <w:noWrap/>
          </w:tcPr>
          <w:p w14:paraId="44A9444C"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Signature of CfDs for renewable electricity generation projects</w:t>
            </w:r>
          </w:p>
        </w:tc>
      </w:tr>
      <w:tr w:rsidR="00137D7A" w:rsidRPr="00137D7A" w14:paraId="77CCBCCF"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2568793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p>
        </w:tc>
        <w:tc>
          <w:tcPr>
            <w:tcW w:w="3544" w:type="dxa"/>
            <w:tcBorders>
              <w:top w:val="single" w:sz="4" w:space="0" w:color="auto"/>
              <w:left w:val="nil"/>
              <w:bottom w:val="single" w:sz="4" w:space="0" w:color="auto"/>
              <w:right w:val="single" w:sz="4" w:space="0" w:color="auto"/>
            </w:tcBorders>
            <w:shd w:val="clear" w:color="auto" w:fill="C6EFCE"/>
            <w:noWrap/>
          </w:tcPr>
          <w:p w14:paraId="33FF953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p>
        </w:tc>
        <w:tc>
          <w:tcPr>
            <w:tcW w:w="1230" w:type="dxa"/>
            <w:tcBorders>
              <w:top w:val="single" w:sz="4" w:space="0" w:color="auto"/>
              <w:left w:val="nil"/>
              <w:bottom w:val="single" w:sz="4" w:space="0" w:color="auto"/>
              <w:right w:val="single" w:sz="4" w:space="0" w:color="auto"/>
            </w:tcBorders>
            <w:shd w:val="clear" w:color="auto" w:fill="C6EFCE"/>
            <w:noWrap/>
          </w:tcPr>
          <w:p w14:paraId="6F0B3A9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Instalment Amount</w:t>
            </w:r>
          </w:p>
        </w:tc>
        <w:tc>
          <w:tcPr>
            <w:tcW w:w="3447" w:type="dxa"/>
            <w:tcBorders>
              <w:top w:val="single" w:sz="4" w:space="0" w:color="auto"/>
              <w:left w:val="nil"/>
              <w:bottom w:val="single" w:sz="4" w:space="0" w:color="auto"/>
              <w:right w:val="single" w:sz="4" w:space="0" w:color="auto"/>
            </w:tcBorders>
            <w:shd w:val="clear" w:color="auto" w:fill="C6EFCE"/>
            <w:noWrap/>
            <w:vAlign w:val="center"/>
          </w:tcPr>
          <w:p w14:paraId="1CD378C4" w14:textId="77777777" w:rsidR="00137D7A" w:rsidRPr="00137D7A" w:rsidRDefault="00137D7A" w:rsidP="00137D7A">
            <w:pPr>
              <w:spacing w:after="0" w:line="259" w:lineRule="auto"/>
              <w:jc w:val="right"/>
              <w:rPr>
                <w:rFonts w:ascii="Times New Roman" w:eastAsia="Times New Roman" w:hAnsi="Times New Roman" w:cs="Times New Roman"/>
                <w:noProof/>
                <w:kern w:val="2"/>
                <w:sz w:val="22"/>
                <w:szCs w:val="22"/>
                <w:lang w:val="en-IE" w:eastAsia="en-GB"/>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EUR 744 457 542</w:t>
            </w:r>
          </w:p>
        </w:tc>
      </w:tr>
    </w:tbl>
    <w:p w14:paraId="04744797" w14:textId="77777777" w:rsidR="00137D7A" w:rsidRPr="00137D7A"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bCs/>
          <w:i/>
          <w:noProof/>
          <w:lang w:val="en-IE" w:eastAsia="en-US"/>
        </w:rPr>
      </w:pPr>
      <w:r w:rsidRPr="00137D7A">
        <w:rPr>
          <w:rFonts w:ascii="Times New Roman" w:eastAsia="Times New Roman" w:hAnsi="Times New Roman" w:cs="Times New Roman"/>
          <w:bCs/>
          <w:i/>
          <w:noProof/>
          <w:lang w:val="en-IE" w:eastAsia="en-US"/>
        </w:rPr>
        <w:t xml:space="preserve">2.2.5 Fifth Instalment (loan support): </w:t>
      </w:r>
    </w:p>
    <w:tbl>
      <w:tblPr>
        <w:tblW w:w="9634" w:type="dxa"/>
        <w:tblInd w:w="113" w:type="dxa"/>
        <w:tblLook w:val="04A0" w:firstRow="1" w:lastRow="0" w:firstColumn="1" w:lastColumn="0" w:noHBand="0" w:noVBand="1"/>
      </w:tblPr>
      <w:tblGrid>
        <w:gridCol w:w="1413"/>
        <w:gridCol w:w="3544"/>
        <w:gridCol w:w="1230"/>
        <w:gridCol w:w="3447"/>
      </w:tblGrid>
      <w:tr w:rsidR="00137D7A" w:rsidRPr="00137D7A" w14:paraId="06CFF77B" w14:textId="77777777" w:rsidTr="0061489A">
        <w:trPr>
          <w:trHeight w:val="906"/>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BEB1F07"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Sequential Number</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125212"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 xml:space="preserve">Related Measure </w:t>
            </w:r>
          </w:p>
          <w:p w14:paraId="07E34034"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(Reform or Investment)</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422BF31"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Milestone / Target</w:t>
            </w:r>
          </w:p>
        </w:tc>
        <w:tc>
          <w:tcPr>
            <w:tcW w:w="344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40D8C66"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lang w:val="en-IE" w:eastAsia="en-GB"/>
                <w14:ligatures w14:val="standardContextual"/>
              </w:rPr>
            </w:pPr>
            <w:r w:rsidRPr="00137D7A">
              <w:rPr>
                <w:rFonts w:ascii="Times New Roman" w:eastAsia="Times New Roman" w:hAnsi="Times New Roman" w:cs="Times New Roman"/>
                <w:b/>
                <w:noProof/>
                <w:kern w:val="2"/>
                <w:sz w:val="22"/>
                <w:szCs w:val="22"/>
                <w:lang w:val="en-IE" w:eastAsia="en-GB"/>
                <w14:ligatures w14:val="standardContextual"/>
              </w:rPr>
              <w:t>Name</w:t>
            </w:r>
          </w:p>
        </w:tc>
      </w:tr>
      <w:tr w:rsidR="00137D7A" w:rsidRPr="00137D7A" w14:paraId="2CC20F0E" w14:textId="77777777" w:rsidTr="0061489A">
        <w:trPr>
          <w:trHeight w:val="509"/>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7355D5AA"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3EF2CC80" w14:textId="77777777" w:rsidR="00137D7A" w:rsidRPr="00137D7A"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14:paraId="039C1A2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p>
        </w:tc>
        <w:tc>
          <w:tcPr>
            <w:tcW w:w="3447" w:type="dxa"/>
            <w:vMerge/>
            <w:tcBorders>
              <w:top w:val="single" w:sz="4" w:space="0" w:color="auto"/>
              <w:left w:val="single" w:sz="4" w:space="0" w:color="auto"/>
              <w:bottom w:val="single" w:sz="4" w:space="0" w:color="auto"/>
              <w:right w:val="single" w:sz="4" w:space="0" w:color="auto"/>
            </w:tcBorders>
            <w:vAlign w:val="center"/>
            <w:hideMark/>
          </w:tcPr>
          <w:p w14:paraId="16A400DE"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r>
      <w:tr w:rsidR="00137D7A" w:rsidRPr="00137D7A" w14:paraId="0F222401" w14:textId="77777777" w:rsidTr="0061489A">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2BC84DBA"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RO-C[C1]-I[I1.0]-T[6]</w:t>
            </w:r>
          </w:p>
        </w:tc>
        <w:tc>
          <w:tcPr>
            <w:tcW w:w="3544" w:type="dxa"/>
            <w:tcBorders>
              <w:top w:val="single" w:sz="4" w:space="0" w:color="auto"/>
              <w:left w:val="nil"/>
              <w:bottom w:val="single" w:sz="4" w:space="0" w:color="auto"/>
              <w:right w:val="single" w:sz="4" w:space="0" w:color="auto"/>
            </w:tcBorders>
            <w:shd w:val="clear" w:color="auto" w:fill="C6EFCE"/>
            <w:noWrap/>
          </w:tcPr>
          <w:p w14:paraId="3E5A908B" w14:textId="7D2E570D"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Construction of water </w:t>
            </w:r>
            <w:r w:rsidR="00B96A94" w:rsidRPr="00B96A94">
              <w:rPr>
                <w:rFonts w:ascii="Times New Roman" w:eastAsia="Aptos" w:hAnsi="Times New Roman" w:cs="Times New Roman"/>
                <w:noProof/>
                <w:color w:val="000000"/>
                <w:kern w:val="2"/>
                <w:sz w:val="22"/>
                <w:szCs w:val="22"/>
                <w:lang w:val="en-IE" w:eastAsia="en-US"/>
                <w14:ligatures w14:val="standardContextual"/>
              </w:rPr>
              <w:t>distribution</w:t>
            </w:r>
            <w:r w:rsidR="00B96A94" w:rsidRPr="00B96A94" w:rsidDel="00B96A94">
              <w:rPr>
                <w:rFonts w:ascii="Times New Roman" w:eastAsia="Aptos" w:hAnsi="Times New Roman" w:cs="Times New Roman"/>
                <w:noProof/>
                <w:color w:val="000000"/>
                <w:kern w:val="2"/>
                <w:sz w:val="22"/>
                <w:szCs w:val="22"/>
                <w:lang w:val="en-IE" w:eastAsia="en-US"/>
                <w14:ligatures w14:val="standardContextual"/>
              </w:rPr>
              <w:t xml:space="preserve"> </w:t>
            </w:r>
            <w:r w:rsidRPr="00137D7A">
              <w:rPr>
                <w:rFonts w:ascii="Times New Roman" w:eastAsia="Aptos" w:hAnsi="Times New Roman" w:cs="Times New Roman"/>
                <w:noProof/>
                <w:color w:val="000000"/>
                <w:kern w:val="2"/>
                <w:sz w:val="22"/>
                <w:szCs w:val="22"/>
                <w:lang w:val="en-IE" w:eastAsia="en-US"/>
                <w14:ligatures w14:val="standardContextual"/>
              </w:rPr>
              <w:t xml:space="preserve">and sewerage </w:t>
            </w:r>
            <w:r w:rsidR="00253D96" w:rsidRPr="00253D96">
              <w:rPr>
                <w:rFonts w:ascii="Times New Roman" w:eastAsia="Aptos" w:hAnsi="Times New Roman" w:cs="Times New Roman"/>
                <w:noProof/>
                <w:color w:val="000000"/>
                <w:kern w:val="2"/>
                <w:sz w:val="22"/>
                <w:szCs w:val="22"/>
                <w:lang w:val="en-IE" w:eastAsia="en-US"/>
                <w14:ligatures w14:val="standardContextual"/>
              </w:rPr>
              <w:t>networks</w:t>
            </w:r>
            <w:r w:rsidR="00253D96" w:rsidRPr="00253D96" w:rsidDel="00253D96">
              <w:rPr>
                <w:rFonts w:ascii="Times New Roman" w:eastAsia="Aptos" w:hAnsi="Times New Roman" w:cs="Times New Roman"/>
                <w:noProof/>
                <w:color w:val="000000"/>
                <w:kern w:val="2"/>
                <w:sz w:val="22"/>
                <w:szCs w:val="22"/>
                <w:lang w:val="en-IE" w:eastAsia="en-US"/>
                <w14:ligatures w14:val="standardContextual"/>
              </w:rPr>
              <w:t xml:space="preserve"> </w:t>
            </w:r>
          </w:p>
        </w:tc>
        <w:tc>
          <w:tcPr>
            <w:tcW w:w="1230" w:type="dxa"/>
            <w:tcBorders>
              <w:top w:val="single" w:sz="4" w:space="0" w:color="auto"/>
              <w:left w:val="nil"/>
              <w:bottom w:val="single" w:sz="4" w:space="0" w:color="auto"/>
              <w:right w:val="single" w:sz="4" w:space="0" w:color="auto"/>
            </w:tcBorders>
            <w:shd w:val="clear" w:color="auto" w:fill="C6EFCE"/>
            <w:noWrap/>
          </w:tcPr>
          <w:p w14:paraId="3367F246"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35C62FBD" w14:textId="77777777" w:rsidR="00137D7A" w:rsidRPr="00137D7A" w:rsidRDefault="00137D7A" w:rsidP="00137D7A">
            <w:pPr>
              <w:spacing w:after="0" w:line="259" w:lineRule="auto"/>
              <w:rPr>
                <w:rFonts w:ascii="Times New Roman" w:eastAsia="Times New Roman" w:hAnsi="Times New Roman" w:cs="Times New Roman"/>
                <w:noProof/>
                <w:kern w:val="2"/>
                <w:lang w:val="en-GB"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 Constructed water distribution networks</w:t>
            </w:r>
          </w:p>
        </w:tc>
      </w:tr>
      <w:tr w:rsidR="00137D7A" w:rsidRPr="00137D7A" w14:paraId="6518D3D7"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2BCBF2A3"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RO-C[C1]-I[I1.0]-T[8]</w:t>
            </w:r>
          </w:p>
        </w:tc>
        <w:tc>
          <w:tcPr>
            <w:tcW w:w="3544" w:type="dxa"/>
            <w:tcBorders>
              <w:top w:val="single" w:sz="4" w:space="0" w:color="auto"/>
              <w:left w:val="nil"/>
              <w:bottom w:val="single" w:sz="4" w:space="0" w:color="auto"/>
              <w:right w:val="single" w:sz="4" w:space="0" w:color="auto"/>
            </w:tcBorders>
            <w:shd w:val="clear" w:color="auto" w:fill="C6EFCE"/>
            <w:noWrap/>
          </w:tcPr>
          <w:p w14:paraId="4A281A80" w14:textId="015F4268"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Construction of water </w:t>
            </w:r>
            <w:r w:rsidR="00B96A94" w:rsidRPr="00B96A94">
              <w:rPr>
                <w:rFonts w:ascii="Times New Roman" w:eastAsia="Aptos" w:hAnsi="Times New Roman" w:cs="Times New Roman"/>
                <w:noProof/>
                <w:color w:val="000000"/>
                <w:kern w:val="2"/>
                <w:sz w:val="22"/>
                <w:szCs w:val="22"/>
                <w:lang w:val="en-IE" w:eastAsia="en-US"/>
                <w14:ligatures w14:val="standardContextual"/>
              </w:rPr>
              <w:t>distribution</w:t>
            </w:r>
            <w:r w:rsidR="00B96A94" w:rsidRPr="00B96A94" w:rsidDel="00B96A94">
              <w:rPr>
                <w:rFonts w:ascii="Times New Roman" w:eastAsia="Aptos" w:hAnsi="Times New Roman" w:cs="Times New Roman"/>
                <w:noProof/>
                <w:color w:val="000000"/>
                <w:kern w:val="2"/>
                <w:sz w:val="22"/>
                <w:szCs w:val="22"/>
                <w:lang w:val="en-IE" w:eastAsia="en-US"/>
                <w14:ligatures w14:val="standardContextual"/>
              </w:rPr>
              <w:t xml:space="preserve"> </w:t>
            </w:r>
            <w:r w:rsidRPr="00137D7A">
              <w:rPr>
                <w:rFonts w:ascii="Times New Roman" w:eastAsia="Aptos" w:hAnsi="Times New Roman" w:cs="Times New Roman"/>
                <w:noProof/>
                <w:color w:val="000000"/>
                <w:kern w:val="2"/>
                <w:sz w:val="22"/>
                <w:szCs w:val="22"/>
                <w:lang w:val="en-IE" w:eastAsia="en-US"/>
                <w14:ligatures w14:val="standardContextual"/>
              </w:rPr>
              <w:t xml:space="preserve">and sewerage </w:t>
            </w:r>
            <w:r w:rsidR="00253D96" w:rsidRPr="00253D96">
              <w:rPr>
                <w:rFonts w:ascii="Times New Roman" w:eastAsia="Aptos" w:hAnsi="Times New Roman" w:cs="Times New Roman"/>
                <w:noProof/>
                <w:color w:val="000000"/>
                <w:kern w:val="2"/>
                <w:sz w:val="22"/>
                <w:szCs w:val="22"/>
                <w:lang w:val="en-IE" w:eastAsia="en-US"/>
                <w14:ligatures w14:val="standardContextual"/>
              </w:rPr>
              <w:t>networks</w:t>
            </w:r>
            <w:r w:rsidR="00253D96" w:rsidRPr="00253D96" w:rsidDel="00253D96">
              <w:rPr>
                <w:rFonts w:ascii="Times New Roman" w:eastAsia="Aptos" w:hAnsi="Times New Roman" w:cs="Times New Roman"/>
                <w:noProof/>
                <w:color w:val="000000"/>
                <w:kern w:val="2"/>
                <w:sz w:val="22"/>
                <w:szCs w:val="22"/>
                <w:lang w:val="en-IE" w:eastAsia="en-US"/>
                <w14:ligatures w14:val="standardContextual"/>
              </w:rPr>
              <w:t xml:space="preserve"> </w:t>
            </w:r>
          </w:p>
        </w:tc>
        <w:tc>
          <w:tcPr>
            <w:tcW w:w="1230" w:type="dxa"/>
            <w:tcBorders>
              <w:top w:val="single" w:sz="4" w:space="0" w:color="auto"/>
              <w:left w:val="nil"/>
              <w:bottom w:val="single" w:sz="4" w:space="0" w:color="auto"/>
              <w:right w:val="single" w:sz="4" w:space="0" w:color="auto"/>
            </w:tcBorders>
            <w:shd w:val="clear" w:color="auto" w:fill="C6EFCE"/>
            <w:noWrap/>
          </w:tcPr>
          <w:p w14:paraId="7F8D7EAE"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7241E5C6"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US"/>
                <w14:ligatures w14:val="standardContextual"/>
              </w:rPr>
              <w:t>Constructed sewage networks</w:t>
            </w:r>
          </w:p>
        </w:tc>
      </w:tr>
      <w:tr w:rsidR="00137D7A" w:rsidRPr="00137D7A" w14:paraId="63EF7051"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0483C324"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RO-C[C1]-I[I2.0]-T[10]</w:t>
            </w:r>
          </w:p>
        </w:tc>
        <w:tc>
          <w:tcPr>
            <w:tcW w:w="3544" w:type="dxa"/>
            <w:tcBorders>
              <w:top w:val="single" w:sz="4" w:space="0" w:color="auto"/>
              <w:left w:val="nil"/>
              <w:bottom w:val="single" w:sz="4" w:space="0" w:color="auto"/>
              <w:right w:val="single" w:sz="4" w:space="0" w:color="auto"/>
            </w:tcBorders>
            <w:shd w:val="clear" w:color="auto" w:fill="C6EFCE"/>
            <w:noWrap/>
          </w:tcPr>
          <w:p w14:paraId="4DE1DBFF" w14:textId="4A2E69E0"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Collection of </w:t>
            </w:r>
            <w:r w:rsidRPr="45DE955F">
              <w:rPr>
                <w:rFonts w:ascii="Times New Roman" w:eastAsia="Aptos" w:hAnsi="Times New Roman" w:cs="Times New Roman"/>
                <w:noProof/>
                <w:color w:val="000000" w:themeColor="text1"/>
                <w:sz w:val="22"/>
                <w:szCs w:val="22"/>
                <w:lang w:val="en-IE" w:eastAsia="en-US"/>
              </w:rPr>
              <w:t xml:space="preserve">wastewater </w:t>
            </w:r>
          </w:p>
        </w:tc>
        <w:tc>
          <w:tcPr>
            <w:tcW w:w="1230" w:type="dxa"/>
            <w:tcBorders>
              <w:top w:val="single" w:sz="4" w:space="0" w:color="auto"/>
              <w:left w:val="nil"/>
              <w:bottom w:val="single" w:sz="4" w:space="0" w:color="auto"/>
              <w:right w:val="single" w:sz="4" w:space="0" w:color="auto"/>
            </w:tcBorders>
            <w:shd w:val="clear" w:color="auto" w:fill="C6EFCE"/>
            <w:noWrap/>
          </w:tcPr>
          <w:p w14:paraId="6CC1AE02"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1BFA1474" w14:textId="32A9B822" w:rsidR="00137D7A" w:rsidRPr="00137D7A" w:rsidRDefault="009206BD"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9206BD">
              <w:rPr>
                <w:rFonts w:ascii="Times New Roman" w:eastAsia="Aptos" w:hAnsi="Times New Roman" w:cs="Times New Roman"/>
                <w:noProof/>
                <w:color w:val="000000"/>
                <w:kern w:val="2"/>
                <w:sz w:val="22"/>
                <w:szCs w:val="22"/>
                <w:lang w:val="en-IE" w:eastAsia="en-US"/>
                <w14:ligatures w14:val="standardContextual"/>
              </w:rPr>
              <w:t>Constructed individual or other systems</w:t>
            </w:r>
            <w:r w:rsidRPr="009206BD" w:rsidDel="009206BD">
              <w:rPr>
                <w:rFonts w:ascii="Times New Roman" w:eastAsia="Aptos" w:hAnsi="Times New Roman" w:cs="Times New Roman"/>
                <w:noProof/>
                <w:color w:val="000000"/>
                <w:kern w:val="2"/>
                <w:sz w:val="22"/>
                <w:szCs w:val="22"/>
                <w:lang w:val="en-IE" w:eastAsia="en-US"/>
                <w14:ligatures w14:val="standardContextual"/>
              </w:rPr>
              <w:t xml:space="preserve"> </w:t>
            </w:r>
          </w:p>
        </w:tc>
      </w:tr>
      <w:tr w:rsidR="00137D7A" w:rsidRPr="00137D7A" w14:paraId="79F1E13C"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73B4CCE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RO-C[C1]-I[I2.0]-T[12]</w:t>
            </w:r>
          </w:p>
        </w:tc>
        <w:tc>
          <w:tcPr>
            <w:tcW w:w="3544" w:type="dxa"/>
            <w:tcBorders>
              <w:top w:val="single" w:sz="4" w:space="0" w:color="auto"/>
              <w:left w:val="nil"/>
              <w:bottom w:val="single" w:sz="4" w:space="0" w:color="auto"/>
              <w:right w:val="single" w:sz="4" w:space="0" w:color="auto"/>
            </w:tcBorders>
            <w:shd w:val="clear" w:color="auto" w:fill="C6EFCE"/>
            <w:noWrap/>
          </w:tcPr>
          <w:p w14:paraId="7A24E4CC" w14:textId="3409B416"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Collection of </w:t>
            </w:r>
            <w:r w:rsidRPr="45DE955F">
              <w:rPr>
                <w:rFonts w:ascii="Times New Roman" w:eastAsia="Aptos" w:hAnsi="Times New Roman" w:cs="Times New Roman"/>
                <w:noProof/>
                <w:color w:val="000000" w:themeColor="text1"/>
                <w:sz w:val="22"/>
                <w:szCs w:val="22"/>
                <w:lang w:val="en-IE" w:eastAsia="en-US"/>
              </w:rPr>
              <w:t xml:space="preserve">waste water </w:t>
            </w:r>
          </w:p>
        </w:tc>
        <w:tc>
          <w:tcPr>
            <w:tcW w:w="1230" w:type="dxa"/>
            <w:tcBorders>
              <w:top w:val="single" w:sz="4" w:space="0" w:color="auto"/>
              <w:left w:val="nil"/>
              <w:bottom w:val="single" w:sz="4" w:space="0" w:color="auto"/>
              <w:right w:val="single" w:sz="4" w:space="0" w:color="auto"/>
            </w:tcBorders>
            <w:shd w:val="clear" w:color="auto" w:fill="C6EFCE"/>
            <w:noWrap/>
          </w:tcPr>
          <w:p w14:paraId="746A591F"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2EE9F392" w14:textId="2835749A" w:rsidR="00137D7A" w:rsidRPr="00137D7A" w:rsidRDefault="00137D7A" w:rsidP="00137D7A">
            <w:pPr>
              <w:spacing w:after="0" w:line="259" w:lineRule="auto"/>
              <w:rPr>
                <w:rFonts w:ascii="Times New Roman" w:eastAsia="Times New Roman" w:hAnsi="Times New Roman" w:cs="Times New Roman"/>
                <w:noProof/>
                <w:color w:val="000000"/>
                <w:kern w:val="2"/>
                <w:sz w:val="22"/>
                <w:szCs w:val="22"/>
                <w:lang w:val="en-IE" w:eastAsia="en-US"/>
                <w14:ligatures w14:val="standardContextual"/>
              </w:rPr>
            </w:pPr>
            <w:r w:rsidRPr="00137D7A">
              <w:rPr>
                <w:rFonts w:ascii="Times New Roman" w:eastAsia="Times New Roman" w:hAnsi="Times New Roman" w:cs="Times New Roman"/>
                <w:noProof/>
                <w:color w:val="000000"/>
                <w:kern w:val="2"/>
                <w:sz w:val="22"/>
                <w:szCs w:val="22"/>
                <w:lang w:val="en-IE" w:eastAsia="en-US"/>
                <w14:ligatures w14:val="standardContextual"/>
              </w:rPr>
              <w:t xml:space="preserve">Constructed sewerage networks </w:t>
            </w:r>
          </w:p>
          <w:p w14:paraId="603204E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p>
        </w:tc>
      </w:tr>
      <w:tr w:rsidR="00137D7A" w:rsidRPr="00137D7A" w14:paraId="6732A027"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4F5AAF2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RO-C[C1]-I[I4.0]-T[17]</w:t>
            </w:r>
          </w:p>
        </w:tc>
        <w:tc>
          <w:tcPr>
            <w:tcW w:w="3544" w:type="dxa"/>
            <w:tcBorders>
              <w:top w:val="single" w:sz="4" w:space="0" w:color="auto"/>
              <w:left w:val="nil"/>
              <w:bottom w:val="single" w:sz="4" w:space="0" w:color="auto"/>
              <w:right w:val="single" w:sz="4" w:space="0" w:color="auto"/>
            </w:tcBorders>
            <w:shd w:val="clear" w:color="auto" w:fill="C6EFCE"/>
            <w:noWrap/>
          </w:tcPr>
          <w:p w14:paraId="64FE952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Rehabilitation of existing accumulations that require emergency interventions for safe operation</w:t>
            </w:r>
          </w:p>
        </w:tc>
        <w:tc>
          <w:tcPr>
            <w:tcW w:w="1230" w:type="dxa"/>
            <w:tcBorders>
              <w:top w:val="single" w:sz="4" w:space="0" w:color="auto"/>
              <w:left w:val="nil"/>
              <w:bottom w:val="single" w:sz="4" w:space="0" w:color="auto"/>
              <w:right w:val="single" w:sz="4" w:space="0" w:color="auto"/>
            </w:tcBorders>
            <w:shd w:val="clear" w:color="auto" w:fill="C6EFCE"/>
            <w:noWrap/>
          </w:tcPr>
          <w:p w14:paraId="15ADE506"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4B37CC74"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Existing dam and polder rehabilitated</w:t>
            </w:r>
          </w:p>
          <w:p w14:paraId="36AB5D9A"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p>
        </w:tc>
      </w:tr>
      <w:tr w:rsidR="00137D7A" w:rsidRPr="00137D7A" w14:paraId="0285DB58"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C36F5C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RO-C[C3]-I[I1d.0]-T[54]</w:t>
            </w:r>
          </w:p>
        </w:tc>
        <w:tc>
          <w:tcPr>
            <w:tcW w:w="3544" w:type="dxa"/>
            <w:tcBorders>
              <w:top w:val="single" w:sz="4" w:space="0" w:color="auto"/>
              <w:left w:val="nil"/>
              <w:bottom w:val="single" w:sz="4" w:space="0" w:color="auto"/>
              <w:right w:val="single" w:sz="4" w:space="0" w:color="auto"/>
            </w:tcBorders>
            <w:shd w:val="clear" w:color="auto" w:fill="C6EFCE"/>
            <w:noWrap/>
          </w:tcPr>
          <w:p w14:paraId="037E8AB7" w14:textId="25C70AE5" w:rsidR="00137D7A" w:rsidRPr="00137D7A" w:rsidRDefault="003417C1"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3417C1">
              <w:rPr>
                <w:rFonts w:ascii="Times New Roman" w:eastAsia="Aptos" w:hAnsi="Times New Roman" w:cs="Times New Roman"/>
                <w:noProof/>
                <w:color w:val="000000"/>
                <w:kern w:val="2"/>
                <w:sz w:val="22"/>
                <w:szCs w:val="22"/>
                <w:lang w:val="en-IE" w:eastAsia="en-US"/>
                <w14:ligatures w14:val="standardContextual"/>
              </w:rPr>
              <w:t>Construction or delivery of waste recycling facilities</w:t>
            </w:r>
          </w:p>
        </w:tc>
        <w:tc>
          <w:tcPr>
            <w:tcW w:w="1230" w:type="dxa"/>
            <w:tcBorders>
              <w:top w:val="single" w:sz="4" w:space="0" w:color="auto"/>
              <w:left w:val="nil"/>
              <w:bottom w:val="single" w:sz="4" w:space="0" w:color="auto"/>
              <w:right w:val="single" w:sz="4" w:space="0" w:color="auto"/>
            </w:tcBorders>
            <w:shd w:val="clear" w:color="auto" w:fill="C6EFCE"/>
            <w:noWrap/>
          </w:tcPr>
          <w:p w14:paraId="289C384B"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0C28565D"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Waste recycling facilities constructed or delivered</w:t>
            </w:r>
          </w:p>
        </w:tc>
      </w:tr>
      <w:tr w:rsidR="00137D7A" w:rsidRPr="00137D7A" w14:paraId="0A271653"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643C833A"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RO-C[C3]-I[I2.0]-T[55]</w:t>
            </w:r>
          </w:p>
        </w:tc>
        <w:tc>
          <w:tcPr>
            <w:tcW w:w="3544" w:type="dxa"/>
            <w:tcBorders>
              <w:top w:val="single" w:sz="4" w:space="0" w:color="auto"/>
              <w:left w:val="nil"/>
              <w:bottom w:val="single" w:sz="4" w:space="0" w:color="auto"/>
              <w:right w:val="single" w:sz="4" w:space="0" w:color="auto"/>
            </w:tcBorders>
            <w:shd w:val="clear" w:color="auto" w:fill="C6EFCE"/>
            <w:noWrap/>
          </w:tcPr>
          <w:p w14:paraId="0083342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Construction or delivery of infrastructure for manure and other compostable agricultural waste management</w:t>
            </w:r>
          </w:p>
        </w:tc>
        <w:tc>
          <w:tcPr>
            <w:tcW w:w="1230" w:type="dxa"/>
            <w:tcBorders>
              <w:top w:val="single" w:sz="4" w:space="0" w:color="auto"/>
              <w:left w:val="nil"/>
              <w:bottom w:val="single" w:sz="4" w:space="0" w:color="auto"/>
              <w:right w:val="single" w:sz="4" w:space="0" w:color="auto"/>
            </w:tcBorders>
            <w:shd w:val="clear" w:color="auto" w:fill="C6EFCE"/>
            <w:noWrap/>
          </w:tcPr>
          <w:p w14:paraId="447350E5"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16F32D8C"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Construction of integrated systems for the collection of compostable agricultural waste</w:t>
            </w:r>
          </w:p>
        </w:tc>
      </w:tr>
      <w:tr w:rsidR="00137D7A" w:rsidRPr="00137D7A" w14:paraId="4F392CE9"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890260D"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RO-C[C4]-I[I1.0]-M[75a]</w:t>
            </w:r>
          </w:p>
        </w:tc>
        <w:tc>
          <w:tcPr>
            <w:tcW w:w="3544" w:type="dxa"/>
            <w:tcBorders>
              <w:top w:val="single" w:sz="4" w:space="0" w:color="auto"/>
              <w:left w:val="nil"/>
              <w:bottom w:val="single" w:sz="4" w:space="0" w:color="auto"/>
              <w:right w:val="single" w:sz="4" w:space="0" w:color="auto"/>
            </w:tcBorders>
            <w:shd w:val="clear" w:color="auto" w:fill="C6EFCE"/>
            <w:noWrap/>
          </w:tcPr>
          <w:p w14:paraId="6D108787" w14:textId="7E33C9DE"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Modernis</w:t>
            </w:r>
            <w:r w:rsidR="00214207">
              <w:rPr>
                <w:rFonts w:ascii="Times New Roman" w:eastAsia="Aptos" w:hAnsi="Times New Roman" w:cs="Times New Roman"/>
                <w:noProof/>
                <w:color w:val="000000"/>
                <w:kern w:val="2"/>
                <w:sz w:val="22"/>
                <w:szCs w:val="22"/>
                <w:lang w:val="en-IE" w:eastAsia="en-US"/>
                <w14:ligatures w14:val="standardContextual"/>
              </w:rPr>
              <w:t>ation</w:t>
            </w:r>
            <w:r w:rsidRPr="00137D7A">
              <w:rPr>
                <w:rFonts w:ascii="Times New Roman" w:eastAsia="Aptos" w:hAnsi="Times New Roman" w:cs="Times New Roman"/>
                <w:noProof/>
                <w:color w:val="000000"/>
                <w:kern w:val="2"/>
                <w:sz w:val="22"/>
                <w:szCs w:val="22"/>
                <w:lang w:val="en-IE" w:eastAsia="en-US"/>
                <w14:ligatures w14:val="standardContextual"/>
              </w:rPr>
              <w:t xml:space="preserve"> and/or upgrad</w:t>
            </w:r>
            <w:r w:rsidR="00E10C80">
              <w:rPr>
                <w:rFonts w:ascii="Times New Roman" w:eastAsia="Aptos" w:hAnsi="Times New Roman" w:cs="Times New Roman"/>
                <w:noProof/>
                <w:color w:val="000000"/>
                <w:kern w:val="2"/>
                <w:sz w:val="22"/>
                <w:szCs w:val="22"/>
                <w:lang w:val="en-IE" w:eastAsia="en-US"/>
                <w14:ligatures w14:val="standardContextual"/>
              </w:rPr>
              <w:t>ing of</w:t>
            </w:r>
            <w:r w:rsidRPr="00137D7A">
              <w:rPr>
                <w:rFonts w:ascii="Times New Roman" w:eastAsia="Aptos" w:hAnsi="Times New Roman" w:cs="Times New Roman"/>
                <w:noProof/>
                <w:color w:val="000000"/>
                <w:kern w:val="2"/>
                <w:sz w:val="22"/>
                <w:szCs w:val="22"/>
                <w:lang w:val="en-IE" w:eastAsia="en-US"/>
                <w14:ligatures w14:val="standardContextual"/>
              </w:rPr>
              <w:t xml:space="preserve">railway infrastructure </w:t>
            </w:r>
          </w:p>
        </w:tc>
        <w:tc>
          <w:tcPr>
            <w:tcW w:w="1230" w:type="dxa"/>
            <w:tcBorders>
              <w:top w:val="single" w:sz="4" w:space="0" w:color="auto"/>
              <w:left w:val="nil"/>
              <w:bottom w:val="single" w:sz="4" w:space="0" w:color="auto"/>
              <w:right w:val="single" w:sz="4" w:space="0" w:color="auto"/>
            </w:tcBorders>
            <w:shd w:val="clear" w:color="auto" w:fill="C6EFCE"/>
            <w:noWrap/>
          </w:tcPr>
          <w:p w14:paraId="2E2C38D6"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47" w:type="dxa"/>
            <w:tcBorders>
              <w:top w:val="single" w:sz="4" w:space="0" w:color="auto"/>
              <w:left w:val="nil"/>
              <w:bottom w:val="single" w:sz="4" w:space="0" w:color="auto"/>
              <w:right w:val="single" w:sz="4" w:space="0" w:color="auto"/>
            </w:tcBorders>
            <w:shd w:val="clear" w:color="auto" w:fill="C6EFCE"/>
            <w:noWrap/>
          </w:tcPr>
          <w:p w14:paraId="718D27B5" w14:textId="23D44CDA"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Modernised</w:t>
            </w:r>
            <w:r w:rsidR="00E10C80">
              <w:rPr>
                <w:rFonts w:ascii="Times New Roman" w:eastAsia="Aptos" w:hAnsi="Times New Roman" w:cs="Times New Roman"/>
                <w:noProof/>
                <w:color w:val="000000"/>
                <w:kern w:val="2"/>
                <w:sz w:val="22"/>
                <w:szCs w:val="22"/>
                <w:lang w:val="en-IE" w:eastAsia="en-US"/>
                <w14:ligatures w14:val="standardContextual"/>
              </w:rPr>
              <w:t xml:space="preserve"> and/or</w:t>
            </w:r>
            <w:r w:rsidRPr="00137D7A">
              <w:rPr>
                <w:rFonts w:ascii="Times New Roman" w:eastAsia="Aptos" w:hAnsi="Times New Roman" w:cs="Times New Roman"/>
                <w:noProof/>
                <w:color w:val="000000"/>
                <w:kern w:val="2"/>
                <w:sz w:val="22"/>
                <w:szCs w:val="22"/>
                <w:lang w:val="en-IE" w:eastAsia="en-US"/>
                <w14:ligatures w14:val="standardContextual"/>
              </w:rPr>
              <w:t>upgraded railway infrastructure delivered</w:t>
            </w:r>
          </w:p>
        </w:tc>
      </w:tr>
      <w:tr w:rsidR="00137D7A" w:rsidRPr="00137D7A" w14:paraId="150B2714"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5F7CBEA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RO-C[C4]-I[I1.0]-M[76]</w:t>
            </w:r>
          </w:p>
        </w:tc>
        <w:tc>
          <w:tcPr>
            <w:tcW w:w="3544" w:type="dxa"/>
            <w:tcBorders>
              <w:top w:val="single" w:sz="4" w:space="0" w:color="auto"/>
              <w:left w:val="nil"/>
              <w:bottom w:val="single" w:sz="4" w:space="0" w:color="auto"/>
              <w:right w:val="single" w:sz="4" w:space="0" w:color="auto"/>
            </w:tcBorders>
            <w:shd w:val="clear" w:color="auto" w:fill="C6EFCE"/>
            <w:noWrap/>
          </w:tcPr>
          <w:p w14:paraId="4FAC29D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Modernisation and/or upgrading of railway infrastructure</w:t>
            </w:r>
          </w:p>
        </w:tc>
        <w:tc>
          <w:tcPr>
            <w:tcW w:w="1230" w:type="dxa"/>
            <w:tcBorders>
              <w:top w:val="single" w:sz="4" w:space="0" w:color="auto"/>
              <w:left w:val="nil"/>
              <w:bottom w:val="single" w:sz="4" w:space="0" w:color="auto"/>
              <w:right w:val="single" w:sz="4" w:space="0" w:color="auto"/>
            </w:tcBorders>
            <w:shd w:val="clear" w:color="auto" w:fill="C6EFCE"/>
            <w:noWrap/>
          </w:tcPr>
          <w:p w14:paraId="1ACD4CD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47" w:type="dxa"/>
            <w:tcBorders>
              <w:top w:val="single" w:sz="4" w:space="0" w:color="auto"/>
              <w:left w:val="nil"/>
              <w:bottom w:val="single" w:sz="4" w:space="0" w:color="auto"/>
              <w:right w:val="single" w:sz="4" w:space="0" w:color="auto"/>
            </w:tcBorders>
            <w:shd w:val="clear" w:color="auto" w:fill="C6EFCE"/>
            <w:noWrap/>
          </w:tcPr>
          <w:p w14:paraId="510A592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Tracks for “quick wins” projects</w:t>
            </w:r>
          </w:p>
        </w:tc>
      </w:tr>
      <w:tr w:rsidR="00137D7A" w:rsidRPr="00137D7A" w14:paraId="420AC5D0"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67E6F20B"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RO-C[C4]-I[I2.0]-M[77]</w:t>
            </w:r>
          </w:p>
        </w:tc>
        <w:tc>
          <w:tcPr>
            <w:tcW w:w="3544" w:type="dxa"/>
            <w:tcBorders>
              <w:top w:val="single" w:sz="4" w:space="0" w:color="auto"/>
              <w:left w:val="nil"/>
              <w:bottom w:val="single" w:sz="4" w:space="0" w:color="auto"/>
              <w:right w:val="single" w:sz="4" w:space="0" w:color="auto"/>
            </w:tcBorders>
            <w:shd w:val="clear" w:color="auto" w:fill="C6EFCE"/>
            <w:noWrap/>
          </w:tcPr>
          <w:p w14:paraId="21E090A6"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Railway rolling stock</w:t>
            </w:r>
          </w:p>
        </w:tc>
        <w:tc>
          <w:tcPr>
            <w:tcW w:w="1230" w:type="dxa"/>
            <w:tcBorders>
              <w:top w:val="single" w:sz="4" w:space="0" w:color="auto"/>
              <w:left w:val="nil"/>
              <w:bottom w:val="single" w:sz="4" w:space="0" w:color="auto"/>
              <w:right w:val="single" w:sz="4" w:space="0" w:color="auto"/>
            </w:tcBorders>
            <w:shd w:val="clear" w:color="auto" w:fill="C6EFCE"/>
            <w:noWrap/>
          </w:tcPr>
          <w:p w14:paraId="3F1A056C"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47" w:type="dxa"/>
            <w:tcBorders>
              <w:top w:val="single" w:sz="4" w:space="0" w:color="auto"/>
              <w:left w:val="nil"/>
              <w:bottom w:val="single" w:sz="4" w:space="0" w:color="auto"/>
              <w:right w:val="single" w:sz="4" w:space="0" w:color="auto"/>
            </w:tcBorders>
            <w:shd w:val="clear" w:color="auto" w:fill="C6EFCE"/>
            <w:noWrap/>
          </w:tcPr>
          <w:p w14:paraId="644EE742" w14:textId="2294FCC5" w:rsidR="00137D7A" w:rsidRPr="00137D7A" w:rsidRDefault="00B617DB"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Pr>
                <w:rFonts w:ascii="Times New Roman" w:eastAsia="Aptos" w:hAnsi="Times New Roman" w:cs="Times New Roman"/>
                <w:noProof/>
                <w:color w:val="000000"/>
                <w:kern w:val="2"/>
                <w:sz w:val="22"/>
                <w:szCs w:val="22"/>
                <w:lang w:val="en-IE" w:eastAsia="en-US"/>
                <w14:ligatures w14:val="standardContextual"/>
              </w:rPr>
              <w:t>U</w:t>
            </w:r>
            <w:r w:rsidR="00137D7A" w:rsidRPr="00137D7A">
              <w:rPr>
                <w:rFonts w:ascii="Times New Roman" w:eastAsia="Aptos" w:hAnsi="Times New Roman" w:cs="Times New Roman"/>
                <w:noProof/>
                <w:color w:val="000000"/>
                <w:kern w:val="2"/>
                <w:sz w:val="22"/>
                <w:szCs w:val="22"/>
                <w:lang w:val="en-IE" w:eastAsia="en-US"/>
                <w14:ligatures w14:val="standardContextual"/>
              </w:rPr>
              <w:t>pgraded rolling stock</w:t>
            </w:r>
          </w:p>
        </w:tc>
      </w:tr>
      <w:tr w:rsidR="00137D7A" w:rsidRPr="00137D7A" w14:paraId="16D8DF4A"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253998D"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RO-C[C4]-R[R2.0]-T[81]</w:t>
            </w:r>
          </w:p>
        </w:tc>
        <w:tc>
          <w:tcPr>
            <w:tcW w:w="3544" w:type="dxa"/>
            <w:tcBorders>
              <w:top w:val="single" w:sz="4" w:space="0" w:color="auto"/>
              <w:left w:val="nil"/>
              <w:bottom w:val="single" w:sz="4" w:space="0" w:color="auto"/>
              <w:right w:val="single" w:sz="4" w:space="0" w:color="auto"/>
            </w:tcBorders>
            <w:shd w:val="clear" w:color="auto" w:fill="C6EFCE"/>
            <w:noWrap/>
          </w:tcPr>
          <w:p w14:paraId="4C3679A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Performance-based quality management in transport - Improving institutional capacity and corporate governance </w:t>
            </w:r>
          </w:p>
        </w:tc>
        <w:tc>
          <w:tcPr>
            <w:tcW w:w="1230" w:type="dxa"/>
            <w:tcBorders>
              <w:top w:val="single" w:sz="4" w:space="0" w:color="auto"/>
              <w:left w:val="nil"/>
              <w:bottom w:val="single" w:sz="4" w:space="0" w:color="auto"/>
              <w:right w:val="single" w:sz="4" w:space="0" w:color="auto"/>
            </w:tcBorders>
            <w:shd w:val="clear" w:color="auto" w:fill="C6EFCE"/>
            <w:noWrap/>
          </w:tcPr>
          <w:p w14:paraId="60E60E27"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74B9CC20" w14:textId="48B1E689" w:rsidR="00137D7A" w:rsidRPr="00137D7A" w:rsidRDefault="00DF77FF"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DF77FF">
              <w:rPr>
                <w:rFonts w:ascii="Times New Roman" w:eastAsia="Aptos" w:hAnsi="Times New Roman" w:cs="Times New Roman"/>
                <w:noProof/>
                <w:color w:val="000000"/>
                <w:kern w:val="2"/>
                <w:sz w:val="22"/>
                <w:szCs w:val="22"/>
                <w:lang w:val="en-IE" w:eastAsia="en-US"/>
                <w14:ligatures w14:val="standardContextual"/>
              </w:rPr>
              <w:t>Reducing the percentage of passenger trains that are late  </w:t>
            </w:r>
          </w:p>
        </w:tc>
      </w:tr>
      <w:tr w:rsidR="00137D7A" w:rsidRPr="00137D7A" w14:paraId="7D99504D"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8FAD08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RO-C[C4]-I[I3.0]-T[84a]</w:t>
            </w:r>
          </w:p>
        </w:tc>
        <w:tc>
          <w:tcPr>
            <w:tcW w:w="3544" w:type="dxa"/>
            <w:tcBorders>
              <w:top w:val="single" w:sz="4" w:space="0" w:color="auto"/>
              <w:left w:val="nil"/>
              <w:bottom w:val="single" w:sz="4" w:space="0" w:color="auto"/>
              <w:right w:val="single" w:sz="4" w:space="0" w:color="auto"/>
            </w:tcBorders>
            <w:shd w:val="clear" w:color="auto" w:fill="C6EFCE"/>
            <w:noWrap/>
          </w:tcPr>
          <w:p w14:paraId="691DCEA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Increasing the sustainability of road infrastructure on TEN-T network, road charging, traffic management</w:t>
            </w:r>
          </w:p>
        </w:tc>
        <w:tc>
          <w:tcPr>
            <w:tcW w:w="1230" w:type="dxa"/>
            <w:tcBorders>
              <w:top w:val="single" w:sz="4" w:space="0" w:color="auto"/>
              <w:left w:val="nil"/>
              <w:bottom w:val="single" w:sz="4" w:space="0" w:color="auto"/>
              <w:right w:val="single" w:sz="4" w:space="0" w:color="auto"/>
            </w:tcBorders>
            <w:shd w:val="clear" w:color="auto" w:fill="C6EFCE"/>
            <w:noWrap/>
          </w:tcPr>
          <w:p w14:paraId="378E1584"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60DC46E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Construction of new road on A7 motorway, section Bacau – Pascani, lot 1</w:t>
            </w:r>
          </w:p>
        </w:tc>
      </w:tr>
      <w:tr w:rsidR="00137D7A" w:rsidRPr="00137D7A" w14:paraId="6ECD3074"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7DAA9D3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RO-C[C4]-I[I3.0]-T[84b]</w:t>
            </w:r>
          </w:p>
        </w:tc>
        <w:tc>
          <w:tcPr>
            <w:tcW w:w="3544" w:type="dxa"/>
            <w:tcBorders>
              <w:top w:val="single" w:sz="4" w:space="0" w:color="auto"/>
              <w:left w:val="nil"/>
              <w:bottom w:val="single" w:sz="4" w:space="0" w:color="auto"/>
              <w:right w:val="single" w:sz="4" w:space="0" w:color="auto"/>
            </w:tcBorders>
            <w:shd w:val="clear" w:color="auto" w:fill="C6EFCE"/>
            <w:noWrap/>
          </w:tcPr>
          <w:p w14:paraId="155F5CB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Increasing the sustainability of road infrastructure on TEN-T network, road charging, traffic management</w:t>
            </w:r>
          </w:p>
        </w:tc>
        <w:tc>
          <w:tcPr>
            <w:tcW w:w="1230" w:type="dxa"/>
            <w:tcBorders>
              <w:top w:val="single" w:sz="4" w:space="0" w:color="auto"/>
              <w:left w:val="nil"/>
              <w:bottom w:val="single" w:sz="4" w:space="0" w:color="auto"/>
              <w:right w:val="single" w:sz="4" w:space="0" w:color="auto"/>
            </w:tcBorders>
            <w:shd w:val="clear" w:color="auto" w:fill="C6EFCE"/>
            <w:noWrap/>
          </w:tcPr>
          <w:p w14:paraId="0674C8CD"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49481EAA"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Construction of new road on A7 motorway, section Bacau – Pascani, lot 2</w:t>
            </w:r>
          </w:p>
        </w:tc>
      </w:tr>
      <w:tr w:rsidR="00137D7A" w:rsidRPr="00137D7A" w14:paraId="25E8C111"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50C8C40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RO-C[C4]-I[I3.0]-T[84c]</w:t>
            </w:r>
          </w:p>
        </w:tc>
        <w:tc>
          <w:tcPr>
            <w:tcW w:w="3544" w:type="dxa"/>
            <w:tcBorders>
              <w:top w:val="single" w:sz="4" w:space="0" w:color="auto"/>
              <w:left w:val="nil"/>
              <w:bottom w:val="single" w:sz="4" w:space="0" w:color="auto"/>
              <w:right w:val="single" w:sz="4" w:space="0" w:color="auto"/>
            </w:tcBorders>
            <w:shd w:val="clear" w:color="auto" w:fill="C6EFCE"/>
            <w:noWrap/>
          </w:tcPr>
          <w:p w14:paraId="4115445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Increasing the sustainability of road infrastructure on TEN-T network, road charging, traffic management</w:t>
            </w:r>
          </w:p>
        </w:tc>
        <w:tc>
          <w:tcPr>
            <w:tcW w:w="1230" w:type="dxa"/>
            <w:tcBorders>
              <w:top w:val="single" w:sz="4" w:space="0" w:color="auto"/>
              <w:left w:val="nil"/>
              <w:bottom w:val="single" w:sz="4" w:space="0" w:color="auto"/>
              <w:right w:val="single" w:sz="4" w:space="0" w:color="auto"/>
            </w:tcBorders>
            <w:shd w:val="clear" w:color="auto" w:fill="C6EFCE"/>
            <w:noWrap/>
          </w:tcPr>
          <w:p w14:paraId="67EBAAD9"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5706409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Construction of new road on A7 motorway, section Bacau – Pascani, lot 3</w:t>
            </w:r>
          </w:p>
        </w:tc>
      </w:tr>
      <w:tr w:rsidR="00137D7A" w:rsidRPr="00137D7A" w14:paraId="5C688E9F"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6D43655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RO-C[C4]-I[I3.0]-T[84d]</w:t>
            </w:r>
          </w:p>
        </w:tc>
        <w:tc>
          <w:tcPr>
            <w:tcW w:w="3544" w:type="dxa"/>
            <w:tcBorders>
              <w:top w:val="single" w:sz="4" w:space="0" w:color="auto"/>
              <w:left w:val="nil"/>
              <w:bottom w:val="single" w:sz="4" w:space="0" w:color="auto"/>
              <w:right w:val="single" w:sz="4" w:space="0" w:color="auto"/>
            </w:tcBorders>
            <w:shd w:val="clear" w:color="auto" w:fill="C6EFCE"/>
            <w:noWrap/>
          </w:tcPr>
          <w:p w14:paraId="4D93B556"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Increasing the sustainability of road infrastructure on TEN-T network, road charging, traffic management</w:t>
            </w:r>
          </w:p>
        </w:tc>
        <w:tc>
          <w:tcPr>
            <w:tcW w:w="1230" w:type="dxa"/>
            <w:tcBorders>
              <w:top w:val="single" w:sz="4" w:space="0" w:color="auto"/>
              <w:left w:val="nil"/>
              <w:bottom w:val="single" w:sz="4" w:space="0" w:color="auto"/>
              <w:right w:val="single" w:sz="4" w:space="0" w:color="auto"/>
            </w:tcBorders>
            <w:shd w:val="clear" w:color="auto" w:fill="C6EFCE"/>
            <w:noWrap/>
          </w:tcPr>
          <w:p w14:paraId="36A09276"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491F9A2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Construction of new road on A1 motorway Margina - Holdea</w:t>
            </w:r>
          </w:p>
        </w:tc>
      </w:tr>
      <w:tr w:rsidR="00137D7A" w:rsidRPr="00137D7A" w14:paraId="042ABB37"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234512A"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RO-C[C4]-I[I5.0]-T[85a]</w:t>
            </w:r>
          </w:p>
        </w:tc>
        <w:tc>
          <w:tcPr>
            <w:tcW w:w="3544" w:type="dxa"/>
            <w:tcBorders>
              <w:top w:val="single" w:sz="4" w:space="0" w:color="auto"/>
              <w:left w:val="nil"/>
              <w:bottom w:val="single" w:sz="4" w:space="0" w:color="auto"/>
              <w:right w:val="single" w:sz="4" w:space="0" w:color="auto"/>
            </w:tcBorders>
            <w:shd w:val="clear" w:color="auto" w:fill="C6EFCE"/>
            <w:noWrap/>
          </w:tcPr>
          <w:p w14:paraId="1C1A8536"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Increasing the road safety</w:t>
            </w:r>
          </w:p>
        </w:tc>
        <w:tc>
          <w:tcPr>
            <w:tcW w:w="1230" w:type="dxa"/>
            <w:tcBorders>
              <w:top w:val="single" w:sz="4" w:space="0" w:color="auto"/>
              <w:left w:val="nil"/>
              <w:bottom w:val="single" w:sz="4" w:space="0" w:color="auto"/>
              <w:right w:val="single" w:sz="4" w:space="0" w:color="auto"/>
            </w:tcBorders>
            <w:shd w:val="clear" w:color="auto" w:fill="C6EFCE"/>
            <w:noWrap/>
          </w:tcPr>
          <w:p w14:paraId="40753100"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6AE5924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Road safety black/hot spots removed</w:t>
            </w:r>
          </w:p>
        </w:tc>
      </w:tr>
      <w:tr w:rsidR="00137D7A" w:rsidRPr="00137D7A" w14:paraId="55D92CB3"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765CF0A3"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RO-C[C4]-I[I5.0]-T[85b]</w:t>
            </w:r>
          </w:p>
        </w:tc>
        <w:tc>
          <w:tcPr>
            <w:tcW w:w="3544" w:type="dxa"/>
            <w:tcBorders>
              <w:top w:val="single" w:sz="4" w:space="0" w:color="auto"/>
              <w:left w:val="nil"/>
              <w:bottom w:val="single" w:sz="4" w:space="0" w:color="auto"/>
              <w:right w:val="single" w:sz="4" w:space="0" w:color="auto"/>
            </w:tcBorders>
            <w:shd w:val="clear" w:color="auto" w:fill="C6EFCE"/>
            <w:noWrap/>
          </w:tcPr>
          <w:p w14:paraId="66889E3D"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Increasing the road safety</w:t>
            </w:r>
          </w:p>
        </w:tc>
        <w:tc>
          <w:tcPr>
            <w:tcW w:w="1230" w:type="dxa"/>
            <w:tcBorders>
              <w:top w:val="single" w:sz="4" w:space="0" w:color="auto"/>
              <w:left w:val="nil"/>
              <w:bottom w:val="single" w:sz="4" w:space="0" w:color="auto"/>
              <w:right w:val="single" w:sz="4" w:space="0" w:color="auto"/>
            </w:tcBorders>
            <w:shd w:val="clear" w:color="auto" w:fill="C6EFCE"/>
            <w:noWrap/>
          </w:tcPr>
          <w:p w14:paraId="222B8246"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7A31716C"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Road safety black/hot spots removed</w:t>
            </w:r>
          </w:p>
        </w:tc>
      </w:tr>
      <w:tr w:rsidR="00137D7A" w:rsidRPr="00137D7A" w14:paraId="06BBFD95"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0794C19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RO-C[C5]-R[R1.0]-T[92]</w:t>
            </w:r>
          </w:p>
        </w:tc>
        <w:tc>
          <w:tcPr>
            <w:tcW w:w="3544" w:type="dxa"/>
            <w:tcBorders>
              <w:top w:val="single" w:sz="4" w:space="0" w:color="auto"/>
              <w:left w:val="nil"/>
              <w:bottom w:val="single" w:sz="4" w:space="0" w:color="auto"/>
              <w:right w:val="single" w:sz="4" w:space="0" w:color="auto"/>
            </w:tcBorders>
            <w:shd w:val="clear" w:color="auto" w:fill="C6EFCE"/>
            <w:noWrap/>
          </w:tcPr>
          <w:p w14:paraId="70D3B3A4" w14:textId="56452C65"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Simplified and updated legal and</w:t>
            </w:r>
            <w:r w:rsidR="00D23D91">
              <w:rPr>
                <w:rFonts w:ascii="Times New Roman" w:eastAsia="Aptos" w:hAnsi="Times New Roman" w:cs="Times New Roman"/>
                <w:noProof/>
                <w:color w:val="000000"/>
                <w:kern w:val="2"/>
                <w:sz w:val="22"/>
                <w:szCs w:val="22"/>
                <w:lang w:val="en-IE" w:eastAsia="en-US"/>
                <w14:ligatures w14:val="standardContextual"/>
              </w:rPr>
              <w:t xml:space="preserve"> </w:t>
            </w:r>
            <w:r w:rsidRPr="00137D7A">
              <w:rPr>
                <w:rFonts w:ascii="Times New Roman" w:eastAsia="Aptos" w:hAnsi="Times New Roman" w:cs="Times New Roman"/>
                <w:noProof/>
                <w:color w:val="000000"/>
                <w:kern w:val="2"/>
                <w:sz w:val="22"/>
                <w:szCs w:val="22"/>
                <w:lang w:val="en-IE" w:eastAsia="en-US"/>
                <w14:ligatures w14:val="standardContextual"/>
              </w:rPr>
              <w:t xml:space="preserve">regulatory framework to support energy efficiency renovations of </w:t>
            </w:r>
            <w:r w:rsidRPr="00137D7A" w:rsidDel="0020772A">
              <w:rPr>
                <w:rFonts w:ascii="Times New Roman" w:eastAsia="Aptos" w:hAnsi="Times New Roman" w:cs="Times New Roman"/>
                <w:noProof/>
                <w:color w:val="000000"/>
                <w:kern w:val="2"/>
                <w:sz w:val="22"/>
                <w:szCs w:val="22"/>
                <w:lang w:val="en-IE" w:eastAsia="en-US"/>
                <w14:ligatures w14:val="standardContextual"/>
              </w:rPr>
              <w:t>buildings</w:t>
            </w:r>
          </w:p>
        </w:tc>
        <w:tc>
          <w:tcPr>
            <w:tcW w:w="1230" w:type="dxa"/>
            <w:tcBorders>
              <w:top w:val="single" w:sz="4" w:space="0" w:color="auto"/>
              <w:left w:val="nil"/>
              <w:bottom w:val="single" w:sz="4" w:space="0" w:color="auto"/>
              <w:right w:val="single" w:sz="4" w:space="0" w:color="auto"/>
            </w:tcBorders>
            <w:shd w:val="clear" w:color="auto" w:fill="C6EFCE"/>
            <w:noWrap/>
          </w:tcPr>
          <w:p w14:paraId="049F891A"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775B5AEC"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Reducing the time required for the issuance of building permits</w:t>
            </w:r>
          </w:p>
        </w:tc>
      </w:tr>
      <w:tr w:rsidR="00137D7A" w:rsidRPr="00137D7A" w14:paraId="1A3B87B7"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74FBFBB1"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RO-C[C5]-I[I1.0]-T[103]</w:t>
            </w:r>
          </w:p>
        </w:tc>
        <w:tc>
          <w:tcPr>
            <w:tcW w:w="3544" w:type="dxa"/>
            <w:tcBorders>
              <w:top w:val="single" w:sz="4" w:space="0" w:color="auto"/>
              <w:left w:val="nil"/>
              <w:bottom w:val="single" w:sz="4" w:space="0" w:color="auto"/>
              <w:right w:val="single" w:sz="4" w:space="0" w:color="auto"/>
            </w:tcBorders>
            <w:shd w:val="clear" w:color="auto" w:fill="C6EFCE"/>
            <w:noWrap/>
          </w:tcPr>
          <w:p w14:paraId="01F3A8D8" w14:textId="6F0946A2"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Establishment of a </w:t>
            </w:r>
            <w:r w:rsidR="00397565">
              <w:rPr>
                <w:rFonts w:ascii="Times New Roman" w:eastAsia="Aptos" w:hAnsi="Times New Roman" w:cs="Times New Roman"/>
                <w:noProof/>
                <w:color w:val="000000"/>
                <w:kern w:val="2"/>
                <w:sz w:val="22"/>
                <w:szCs w:val="22"/>
                <w:lang w:val="en-IE" w:eastAsia="en-US"/>
                <w14:ligatures w14:val="standardContextual"/>
              </w:rPr>
              <w:t>r</w:t>
            </w:r>
            <w:r w:rsidRPr="00137D7A">
              <w:rPr>
                <w:rFonts w:ascii="Times New Roman" w:eastAsia="Aptos" w:hAnsi="Times New Roman" w:cs="Times New Roman"/>
                <w:noProof/>
                <w:color w:val="000000"/>
                <w:kern w:val="2"/>
                <w:sz w:val="22"/>
                <w:szCs w:val="22"/>
                <w:lang w:val="en-IE" w:eastAsia="en-US"/>
                <w14:ligatures w14:val="standardContextual"/>
              </w:rPr>
              <w:t xml:space="preserve">enovation </w:t>
            </w:r>
            <w:r w:rsidR="00397565">
              <w:rPr>
                <w:rFonts w:ascii="Times New Roman" w:eastAsia="Aptos" w:hAnsi="Times New Roman" w:cs="Times New Roman"/>
                <w:noProof/>
                <w:color w:val="000000"/>
                <w:kern w:val="2"/>
                <w:sz w:val="22"/>
                <w:szCs w:val="22"/>
                <w:lang w:val="en-IE" w:eastAsia="en-US"/>
                <w14:ligatures w14:val="standardContextual"/>
              </w:rPr>
              <w:t>r</w:t>
            </w:r>
            <w:r w:rsidRPr="00137D7A">
              <w:rPr>
                <w:rFonts w:ascii="Times New Roman" w:eastAsia="Aptos" w:hAnsi="Times New Roman" w:cs="Times New Roman"/>
                <w:noProof/>
                <w:color w:val="000000"/>
                <w:kern w:val="2"/>
                <w:sz w:val="22"/>
                <w:szCs w:val="22"/>
                <w:lang w:val="en-IE" w:eastAsia="en-US"/>
                <w14:ligatures w14:val="standardContextual"/>
              </w:rPr>
              <w:t>ave fund to finance works to increase the energy efficiency of the existing building stock</w:t>
            </w:r>
          </w:p>
        </w:tc>
        <w:tc>
          <w:tcPr>
            <w:tcW w:w="1230" w:type="dxa"/>
            <w:tcBorders>
              <w:top w:val="single" w:sz="4" w:space="0" w:color="auto"/>
              <w:left w:val="nil"/>
              <w:bottom w:val="single" w:sz="4" w:space="0" w:color="auto"/>
              <w:right w:val="single" w:sz="4" w:space="0" w:color="auto"/>
            </w:tcBorders>
            <w:shd w:val="clear" w:color="auto" w:fill="C6EFCE"/>
            <w:noWrap/>
          </w:tcPr>
          <w:p w14:paraId="7BA11D8A"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6EF72461" w14:textId="51E7B773" w:rsidR="00137D7A" w:rsidRPr="00137D7A" w:rsidRDefault="001B28D1"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Pr>
                <w:rFonts w:ascii="Times New Roman" w:eastAsia="Aptos" w:hAnsi="Times New Roman" w:cs="Times New Roman"/>
                <w:noProof/>
                <w:color w:val="000000"/>
                <w:kern w:val="2"/>
                <w:sz w:val="22"/>
                <w:szCs w:val="22"/>
                <w:lang w:val="en-IE" w:eastAsia="en-US"/>
                <w14:ligatures w14:val="standardContextual"/>
              </w:rPr>
              <w:t>E</w:t>
            </w:r>
            <w:r w:rsidR="00137D7A" w:rsidRPr="00137D7A">
              <w:rPr>
                <w:rFonts w:ascii="Times New Roman" w:eastAsia="Aptos" w:hAnsi="Times New Roman" w:cs="Times New Roman"/>
                <w:noProof/>
                <w:color w:val="000000"/>
                <w:kern w:val="2"/>
                <w:sz w:val="22"/>
                <w:szCs w:val="22"/>
                <w:lang w:val="en-IE" w:eastAsia="en-US"/>
                <w14:ligatures w14:val="standardContextual"/>
              </w:rPr>
              <w:t>nergy renovation of multi-family residential buildings</w:t>
            </w:r>
          </w:p>
        </w:tc>
      </w:tr>
      <w:tr w:rsidR="00137D7A" w:rsidRPr="00137D7A" w14:paraId="24C2BF1F"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78D22F4D"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RO-C[C5]-I[I1.0]-T[106]</w:t>
            </w:r>
          </w:p>
        </w:tc>
        <w:tc>
          <w:tcPr>
            <w:tcW w:w="3544" w:type="dxa"/>
            <w:tcBorders>
              <w:top w:val="single" w:sz="4" w:space="0" w:color="auto"/>
              <w:left w:val="nil"/>
              <w:bottom w:val="single" w:sz="4" w:space="0" w:color="auto"/>
              <w:right w:val="single" w:sz="4" w:space="0" w:color="auto"/>
            </w:tcBorders>
            <w:shd w:val="clear" w:color="auto" w:fill="C6EFCE"/>
            <w:noWrap/>
          </w:tcPr>
          <w:p w14:paraId="326D832D" w14:textId="59AF273D"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Establishment of a </w:t>
            </w:r>
            <w:r w:rsidR="00397565">
              <w:rPr>
                <w:rFonts w:ascii="Times New Roman" w:eastAsia="Aptos" w:hAnsi="Times New Roman" w:cs="Times New Roman"/>
                <w:noProof/>
                <w:color w:val="000000"/>
                <w:kern w:val="2"/>
                <w:sz w:val="22"/>
                <w:szCs w:val="22"/>
                <w:lang w:val="en-IE" w:eastAsia="en-US"/>
                <w14:ligatures w14:val="standardContextual"/>
              </w:rPr>
              <w:t>r</w:t>
            </w:r>
            <w:r w:rsidRPr="00137D7A">
              <w:rPr>
                <w:rFonts w:ascii="Times New Roman" w:eastAsia="Aptos" w:hAnsi="Times New Roman" w:cs="Times New Roman"/>
                <w:noProof/>
                <w:color w:val="000000"/>
                <w:kern w:val="2"/>
                <w:sz w:val="22"/>
                <w:szCs w:val="22"/>
                <w:lang w:val="en-IE" w:eastAsia="en-US"/>
                <w14:ligatures w14:val="standardContextual"/>
              </w:rPr>
              <w:t xml:space="preserve">enovation </w:t>
            </w:r>
            <w:r w:rsidR="00397565">
              <w:rPr>
                <w:rFonts w:ascii="Times New Roman" w:eastAsia="Aptos" w:hAnsi="Times New Roman" w:cs="Times New Roman"/>
                <w:noProof/>
                <w:color w:val="000000"/>
                <w:kern w:val="2"/>
                <w:sz w:val="22"/>
                <w:szCs w:val="22"/>
                <w:lang w:val="en-IE" w:eastAsia="en-US"/>
                <w14:ligatures w14:val="standardContextual"/>
              </w:rPr>
              <w:t>w</w:t>
            </w:r>
            <w:r w:rsidRPr="00137D7A">
              <w:rPr>
                <w:rFonts w:ascii="Times New Roman" w:eastAsia="Aptos" w:hAnsi="Times New Roman" w:cs="Times New Roman"/>
                <w:noProof/>
                <w:color w:val="000000"/>
                <w:kern w:val="2"/>
                <w:sz w:val="22"/>
                <w:szCs w:val="22"/>
                <w:lang w:val="en-IE" w:eastAsia="en-US"/>
                <w14:ligatures w14:val="standardContextual"/>
              </w:rPr>
              <w:t>ave fund to finance works to increase the energy efficiency of the existing building stock</w:t>
            </w:r>
          </w:p>
        </w:tc>
        <w:tc>
          <w:tcPr>
            <w:tcW w:w="1230" w:type="dxa"/>
            <w:tcBorders>
              <w:top w:val="single" w:sz="4" w:space="0" w:color="auto"/>
              <w:left w:val="nil"/>
              <w:bottom w:val="single" w:sz="4" w:space="0" w:color="auto"/>
              <w:right w:val="single" w:sz="4" w:space="0" w:color="auto"/>
            </w:tcBorders>
            <w:shd w:val="clear" w:color="auto" w:fill="C6EFCE"/>
            <w:noWrap/>
          </w:tcPr>
          <w:p w14:paraId="2E4E25E6"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0710A626" w14:textId="2F812541" w:rsidR="00137D7A" w:rsidRPr="00137D7A" w:rsidRDefault="00752634"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Pr>
                <w:rFonts w:ascii="Times New Roman" w:eastAsia="Aptos" w:hAnsi="Times New Roman" w:cs="Times New Roman"/>
                <w:noProof/>
                <w:color w:val="000000"/>
                <w:kern w:val="2"/>
                <w:sz w:val="22"/>
                <w:szCs w:val="22"/>
                <w:lang w:val="en-IE" w:eastAsia="en-US"/>
                <w14:ligatures w14:val="standardContextual"/>
              </w:rPr>
              <w:t>E</w:t>
            </w:r>
            <w:r w:rsidR="00137D7A" w:rsidRPr="00137D7A">
              <w:rPr>
                <w:rFonts w:ascii="Times New Roman" w:eastAsia="Aptos" w:hAnsi="Times New Roman" w:cs="Times New Roman"/>
                <w:noProof/>
                <w:color w:val="000000"/>
                <w:kern w:val="2"/>
                <w:sz w:val="22"/>
                <w:szCs w:val="22"/>
                <w:lang w:val="en-IE" w:eastAsia="en-US"/>
                <w14:ligatures w14:val="standardContextual"/>
              </w:rPr>
              <w:t>nergy renovation of public buildings</w:t>
            </w:r>
          </w:p>
        </w:tc>
      </w:tr>
      <w:tr w:rsidR="00137D7A" w:rsidRPr="00137D7A" w14:paraId="335219E1"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5E2ACE65"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RO-C[C5]-I[I2.0]-M[107]</w:t>
            </w:r>
          </w:p>
        </w:tc>
        <w:tc>
          <w:tcPr>
            <w:tcW w:w="3544" w:type="dxa"/>
            <w:tcBorders>
              <w:top w:val="single" w:sz="4" w:space="0" w:color="auto"/>
              <w:left w:val="nil"/>
              <w:bottom w:val="single" w:sz="4" w:space="0" w:color="auto"/>
              <w:right w:val="single" w:sz="4" w:space="0" w:color="auto"/>
            </w:tcBorders>
            <w:shd w:val="clear" w:color="auto" w:fill="C6EFCE"/>
            <w:noWrap/>
          </w:tcPr>
          <w:p w14:paraId="2B3CD32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Publication of the National Digital Building Register</w:t>
            </w:r>
          </w:p>
        </w:tc>
        <w:tc>
          <w:tcPr>
            <w:tcW w:w="1230" w:type="dxa"/>
            <w:tcBorders>
              <w:top w:val="single" w:sz="4" w:space="0" w:color="auto"/>
              <w:left w:val="nil"/>
              <w:bottom w:val="single" w:sz="4" w:space="0" w:color="auto"/>
              <w:right w:val="single" w:sz="4" w:space="0" w:color="auto"/>
            </w:tcBorders>
            <w:shd w:val="clear" w:color="auto" w:fill="C6EFCE"/>
            <w:noWrap/>
          </w:tcPr>
          <w:p w14:paraId="577C7C0B"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w:t>
            </w:r>
          </w:p>
        </w:tc>
        <w:tc>
          <w:tcPr>
            <w:tcW w:w="3447" w:type="dxa"/>
            <w:tcBorders>
              <w:top w:val="single" w:sz="4" w:space="0" w:color="auto"/>
              <w:left w:val="nil"/>
              <w:bottom w:val="single" w:sz="4" w:space="0" w:color="auto"/>
              <w:right w:val="single" w:sz="4" w:space="0" w:color="auto"/>
            </w:tcBorders>
            <w:shd w:val="clear" w:color="auto" w:fill="C6EFCE"/>
            <w:noWrap/>
          </w:tcPr>
          <w:p w14:paraId="5DAF90C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National Digital Building Register published</w:t>
            </w:r>
          </w:p>
        </w:tc>
      </w:tr>
      <w:tr w:rsidR="00137D7A" w:rsidRPr="00137D7A" w14:paraId="39ACCDFE"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6FB7A2A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RO-C[C6]-R[R6.0]-M[128]</w:t>
            </w:r>
          </w:p>
        </w:tc>
        <w:tc>
          <w:tcPr>
            <w:tcW w:w="3544" w:type="dxa"/>
            <w:tcBorders>
              <w:top w:val="single" w:sz="4" w:space="0" w:color="auto"/>
              <w:left w:val="nil"/>
              <w:bottom w:val="single" w:sz="4" w:space="0" w:color="auto"/>
              <w:right w:val="single" w:sz="4" w:space="0" w:color="auto"/>
            </w:tcBorders>
            <w:shd w:val="clear" w:color="auto" w:fill="C6EFCE"/>
            <w:noWrap/>
          </w:tcPr>
          <w:p w14:paraId="72E8D429" w14:textId="087EFD24"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Decarbonisation of the heating</w:t>
            </w:r>
            <w:r w:rsidR="008F7375">
              <w:rPr>
                <w:rFonts w:ascii="Times New Roman" w:eastAsia="Aptos" w:hAnsi="Times New Roman" w:cs="Times New Roman"/>
                <w:noProof/>
                <w:color w:val="000000"/>
                <w:kern w:val="2"/>
                <w:sz w:val="22"/>
                <w:szCs w:val="22"/>
                <w:lang w:val="en-IE" w:eastAsia="en-US"/>
                <w14:ligatures w14:val="standardContextual"/>
              </w:rPr>
              <w:t>-</w:t>
            </w:r>
            <w:r w:rsidRPr="00137D7A">
              <w:rPr>
                <w:rFonts w:ascii="Times New Roman" w:eastAsia="Aptos" w:hAnsi="Times New Roman" w:cs="Times New Roman"/>
                <w:noProof/>
                <w:color w:val="000000"/>
                <w:kern w:val="2"/>
                <w:sz w:val="22"/>
                <w:szCs w:val="22"/>
                <w:lang w:val="en-IE" w:eastAsia="en-US"/>
                <w14:ligatures w14:val="standardContextual"/>
              </w:rPr>
              <w:t>cooling sector</w:t>
            </w:r>
          </w:p>
        </w:tc>
        <w:tc>
          <w:tcPr>
            <w:tcW w:w="1230" w:type="dxa"/>
            <w:tcBorders>
              <w:top w:val="single" w:sz="4" w:space="0" w:color="auto"/>
              <w:left w:val="nil"/>
              <w:bottom w:val="single" w:sz="4" w:space="0" w:color="auto"/>
              <w:right w:val="single" w:sz="4" w:space="0" w:color="auto"/>
            </w:tcBorders>
            <w:shd w:val="clear" w:color="auto" w:fill="C6EFCE"/>
            <w:noWrap/>
          </w:tcPr>
          <w:p w14:paraId="692018E9"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47" w:type="dxa"/>
            <w:tcBorders>
              <w:top w:val="single" w:sz="4" w:space="0" w:color="auto"/>
              <w:left w:val="nil"/>
              <w:bottom w:val="single" w:sz="4" w:space="0" w:color="auto"/>
              <w:right w:val="single" w:sz="4" w:space="0" w:color="auto"/>
            </w:tcBorders>
            <w:shd w:val="clear" w:color="auto" w:fill="C6EFCE"/>
            <w:noWrap/>
          </w:tcPr>
          <w:p w14:paraId="0F6891C4" w14:textId="0AC20F58"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Entry into force of </w:t>
            </w:r>
            <w:r w:rsidR="0020212E">
              <w:rPr>
                <w:rFonts w:ascii="Times New Roman" w:eastAsia="Aptos" w:hAnsi="Times New Roman" w:cs="Times New Roman"/>
                <w:noProof/>
                <w:color w:val="000000"/>
                <w:kern w:val="2"/>
                <w:sz w:val="22"/>
                <w:szCs w:val="22"/>
                <w:lang w:val="en-IE" w:eastAsia="en-US"/>
                <w14:ligatures w14:val="standardContextual"/>
              </w:rPr>
              <w:t>legal</w:t>
            </w:r>
            <w:r w:rsidR="0020212E" w:rsidRPr="00137D7A">
              <w:rPr>
                <w:rFonts w:ascii="Times New Roman" w:eastAsia="Aptos" w:hAnsi="Times New Roman" w:cs="Times New Roman"/>
                <w:noProof/>
                <w:color w:val="000000"/>
                <w:kern w:val="2"/>
                <w:sz w:val="22"/>
                <w:szCs w:val="22"/>
                <w:lang w:val="en-IE" w:eastAsia="en-US"/>
                <w14:ligatures w14:val="standardContextual"/>
              </w:rPr>
              <w:t xml:space="preserve"> </w:t>
            </w:r>
            <w:r w:rsidRPr="00137D7A">
              <w:rPr>
                <w:rFonts w:ascii="Times New Roman" w:eastAsia="Aptos" w:hAnsi="Times New Roman" w:cs="Times New Roman"/>
                <w:noProof/>
                <w:color w:val="000000"/>
                <w:kern w:val="2"/>
                <w:sz w:val="22"/>
                <w:szCs w:val="22"/>
                <w:lang w:val="en-IE" w:eastAsia="en-US"/>
                <w14:ligatures w14:val="standardContextual"/>
              </w:rPr>
              <w:t>acts introducing measures to decarbonise the heating and cooling sector</w:t>
            </w:r>
          </w:p>
        </w:tc>
      </w:tr>
      <w:tr w:rsidR="00137D7A" w:rsidRPr="00137D7A" w14:paraId="199D1C39"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5674F2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RO-C[C6]-I[I3.0]-T[134]</w:t>
            </w:r>
          </w:p>
        </w:tc>
        <w:tc>
          <w:tcPr>
            <w:tcW w:w="3544" w:type="dxa"/>
            <w:tcBorders>
              <w:top w:val="single" w:sz="4" w:space="0" w:color="auto"/>
              <w:left w:val="nil"/>
              <w:bottom w:val="single" w:sz="4" w:space="0" w:color="auto"/>
              <w:right w:val="single" w:sz="4" w:space="0" w:color="auto"/>
            </w:tcBorders>
            <w:shd w:val="clear" w:color="auto" w:fill="C6EFCE"/>
            <w:noWrap/>
          </w:tcPr>
          <w:p w14:paraId="5755839B" w14:textId="51D35E76"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Construction of flexible and highly efficient gas-fired </w:t>
            </w:r>
            <w:r w:rsidR="00F85C65" w:rsidRPr="00F85C65">
              <w:rPr>
                <w:rFonts w:ascii="Times New Roman" w:eastAsia="Aptos" w:hAnsi="Times New Roman" w:cs="Times New Roman"/>
                <w:noProof/>
                <w:color w:val="000000"/>
                <w:kern w:val="2"/>
                <w:sz w:val="22"/>
                <w:szCs w:val="22"/>
                <w:lang w:val="en-IE" w:eastAsia="en-US"/>
                <w14:ligatures w14:val="standardContextual"/>
              </w:rPr>
              <w:t xml:space="preserve">combined heat and power </w:t>
            </w:r>
            <w:r w:rsidRPr="00137D7A">
              <w:rPr>
                <w:rFonts w:ascii="Times New Roman" w:eastAsia="Aptos" w:hAnsi="Times New Roman" w:cs="Times New Roman"/>
                <w:noProof/>
                <w:color w:val="000000"/>
                <w:kern w:val="2"/>
                <w:sz w:val="22"/>
                <w:szCs w:val="22"/>
                <w:lang w:val="en-IE" w:eastAsia="en-US"/>
                <w14:ligatures w14:val="standardContextual"/>
              </w:rPr>
              <w:t>generation (CHP) in district heating</w:t>
            </w:r>
          </w:p>
        </w:tc>
        <w:tc>
          <w:tcPr>
            <w:tcW w:w="1230" w:type="dxa"/>
            <w:tcBorders>
              <w:top w:val="single" w:sz="4" w:space="0" w:color="auto"/>
              <w:left w:val="nil"/>
              <w:bottom w:val="single" w:sz="4" w:space="0" w:color="auto"/>
              <w:right w:val="single" w:sz="4" w:space="0" w:color="auto"/>
            </w:tcBorders>
            <w:shd w:val="clear" w:color="auto" w:fill="C6EFCE"/>
            <w:noWrap/>
          </w:tcPr>
          <w:p w14:paraId="06A6C0BB"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463C7D3B"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Cogeneration plants and district heating</w:t>
            </w:r>
          </w:p>
        </w:tc>
      </w:tr>
      <w:tr w:rsidR="00137D7A" w:rsidRPr="00137D7A" w14:paraId="6F0F7B60"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B507DBD"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RO-C[C8]-I[I11.0]-M[240a]</w:t>
            </w:r>
          </w:p>
        </w:tc>
        <w:tc>
          <w:tcPr>
            <w:tcW w:w="3544" w:type="dxa"/>
            <w:tcBorders>
              <w:top w:val="single" w:sz="4" w:space="0" w:color="auto"/>
              <w:left w:val="nil"/>
              <w:bottom w:val="single" w:sz="4" w:space="0" w:color="auto"/>
              <w:right w:val="single" w:sz="4" w:space="0" w:color="auto"/>
            </w:tcBorders>
            <w:shd w:val="clear" w:color="auto" w:fill="C6EFCE"/>
            <w:noWrap/>
          </w:tcPr>
          <w:p w14:paraId="19F49CF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Equity injection into the National Development Bank</w:t>
            </w:r>
          </w:p>
        </w:tc>
        <w:tc>
          <w:tcPr>
            <w:tcW w:w="1230" w:type="dxa"/>
            <w:tcBorders>
              <w:top w:val="single" w:sz="4" w:space="0" w:color="auto"/>
              <w:left w:val="nil"/>
              <w:bottom w:val="single" w:sz="4" w:space="0" w:color="auto"/>
              <w:right w:val="single" w:sz="4" w:space="0" w:color="auto"/>
            </w:tcBorders>
            <w:shd w:val="clear" w:color="auto" w:fill="C6EFCE"/>
            <w:noWrap/>
          </w:tcPr>
          <w:p w14:paraId="5837943D"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47" w:type="dxa"/>
            <w:tcBorders>
              <w:top w:val="single" w:sz="4" w:space="0" w:color="auto"/>
              <w:left w:val="nil"/>
              <w:bottom w:val="single" w:sz="4" w:space="0" w:color="auto"/>
              <w:right w:val="single" w:sz="4" w:space="0" w:color="auto"/>
            </w:tcBorders>
            <w:shd w:val="clear" w:color="auto" w:fill="C6EFCE"/>
            <w:noWrap/>
          </w:tcPr>
          <w:p w14:paraId="673ECB7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Investment policy</w:t>
            </w:r>
          </w:p>
        </w:tc>
      </w:tr>
      <w:tr w:rsidR="00137D7A" w:rsidRPr="00137D7A" w14:paraId="2016DDEA"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FFCFD1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RO-C[C8]-I[I11.0]-M[240b]</w:t>
            </w:r>
          </w:p>
        </w:tc>
        <w:tc>
          <w:tcPr>
            <w:tcW w:w="3544" w:type="dxa"/>
            <w:tcBorders>
              <w:top w:val="single" w:sz="4" w:space="0" w:color="auto"/>
              <w:left w:val="nil"/>
              <w:bottom w:val="single" w:sz="4" w:space="0" w:color="auto"/>
              <w:right w:val="single" w:sz="4" w:space="0" w:color="auto"/>
            </w:tcBorders>
            <w:shd w:val="clear" w:color="auto" w:fill="C6EFCE"/>
            <w:noWrap/>
          </w:tcPr>
          <w:p w14:paraId="67867F3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Equity injection into the National Development Bank</w:t>
            </w:r>
          </w:p>
        </w:tc>
        <w:tc>
          <w:tcPr>
            <w:tcW w:w="1230" w:type="dxa"/>
            <w:tcBorders>
              <w:top w:val="single" w:sz="4" w:space="0" w:color="auto"/>
              <w:left w:val="nil"/>
              <w:bottom w:val="single" w:sz="4" w:space="0" w:color="auto"/>
              <w:right w:val="single" w:sz="4" w:space="0" w:color="auto"/>
            </w:tcBorders>
            <w:shd w:val="clear" w:color="auto" w:fill="C6EFCE"/>
            <w:noWrap/>
          </w:tcPr>
          <w:p w14:paraId="2DCB9110"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47" w:type="dxa"/>
            <w:tcBorders>
              <w:top w:val="single" w:sz="4" w:space="0" w:color="auto"/>
              <w:left w:val="nil"/>
              <w:bottom w:val="single" w:sz="4" w:space="0" w:color="auto"/>
              <w:right w:val="single" w:sz="4" w:space="0" w:color="auto"/>
            </w:tcBorders>
            <w:shd w:val="clear" w:color="auto" w:fill="C6EFCE"/>
            <w:noWrap/>
          </w:tcPr>
          <w:p w14:paraId="7588E71B"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Equity injection</w:t>
            </w:r>
          </w:p>
        </w:tc>
      </w:tr>
      <w:tr w:rsidR="00137D7A" w:rsidRPr="00137D7A" w14:paraId="593D4920"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284C0B16"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RO-C[C9]-I[I1.0]-M[246]</w:t>
            </w:r>
          </w:p>
        </w:tc>
        <w:tc>
          <w:tcPr>
            <w:tcW w:w="3544" w:type="dxa"/>
            <w:tcBorders>
              <w:top w:val="single" w:sz="4" w:space="0" w:color="auto"/>
              <w:left w:val="nil"/>
              <w:bottom w:val="single" w:sz="4" w:space="0" w:color="auto"/>
              <w:right w:val="single" w:sz="4" w:space="0" w:color="auto"/>
            </w:tcBorders>
            <w:shd w:val="clear" w:color="auto" w:fill="C6EFCE"/>
            <w:noWrap/>
          </w:tcPr>
          <w:p w14:paraId="085223DC"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Digital platforms on legislative transparency, de-bureaucratisation and procedural simplification for business</w:t>
            </w:r>
          </w:p>
        </w:tc>
        <w:tc>
          <w:tcPr>
            <w:tcW w:w="1230" w:type="dxa"/>
            <w:tcBorders>
              <w:top w:val="single" w:sz="4" w:space="0" w:color="auto"/>
              <w:left w:val="nil"/>
              <w:bottom w:val="single" w:sz="4" w:space="0" w:color="auto"/>
              <w:right w:val="single" w:sz="4" w:space="0" w:color="auto"/>
            </w:tcBorders>
            <w:shd w:val="clear" w:color="auto" w:fill="C6EFCE"/>
            <w:noWrap/>
          </w:tcPr>
          <w:p w14:paraId="523672BB"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w:t>
            </w:r>
          </w:p>
        </w:tc>
        <w:tc>
          <w:tcPr>
            <w:tcW w:w="3447" w:type="dxa"/>
            <w:tcBorders>
              <w:top w:val="single" w:sz="4" w:space="0" w:color="auto"/>
              <w:left w:val="nil"/>
              <w:bottom w:val="single" w:sz="4" w:space="0" w:color="auto"/>
              <w:right w:val="single" w:sz="4" w:space="0" w:color="auto"/>
            </w:tcBorders>
            <w:shd w:val="clear" w:color="auto" w:fill="C6EFCE"/>
            <w:noWrap/>
          </w:tcPr>
          <w:p w14:paraId="0DDC588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Digital platforms, connected to the government cloud and accessible </w:t>
            </w:r>
          </w:p>
        </w:tc>
      </w:tr>
      <w:tr w:rsidR="00137D7A" w:rsidRPr="00137D7A" w14:paraId="551CFB02"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F2B23CC"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RO-C[C9]-I[I2.1]-M[248]</w:t>
            </w:r>
          </w:p>
        </w:tc>
        <w:tc>
          <w:tcPr>
            <w:tcW w:w="3544" w:type="dxa"/>
            <w:tcBorders>
              <w:top w:val="single" w:sz="4" w:space="0" w:color="auto"/>
              <w:left w:val="nil"/>
              <w:bottom w:val="single" w:sz="4" w:space="0" w:color="auto"/>
              <w:right w:val="single" w:sz="4" w:space="0" w:color="auto"/>
            </w:tcBorders>
            <w:shd w:val="clear" w:color="auto" w:fill="C6EFCE"/>
            <w:noWrap/>
          </w:tcPr>
          <w:p w14:paraId="5509146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Financial instruments for the private sector - Portfolio guarantee for resilience </w:t>
            </w:r>
          </w:p>
        </w:tc>
        <w:tc>
          <w:tcPr>
            <w:tcW w:w="1230" w:type="dxa"/>
            <w:tcBorders>
              <w:top w:val="single" w:sz="4" w:space="0" w:color="auto"/>
              <w:left w:val="nil"/>
              <w:bottom w:val="single" w:sz="4" w:space="0" w:color="auto"/>
              <w:right w:val="single" w:sz="4" w:space="0" w:color="auto"/>
            </w:tcBorders>
            <w:shd w:val="clear" w:color="auto" w:fill="C6EFCE"/>
            <w:noWrap/>
          </w:tcPr>
          <w:p w14:paraId="5860EF0A"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w:t>
            </w:r>
          </w:p>
        </w:tc>
        <w:tc>
          <w:tcPr>
            <w:tcW w:w="3447" w:type="dxa"/>
            <w:tcBorders>
              <w:top w:val="single" w:sz="4" w:space="0" w:color="auto"/>
              <w:left w:val="nil"/>
              <w:bottom w:val="single" w:sz="4" w:space="0" w:color="auto"/>
              <w:right w:val="single" w:sz="4" w:space="0" w:color="auto"/>
            </w:tcBorders>
            <w:shd w:val="clear" w:color="auto" w:fill="C6EFCE"/>
            <w:noWrap/>
          </w:tcPr>
          <w:p w14:paraId="19BF25E1" w14:textId="34DBB740" w:rsidR="00137D7A" w:rsidRPr="00137D7A" w:rsidRDefault="008C464C"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8C464C">
              <w:rPr>
                <w:rFonts w:ascii="Times New Roman" w:eastAsia="Aptos" w:hAnsi="Times New Roman" w:cs="Times New Roman"/>
                <w:noProof/>
                <w:color w:val="000000"/>
                <w:kern w:val="2"/>
                <w:sz w:val="22"/>
                <w:szCs w:val="22"/>
                <w:lang w:val="en-IE" w:eastAsia="en-US"/>
                <w14:ligatures w14:val="standardContextual"/>
              </w:rPr>
              <w:t>Government adoption of signed Contribution Agreement </w:t>
            </w:r>
          </w:p>
        </w:tc>
      </w:tr>
      <w:tr w:rsidR="00137D7A" w:rsidRPr="00137D7A" w14:paraId="3B5BA29F"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53D6668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RO-C[C9]-I[I2.1]-T[249]</w:t>
            </w:r>
          </w:p>
        </w:tc>
        <w:tc>
          <w:tcPr>
            <w:tcW w:w="3544" w:type="dxa"/>
            <w:tcBorders>
              <w:top w:val="single" w:sz="4" w:space="0" w:color="auto"/>
              <w:left w:val="nil"/>
              <w:bottom w:val="single" w:sz="4" w:space="0" w:color="auto"/>
              <w:right w:val="single" w:sz="4" w:space="0" w:color="auto"/>
            </w:tcBorders>
            <w:shd w:val="clear" w:color="auto" w:fill="C6EFCE"/>
            <w:noWrap/>
          </w:tcPr>
          <w:p w14:paraId="6327101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Financial instruments for the private sector - Portfolio guarantee for resilience</w:t>
            </w:r>
          </w:p>
        </w:tc>
        <w:tc>
          <w:tcPr>
            <w:tcW w:w="1230" w:type="dxa"/>
            <w:tcBorders>
              <w:top w:val="single" w:sz="4" w:space="0" w:color="auto"/>
              <w:left w:val="nil"/>
              <w:bottom w:val="single" w:sz="4" w:space="0" w:color="auto"/>
              <w:right w:val="single" w:sz="4" w:space="0" w:color="auto"/>
            </w:tcBorders>
            <w:shd w:val="clear" w:color="auto" w:fill="C6EFCE"/>
            <w:noWrap/>
          </w:tcPr>
          <w:p w14:paraId="6CA24402"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2817FD4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Finance or investment operations amounting to 100% of the resources allocated to the instrument approved by the InvestEU Investment Committee</w:t>
            </w:r>
          </w:p>
        </w:tc>
      </w:tr>
      <w:tr w:rsidR="00137D7A" w:rsidRPr="00137D7A" w14:paraId="3C663DBC"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457A78D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RO-C[C9]-I[I3.2]-T[265]</w:t>
            </w:r>
          </w:p>
        </w:tc>
        <w:tc>
          <w:tcPr>
            <w:tcW w:w="3544" w:type="dxa"/>
            <w:tcBorders>
              <w:top w:val="single" w:sz="4" w:space="0" w:color="auto"/>
              <w:left w:val="nil"/>
              <w:bottom w:val="single" w:sz="4" w:space="0" w:color="auto"/>
              <w:right w:val="single" w:sz="4" w:space="0" w:color="auto"/>
            </w:tcBorders>
            <w:shd w:val="clear" w:color="auto" w:fill="C6EFCE"/>
            <w:noWrap/>
          </w:tcPr>
          <w:p w14:paraId="067AAA19" w14:textId="6C11D8AE" w:rsidR="00137D7A" w:rsidRPr="00137D7A" w:rsidRDefault="00C379E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C379EA">
              <w:rPr>
                <w:rFonts w:ascii="Times New Roman" w:eastAsia="Aptos" w:hAnsi="Times New Roman" w:cs="Times New Roman"/>
                <w:noProof/>
                <w:color w:val="000000"/>
                <w:kern w:val="2"/>
                <w:sz w:val="22"/>
                <w:szCs w:val="22"/>
                <w:lang w:val="en-IE" w:eastAsia="en-US"/>
                <w14:ligatures w14:val="standardContextual"/>
              </w:rPr>
              <w:t>Support for Romanian firms in listing on the stock exchange</w:t>
            </w:r>
          </w:p>
        </w:tc>
        <w:tc>
          <w:tcPr>
            <w:tcW w:w="1230" w:type="dxa"/>
            <w:tcBorders>
              <w:top w:val="single" w:sz="4" w:space="0" w:color="auto"/>
              <w:left w:val="nil"/>
              <w:bottom w:val="single" w:sz="4" w:space="0" w:color="auto"/>
              <w:right w:val="single" w:sz="4" w:space="0" w:color="auto"/>
            </w:tcBorders>
            <w:shd w:val="clear" w:color="auto" w:fill="C6EFCE"/>
            <w:noWrap/>
          </w:tcPr>
          <w:p w14:paraId="2ADC3A54"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5DB679A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Number of signed financing contracts</w:t>
            </w:r>
          </w:p>
        </w:tc>
      </w:tr>
      <w:tr w:rsidR="00137D7A" w:rsidRPr="00137D7A" w14:paraId="14728117"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95B1A0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RO-C[C9]-R[R5.0]-T[279]</w:t>
            </w:r>
          </w:p>
        </w:tc>
        <w:tc>
          <w:tcPr>
            <w:tcW w:w="3544" w:type="dxa"/>
            <w:tcBorders>
              <w:top w:val="single" w:sz="4" w:space="0" w:color="auto"/>
              <w:left w:val="nil"/>
              <w:bottom w:val="single" w:sz="4" w:space="0" w:color="auto"/>
              <w:right w:val="single" w:sz="4" w:space="0" w:color="auto"/>
            </w:tcBorders>
            <w:shd w:val="clear" w:color="auto" w:fill="C6EFCE"/>
            <w:noWrap/>
          </w:tcPr>
          <w:p w14:paraId="770187DB"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Support to integrate the research, development and innovation organisations in Romania in the European Research Area</w:t>
            </w:r>
          </w:p>
        </w:tc>
        <w:tc>
          <w:tcPr>
            <w:tcW w:w="1230" w:type="dxa"/>
            <w:tcBorders>
              <w:top w:val="single" w:sz="4" w:space="0" w:color="auto"/>
              <w:left w:val="nil"/>
              <w:bottom w:val="single" w:sz="4" w:space="0" w:color="auto"/>
              <w:right w:val="single" w:sz="4" w:space="0" w:color="auto"/>
            </w:tcBorders>
            <w:shd w:val="clear" w:color="auto" w:fill="C6EFCE"/>
            <w:noWrap/>
          </w:tcPr>
          <w:p w14:paraId="10C5C131"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0D91262F" w14:textId="77461801"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Percentage of research organisations sharing research infrastructure and</w:t>
            </w:r>
            <w:r w:rsidR="00BB3AC3">
              <w:rPr>
                <w:rFonts w:ascii="Times New Roman" w:eastAsia="Aptos" w:hAnsi="Times New Roman" w:cs="Times New Roman"/>
                <w:noProof/>
                <w:color w:val="000000"/>
                <w:kern w:val="2"/>
                <w:sz w:val="22"/>
                <w:szCs w:val="22"/>
                <w:lang w:val="en-IE" w:eastAsia="en-US"/>
                <w14:ligatures w14:val="standardContextual"/>
              </w:rPr>
              <w:t>/or</w:t>
            </w:r>
            <w:r w:rsidRPr="00137D7A">
              <w:rPr>
                <w:rFonts w:ascii="Times New Roman" w:eastAsia="Aptos" w:hAnsi="Times New Roman" w:cs="Times New Roman"/>
                <w:noProof/>
                <w:color w:val="000000"/>
                <w:kern w:val="2"/>
                <w:sz w:val="22"/>
                <w:szCs w:val="22"/>
                <w:lang w:val="en-IE" w:eastAsia="en-US"/>
                <w14:ligatures w14:val="standardContextual"/>
              </w:rPr>
              <w:t xml:space="preserve"> facilities</w:t>
            </w:r>
          </w:p>
        </w:tc>
      </w:tr>
      <w:tr w:rsidR="00137D7A" w:rsidRPr="00137D7A" w14:paraId="7A57A2DA"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07CF02A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RO-C[C10]-R[R5.0]-M[315]</w:t>
            </w:r>
          </w:p>
        </w:tc>
        <w:tc>
          <w:tcPr>
            <w:tcW w:w="3544" w:type="dxa"/>
            <w:tcBorders>
              <w:top w:val="single" w:sz="4" w:space="0" w:color="auto"/>
              <w:left w:val="nil"/>
              <w:bottom w:val="single" w:sz="4" w:space="0" w:color="auto"/>
              <w:right w:val="single" w:sz="4" w:space="0" w:color="auto"/>
            </w:tcBorders>
            <w:shd w:val="clear" w:color="auto" w:fill="C6EFCE"/>
            <w:noWrap/>
          </w:tcPr>
          <w:p w14:paraId="53A9690E" w14:textId="77777777" w:rsidR="00E1686B"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Development of the planning system </w:t>
            </w:r>
          </w:p>
          <w:p w14:paraId="2BA6B750" w14:textId="14BDE290"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Code of Spatial Planning, Urbanism and Construction</w:t>
            </w:r>
          </w:p>
        </w:tc>
        <w:tc>
          <w:tcPr>
            <w:tcW w:w="1230" w:type="dxa"/>
            <w:tcBorders>
              <w:top w:val="single" w:sz="4" w:space="0" w:color="auto"/>
              <w:left w:val="nil"/>
              <w:bottom w:val="single" w:sz="4" w:space="0" w:color="auto"/>
              <w:right w:val="single" w:sz="4" w:space="0" w:color="auto"/>
            </w:tcBorders>
            <w:shd w:val="clear" w:color="auto" w:fill="C6EFCE"/>
            <w:noWrap/>
          </w:tcPr>
          <w:p w14:paraId="35D33355"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47" w:type="dxa"/>
            <w:tcBorders>
              <w:top w:val="single" w:sz="4" w:space="0" w:color="auto"/>
              <w:left w:val="nil"/>
              <w:bottom w:val="single" w:sz="4" w:space="0" w:color="auto"/>
              <w:right w:val="single" w:sz="4" w:space="0" w:color="auto"/>
            </w:tcBorders>
            <w:shd w:val="clear" w:color="auto" w:fill="C6EFCE"/>
            <w:noWrap/>
          </w:tcPr>
          <w:p w14:paraId="0265115C" w14:textId="03B28187" w:rsidR="00137D7A" w:rsidRPr="00137D7A" w:rsidRDefault="00786B73"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786B73">
              <w:rPr>
                <w:rFonts w:ascii="Times New Roman" w:eastAsia="Aptos" w:hAnsi="Times New Roman" w:cs="Times New Roman"/>
                <w:noProof/>
                <w:color w:val="000000"/>
                <w:kern w:val="2"/>
                <w:sz w:val="22"/>
                <w:szCs w:val="22"/>
                <w:lang w:val="en-IE" w:eastAsia="en-US"/>
                <w14:ligatures w14:val="standardContextual"/>
              </w:rPr>
              <w:t>Publication in the Official Journal of the Code of Spatial Planning, Urban Planning and Construction  </w:t>
            </w:r>
          </w:p>
        </w:tc>
      </w:tr>
      <w:tr w:rsidR="00137D7A" w:rsidRPr="00137D7A" w14:paraId="43E1142E"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0F0F7A64"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RO-C[C10]-I[I2.0]-T[318]</w:t>
            </w:r>
          </w:p>
        </w:tc>
        <w:tc>
          <w:tcPr>
            <w:tcW w:w="3544" w:type="dxa"/>
            <w:tcBorders>
              <w:top w:val="single" w:sz="4" w:space="0" w:color="auto"/>
              <w:left w:val="nil"/>
              <w:bottom w:val="single" w:sz="4" w:space="0" w:color="auto"/>
              <w:right w:val="single" w:sz="4" w:space="0" w:color="auto"/>
            </w:tcBorders>
            <w:shd w:val="clear" w:color="auto" w:fill="C6EFCE"/>
            <w:noWrap/>
          </w:tcPr>
          <w:p w14:paraId="5FD6F5D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Construction of housing for youth and for professionals in health and education</w:t>
            </w:r>
          </w:p>
        </w:tc>
        <w:tc>
          <w:tcPr>
            <w:tcW w:w="1230" w:type="dxa"/>
            <w:tcBorders>
              <w:top w:val="single" w:sz="4" w:space="0" w:color="auto"/>
              <w:left w:val="nil"/>
              <w:bottom w:val="single" w:sz="4" w:space="0" w:color="auto"/>
              <w:right w:val="single" w:sz="4" w:space="0" w:color="auto"/>
            </w:tcBorders>
            <w:shd w:val="clear" w:color="auto" w:fill="C6EFCE"/>
            <w:noWrap/>
          </w:tcPr>
          <w:p w14:paraId="54A12233"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44A9DF1C" w14:textId="721FC453"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Housing units built for young people coming from </w:t>
            </w:r>
            <w:r w:rsidR="00D751FA" w:rsidRPr="00D751FA">
              <w:rPr>
                <w:rFonts w:ascii="Times New Roman" w:eastAsia="Aptos" w:hAnsi="Times New Roman" w:cs="Times New Roman"/>
                <w:noProof/>
                <w:color w:val="000000"/>
                <w:kern w:val="2"/>
                <w:sz w:val="22"/>
                <w:szCs w:val="22"/>
                <w:lang w:val="en-IE" w:eastAsia="en-US"/>
                <w14:ligatures w14:val="standardContextual"/>
              </w:rPr>
              <w:t>marginalised</w:t>
            </w:r>
            <w:r w:rsidR="00D751FA">
              <w:rPr>
                <w:rFonts w:ascii="Times New Roman" w:eastAsia="Aptos" w:hAnsi="Times New Roman" w:cs="Times New Roman"/>
                <w:noProof/>
                <w:color w:val="000000"/>
                <w:kern w:val="2"/>
                <w:sz w:val="22"/>
                <w:szCs w:val="22"/>
                <w:lang w:val="en-IE" w:eastAsia="en-US"/>
                <w14:ligatures w14:val="standardContextual"/>
              </w:rPr>
              <w:t xml:space="preserve"> </w:t>
            </w:r>
            <w:r w:rsidR="00D751FA" w:rsidRPr="00D751FA">
              <w:rPr>
                <w:rFonts w:ascii="Times New Roman" w:eastAsia="Aptos" w:hAnsi="Times New Roman" w:cs="Times New Roman"/>
                <w:noProof/>
                <w:color w:val="000000"/>
                <w:kern w:val="2"/>
                <w:sz w:val="22"/>
                <w:szCs w:val="22"/>
                <w:lang w:val="en-IE" w:eastAsia="en-US"/>
                <w14:ligatures w14:val="standardContextual"/>
              </w:rPr>
              <w:t>communities or vulnerable groups</w:t>
            </w:r>
            <w:r w:rsidR="00D751FA" w:rsidRPr="00D751FA" w:rsidDel="00D751FA">
              <w:rPr>
                <w:rFonts w:ascii="Times New Roman" w:eastAsia="Aptos" w:hAnsi="Times New Roman" w:cs="Times New Roman"/>
                <w:noProof/>
                <w:color w:val="000000"/>
                <w:kern w:val="2"/>
                <w:sz w:val="22"/>
                <w:szCs w:val="22"/>
                <w:lang w:val="en-IE" w:eastAsia="en-US"/>
                <w14:ligatures w14:val="standardContextual"/>
              </w:rPr>
              <w:t xml:space="preserve"> </w:t>
            </w:r>
            <w:r w:rsidRPr="00137D7A">
              <w:rPr>
                <w:rFonts w:ascii="Times New Roman" w:eastAsia="Aptos" w:hAnsi="Times New Roman" w:cs="Times New Roman"/>
                <w:noProof/>
                <w:kern w:val="2"/>
                <w:sz w:val="22"/>
                <w:szCs w:val="22"/>
                <w:lang w:val="en-IE" w:eastAsia="en-US"/>
                <w14:ligatures w14:val="standardContextual"/>
              </w:rPr>
              <w:t>and for professionals in health and education</w:t>
            </w:r>
          </w:p>
        </w:tc>
      </w:tr>
      <w:tr w:rsidR="00137D7A" w:rsidRPr="00137D7A" w14:paraId="76571753"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2CD00ED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RO-C[C10]-I[I3.0]-T[322]</w:t>
            </w:r>
          </w:p>
        </w:tc>
        <w:tc>
          <w:tcPr>
            <w:tcW w:w="3544" w:type="dxa"/>
            <w:tcBorders>
              <w:top w:val="single" w:sz="4" w:space="0" w:color="auto"/>
              <w:left w:val="nil"/>
              <w:bottom w:val="single" w:sz="4" w:space="0" w:color="auto"/>
              <w:right w:val="single" w:sz="4" w:space="0" w:color="auto"/>
            </w:tcBorders>
            <w:shd w:val="clear" w:color="auto" w:fill="C6EFCE"/>
            <w:noWrap/>
          </w:tcPr>
          <w:p w14:paraId="44D617A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Renovation of public buildings to </w:t>
            </w:r>
            <w:r w:rsidRPr="00137D7A">
              <w:rPr>
                <w:rFonts w:ascii="Times New Roman" w:eastAsia="Aptos" w:hAnsi="Times New Roman" w:cs="Times New Roman"/>
                <w:noProof/>
                <w:kern w:val="2"/>
                <w:sz w:val="22"/>
                <w:szCs w:val="22"/>
                <w:lang w:val="en-IE" w:eastAsia="en-US"/>
                <w14:ligatures w14:val="standardContextual"/>
              </w:rPr>
              <w:t>support better</w:t>
            </w:r>
            <w:r w:rsidRPr="00137D7A">
              <w:rPr>
                <w:rFonts w:ascii="Times New Roman" w:eastAsia="Aptos" w:hAnsi="Times New Roman" w:cs="Times New Roman"/>
                <w:noProof/>
                <w:color w:val="000000"/>
                <w:kern w:val="2"/>
                <w:sz w:val="22"/>
                <w:szCs w:val="22"/>
                <w:lang w:val="en-IE" w:eastAsia="en-US"/>
                <w14:ligatures w14:val="standardContextual"/>
              </w:rPr>
              <w:t xml:space="preserve"> public service delivery by administrative territorial units</w:t>
            </w:r>
          </w:p>
        </w:tc>
        <w:tc>
          <w:tcPr>
            <w:tcW w:w="1230" w:type="dxa"/>
            <w:tcBorders>
              <w:top w:val="single" w:sz="4" w:space="0" w:color="auto"/>
              <w:left w:val="nil"/>
              <w:bottom w:val="single" w:sz="4" w:space="0" w:color="auto"/>
              <w:right w:val="single" w:sz="4" w:space="0" w:color="auto"/>
            </w:tcBorders>
            <w:shd w:val="clear" w:color="auto" w:fill="C6EFCE"/>
            <w:noWrap/>
          </w:tcPr>
          <w:p w14:paraId="64577CA6"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0B55D19C"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Energy renovation of public buildings </w:t>
            </w:r>
          </w:p>
        </w:tc>
      </w:tr>
      <w:tr w:rsidR="00137D7A" w:rsidRPr="00137D7A" w14:paraId="7B69E9E5"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0626BA33"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RO-C[C10]-I[I4.0]-T[325]</w:t>
            </w:r>
          </w:p>
        </w:tc>
        <w:tc>
          <w:tcPr>
            <w:tcW w:w="3544" w:type="dxa"/>
            <w:tcBorders>
              <w:top w:val="single" w:sz="4" w:space="0" w:color="auto"/>
              <w:left w:val="nil"/>
              <w:bottom w:val="single" w:sz="4" w:space="0" w:color="auto"/>
              <w:right w:val="single" w:sz="4" w:space="0" w:color="auto"/>
            </w:tcBorders>
            <w:shd w:val="clear" w:color="auto" w:fill="C6EFCE"/>
            <w:noWrap/>
          </w:tcPr>
          <w:p w14:paraId="16C1F180" w14:textId="00DFD3F3" w:rsidR="00137D7A" w:rsidRPr="00137D7A" w:rsidRDefault="003C00E7"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3C00E7">
              <w:rPr>
                <w:rFonts w:ascii="Times New Roman" w:eastAsia="Aptos" w:hAnsi="Times New Roman" w:cs="Times New Roman"/>
                <w:noProof/>
                <w:color w:val="000000"/>
                <w:kern w:val="2"/>
                <w:sz w:val="22"/>
                <w:szCs w:val="22"/>
                <w:lang w:val="en-IE" w:eastAsia="en-US"/>
                <w14:ligatures w14:val="standardContextual"/>
              </w:rPr>
              <w:t>Producing</w:t>
            </w:r>
            <w:r w:rsidRPr="003C00E7" w:rsidDel="003C00E7">
              <w:rPr>
                <w:rFonts w:ascii="Times New Roman" w:eastAsia="Aptos" w:hAnsi="Times New Roman" w:cs="Times New Roman"/>
                <w:noProof/>
                <w:color w:val="000000"/>
                <w:kern w:val="2"/>
                <w:sz w:val="22"/>
                <w:szCs w:val="22"/>
                <w:lang w:val="en-IE" w:eastAsia="en-US"/>
                <w14:ligatures w14:val="standardContextual"/>
              </w:rPr>
              <w:t xml:space="preserve"> </w:t>
            </w:r>
            <w:r w:rsidR="00137D7A" w:rsidRPr="00137D7A">
              <w:rPr>
                <w:rFonts w:ascii="Times New Roman" w:eastAsia="Aptos" w:hAnsi="Times New Roman" w:cs="Times New Roman"/>
                <w:noProof/>
                <w:color w:val="000000"/>
                <w:kern w:val="2"/>
                <w:sz w:val="22"/>
                <w:szCs w:val="22"/>
                <w:lang w:val="en-IE" w:eastAsia="en-US"/>
                <w14:ligatures w14:val="standardContextual"/>
              </w:rPr>
              <w:t>/updating in GIS format spatial planning and urban planning documents</w:t>
            </w:r>
          </w:p>
        </w:tc>
        <w:tc>
          <w:tcPr>
            <w:tcW w:w="1230" w:type="dxa"/>
            <w:tcBorders>
              <w:top w:val="single" w:sz="4" w:space="0" w:color="auto"/>
              <w:left w:val="nil"/>
              <w:bottom w:val="single" w:sz="4" w:space="0" w:color="auto"/>
              <w:right w:val="single" w:sz="4" w:space="0" w:color="auto"/>
            </w:tcBorders>
            <w:shd w:val="clear" w:color="auto" w:fill="C6EFCE"/>
            <w:noWrap/>
          </w:tcPr>
          <w:p w14:paraId="295A6D1B"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0D1861BB" w14:textId="685FACA6"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Spatial planning</w:t>
            </w:r>
            <w:r w:rsidR="00182965">
              <w:rPr>
                <w:rFonts w:ascii="Times New Roman" w:eastAsia="Aptos" w:hAnsi="Times New Roman" w:cs="Times New Roman"/>
                <w:noProof/>
                <w:color w:val="000000"/>
                <w:kern w:val="2"/>
                <w:sz w:val="22"/>
                <w:szCs w:val="22"/>
                <w:lang w:val="en-IE" w:eastAsia="en-US"/>
                <w14:ligatures w14:val="standardContextual"/>
              </w:rPr>
              <w:t xml:space="preserve"> documents</w:t>
            </w:r>
            <w:r w:rsidRPr="00137D7A">
              <w:rPr>
                <w:rFonts w:ascii="Times New Roman" w:eastAsia="Aptos" w:hAnsi="Times New Roman" w:cs="Times New Roman"/>
                <w:noProof/>
                <w:color w:val="000000"/>
                <w:kern w:val="2"/>
                <w:sz w:val="22"/>
                <w:szCs w:val="22"/>
                <w:lang w:val="en-IE" w:eastAsia="en-US"/>
                <w14:ligatures w14:val="standardContextual"/>
              </w:rPr>
              <w:t>, urban planning</w:t>
            </w:r>
            <w:r w:rsidR="00182965">
              <w:rPr>
                <w:rFonts w:ascii="Times New Roman" w:eastAsia="Aptos" w:hAnsi="Times New Roman" w:cs="Times New Roman"/>
                <w:noProof/>
                <w:color w:val="000000"/>
                <w:kern w:val="2"/>
                <w:sz w:val="22"/>
                <w:szCs w:val="22"/>
                <w:lang w:val="en-IE" w:eastAsia="en-US"/>
                <w14:ligatures w14:val="standardContextual"/>
              </w:rPr>
              <w:t xml:space="preserve"> documents</w:t>
            </w:r>
            <w:r w:rsidRPr="00137D7A">
              <w:rPr>
                <w:rFonts w:ascii="Times New Roman" w:eastAsia="Aptos" w:hAnsi="Times New Roman" w:cs="Times New Roman"/>
                <w:noProof/>
                <w:color w:val="000000"/>
                <w:kern w:val="2"/>
                <w:sz w:val="22"/>
                <w:szCs w:val="22"/>
                <w:lang w:val="en-IE" w:eastAsia="en-US"/>
                <w14:ligatures w14:val="standardContextual"/>
              </w:rPr>
              <w:t xml:space="preserve"> and sustainable urban mobility plans published in the Territorial Observatory platform</w:t>
            </w:r>
          </w:p>
        </w:tc>
      </w:tr>
      <w:tr w:rsidR="00137D7A" w:rsidRPr="00137D7A" w14:paraId="5C649AC7"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293EE16A"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RO-C[C11]-I[I1.0]-M[335]</w:t>
            </w:r>
          </w:p>
        </w:tc>
        <w:tc>
          <w:tcPr>
            <w:tcW w:w="3544" w:type="dxa"/>
            <w:tcBorders>
              <w:top w:val="single" w:sz="4" w:space="0" w:color="auto"/>
              <w:left w:val="nil"/>
              <w:bottom w:val="single" w:sz="4" w:space="0" w:color="auto"/>
              <w:right w:val="single" w:sz="4" w:space="0" w:color="auto"/>
            </w:tcBorders>
            <w:shd w:val="clear" w:color="auto" w:fill="C6EFCE"/>
            <w:noWrap/>
          </w:tcPr>
          <w:p w14:paraId="6C5A76A6"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Promotion of the 12 touristic/cultural routes</w:t>
            </w:r>
          </w:p>
        </w:tc>
        <w:tc>
          <w:tcPr>
            <w:tcW w:w="1230" w:type="dxa"/>
            <w:tcBorders>
              <w:top w:val="single" w:sz="4" w:space="0" w:color="auto"/>
              <w:left w:val="nil"/>
              <w:bottom w:val="single" w:sz="4" w:space="0" w:color="auto"/>
              <w:right w:val="single" w:sz="4" w:space="0" w:color="auto"/>
            </w:tcBorders>
            <w:shd w:val="clear" w:color="auto" w:fill="C6EFCE"/>
            <w:noWrap/>
          </w:tcPr>
          <w:p w14:paraId="6586A1A8"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w:t>
            </w:r>
          </w:p>
        </w:tc>
        <w:tc>
          <w:tcPr>
            <w:tcW w:w="3447" w:type="dxa"/>
            <w:tcBorders>
              <w:top w:val="single" w:sz="4" w:space="0" w:color="auto"/>
              <w:left w:val="nil"/>
              <w:bottom w:val="single" w:sz="4" w:space="0" w:color="auto"/>
              <w:right w:val="single" w:sz="4" w:space="0" w:color="auto"/>
            </w:tcBorders>
            <w:shd w:val="clear" w:color="auto" w:fill="C6EFCE"/>
            <w:noWrap/>
          </w:tcPr>
          <w:p w14:paraId="78F4A4D6" w14:textId="25D2C97A"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US"/>
                <w14:ligatures w14:val="standardContextual"/>
              </w:rPr>
              <w:t xml:space="preserve"> </w:t>
            </w:r>
            <w:r w:rsidR="00761FE4">
              <w:rPr>
                <w:rFonts w:ascii="Times New Roman" w:eastAsia="Times New Roman" w:hAnsi="Times New Roman" w:cs="Times New Roman"/>
                <w:noProof/>
                <w:kern w:val="2"/>
                <w:sz w:val="22"/>
                <w:szCs w:val="22"/>
                <w:lang w:val="en-IE" w:eastAsia="en-US"/>
                <w14:ligatures w14:val="standardContextual"/>
              </w:rPr>
              <w:t>Touristic s</w:t>
            </w:r>
            <w:r w:rsidRPr="00137D7A">
              <w:rPr>
                <w:rFonts w:ascii="Times New Roman" w:eastAsia="Times New Roman" w:hAnsi="Times New Roman" w:cs="Times New Roman"/>
                <w:noProof/>
                <w:kern w:val="2"/>
                <w:sz w:val="22"/>
                <w:szCs w:val="22"/>
                <w:lang w:val="en-IE" w:eastAsia="en-US"/>
                <w14:ligatures w14:val="standardContextual"/>
              </w:rPr>
              <w:t>ites open for visitors</w:t>
            </w:r>
          </w:p>
        </w:tc>
      </w:tr>
      <w:tr w:rsidR="00137D7A" w:rsidRPr="00137D7A" w14:paraId="76A00BB8"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A92BA0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RO-C[C11]-I[I2.0]-T[337]</w:t>
            </w:r>
          </w:p>
        </w:tc>
        <w:tc>
          <w:tcPr>
            <w:tcW w:w="3544" w:type="dxa"/>
            <w:tcBorders>
              <w:top w:val="single" w:sz="4" w:space="0" w:color="auto"/>
              <w:left w:val="nil"/>
              <w:bottom w:val="single" w:sz="4" w:space="0" w:color="auto"/>
              <w:right w:val="single" w:sz="4" w:space="0" w:color="auto"/>
            </w:tcBorders>
            <w:shd w:val="clear" w:color="auto" w:fill="C6EFCE"/>
            <w:noWrap/>
          </w:tcPr>
          <w:p w14:paraId="09F69FEB"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Modernisation/creation of museums and memorials</w:t>
            </w:r>
          </w:p>
        </w:tc>
        <w:tc>
          <w:tcPr>
            <w:tcW w:w="1230" w:type="dxa"/>
            <w:tcBorders>
              <w:top w:val="single" w:sz="4" w:space="0" w:color="auto"/>
              <w:left w:val="nil"/>
              <w:bottom w:val="single" w:sz="4" w:space="0" w:color="auto"/>
              <w:right w:val="single" w:sz="4" w:space="0" w:color="auto"/>
            </w:tcBorders>
            <w:shd w:val="clear" w:color="auto" w:fill="C6EFCE"/>
            <w:noWrap/>
          </w:tcPr>
          <w:p w14:paraId="5561AEE5"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1F7F6DB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Museums or memorials opened to the public</w:t>
            </w:r>
          </w:p>
        </w:tc>
      </w:tr>
      <w:tr w:rsidR="00137D7A" w:rsidRPr="00137D7A" w14:paraId="3CD6C64C"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74EE8BAD"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RO-C[C11]-I[I4.0]-M[343]</w:t>
            </w:r>
          </w:p>
        </w:tc>
        <w:tc>
          <w:tcPr>
            <w:tcW w:w="3544" w:type="dxa"/>
            <w:tcBorders>
              <w:top w:val="single" w:sz="4" w:space="0" w:color="auto"/>
              <w:left w:val="nil"/>
              <w:bottom w:val="single" w:sz="4" w:space="0" w:color="auto"/>
              <w:right w:val="single" w:sz="4" w:space="0" w:color="auto"/>
            </w:tcBorders>
            <w:shd w:val="clear" w:color="auto" w:fill="C6EFCE"/>
            <w:noWrap/>
          </w:tcPr>
          <w:p w14:paraId="7E71532C" w14:textId="228809A4"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Construction of </w:t>
            </w:r>
            <w:r w:rsidR="00AC4C36">
              <w:rPr>
                <w:rFonts w:ascii="Times New Roman" w:eastAsia="Aptos" w:hAnsi="Times New Roman" w:cs="Times New Roman"/>
                <w:noProof/>
                <w:color w:val="000000"/>
                <w:kern w:val="2"/>
                <w:sz w:val="22"/>
                <w:szCs w:val="22"/>
                <w:lang w:val="en-IE" w:eastAsia="en-US"/>
                <w14:ligatures w14:val="standardContextual"/>
              </w:rPr>
              <w:t xml:space="preserve">at least </w:t>
            </w:r>
            <w:r w:rsidRPr="00137D7A">
              <w:rPr>
                <w:rFonts w:ascii="Times New Roman" w:eastAsia="Aptos" w:hAnsi="Times New Roman" w:cs="Times New Roman"/>
                <w:noProof/>
                <w:color w:val="000000"/>
                <w:kern w:val="2"/>
                <w:sz w:val="22"/>
                <w:szCs w:val="22"/>
                <w:lang w:val="en-IE" w:eastAsia="en-US"/>
                <w14:ligatures w14:val="standardContextual"/>
              </w:rPr>
              <w:t>236 km of cycling routes</w:t>
            </w:r>
          </w:p>
        </w:tc>
        <w:tc>
          <w:tcPr>
            <w:tcW w:w="1230" w:type="dxa"/>
            <w:tcBorders>
              <w:top w:val="single" w:sz="4" w:space="0" w:color="auto"/>
              <w:left w:val="nil"/>
              <w:bottom w:val="single" w:sz="4" w:space="0" w:color="auto"/>
              <w:right w:val="single" w:sz="4" w:space="0" w:color="auto"/>
            </w:tcBorders>
            <w:shd w:val="clear" w:color="auto" w:fill="C6EFCE"/>
            <w:noWrap/>
          </w:tcPr>
          <w:p w14:paraId="5C90AB67"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47" w:type="dxa"/>
            <w:tcBorders>
              <w:top w:val="single" w:sz="4" w:space="0" w:color="auto"/>
              <w:left w:val="nil"/>
              <w:bottom w:val="single" w:sz="4" w:space="0" w:color="auto"/>
              <w:right w:val="single" w:sz="4" w:space="0" w:color="auto"/>
            </w:tcBorders>
            <w:shd w:val="clear" w:color="auto" w:fill="C6EFCE"/>
            <w:noWrap/>
          </w:tcPr>
          <w:p w14:paraId="350C8854"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Cycling routes built and accessible for cycling</w:t>
            </w:r>
          </w:p>
        </w:tc>
      </w:tr>
      <w:tr w:rsidR="00137D7A" w:rsidRPr="00137D7A" w14:paraId="77BA18CC"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6822BE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RO-C[C12]-I[I3.0]-M[531]</w:t>
            </w:r>
          </w:p>
        </w:tc>
        <w:tc>
          <w:tcPr>
            <w:tcW w:w="3544" w:type="dxa"/>
            <w:tcBorders>
              <w:top w:val="single" w:sz="4" w:space="0" w:color="auto"/>
              <w:left w:val="nil"/>
              <w:bottom w:val="single" w:sz="4" w:space="0" w:color="auto"/>
              <w:right w:val="single" w:sz="4" w:space="0" w:color="auto"/>
            </w:tcBorders>
            <w:shd w:val="clear" w:color="auto" w:fill="C6EFCE"/>
            <w:noWrap/>
          </w:tcPr>
          <w:p w14:paraId="1ADAEBAD"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Public hospitals</w:t>
            </w:r>
          </w:p>
        </w:tc>
        <w:tc>
          <w:tcPr>
            <w:tcW w:w="1230" w:type="dxa"/>
            <w:tcBorders>
              <w:top w:val="single" w:sz="4" w:space="0" w:color="auto"/>
              <w:left w:val="nil"/>
              <w:bottom w:val="single" w:sz="4" w:space="0" w:color="auto"/>
              <w:right w:val="single" w:sz="4" w:space="0" w:color="auto"/>
            </w:tcBorders>
            <w:shd w:val="clear" w:color="auto" w:fill="C6EFCE"/>
            <w:noWrap/>
          </w:tcPr>
          <w:p w14:paraId="5B900C82"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47" w:type="dxa"/>
            <w:tcBorders>
              <w:top w:val="single" w:sz="4" w:space="0" w:color="auto"/>
              <w:left w:val="nil"/>
              <w:bottom w:val="single" w:sz="4" w:space="0" w:color="auto"/>
              <w:right w:val="single" w:sz="4" w:space="0" w:color="auto"/>
            </w:tcBorders>
            <w:shd w:val="clear" w:color="auto" w:fill="C6EFCE"/>
            <w:noWrap/>
          </w:tcPr>
          <w:p w14:paraId="403CCE1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Construction and equipping of the Zerlendi Tuberculosis Diagnostics and Treatment Centre Bucharest</w:t>
            </w:r>
          </w:p>
        </w:tc>
      </w:tr>
      <w:tr w:rsidR="00137D7A" w:rsidRPr="00137D7A" w14:paraId="5BD19EAE"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95633E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RO-C[C12]-I[I3.0]-M[532]</w:t>
            </w:r>
          </w:p>
        </w:tc>
        <w:tc>
          <w:tcPr>
            <w:tcW w:w="3544" w:type="dxa"/>
            <w:tcBorders>
              <w:top w:val="single" w:sz="4" w:space="0" w:color="auto"/>
              <w:left w:val="nil"/>
              <w:bottom w:val="single" w:sz="4" w:space="0" w:color="auto"/>
              <w:right w:val="single" w:sz="4" w:space="0" w:color="auto"/>
            </w:tcBorders>
            <w:shd w:val="clear" w:color="auto" w:fill="C6EFCE"/>
            <w:noWrap/>
          </w:tcPr>
          <w:p w14:paraId="3B12376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Public hospitals</w:t>
            </w:r>
          </w:p>
        </w:tc>
        <w:tc>
          <w:tcPr>
            <w:tcW w:w="1230" w:type="dxa"/>
            <w:tcBorders>
              <w:top w:val="single" w:sz="4" w:space="0" w:color="auto"/>
              <w:left w:val="nil"/>
              <w:bottom w:val="single" w:sz="4" w:space="0" w:color="auto"/>
              <w:right w:val="single" w:sz="4" w:space="0" w:color="auto"/>
            </w:tcBorders>
            <w:shd w:val="clear" w:color="auto" w:fill="C6EFCE"/>
            <w:noWrap/>
          </w:tcPr>
          <w:p w14:paraId="44E44861"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47" w:type="dxa"/>
            <w:tcBorders>
              <w:top w:val="single" w:sz="4" w:space="0" w:color="auto"/>
              <w:left w:val="nil"/>
              <w:bottom w:val="single" w:sz="4" w:space="0" w:color="auto"/>
              <w:right w:val="single" w:sz="4" w:space="0" w:color="auto"/>
            </w:tcBorders>
            <w:shd w:val="clear" w:color="auto" w:fill="C6EFCE"/>
            <w:noWrap/>
          </w:tcPr>
          <w:p w14:paraId="04B9828A"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Construction and equipping of the Emergency Institute for Cardiovascular Diseases and Transplant Târgu Mures</w:t>
            </w:r>
          </w:p>
        </w:tc>
      </w:tr>
      <w:tr w:rsidR="00137D7A" w:rsidRPr="00137D7A" w14:paraId="451B2B89"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3C15C0B"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RO-C[C15]-I[I1a.0]-T[457a]</w:t>
            </w:r>
          </w:p>
        </w:tc>
        <w:tc>
          <w:tcPr>
            <w:tcW w:w="3544" w:type="dxa"/>
            <w:tcBorders>
              <w:top w:val="single" w:sz="4" w:space="0" w:color="auto"/>
              <w:left w:val="nil"/>
              <w:bottom w:val="single" w:sz="4" w:space="0" w:color="auto"/>
              <w:right w:val="single" w:sz="4" w:space="0" w:color="auto"/>
            </w:tcBorders>
            <w:shd w:val="clear" w:color="auto" w:fill="C6EFCE"/>
            <w:noWrap/>
          </w:tcPr>
          <w:p w14:paraId="7BF4DBD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Construction and equipping of crèches</w:t>
            </w:r>
          </w:p>
        </w:tc>
        <w:tc>
          <w:tcPr>
            <w:tcW w:w="1230" w:type="dxa"/>
            <w:tcBorders>
              <w:top w:val="single" w:sz="4" w:space="0" w:color="auto"/>
              <w:left w:val="nil"/>
              <w:bottom w:val="single" w:sz="4" w:space="0" w:color="auto"/>
              <w:right w:val="single" w:sz="4" w:space="0" w:color="auto"/>
            </w:tcBorders>
            <w:shd w:val="clear" w:color="auto" w:fill="C6EFCE"/>
            <w:noWrap/>
          </w:tcPr>
          <w:p w14:paraId="7BA3FDF5"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5D529B4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Built and equipped crèches</w:t>
            </w:r>
          </w:p>
        </w:tc>
      </w:tr>
      <w:tr w:rsidR="00137D7A" w:rsidRPr="00137D7A" w14:paraId="6FA57635"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E620A93"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RO-C[C15]-I[I10a.0]-T[488]</w:t>
            </w:r>
          </w:p>
        </w:tc>
        <w:tc>
          <w:tcPr>
            <w:tcW w:w="3544" w:type="dxa"/>
            <w:tcBorders>
              <w:top w:val="single" w:sz="4" w:space="0" w:color="auto"/>
              <w:left w:val="nil"/>
              <w:bottom w:val="single" w:sz="4" w:space="0" w:color="auto"/>
              <w:right w:val="single" w:sz="4" w:space="0" w:color="auto"/>
            </w:tcBorders>
            <w:shd w:val="clear" w:color="auto" w:fill="C6EFCE"/>
            <w:noWrap/>
          </w:tcPr>
          <w:p w14:paraId="523C8125"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Green-schools network construction</w:t>
            </w:r>
          </w:p>
        </w:tc>
        <w:tc>
          <w:tcPr>
            <w:tcW w:w="1230" w:type="dxa"/>
            <w:tcBorders>
              <w:top w:val="single" w:sz="4" w:space="0" w:color="auto"/>
              <w:left w:val="nil"/>
              <w:bottom w:val="single" w:sz="4" w:space="0" w:color="auto"/>
              <w:right w:val="single" w:sz="4" w:space="0" w:color="auto"/>
            </w:tcBorders>
            <w:shd w:val="clear" w:color="auto" w:fill="C6EFCE"/>
            <w:noWrap/>
          </w:tcPr>
          <w:p w14:paraId="763336D0"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25CAC99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New Green School area built </w:t>
            </w:r>
          </w:p>
        </w:tc>
      </w:tr>
      <w:tr w:rsidR="00137D7A" w:rsidRPr="00137D7A" w14:paraId="75A0BEFC"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9B4B7DB"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RO-C[C15]-I[I13.0]-M[496]</w:t>
            </w:r>
          </w:p>
        </w:tc>
        <w:tc>
          <w:tcPr>
            <w:tcW w:w="3544" w:type="dxa"/>
            <w:tcBorders>
              <w:top w:val="single" w:sz="4" w:space="0" w:color="auto"/>
              <w:left w:val="nil"/>
              <w:bottom w:val="single" w:sz="4" w:space="0" w:color="auto"/>
              <w:right w:val="single" w:sz="4" w:space="0" w:color="auto"/>
            </w:tcBorders>
            <w:shd w:val="clear" w:color="auto" w:fill="C6EFCE"/>
            <w:noWrap/>
          </w:tcPr>
          <w:p w14:paraId="64FE15E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Equipping of IT laboratories in vocational education and training (VET) schools</w:t>
            </w:r>
          </w:p>
        </w:tc>
        <w:tc>
          <w:tcPr>
            <w:tcW w:w="1230" w:type="dxa"/>
            <w:tcBorders>
              <w:top w:val="single" w:sz="4" w:space="0" w:color="auto"/>
              <w:left w:val="nil"/>
              <w:bottom w:val="single" w:sz="4" w:space="0" w:color="auto"/>
              <w:right w:val="single" w:sz="4" w:space="0" w:color="auto"/>
            </w:tcBorders>
            <w:shd w:val="clear" w:color="auto" w:fill="C6EFCE"/>
            <w:noWrap/>
          </w:tcPr>
          <w:p w14:paraId="029B852F"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47" w:type="dxa"/>
            <w:tcBorders>
              <w:top w:val="single" w:sz="4" w:space="0" w:color="auto"/>
              <w:left w:val="nil"/>
              <w:bottom w:val="single" w:sz="4" w:space="0" w:color="auto"/>
              <w:right w:val="single" w:sz="4" w:space="0" w:color="auto"/>
            </w:tcBorders>
            <w:shd w:val="clear" w:color="auto" w:fill="C6EFCE"/>
            <w:noWrap/>
          </w:tcPr>
          <w:p w14:paraId="23510104"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 xml:space="preserve">VET schools equipped with </w:t>
            </w:r>
            <w:r w:rsidRPr="00137D7A">
              <w:rPr>
                <w:rFonts w:ascii="Times New Roman" w:eastAsia="Aptos" w:hAnsi="Times New Roman" w:cs="Times New Roman"/>
                <w:noProof/>
                <w:kern w:val="2"/>
                <w:sz w:val="22"/>
                <w:szCs w:val="22"/>
                <w:lang w:val="en-IE" w:eastAsia="en-US"/>
                <w14:ligatures w14:val="standardContextual"/>
              </w:rPr>
              <w:t>digital equipment for IT laboratories</w:t>
            </w:r>
          </w:p>
        </w:tc>
      </w:tr>
      <w:tr w:rsidR="00137D7A" w:rsidRPr="00137D7A" w14:paraId="1F6265BD"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2CBB3CC"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RO-C[C15]-I[I17.0]-M[503]</w:t>
            </w:r>
          </w:p>
        </w:tc>
        <w:tc>
          <w:tcPr>
            <w:tcW w:w="3544" w:type="dxa"/>
            <w:tcBorders>
              <w:top w:val="single" w:sz="4" w:space="0" w:color="auto"/>
              <w:left w:val="nil"/>
              <w:bottom w:val="single" w:sz="4" w:space="0" w:color="auto"/>
              <w:right w:val="single" w:sz="4" w:space="0" w:color="auto"/>
            </w:tcBorders>
            <w:shd w:val="clear" w:color="auto" w:fill="C6EFCE"/>
            <w:noWrap/>
          </w:tcPr>
          <w:p w14:paraId="4BBD627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Ensuring university infrastructure (accommodation, canteens, recreation facilities)</w:t>
            </w:r>
          </w:p>
        </w:tc>
        <w:tc>
          <w:tcPr>
            <w:tcW w:w="1230" w:type="dxa"/>
            <w:tcBorders>
              <w:top w:val="single" w:sz="4" w:space="0" w:color="auto"/>
              <w:left w:val="nil"/>
              <w:bottom w:val="single" w:sz="4" w:space="0" w:color="auto"/>
              <w:right w:val="single" w:sz="4" w:space="0" w:color="auto"/>
            </w:tcBorders>
            <w:shd w:val="clear" w:color="auto" w:fill="C6EFCE"/>
            <w:noWrap/>
          </w:tcPr>
          <w:p w14:paraId="3B774267"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M</w:t>
            </w:r>
          </w:p>
        </w:tc>
        <w:tc>
          <w:tcPr>
            <w:tcW w:w="3447" w:type="dxa"/>
            <w:tcBorders>
              <w:top w:val="single" w:sz="4" w:space="0" w:color="auto"/>
              <w:left w:val="nil"/>
              <w:bottom w:val="single" w:sz="4" w:space="0" w:color="auto"/>
              <w:right w:val="single" w:sz="4" w:space="0" w:color="auto"/>
            </w:tcBorders>
            <w:shd w:val="clear" w:color="auto" w:fill="C6EFCE"/>
            <w:noWrap/>
          </w:tcPr>
          <w:p w14:paraId="693B34B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 xml:space="preserve">Construction and modernisation of </w:t>
            </w:r>
            <w:r w:rsidRPr="00137D7A">
              <w:rPr>
                <w:rFonts w:ascii="Times New Roman" w:eastAsia="Aptos" w:hAnsi="Times New Roman" w:cs="Times New Roman"/>
                <w:noProof/>
                <w:color w:val="000000"/>
                <w:kern w:val="2"/>
                <w:sz w:val="22"/>
                <w:szCs w:val="22"/>
                <w:lang w:val="en-IE" w:eastAsia="en-US"/>
                <w14:ligatures w14:val="standardContextual"/>
              </w:rPr>
              <w:t xml:space="preserve">recreation and reading places, </w:t>
            </w:r>
            <w:r w:rsidRPr="00137D7A">
              <w:rPr>
                <w:rFonts w:ascii="Times New Roman" w:eastAsia="Aptos" w:hAnsi="Times New Roman" w:cs="Times New Roman"/>
                <w:noProof/>
                <w:kern w:val="2"/>
                <w:sz w:val="22"/>
                <w:szCs w:val="22"/>
                <w:lang w:val="en-IE" w:eastAsia="en-US"/>
                <w14:ligatures w14:val="standardContextual"/>
              </w:rPr>
              <w:t>canteens and accommodation places</w:t>
            </w:r>
            <w:r w:rsidRPr="00137D7A">
              <w:rPr>
                <w:rFonts w:ascii="Times New Roman" w:eastAsia="Aptos" w:hAnsi="Times New Roman" w:cs="Times New Roman"/>
                <w:noProof/>
                <w:color w:val="000000"/>
                <w:kern w:val="2"/>
                <w:sz w:val="22"/>
                <w:szCs w:val="22"/>
                <w:lang w:val="en-IE" w:eastAsia="en-US"/>
                <w14:ligatures w14:val="standardContextual"/>
              </w:rPr>
              <w:t xml:space="preserve"> </w:t>
            </w:r>
          </w:p>
        </w:tc>
      </w:tr>
      <w:tr w:rsidR="00137D7A" w:rsidRPr="00137D7A" w14:paraId="5CD29BBA"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CE5D6E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RO-C[C16]-I[I7a.0]-T[529a]</w:t>
            </w:r>
          </w:p>
        </w:tc>
        <w:tc>
          <w:tcPr>
            <w:tcW w:w="3544" w:type="dxa"/>
            <w:tcBorders>
              <w:top w:val="single" w:sz="4" w:space="0" w:color="auto"/>
              <w:left w:val="nil"/>
              <w:bottom w:val="single" w:sz="4" w:space="0" w:color="auto"/>
              <w:right w:val="single" w:sz="4" w:space="0" w:color="auto"/>
            </w:tcBorders>
            <w:shd w:val="clear" w:color="auto" w:fill="C6EFCE"/>
            <w:noWrap/>
          </w:tcPr>
          <w:p w14:paraId="3872548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Grant Vouchers to support energy renovations for households</w:t>
            </w:r>
          </w:p>
        </w:tc>
        <w:tc>
          <w:tcPr>
            <w:tcW w:w="1230" w:type="dxa"/>
            <w:tcBorders>
              <w:top w:val="single" w:sz="4" w:space="0" w:color="auto"/>
              <w:left w:val="nil"/>
              <w:bottom w:val="single" w:sz="4" w:space="0" w:color="auto"/>
              <w:right w:val="single" w:sz="4" w:space="0" w:color="auto"/>
            </w:tcBorders>
            <w:shd w:val="clear" w:color="auto" w:fill="C6EFCE"/>
            <w:noWrap/>
          </w:tcPr>
          <w:p w14:paraId="1522900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r w:rsidRPr="00137D7A">
              <w:rPr>
                <w:rFonts w:ascii="Times New Roman" w:eastAsia="Aptos" w:hAnsi="Times New Roman" w:cs="Times New Roman"/>
                <w:noProof/>
                <w:kern w:val="2"/>
                <w:sz w:val="22"/>
                <w:szCs w:val="22"/>
                <w:lang w:val="en-IE" w:eastAsia="en-US"/>
                <w14:ligatures w14:val="standardContextual"/>
              </w:rPr>
              <w:t>T</w:t>
            </w:r>
          </w:p>
        </w:tc>
        <w:tc>
          <w:tcPr>
            <w:tcW w:w="3447" w:type="dxa"/>
            <w:tcBorders>
              <w:top w:val="single" w:sz="4" w:space="0" w:color="auto"/>
              <w:left w:val="nil"/>
              <w:bottom w:val="single" w:sz="4" w:space="0" w:color="auto"/>
              <w:right w:val="single" w:sz="4" w:space="0" w:color="auto"/>
            </w:tcBorders>
            <w:shd w:val="clear" w:color="auto" w:fill="C6EFCE"/>
            <w:noWrap/>
          </w:tcPr>
          <w:p w14:paraId="69FAFD41" w14:textId="57E6A005" w:rsidR="00137D7A" w:rsidRPr="00137D7A" w:rsidRDefault="00043702" w:rsidP="00137D7A">
            <w:pPr>
              <w:spacing w:after="0" w:line="259" w:lineRule="auto"/>
              <w:rPr>
                <w:rFonts w:ascii="Times New Roman" w:eastAsia="Aptos" w:hAnsi="Times New Roman" w:cs="Times New Roman"/>
                <w:noProof/>
                <w:kern w:val="2"/>
                <w:sz w:val="22"/>
                <w:szCs w:val="22"/>
                <w:lang w:val="en-IE" w:eastAsia="en-US"/>
                <w14:ligatures w14:val="standardContextual"/>
              </w:rPr>
            </w:pPr>
            <w:r w:rsidRPr="00043702">
              <w:rPr>
                <w:rFonts w:ascii="Times New Roman" w:eastAsia="Aptos" w:hAnsi="Times New Roman" w:cs="Times New Roman"/>
                <w:noProof/>
                <w:kern w:val="2"/>
                <w:sz w:val="22"/>
                <w:szCs w:val="22"/>
                <w:lang w:val="en-IE" w:eastAsia="en-US"/>
                <w14:ligatures w14:val="standardContextual"/>
              </w:rPr>
              <w:t xml:space="preserve">Authorisation of </w:t>
            </w:r>
            <w:r>
              <w:rPr>
                <w:rFonts w:ascii="Times New Roman" w:eastAsia="Aptos" w:hAnsi="Times New Roman" w:cs="Times New Roman"/>
                <w:noProof/>
                <w:kern w:val="2"/>
                <w:sz w:val="22"/>
                <w:szCs w:val="22"/>
                <w:lang w:val="en-IE" w:eastAsia="en-US"/>
                <w14:ligatures w14:val="standardContextual"/>
              </w:rPr>
              <w:t>p</w:t>
            </w:r>
            <w:r w:rsidR="00137D7A" w:rsidRPr="00137D7A">
              <w:rPr>
                <w:rFonts w:ascii="Times New Roman" w:eastAsia="Aptos" w:hAnsi="Times New Roman" w:cs="Times New Roman"/>
                <w:noProof/>
                <w:kern w:val="2"/>
                <w:sz w:val="22"/>
                <w:szCs w:val="22"/>
                <w:lang w:val="en-IE" w:eastAsia="en-US"/>
                <w14:ligatures w14:val="standardContextual"/>
              </w:rPr>
              <w:t>ayments for energy renovation of dwellings</w:t>
            </w:r>
          </w:p>
        </w:tc>
      </w:tr>
      <w:tr w:rsidR="00137D7A" w:rsidRPr="00137D7A" w14:paraId="16D13258"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6AD04B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p>
        </w:tc>
        <w:tc>
          <w:tcPr>
            <w:tcW w:w="3544" w:type="dxa"/>
            <w:tcBorders>
              <w:top w:val="single" w:sz="4" w:space="0" w:color="auto"/>
              <w:left w:val="nil"/>
              <w:bottom w:val="single" w:sz="4" w:space="0" w:color="auto"/>
              <w:right w:val="single" w:sz="4" w:space="0" w:color="auto"/>
            </w:tcBorders>
            <w:shd w:val="clear" w:color="auto" w:fill="C6EFCE"/>
            <w:noWrap/>
          </w:tcPr>
          <w:p w14:paraId="069B9C2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p>
        </w:tc>
        <w:tc>
          <w:tcPr>
            <w:tcW w:w="1230" w:type="dxa"/>
            <w:tcBorders>
              <w:top w:val="single" w:sz="4" w:space="0" w:color="auto"/>
              <w:left w:val="nil"/>
              <w:bottom w:val="single" w:sz="4" w:space="0" w:color="auto"/>
              <w:right w:val="single" w:sz="4" w:space="0" w:color="auto"/>
            </w:tcBorders>
            <w:shd w:val="clear" w:color="auto" w:fill="C6EFCE"/>
            <w:noWrap/>
          </w:tcPr>
          <w:p w14:paraId="1AC267AD"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Times New Roman" w:hAnsi="Times New Roman" w:cs="Times New Roman"/>
                <w:noProof/>
                <w:kern w:val="2"/>
                <w:sz w:val="22"/>
                <w:szCs w:val="22"/>
                <w:lang w:val="en-IE" w:eastAsia="en-GB"/>
                <w14:ligatures w14:val="standardContextual"/>
              </w:rPr>
              <w:t>Instalment Amount</w:t>
            </w:r>
          </w:p>
        </w:tc>
        <w:tc>
          <w:tcPr>
            <w:tcW w:w="3447" w:type="dxa"/>
            <w:tcBorders>
              <w:top w:val="single" w:sz="4" w:space="0" w:color="auto"/>
              <w:left w:val="nil"/>
              <w:bottom w:val="single" w:sz="4" w:space="0" w:color="auto"/>
              <w:right w:val="single" w:sz="4" w:space="0" w:color="auto"/>
            </w:tcBorders>
            <w:shd w:val="clear" w:color="auto" w:fill="C6EFCE"/>
            <w:noWrap/>
            <w:vAlign w:val="center"/>
          </w:tcPr>
          <w:p w14:paraId="2F1013B7" w14:textId="2F0DE71A" w:rsidR="00137D7A" w:rsidRPr="00137D7A" w:rsidRDefault="00137D7A" w:rsidP="00137D7A">
            <w:pPr>
              <w:spacing w:after="0" w:line="259" w:lineRule="auto"/>
              <w:jc w:val="right"/>
              <w:rPr>
                <w:rFonts w:ascii="Times New Roman" w:eastAsia="Aptos" w:hAnsi="Times New Roman" w:cs="Times New Roman"/>
                <w:noProof/>
                <w:color w:val="000000"/>
                <w:kern w:val="2"/>
                <w:sz w:val="22"/>
                <w:szCs w:val="22"/>
                <w:lang w:val="en-IE" w:eastAsia="en-US"/>
                <w14:ligatures w14:val="standardContextual"/>
              </w:rPr>
            </w:pPr>
            <w:r w:rsidRPr="00137D7A">
              <w:rPr>
                <w:rFonts w:ascii="Times New Roman" w:eastAsia="Aptos" w:hAnsi="Times New Roman" w:cs="Times New Roman"/>
                <w:noProof/>
                <w:color w:val="000000"/>
                <w:kern w:val="2"/>
                <w:sz w:val="22"/>
                <w:szCs w:val="22"/>
                <w:lang w:val="en-IE" w:eastAsia="en-US"/>
                <w14:ligatures w14:val="standardContextual"/>
              </w:rPr>
              <w:t>EUR</w:t>
            </w:r>
            <w:r w:rsidR="00D66903">
              <w:rPr>
                <w:rFonts w:ascii="Times New Roman" w:eastAsia="Aptos" w:hAnsi="Times New Roman" w:cs="Times New Roman"/>
                <w:noProof/>
                <w:color w:val="000000"/>
                <w:kern w:val="2"/>
                <w:sz w:val="22"/>
                <w:szCs w:val="22"/>
                <w:lang w:val="en-IE" w:eastAsia="en-US"/>
                <w14:ligatures w14:val="standardContextual"/>
              </w:rPr>
              <w:t xml:space="preserve"> </w:t>
            </w:r>
            <w:r w:rsidR="00D66903" w:rsidRPr="00D66903">
              <w:rPr>
                <w:rFonts w:ascii="Times New Roman" w:eastAsia="Aptos" w:hAnsi="Times New Roman" w:cs="Times New Roman"/>
                <w:noProof/>
                <w:color w:val="000000"/>
                <w:kern w:val="2"/>
                <w:sz w:val="22"/>
                <w:szCs w:val="22"/>
                <w:lang w:val="en-IE" w:eastAsia="en-US"/>
                <w14:ligatures w14:val="standardContextual"/>
              </w:rPr>
              <w:t>3</w:t>
            </w:r>
            <w:r w:rsidR="00D66903">
              <w:rPr>
                <w:rFonts w:ascii="Times New Roman" w:eastAsia="Aptos" w:hAnsi="Times New Roman" w:cs="Times New Roman"/>
                <w:noProof/>
                <w:color w:val="000000"/>
                <w:kern w:val="2"/>
                <w:sz w:val="22"/>
                <w:szCs w:val="22"/>
                <w:lang w:val="en-IE" w:eastAsia="en-US"/>
                <w14:ligatures w14:val="standardContextual"/>
              </w:rPr>
              <w:t> </w:t>
            </w:r>
            <w:r w:rsidR="00D66903" w:rsidRPr="00D66903">
              <w:rPr>
                <w:rFonts w:ascii="Times New Roman" w:eastAsia="Aptos" w:hAnsi="Times New Roman" w:cs="Times New Roman"/>
                <w:noProof/>
                <w:color w:val="000000"/>
                <w:kern w:val="2"/>
                <w:sz w:val="22"/>
                <w:szCs w:val="22"/>
                <w:lang w:val="en-IE" w:eastAsia="en-US"/>
                <w14:ligatures w14:val="standardContextual"/>
              </w:rPr>
              <w:t>033</w:t>
            </w:r>
            <w:r w:rsidR="00D66903">
              <w:rPr>
                <w:rFonts w:ascii="Times New Roman" w:eastAsia="Aptos" w:hAnsi="Times New Roman" w:cs="Times New Roman"/>
                <w:noProof/>
                <w:color w:val="000000"/>
                <w:kern w:val="2"/>
                <w:sz w:val="22"/>
                <w:szCs w:val="22"/>
                <w:lang w:val="en-IE" w:eastAsia="en-US"/>
                <w14:ligatures w14:val="standardContextual"/>
              </w:rPr>
              <w:t> </w:t>
            </w:r>
            <w:r w:rsidR="00D66903" w:rsidRPr="00D66903">
              <w:rPr>
                <w:rFonts w:ascii="Times New Roman" w:eastAsia="Aptos" w:hAnsi="Times New Roman" w:cs="Times New Roman"/>
                <w:noProof/>
                <w:color w:val="000000"/>
                <w:kern w:val="2"/>
                <w:sz w:val="22"/>
                <w:szCs w:val="22"/>
                <w:lang w:val="en-IE" w:eastAsia="en-US"/>
                <w14:ligatures w14:val="standardContextual"/>
              </w:rPr>
              <w:t>029</w:t>
            </w:r>
            <w:r w:rsidR="00D66903">
              <w:rPr>
                <w:rFonts w:ascii="Times New Roman" w:eastAsia="Aptos" w:hAnsi="Times New Roman" w:cs="Times New Roman"/>
                <w:noProof/>
                <w:color w:val="000000"/>
                <w:kern w:val="2"/>
                <w:sz w:val="22"/>
                <w:szCs w:val="22"/>
                <w:lang w:val="en-IE" w:eastAsia="en-US"/>
                <w14:ligatures w14:val="standardContextual"/>
              </w:rPr>
              <w:t> </w:t>
            </w:r>
            <w:r w:rsidR="00D66903" w:rsidRPr="00D66903">
              <w:rPr>
                <w:rFonts w:ascii="Times New Roman" w:eastAsia="Aptos" w:hAnsi="Times New Roman" w:cs="Times New Roman"/>
                <w:noProof/>
                <w:color w:val="000000"/>
                <w:kern w:val="2"/>
                <w:sz w:val="22"/>
                <w:szCs w:val="22"/>
                <w:lang w:val="en-IE" w:eastAsia="en-US"/>
                <w14:ligatures w14:val="standardContextual"/>
              </w:rPr>
              <w:t>993</w:t>
            </w:r>
          </w:p>
        </w:tc>
      </w:tr>
    </w:tbl>
    <w:p w14:paraId="752262EE" w14:textId="77777777" w:rsidR="00137D7A" w:rsidRPr="00137D7A" w:rsidRDefault="00137D7A" w:rsidP="00137D7A">
      <w:pPr>
        <w:spacing w:line="259" w:lineRule="auto"/>
        <w:rPr>
          <w:rFonts w:ascii="Times New Roman" w:eastAsia="Aptos" w:hAnsi="Times New Roman" w:cs="Times New Roman"/>
          <w:noProof/>
          <w:kern w:val="2"/>
          <w:sz w:val="22"/>
          <w:szCs w:val="22"/>
          <w:lang w:val="en-IE" w:eastAsia="en-US"/>
          <w14:ligatures w14:val="standardContextual"/>
        </w:rPr>
      </w:pPr>
    </w:p>
    <w:p w14:paraId="433A2BCA" w14:textId="77777777" w:rsidR="00137D7A" w:rsidRPr="00137D7A" w:rsidRDefault="00137D7A" w:rsidP="00137D7A">
      <w:pPr>
        <w:spacing w:line="259" w:lineRule="auto"/>
        <w:rPr>
          <w:rFonts w:ascii="Times New Roman" w:eastAsia="Aptos" w:hAnsi="Times New Roman" w:cs="Times New Roman"/>
          <w:noProof/>
          <w:kern w:val="2"/>
          <w:sz w:val="22"/>
          <w:szCs w:val="22"/>
          <w:lang w:val="en-IE" w:eastAsia="en-US"/>
          <w14:ligatures w14:val="standardContextual"/>
        </w:rPr>
        <w:sectPr w:rsidR="00137D7A" w:rsidRPr="00137D7A" w:rsidSect="00137D7A">
          <w:headerReference w:type="even" r:id="rId389"/>
          <w:headerReference w:type="default" r:id="rId390"/>
          <w:footerReference w:type="even" r:id="rId391"/>
          <w:footerReference w:type="default" r:id="rId392"/>
          <w:headerReference w:type="first" r:id="rId393"/>
          <w:footerReference w:type="first" r:id="rId394"/>
          <w:pgSz w:w="11907" w:h="16839"/>
          <w:pgMar w:top="1134" w:right="1134" w:bottom="1134" w:left="1134" w:header="567" w:footer="567" w:gutter="0"/>
          <w:cols w:space="720"/>
          <w:docGrid w:linePitch="360"/>
        </w:sectPr>
      </w:pPr>
    </w:p>
    <w:p w14:paraId="29AEAA71" w14:textId="77777777" w:rsidR="00137D7A" w:rsidRPr="00137D7A" w:rsidRDefault="00137D7A" w:rsidP="00137D7A">
      <w:pPr>
        <w:keepNext/>
        <w:numPr>
          <w:ilvl w:val="0"/>
          <w:numId w:val="110"/>
        </w:numPr>
        <w:spacing w:before="360" w:after="360" w:line="240" w:lineRule="auto"/>
        <w:jc w:val="both"/>
        <w:outlineLvl w:val="0"/>
        <w:rPr>
          <w:rFonts w:ascii="Times New Roman" w:eastAsia="Times New Roman" w:hAnsi="Times New Roman" w:cs="Times New Roman"/>
          <w:b/>
          <w:noProof/>
          <w:color w:val="0F4761"/>
          <w:kern w:val="2"/>
          <w:sz w:val="40"/>
          <w:szCs w:val="40"/>
          <w:lang w:val="en-IE" w:eastAsia="en-US"/>
          <w14:ligatures w14:val="standardContextual"/>
        </w:rPr>
      </w:pPr>
      <w:r w:rsidRPr="00137D7A">
        <w:rPr>
          <w:rFonts w:ascii="Times New Roman" w:eastAsia="Times New Roman" w:hAnsi="Times New Roman" w:cs="Times New Roman"/>
          <w:b/>
          <w:bCs/>
          <w:smallCaps/>
          <w:noProof/>
          <w:szCs w:val="28"/>
          <w:lang w:val="en-GB" w:eastAsia="en-US"/>
        </w:rPr>
        <w:t>SECTION 3: ADDITIONAL ARRANGEMENTS</w:t>
      </w:r>
    </w:p>
    <w:p w14:paraId="2CCD8486" w14:textId="77777777" w:rsidR="00137D7A" w:rsidRPr="00137D7A" w:rsidRDefault="00137D7A" w:rsidP="00137D7A">
      <w:pPr>
        <w:keepNext/>
        <w:numPr>
          <w:ilvl w:val="1"/>
          <w:numId w:val="110"/>
        </w:numPr>
        <w:spacing w:before="120" w:after="240" w:line="240" w:lineRule="auto"/>
        <w:ind w:left="851" w:hanging="851"/>
        <w:jc w:val="both"/>
        <w:outlineLvl w:val="1"/>
        <w:rPr>
          <w:rFonts w:ascii="Times New Roman" w:eastAsia="Times New Roman" w:hAnsi="Times New Roman" w:cs="Times New Roman"/>
          <w:b/>
          <w:bCs/>
          <w:smallCaps/>
          <w:noProof/>
          <w:szCs w:val="26"/>
          <w:lang w:val="en-IE" w:eastAsia="en-US"/>
        </w:rPr>
      </w:pPr>
      <w:r w:rsidRPr="00137D7A">
        <w:rPr>
          <w:rFonts w:ascii="Times New Roman" w:eastAsia="Times New Roman" w:hAnsi="Times New Roman" w:cs="Times New Roman"/>
          <w:b/>
          <w:bCs/>
          <w:smallCaps/>
          <w:noProof/>
          <w:szCs w:val="26"/>
          <w:lang w:val="en-IE" w:eastAsia="en-US"/>
        </w:rPr>
        <w:t>Arrangements for monitoring and implementation of the recovery and resilience plan</w:t>
      </w:r>
    </w:p>
    <w:p w14:paraId="6361C97E" w14:textId="77777777" w:rsidR="00137D7A" w:rsidRPr="00137D7A" w:rsidRDefault="00137D7A" w:rsidP="00137D7A">
      <w:pPr>
        <w:spacing w:line="259" w:lineRule="auto"/>
        <w:jc w:val="both"/>
        <w:rPr>
          <w:rFonts w:ascii="Times New Roman" w:eastAsia="Aptos" w:hAnsi="Times New Roman" w:cs="Times New Roman"/>
          <w:noProof/>
          <w:kern w:val="2"/>
          <w:lang w:val="en-IE" w:eastAsia="en-US"/>
          <w14:ligatures w14:val="standardContextual"/>
        </w:rPr>
      </w:pPr>
      <w:r w:rsidRPr="00137D7A">
        <w:rPr>
          <w:rFonts w:ascii="Times New Roman" w:eastAsia="Aptos" w:hAnsi="Times New Roman" w:cs="Times New Roman"/>
          <w:noProof/>
          <w:kern w:val="2"/>
          <w:lang w:val="en-IE" w:eastAsia="en-US"/>
          <w14:ligatures w14:val="standardContextual"/>
        </w:rPr>
        <w:t xml:space="preserve">The monitoring and implementation of the recovery and resilience plan of Romania shall take place in accordance with the following arrangements: </w:t>
      </w:r>
    </w:p>
    <w:p w14:paraId="397BC52F" w14:textId="77777777" w:rsidR="00137D7A" w:rsidRPr="00137D7A" w:rsidRDefault="00137D7A" w:rsidP="00137D7A">
      <w:pPr>
        <w:numPr>
          <w:ilvl w:val="0"/>
          <w:numId w:val="111"/>
        </w:numPr>
        <w:spacing w:line="259" w:lineRule="auto"/>
        <w:contextualSpacing/>
        <w:jc w:val="both"/>
        <w:rPr>
          <w:rFonts w:ascii="Times New Roman" w:eastAsia="Aptos" w:hAnsi="Times New Roman" w:cs="Times New Roman"/>
          <w:noProof/>
          <w:kern w:val="2"/>
          <w:lang w:val="en-IE" w:eastAsia="en-US"/>
          <w14:ligatures w14:val="standardContextual"/>
        </w:rPr>
      </w:pPr>
      <w:r w:rsidRPr="00137D7A">
        <w:rPr>
          <w:rFonts w:ascii="Times New Roman" w:eastAsia="Aptos" w:hAnsi="Times New Roman" w:cs="Times New Roman"/>
          <w:noProof/>
          <w:kern w:val="2"/>
          <w:lang w:val="en-IE" w:eastAsia="en-US"/>
          <w14:ligatures w14:val="standardContextual"/>
        </w:rPr>
        <w:t>At central level, the coordination is ensured by the Inter-ministerial Committee for the Coordination of the Plan, responsible for examining progress in the implementation of the Plan, in close cooperation with the Ministry of Investments and European Projects (MIPE). MIPE was appointed the national coordinator for the preparation, negotiation and approval of the Plan, assisted by the Ministry of Finance (for tasks related to signing the loan agreement and the financing agreement), with the establishment of a specialized structure.</w:t>
      </w:r>
    </w:p>
    <w:p w14:paraId="5C4870D1" w14:textId="77777777" w:rsidR="00137D7A" w:rsidRPr="00137D7A" w:rsidRDefault="00137D7A" w:rsidP="00137D7A">
      <w:pPr>
        <w:numPr>
          <w:ilvl w:val="0"/>
          <w:numId w:val="111"/>
        </w:numPr>
        <w:spacing w:line="259" w:lineRule="auto"/>
        <w:contextualSpacing/>
        <w:jc w:val="both"/>
        <w:rPr>
          <w:rFonts w:ascii="Times New Roman" w:eastAsia="Aptos" w:hAnsi="Times New Roman" w:cs="Times New Roman"/>
          <w:noProof/>
          <w:kern w:val="2"/>
          <w:lang w:val="en-IE" w:eastAsia="en-US"/>
          <w14:ligatures w14:val="standardContextual"/>
        </w:rPr>
      </w:pPr>
      <w:r w:rsidRPr="00137D7A">
        <w:rPr>
          <w:rFonts w:ascii="Times New Roman" w:eastAsia="Aptos" w:hAnsi="Times New Roman" w:cs="Times New Roman"/>
          <w:noProof/>
          <w:kern w:val="2"/>
          <w:lang w:val="en-IE" w:eastAsia="en-US"/>
          <w14:ligatures w14:val="standardContextual"/>
        </w:rPr>
        <w:t>MIPE is also in charge of the control and monitoring of the plan, including the monitoring of the achievement of the milestones and targets, as well as ensuring the prevention, detection and correction of serious irregularities. Finally, the same Ministry is also in charge for drawing-up and signing the payment claims and management declarations.</w:t>
      </w:r>
    </w:p>
    <w:p w14:paraId="621CEC79" w14:textId="77777777" w:rsidR="00137D7A" w:rsidRPr="00137D7A" w:rsidRDefault="00137D7A" w:rsidP="00137D7A">
      <w:pPr>
        <w:numPr>
          <w:ilvl w:val="0"/>
          <w:numId w:val="111"/>
        </w:numPr>
        <w:spacing w:line="259" w:lineRule="auto"/>
        <w:contextualSpacing/>
        <w:jc w:val="both"/>
        <w:rPr>
          <w:rFonts w:ascii="Times New Roman" w:eastAsia="Aptos" w:hAnsi="Times New Roman" w:cs="Times New Roman"/>
          <w:noProof/>
          <w:kern w:val="2"/>
          <w:lang w:val="en-IE" w:eastAsia="en-US"/>
          <w14:ligatures w14:val="standardContextual"/>
        </w:rPr>
      </w:pPr>
      <w:r w:rsidRPr="00137D7A">
        <w:rPr>
          <w:rFonts w:ascii="Times New Roman" w:eastAsia="Aptos" w:hAnsi="Times New Roman" w:cs="Times New Roman"/>
          <w:noProof/>
          <w:kern w:val="2"/>
          <w:lang w:val="en-IE" w:eastAsia="en-US"/>
          <w14:ligatures w14:val="standardContextual"/>
        </w:rPr>
        <w:t>The implementation of the Plan shall be ensured by line ministries and their subordinated structures, through conclusion of financing agreements with MIPE.</w:t>
      </w:r>
    </w:p>
    <w:p w14:paraId="0AA8C30A" w14:textId="77777777" w:rsidR="00137D7A" w:rsidRPr="00137D7A" w:rsidRDefault="00137D7A" w:rsidP="00137D7A">
      <w:pPr>
        <w:spacing w:line="259" w:lineRule="auto"/>
        <w:ind w:left="720"/>
        <w:contextualSpacing/>
        <w:jc w:val="both"/>
        <w:rPr>
          <w:rFonts w:ascii="Times New Roman" w:eastAsia="Aptos" w:hAnsi="Times New Roman" w:cs="Times New Roman"/>
          <w:noProof/>
          <w:kern w:val="2"/>
          <w:lang w:val="en-IE" w:eastAsia="en-US"/>
          <w14:ligatures w14:val="standardContextual"/>
        </w:rPr>
      </w:pPr>
    </w:p>
    <w:p w14:paraId="074F0B63" w14:textId="77777777" w:rsidR="00137D7A" w:rsidRPr="00137D7A" w:rsidRDefault="00137D7A" w:rsidP="00137D7A">
      <w:pPr>
        <w:keepNext/>
        <w:numPr>
          <w:ilvl w:val="1"/>
          <w:numId w:val="110"/>
        </w:numPr>
        <w:spacing w:before="120" w:after="240" w:line="240" w:lineRule="auto"/>
        <w:ind w:left="851" w:hanging="851"/>
        <w:jc w:val="both"/>
        <w:outlineLvl w:val="1"/>
        <w:rPr>
          <w:rFonts w:ascii="Times New Roman" w:eastAsia="Times New Roman" w:hAnsi="Times New Roman" w:cs="Times New Roman"/>
          <w:b/>
          <w:smallCaps/>
          <w:noProof/>
          <w:lang w:val="en-IE" w:eastAsia="en-US"/>
        </w:rPr>
      </w:pPr>
      <w:r w:rsidRPr="00137D7A">
        <w:rPr>
          <w:rFonts w:ascii="Times New Roman" w:eastAsia="Times New Roman" w:hAnsi="Times New Roman" w:cs="Times New Roman"/>
          <w:b/>
          <w:smallCaps/>
          <w:noProof/>
          <w:lang w:val="en-IE" w:eastAsia="en-US"/>
        </w:rPr>
        <w:t>Arrangements for providing dull access by the Commission to the underlying data</w:t>
      </w:r>
    </w:p>
    <w:p w14:paraId="7E7483A4" w14:textId="77777777" w:rsidR="00137D7A" w:rsidRPr="00137D7A" w:rsidRDefault="00137D7A" w:rsidP="00137D7A">
      <w:pPr>
        <w:spacing w:line="259" w:lineRule="auto"/>
        <w:jc w:val="both"/>
        <w:rPr>
          <w:rFonts w:ascii="Times New Roman" w:eastAsia="Aptos" w:hAnsi="Times New Roman" w:cs="Times New Roman"/>
          <w:noProof/>
          <w:kern w:val="2"/>
          <w:lang w:val="en-IE" w:eastAsia="en-US"/>
          <w14:ligatures w14:val="standardContextual"/>
        </w:rPr>
      </w:pPr>
      <w:r w:rsidRPr="00137D7A">
        <w:rPr>
          <w:rFonts w:ascii="Times New Roman" w:eastAsia="Aptos" w:hAnsi="Times New Roman" w:cs="Times New Roman"/>
          <w:noProof/>
          <w:kern w:val="2"/>
          <w:lang w:val="en-IE" w:eastAsia="en-US"/>
          <w14:ligatures w14:val="standardContextual"/>
        </w:rPr>
        <w:t xml:space="preserve">In order to provide full access to the Commission to the underlying relevant data, Romania shall have in place the following arrangements: </w:t>
      </w:r>
    </w:p>
    <w:p w14:paraId="56EB3100" w14:textId="77777777" w:rsidR="00137D7A" w:rsidRPr="00137D7A" w:rsidRDefault="00137D7A" w:rsidP="00137D7A">
      <w:pPr>
        <w:spacing w:line="259" w:lineRule="auto"/>
        <w:jc w:val="both"/>
        <w:rPr>
          <w:rFonts w:ascii="Times New Roman" w:eastAsia="Aptos" w:hAnsi="Times New Roman" w:cs="Times New Roman"/>
          <w:noProof/>
          <w:kern w:val="2"/>
          <w:lang w:val="en-IE" w:eastAsia="en-US"/>
          <w14:ligatures w14:val="standardContextual"/>
        </w:rPr>
      </w:pPr>
      <w:r w:rsidRPr="00137D7A">
        <w:rPr>
          <w:rFonts w:ascii="Times New Roman" w:eastAsia="Aptos" w:hAnsi="Times New Roman" w:cs="Times New Roman"/>
          <w:noProof/>
          <w:kern w:val="2"/>
          <w:lang w:val="en-IE" w:eastAsia="en-US"/>
          <w14:ligatures w14:val="standardContextual"/>
        </w:rPr>
        <w:t xml:space="preserve">MIPE, as the national coordinator of the plan, shall be responsible for the overall coordination, control and monitoring of the plan. In particular, it shall act as a coordinating body for monitoring progress on milestones and targets, whereas audits shall be the responsibility of the Audit Authority. MIPE shall coordinate the reporting of milestones and targets, all relevant indicators, but also qualitative financial information and other data, such as on final recipients. The data encoding shall take place in the IT system of MIPE. </w:t>
      </w:r>
    </w:p>
    <w:p w14:paraId="17C3A1BF" w14:textId="77777777" w:rsidR="00137D7A" w:rsidRPr="00137D7A" w:rsidRDefault="00137D7A" w:rsidP="00137D7A">
      <w:pPr>
        <w:spacing w:line="259" w:lineRule="auto"/>
        <w:jc w:val="both"/>
        <w:rPr>
          <w:rFonts w:ascii="Times New Roman" w:eastAsia="Aptos" w:hAnsi="Times New Roman" w:cs="Times New Roman"/>
          <w:noProof/>
          <w:kern w:val="2"/>
          <w:lang w:val="en-IE" w:eastAsia="en-US"/>
          <w14:ligatures w14:val="standardContextual"/>
        </w:rPr>
      </w:pPr>
      <w:r w:rsidRPr="00137D7A">
        <w:rPr>
          <w:rFonts w:ascii="Times New Roman" w:eastAsia="Aptos" w:hAnsi="Times New Roman" w:cs="Times New Roman"/>
          <w:noProof/>
          <w:kern w:val="2"/>
          <w:lang w:val="en-IE" w:eastAsia="en-US"/>
          <w14:ligatures w14:val="standardContextual"/>
        </w:rPr>
        <w:t>In accordance with Article 24(2) of Regulation (EU) 2021/241, upon completion of the relevant agreed milestones and targets in Section 2.1 of this Annex, Romania shall submit to the Commission a duly justified request for payment of the financial contribution and, where relevant, of the loan. Romania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p w14:paraId="4720E092" w14:textId="77777777" w:rsidR="00137D7A" w:rsidRPr="00137D7A" w:rsidRDefault="00137D7A" w:rsidP="00137D7A">
      <w:pPr>
        <w:spacing w:line="259" w:lineRule="auto"/>
        <w:rPr>
          <w:rFonts w:ascii="Aptos" w:eastAsia="Aptos" w:hAnsi="Aptos" w:cs="Times New Roman"/>
          <w:noProof/>
          <w:kern w:val="2"/>
          <w:sz w:val="22"/>
          <w:szCs w:val="22"/>
          <w:lang w:val="en-IE" w:eastAsia="en-US"/>
          <w14:ligatures w14:val="standardContextual"/>
        </w:rPr>
      </w:pPr>
    </w:p>
    <w:p w14:paraId="5354261E" w14:textId="77777777" w:rsidR="00137D7A" w:rsidRPr="00137D7A" w:rsidRDefault="00137D7A" w:rsidP="00137D7A">
      <w:pPr>
        <w:spacing w:line="259" w:lineRule="auto"/>
        <w:rPr>
          <w:rFonts w:ascii="Aptos" w:eastAsia="Aptos" w:hAnsi="Aptos" w:cs="Times New Roman"/>
          <w:noProof/>
          <w:kern w:val="2"/>
          <w:sz w:val="22"/>
          <w:szCs w:val="22"/>
          <w:lang w:val="en-IE" w:eastAsia="en-US"/>
          <w14:ligatures w14:val="standardContextual"/>
        </w:rPr>
      </w:pPr>
    </w:p>
    <w:p w14:paraId="4E9A5B52" w14:textId="77777777" w:rsidR="09E4E8D3" w:rsidRPr="00291374" w:rsidRDefault="09E4E8D3" w:rsidP="09E4E8D3">
      <w:pPr>
        <w:rPr>
          <w:rFonts w:ascii="Times New Roman" w:hAnsi="Times New Roman" w:cs="Times New Roman"/>
          <w:noProof/>
          <w:lang w:val="en-GB"/>
        </w:rPr>
      </w:pPr>
    </w:p>
    <w:sectPr w:rsidR="09E4E8D3" w:rsidRPr="00291374" w:rsidSect="00137D7A">
      <w:headerReference w:type="even" r:id="rId395"/>
      <w:headerReference w:type="default" r:id="rId396"/>
      <w:footerReference w:type="even" r:id="rId397"/>
      <w:footerReference w:type="default" r:id="rId398"/>
      <w:headerReference w:type="first" r:id="rId399"/>
      <w:footerReference w:type="first" r:id="rId400"/>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082D2E" w14:textId="77777777" w:rsidR="006838D0" w:rsidRDefault="006838D0" w:rsidP="001F1F6A">
      <w:pPr>
        <w:spacing w:after="0" w:line="240" w:lineRule="auto"/>
      </w:pPr>
      <w:r>
        <w:separator/>
      </w:r>
    </w:p>
  </w:endnote>
  <w:endnote w:type="continuationSeparator" w:id="0">
    <w:p w14:paraId="1E67BCE2" w14:textId="77777777" w:rsidR="006838D0" w:rsidRDefault="006838D0" w:rsidP="001F1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Noto Sans Symbols">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quot;Calibri&quot;,sans-serif">
    <w:altName w:val="Times New Roman"/>
    <w:panose1 w:val="00000000000000000000"/>
    <w:charset w:val="00"/>
    <w:family w:val="roman"/>
    <w:notTrueType/>
    <w:pitch w:val="default"/>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Liberation Serif">
    <w:altName w:val="Times New Roman"/>
    <w:panose1 w:val="00000000000000000000"/>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liberation">
    <w:altName w:val="Cambria"/>
    <w:panose1 w:val="00000000000000000000"/>
    <w:charset w:val="00"/>
    <w:family w:val="roman"/>
    <w:notTrueType/>
    <w:pitch w:val="default"/>
  </w:font>
  <w:font w:name="libe">
    <w:altName w:val="Cambria"/>
    <w:panose1 w:val="00000000000000000000"/>
    <w:charset w:val="00"/>
    <w:family w:val="roman"/>
    <w:notTrueType/>
    <w:pitch w:val="default"/>
  </w:font>
  <w:font w:name="lib">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F915C" w14:textId="1E18BD80" w:rsidR="00CE5A80" w:rsidRPr="00CE5A80" w:rsidRDefault="00CE5A80" w:rsidP="00CE5A80">
    <w:pPr>
      <w:pStyle w:val="FooterCoverPage"/>
      <w:rPr>
        <w:rFonts w:ascii="Arial" w:hAnsi="Arial" w:cs="Arial"/>
        <w:b/>
        <w:sz w:val="48"/>
      </w:rPr>
    </w:pPr>
    <w:r w:rsidRPr="00CE5A80">
      <w:rPr>
        <w:rFonts w:ascii="Arial" w:hAnsi="Arial" w:cs="Arial"/>
        <w:b/>
        <w:sz w:val="48"/>
      </w:rPr>
      <w:t>EN</w:t>
    </w:r>
    <w:r w:rsidRPr="00CE5A80">
      <w:rPr>
        <w:rFonts w:ascii="Arial" w:hAnsi="Arial" w:cs="Arial"/>
        <w:b/>
        <w:sz w:val="48"/>
      </w:rPr>
      <w:tab/>
    </w:r>
    <w:r w:rsidRPr="00CE5A80">
      <w:rPr>
        <w:rFonts w:ascii="Arial" w:hAnsi="Arial" w:cs="Arial"/>
        <w:b/>
        <w:sz w:val="48"/>
      </w:rPr>
      <w:tab/>
    </w:r>
    <w:r w:rsidRPr="00CE5A80">
      <w:tab/>
    </w:r>
    <w:r w:rsidRPr="00CE5A8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CAEDC" w14:textId="622D04A6" w:rsidR="00CE5A80" w:rsidRPr="00CE5A80" w:rsidRDefault="00CE5A80" w:rsidP="00CE5A80">
    <w:pPr>
      <w:pStyle w:val="FooterCoverPage"/>
      <w:rPr>
        <w:rFonts w:ascii="Arial" w:hAnsi="Arial" w:cs="Arial"/>
        <w:b/>
        <w:sz w:val="48"/>
      </w:rPr>
    </w:pPr>
    <w:r w:rsidRPr="00CE5A80">
      <w:rPr>
        <w:rFonts w:ascii="Arial" w:hAnsi="Arial" w:cs="Arial"/>
        <w:b/>
        <w:sz w:val="48"/>
      </w:rPr>
      <w:t>EN</w:t>
    </w:r>
    <w:r w:rsidRPr="00CE5A80">
      <w:rPr>
        <w:rFonts w:ascii="Arial" w:hAnsi="Arial" w:cs="Arial"/>
        <w:b/>
        <w:sz w:val="48"/>
      </w:rPr>
      <w:tab/>
    </w:r>
    <w:r w:rsidRPr="00CE5A80">
      <w:rPr>
        <w:rFonts w:ascii="Arial" w:hAnsi="Arial" w:cs="Arial"/>
        <w:b/>
        <w:sz w:val="48"/>
      </w:rPr>
      <w:tab/>
    </w:r>
    <w:r w:rsidRPr="00CE5A80">
      <w:tab/>
    </w:r>
    <w:r w:rsidRPr="00CE5A8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FB717" w14:textId="77777777" w:rsidR="00CE5A80" w:rsidRPr="00CE5A80" w:rsidRDefault="00CE5A80" w:rsidP="00CE5A8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C6938" w14:textId="77777777" w:rsidR="00644683" w:rsidRPr="003D301D" w:rsidRDefault="00644683">
    <w:pPr>
      <w:pStyle w:val="FooterCoverPage"/>
      <w:rPr>
        <w:rFonts w:ascii="Arial" w:hAnsi="Arial" w:cs="Arial"/>
        <w:b/>
        <w:sz w:val="48"/>
      </w:rPr>
    </w:pPr>
    <w:r w:rsidRPr="003D301D">
      <w:rPr>
        <w:rFonts w:ascii="Arial" w:hAnsi="Arial" w:cs="Arial"/>
        <w:b/>
        <w:sz w:val="48"/>
      </w:rPr>
      <w:t>EN</w:t>
    </w:r>
    <w:r w:rsidRPr="003D301D">
      <w:rPr>
        <w:rFonts w:ascii="Arial" w:hAnsi="Arial" w:cs="Arial"/>
        <w:b/>
        <w:sz w:val="48"/>
      </w:rPr>
      <w:tab/>
    </w:r>
    <w:r w:rsidRPr="003D301D">
      <w:rPr>
        <w:rFonts w:ascii="Arial" w:hAnsi="Arial" w:cs="Arial"/>
        <w:b/>
        <w:sz w:val="48"/>
      </w:rPr>
      <w:tab/>
    </w:r>
    <w:r w:rsidRPr="003D301D">
      <w:tab/>
    </w:r>
    <w:r w:rsidRPr="003D301D">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3075739"/>
      <w:docPartObj>
        <w:docPartGallery w:val="Page Numbers (Bottom of Page)"/>
        <w:docPartUnique/>
      </w:docPartObj>
    </w:sdtPr>
    <w:sdtEndPr>
      <w:rPr>
        <w:noProof/>
      </w:rPr>
    </w:sdtEndPr>
    <w:sdtContent>
      <w:p w14:paraId="3E86CC50" w14:textId="1D021DE1" w:rsidR="00644683" w:rsidRDefault="00644683">
        <w:pPr>
          <w:pStyle w:val="Footer"/>
          <w:jc w:val="center"/>
        </w:pPr>
        <w:r w:rsidRPr="00644683">
          <w:rPr>
            <w:rFonts w:ascii="Times New Roman" w:hAnsi="Times New Roman" w:cs="Times New Roman"/>
            <w:sz w:val="24"/>
            <w:szCs w:val="24"/>
          </w:rPr>
          <w:fldChar w:fldCharType="begin"/>
        </w:r>
        <w:r w:rsidRPr="00644683">
          <w:rPr>
            <w:rFonts w:ascii="Times New Roman" w:hAnsi="Times New Roman" w:cs="Times New Roman"/>
            <w:sz w:val="24"/>
            <w:szCs w:val="24"/>
          </w:rPr>
          <w:instrText xml:space="preserve"> PAGE   \* MERGEFORMAT </w:instrText>
        </w:r>
        <w:r w:rsidRPr="00644683">
          <w:rPr>
            <w:rFonts w:ascii="Times New Roman" w:hAnsi="Times New Roman" w:cs="Times New Roman"/>
            <w:sz w:val="24"/>
            <w:szCs w:val="24"/>
          </w:rPr>
          <w:fldChar w:fldCharType="separate"/>
        </w:r>
        <w:r w:rsidR="00CE5A80">
          <w:rPr>
            <w:rFonts w:ascii="Times New Roman" w:hAnsi="Times New Roman" w:cs="Times New Roman"/>
            <w:noProof/>
            <w:sz w:val="24"/>
            <w:szCs w:val="24"/>
          </w:rPr>
          <w:t>1</w:t>
        </w:r>
        <w:r w:rsidRPr="00644683">
          <w:rPr>
            <w:rFonts w:ascii="Times New Roman" w:hAnsi="Times New Roman" w:cs="Times New Roman"/>
            <w:noProof/>
            <w:sz w:val="24"/>
            <w:szCs w:val="24"/>
          </w:rPr>
          <w:fldChar w:fldCharType="end"/>
        </w:r>
      </w:p>
    </w:sdtContent>
  </w:sdt>
  <w:p w14:paraId="33CA59CC" w14:textId="77777777" w:rsidR="00644683" w:rsidRDefault="0064468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0F8A0" w14:textId="77777777" w:rsidR="00644683" w:rsidRDefault="0064468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134FD" w14:textId="77777777" w:rsidR="00756A50" w:rsidRPr="00D06CF4" w:rsidRDefault="00756A5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3873657"/>
      <w:docPartObj>
        <w:docPartGallery w:val="Page Numbers (Bottom of Page)"/>
        <w:docPartUnique/>
      </w:docPartObj>
    </w:sdtPr>
    <w:sdtEndPr>
      <w:rPr>
        <w:noProof/>
      </w:rPr>
    </w:sdtEndPr>
    <w:sdtContent>
      <w:p w14:paraId="7E953301" w14:textId="577B5870" w:rsidR="00644683" w:rsidRDefault="00644683">
        <w:pPr>
          <w:pStyle w:val="Footer"/>
          <w:jc w:val="center"/>
        </w:pPr>
        <w:r>
          <w:fldChar w:fldCharType="begin"/>
        </w:r>
        <w:r>
          <w:instrText xml:space="preserve"> PAGE   \* MERGEFORMAT </w:instrText>
        </w:r>
        <w:r>
          <w:fldChar w:fldCharType="separate"/>
        </w:r>
        <w:r w:rsidR="00CE5A80">
          <w:rPr>
            <w:noProof/>
          </w:rPr>
          <w:t>2</w:t>
        </w:r>
        <w:r>
          <w:rPr>
            <w:noProof/>
          </w:rPr>
          <w:fldChar w:fldCharType="end"/>
        </w:r>
      </w:p>
    </w:sdtContent>
  </w:sdt>
  <w:p w14:paraId="2ED86208" w14:textId="77777777" w:rsidR="00756A50" w:rsidRPr="00644683" w:rsidRDefault="00756A50" w:rsidP="0064468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7A85B" w14:textId="77777777" w:rsidR="00756A50" w:rsidRPr="00D06CF4" w:rsidRDefault="00756A5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CA9EB" w14:textId="77777777" w:rsidR="00756A50" w:rsidRPr="00D06CF4" w:rsidRDefault="00756A5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45421808"/>
      <w:docPartObj>
        <w:docPartGallery w:val="Page Numbers (Bottom of Page)"/>
        <w:docPartUnique/>
      </w:docPartObj>
    </w:sdtPr>
    <w:sdtEndPr>
      <w:rPr>
        <w:noProof/>
      </w:rPr>
    </w:sdtEndPr>
    <w:sdtContent>
      <w:p w14:paraId="724B7859" w14:textId="1EBD1497" w:rsidR="00644683" w:rsidRPr="00644683" w:rsidRDefault="00644683">
        <w:pPr>
          <w:pStyle w:val="Footer"/>
          <w:jc w:val="center"/>
          <w:rPr>
            <w:rFonts w:ascii="Times New Roman" w:hAnsi="Times New Roman" w:cs="Times New Roman"/>
            <w:sz w:val="24"/>
            <w:szCs w:val="24"/>
          </w:rPr>
        </w:pPr>
        <w:r w:rsidRPr="00644683">
          <w:rPr>
            <w:rFonts w:ascii="Times New Roman" w:hAnsi="Times New Roman" w:cs="Times New Roman"/>
            <w:sz w:val="24"/>
            <w:szCs w:val="24"/>
          </w:rPr>
          <w:fldChar w:fldCharType="begin"/>
        </w:r>
        <w:r w:rsidRPr="00644683">
          <w:rPr>
            <w:rFonts w:ascii="Times New Roman" w:hAnsi="Times New Roman" w:cs="Times New Roman"/>
            <w:sz w:val="24"/>
            <w:szCs w:val="24"/>
          </w:rPr>
          <w:instrText xml:space="preserve"> PAGE   \* MERGEFORMAT </w:instrText>
        </w:r>
        <w:r w:rsidRPr="00644683">
          <w:rPr>
            <w:rFonts w:ascii="Times New Roman" w:hAnsi="Times New Roman" w:cs="Times New Roman"/>
            <w:sz w:val="24"/>
            <w:szCs w:val="24"/>
          </w:rPr>
          <w:fldChar w:fldCharType="separate"/>
        </w:r>
        <w:r w:rsidR="00CE5A80">
          <w:rPr>
            <w:rFonts w:ascii="Times New Roman" w:hAnsi="Times New Roman" w:cs="Times New Roman"/>
            <w:noProof/>
            <w:sz w:val="24"/>
            <w:szCs w:val="24"/>
          </w:rPr>
          <w:t>4</w:t>
        </w:r>
        <w:r w:rsidRPr="00644683">
          <w:rPr>
            <w:rFonts w:ascii="Times New Roman" w:hAnsi="Times New Roman" w:cs="Times New Roman"/>
            <w:noProof/>
            <w:sz w:val="24"/>
            <w:szCs w:val="24"/>
          </w:rPr>
          <w:fldChar w:fldCharType="end"/>
        </w:r>
      </w:p>
    </w:sdtContent>
  </w:sdt>
  <w:p w14:paraId="7D939B65" w14:textId="77777777" w:rsidR="00756A50" w:rsidRPr="00644683" w:rsidRDefault="00756A50" w:rsidP="0064468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5A97F" w14:textId="77777777" w:rsidR="00756A50" w:rsidRPr="00D06CF4" w:rsidRDefault="00756A5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D872B" w14:textId="77777777" w:rsidR="00756A50" w:rsidRPr="00D06CF4" w:rsidRDefault="00756A5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4286765"/>
      <w:docPartObj>
        <w:docPartGallery w:val="Page Numbers (Bottom of Page)"/>
        <w:docPartUnique/>
      </w:docPartObj>
    </w:sdtPr>
    <w:sdtEndPr>
      <w:rPr>
        <w:noProof/>
      </w:rPr>
    </w:sdtEndPr>
    <w:sdtContent>
      <w:p w14:paraId="25ECD050" w14:textId="289B7E85" w:rsidR="002E344C" w:rsidRDefault="002E344C">
        <w:pPr>
          <w:pStyle w:val="Footer"/>
          <w:jc w:val="center"/>
        </w:pPr>
        <w:r w:rsidRPr="002E344C">
          <w:rPr>
            <w:rFonts w:ascii="Times New Roman" w:hAnsi="Times New Roman" w:cs="Times New Roman"/>
            <w:sz w:val="24"/>
            <w:szCs w:val="24"/>
          </w:rPr>
          <w:fldChar w:fldCharType="begin"/>
        </w:r>
        <w:r w:rsidRPr="002E344C">
          <w:rPr>
            <w:rFonts w:ascii="Times New Roman" w:hAnsi="Times New Roman" w:cs="Times New Roman"/>
            <w:sz w:val="24"/>
            <w:szCs w:val="24"/>
          </w:rPr>
          <w:instrText xml:space="preserve"> PAGE   \* MERGEFORMAT </w:instrText>
        </w:r>
        <w:r w:rsidRPr="002E344C">
          <w:rPr>
            <w:rFonts w:ascii="Times New Roman" w:hAnsi="Times New Roman" w:cs="Times New Roman"/>
            <w:sz w:val="24"/>
            <w:szCs w:val="24"/>
          </w:rPr>
          <w:fldChar w:fldCharType="separate"/>
        </w:r>
        <w:r w:rsidR="00DB2A32">
          <w:rPr>
            <w:rFonts w:ascii="Times New Roman" w:hAnsi="Times New Roman" w:cs="Times New Roman"/>
            <w:noProof/>
            <w:sz w:val="24"/>
            <w:szCs w:val="24"/>
          </w:rPr>
          <w:t>6</w:t>
        </w:r>
        <w:r w:rsidRPr="002E344C">
          <w:rPr>
            <w:rFonts w:ascii="Times New Roman" w:hAnsi="Times New Roman" w:cs="Times New Roman"/>
            <w:noProof/>
            <w:sz w:val="24"/>
            <w:szCs w:val="24"/>
          </w:rPr>
          <w:fldChar w:fldCharType="end"/>
        </w:r>
      </w:p>
    </w:sdtContent>
  </w:sdt>
  <w:p w14:paraId="6A4E2E1C" w14:textId="77777777" w:rsidR="00756A50" w:rsidRPr="00644683" w:rsidRDefault="00756A50" w:rsidP="0064468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33463" w14:textId="77777777" w:rsidR="00756A50" w:rsidRPr="00D06CF4" w:rsidRDefault="00756A5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39A24" w14:textId="77777777" w:rsidR="005E1674" w:rsidRPr="00D06CF4" w:rsidRDefault="005E167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8058621"/>
      <w:docPartObj>
        <w:docPartGallery w:val="Page Numbers (Bottom of Page)"/>
        <w:docPartUnique/>
      </w:docPartObj>
    </w:sdtPr>
    <w:sdtEndPr>
      <w:rPr>
        <w:noProof/>
      </w:rPr>
    </w:sdtEndPr>
    <w:sdtContent>
      <w:p w14:paraId="1D09BBE5" w14:textId="534F63EA" w:rsidR="0042232E" w:rsidRDefault="0042232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ACF6A2" w14:textId="77777777" w:rsidR="005E1674" w:rsidRPr="001D18BC" w:rsidRDefault="005E1674" w:rsidP="001D18B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C6A75" w14:textId="77777777" w:rsidR="005E1674" w:rsidRPr="00D06CF4" w:rsidRDefault="005E167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7F9E9" w14:textId="77777777" w:rsidR="005E1674" w:rsidRPr="00D06CF4" w:rsidRDefault="005E167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130460"/>
      <w:docPartObj>
        <w:docPartGallery w:val="Page Numbers (Bottom of Page)"/>
        <w:docPartUnique/>
      </w:docPartObj>
    </w:sdtPr>
    <w:sdtEndPr>
      <w:rPr>
        <w:noProof/>
      </w:rPr>
    </w:sdtEndPr>
    <w:sdtContent>
      <w:p w14:paraId="2570650E" w14:textId="285FF159" w:rsidR="00252357" w:rsidRDefault="00252357">
        <w:pPr>
          <w:pStyle w:val="Footer"/>
          <w:jc w:val="center"/>
        </w:pPr>
        <w:r w:rsidRPr="00252357">
          <w:rPr>
            <w:rFonts w:ascii="Times New Roman" w:hAnsi="Times New Roman" w:cs="Times New Roman"/>
            <w:sz w:val="24"/>
            <w:szCs w:val="24"/>
          </w:rPr>
          <w:fldChar w:fldCharType="begin"/>
        </w:r>
        <w:r w:rsidRPr="00252357">
          <w:rPr>
            <w:rFonts w:ascii="Times New Roman" w:hAnsi="Times New Roman" w:cs="Times New Roman"/>
            <w:sz w:val="24"/>
            <w:szCs w:val="24"/>
          </w:rPr>
          <w:instrText xml:space="preserve"> PAGE   \* MERGEFORMAT </w:instrText>
        </w:r>
        <w:r w:rsidRPr="00252357">
          <w:rPr>
            <w:rFonts w:ascii="Times New Roman" w:hAnsi="Times New Roman" w:cs="Times New Roman"/>
            <w:sz w:val="24"/>
            <w:szCs w:val="24"/>
          </w:rPr>
          <w:fldChar w:fldCharType="separate"/>
        </w:r>
        <w:r w:rsidRPr="00252357">
          <w:rPr>
            <w:rFonts w:ascii="Times New Roman" w:hAnsi="Times New Roman" w:cs="Times New Roman"/>
            <w:noProof/>
            <w:sz w:val="24"/>
            <w:szCs w:val="24"/>
          </w:rPr>
          <w:t>2</w:t>
        </w:r>
        <w:r w:rsidRPr="00252357">
          <w:rPr>
            <w:rFonts w:ascii="Times New Roman" w:hAnsi="Times New Roman" w:cs="Times New Roman"/>
            <w:noProof/>
            <w:sz w:val="24"/>
            <w:szCs w:val="24"/>
          </w:rPr>
          <w:fldChar w:fldCharType="end"/>
        </w:r>
      </w:p>
    </w:sdtContent>
  </w:sdt>
  <w:p w14:paraId="08DA463C" w14:textId="77777777" w:rsidR="005E1674" w:rsidRPr="001D18BC" w:rsidRDefault="005E1674" w:rsidP="001D18B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4F3B6" w14:textId="77777777" w:rsidR="005E1674" w:rsidRPr="00D06CF4" w:rsidRDefault="005E167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A63DF" w14:textId="77777777" w:rsidR="005E1674" w:rsidRPr="00D06CF4" w:rsidRDefault="005E167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6334625"/>
      <w:docPartObj>
        <w:docPartGallery w:val="Page Numbers (Bottom of Page)"/>
        <w:docPartUnique/>
      </w:docPartObj>
    </w:sdtPr>
    <w:sdtEndPr>
      <w:rPr>
        <w:noProof/>
      </w:rPr>
    </w:sdtEndPr>
    <w:sdtContent>
      <w:p w14:paraId="6EB58832" w14:textId="0EB45FEB" w:rsidR="00252357" w:rsidRDefault="00252357">
        <w:pPr>
          <w:pStyle w:val="Footer"/>
          <w:jc w:val="center"/>
        </w:pPr>
        <w:r w:rsidRPr="00252357">
          <w:rPr>
            <w:rFonts w:ascii="Times New Roman" w:hAnsi="Times New Roman" w:cs="Times New Roman"/>
            <w:sz w:val="24"/>
            <w:szCs w:val="24"/>
          </w:rPr>
          <w:fldChar w:fldCharType="begin"/>
        </w:r>
        <w:r w:rsidRPr="00252357">
          <w:rPr>
            <w:rFonts w:ascii="Times New Roman" w:hAnsi="Times New Roman" w:cs="Times New Roman"/>
            <w:sz w:val="24"/>
            <w:szCs w:val="24"/>
          </w:rPr>
          <w:instrText xml:space="preserve"> PAGE   \* MERGEFORMAT </w:instrText>
        </w:r>
        <w:r w:rsidRPr="00252357">
          <w:rPr>
            <w:rFonts w:ascii="Times New Roman" w:hAnsi="Times New Roman" w:cs="Times New Roman"/>
            <w:sz w:val="24"/>
            <w:szCs w:val="24"/>
          </w:rPr>
          <w:fldChar w:fldCharType="separate"/>
        </w:r>
        <w:r w:rsidRPr="00252357">
          <w:rPr>
            <w:rFonts w:ascii="Times New Roman" w:hAnsi="Times New Roman" w:cs="Times New Roman"/>
            <w:noProof/>
            <w:sz w:val="24"/>
            <w:szCs w:val="24"/>
          </w:rPr>
          <w:t>2</w:t>
        </w:r>
        <w:r w:rsidRPr="00252357">
          <w:rPr>
            <w:rFonts w:ascii="Times New Roman" w:hAnsi="Times New Roman" w:cs="Times New Roman"/>
            <w:noProof/>
            <w:sz w:val="24"/>
            <w:szCs w:val="24"/>
          </w:rPr>
          <w:fldChar w:fldCharType="end"/>
        </w:r>
      </w:p>
    </w:sdtContent>
  </w:sdt>
  <w:p w14:paraId="2A1316C1" w14:textId="77777777" w:rsidR="005E1674" w:rsidRPr="00252357" w:rsidRDefault="005E1674" w:rsidP="0025235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52A6C" w14:textId="77777777" w:rsidR="005E1674" w:rsidRPr="00D06CF4" w:rsidRDefault="005E167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7087D" w14:textId="77777777" w:rsidR="005E1674" w:rsidRPr="00D06CF4" w:rsidRDefault="005E167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262938"/>
      <w:docPartObj>
        <w:docPartGallery w:val="Page Numbers (Bottom of Page)"/>
        <w:docPartUnique/>
      </w:docPartObj>
    </w:sdtPr>
    <w:sdtEndPr>
      <w:rPr>
        <w:noProof/>
      </w:rPr>
    </w:sdtEndPr>
    <w:sdtContent>
      <w:p w14:paraId="63DDED9A" w14:textId="052B5F00" w:rsidR="00252357" w:rsidRDefault="00252357">
        <w:pPr>
          <w:pStyle w:val="Footer"/>
          <w:jc w:val="center"/>
        </w:pPr>
        <w:r w:rsidRPr="00252357">
          <w:rPr>
            <w:rFonts w:ascii="Times New Roman" w:hAnsi="Times New Roman" w:cs="Times New Roman"/>
            <w:sz w:val="24"/>
            <w:szCs w:val="24"/>
          </w:rPr>
          <w:fldChar w:fldCharType="begin"/>
        </w:r>
        <w:r w:rsidRPr="00252357">
          <w:rPr>
            <w:rFonts w:ascii="Times New Roman" w:hAnsi="Times New Roman" w:cs="Times New Roman"/>
            <w:sz w:val="24"/>
            <w:szCs w:val="24"/>
          </w:rPr>
          <w:instrText xml:space="preserve"> PAGE   \* MERGEFORMAT </w:instrText>
        </w:r>
        <w:r w:rsidRPr="00252357">
          <w:rPr>
            <w:rFonts w:ascii="Times New Roman" w:hAnsi="Times New Roman" w:cs="Times New Roman"/>
            <w:sz w:val="24"/>
            <w:szCs w:val="24"/>
          </w:rPr>
          <w:fldChar w:fldCharType="separate"/>
        </w:r>
        <w:r w:rsidRPr="00252357">
          <w:rPr>
            <w:rFonts w:ascii="Times New Roman" w:hAnsi="Times New Roman" w:cs="Times New Roman"/>
            <w:noProof/>
            <w:sz w:val="24"/>
            <w:szCs w:val="24"/>
          </w:rPr>
          <w:t>2</w:t>
        </w:r>
        <w:r w:rsidRPr="00252357">
          <w:rPr>
            <w:rFonts w:ascii="Times New Roman" w:hAnsi="Times New Roman" w:cs="Times New Roman"/>
            <w:noProof/>
            <w:sz w:val="24"/>
            <w:szCs w:val="24"/>
          </w:rPr>
          <w:fldChar w:fldCharType="end"/>
        </w:r>
      </w:p>
    </w:sdtContent>
  </w:sdt>
  <w:p w14:paraId="720A2FF6" w14:textId="77777777" w:rsidR="005E1674" w:rsidRPr="00252357" w:rsidRDefault="005E1674" w:rsidP="0025235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6B653" w14:textId="77777777" w:rsidR="005E1674" w:rsidRPr="00D06CF4" w:rsidRDefault="005E167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E32B0" w14:textId="77777777" w:rsidR="003E0A8C" w:rsidRPr="00D06CF4" w:rsidRDefault="003E0A8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3746772"/>
      <w:docPartObj>
        <w:docPartGallery w:val="Page Numbers (Bottom of Page)"/>
        <w:docPartUnique/>
      </w:docPartObj>
    </w:sdtPr>
    <w:sdtEndPr>
      <w:rPr>
        <w:noProof/>
      </w:rPr>
    </w:sdtEndPr>
    <w:sdtContent>
      <w:p w14:paraId="77DFBDD4" w14:textId="56B0CAA9" w:rsidR="00252357" w:rsidRDefault="00252357">
        <w:pPr>
          <w:pStyle w:val="Footer"/>
          <w:jc w:val="center"/>
        </w:pPr>
        <w:r w:rsidRPr="00252357">
          <w:rPr>
            <w:rFonts w:ascii="Times New Roman" w:hAnsi="Times New Roman" w:cs="Times New Roman"/>
            <w:sz w:val="24"/>
            <w:szCs w:val="24"/>
          </w:rPr>
          <w:fldChar w:fldCharType="begin"/>
        </w:r>
        <w:r w:rsidRPr="00252357">
          <w:rPr>
            <w:rFonts w:ascii="Times New Roman" w:hAnsi="Times New Roman" w:cs="Times New Roman"/>
            <w:sz w:val="24"/>
            <w:szCs w:val="24"/>
          </w:rPr>
          <w:instrText xml:space="preserve"> PAGE   \* MERGEFORMAT </w:instrText>
        </w:r>
        <w:r w:rsidRPr="00252357">
          <w:rPr>
            <w:rFonts w:ascii="Times New Roman" w:hAnsi="Times New Roman" w:cs="Times New Roman"/>
            <w:sz w:val="24"/>
            <w:szCs w:val="24"/>
          </w:rPr>
          <w:fldChar w:fldCharType="separate"/>
        </w:r>
        <w:r w:rsidRPr="00252357">
          <w:rPr>
            <w:rFonts w:ascii="Times New Roman" w:hAnsi="Times New Roman" w:cs="Times New Roman"/>
            <w:noProof/>
            <w:sz w:val="24"/>
            <w:szCs w:val="24"/>
          </w:rPr>
          <w:t>2</w:t>
        </w:r>
        <w:r w:rsidRPr="00252357">
          <w:rPr>
            <w:rFonts w:ascii="Times New Roman" w:hAnsi="Times New Roman" w:cs="Times New Roman"/>
            <w:noProof/>
            <w:sz w:val="24"/>
            <w:szCs w:val="24"/>
          </w:rPr>
          <w:fldChar w:fldCharType="end"/>
        </w:r>
      </w:p>
    </w:sdtContent>
  </w:sdt>
  <w:p w14:paraId="38DF3F5D" w14:textId="77777777" w:rsidR="003E0A8C" w:rsidRPr="00252357" w:rsidRDefault="003E0A8C" w:rsidP="0025235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E9B7C" w14:textId="77777777" w:rsidR="003E0A8C" w:rsidRPr="00D06CF4" w:rsidRDefault="003E0A8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6D44F" w14:textId="77777777" w:rsidR="003E0A8C" w:rsidRPr="00D06CF4" w:rsidRDefault="003E0A8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7739120"/>
      <w:docPartObj>
        <w:docPartGallery w:val="Page Numbers (Bottom of Page)"/>
        <w:docPartUnique/>
      </w:docPartObj>
    </w:sdtPr>
    <w:sdtEndPr>
      <w:rPr>
        <w:noProof/>
      </w:rPr>
    </w:sdtEndPr>
    <w:sdtContent>
      <w:p w14:paraId="1024F3A0" w14:textId="5CAD4946" w:rsidR="00252357" w:rsidRPr="00252357" w:rsidRDefault="00252357">
        <w:pPr>
          <w:pStyle w:val="Footer"/>
          <w:jc w:val="center"/>
          <w:rPr>
            <w:rFonts w:ascii="Times New Roman" w:hAnsi="Times New Roman" w:cs="Times New Roman"/>
            <w:sz w:val="24"/>
            <w:szCs w:val="24"/>
          </w:rPr>
        </w:pPr>
        <w:r w:rsidRPr="00252357">
          <w:rPr>
            <w:rFonts w:ascii="Times New Roman" w:hAnsi="Times New Roman" w:cs="Times New Roman"/>
            <w:sz w:val="24"/>
            <w:szCs w:val="24"/>
          </w:rPr>
          <w:fldChar w:fldCharType="begin"/>
        </w:r>
        <w:r w:rsidRPr="00252357">
          <w:rPr>
            <w:rFonts w:ascii="Times New Roman" w:hAnsi="Times New Roman" w:cs="Times New Roman"/>
            <w:sz w:val="24"/>
            <w:szCs w:val="24"/>
          </w:rPr>
          <w:instrText xml:space="preserve"> PAGE   \* MERGEFORMAT </w:instrText>
        </w:r>
        <w:r w:rsidRPr="00252357">
          <w:rPr>
            <w:rFonts w:ascii="Times New Roman" w:hAnsi="Times New Roman" w:cs="Times New Roman"/>
            <w:sz w:val="24"/>
            <w:szCs w:val="24"/>
          </w:rPr>
          <w:fldChar w:fldCharType="separate"/>
        </w:r>
        <w:r w:rsidRPr="00252357">
          <w:rPr>
            <w:rFonts w:ascii="Times New Roman" w:hAnsi="Times New Roman" w:cs="Times New Roman"/>
            <w:noProof/>
            <w:sz w:val="24"/>
            <w:szCs w:val="24"/>
          </w:rPr>
          <w:t>2</w:t>
        </w:r>
        <w:r w:rsidRPr="00252357">
          <w:rPr>
            <w:rFonts w:ascii="Times New Roman" w:hAnsi="Times New Roman" w:cs="Times New Roman"/>
            <w:noProof/>
            <w:sz w:val="24"/>
            <w:szCs w:val="24"/>
          </w:rPr>
          <w:fldChar w:fldCharType="end"/>
        </w:r>
      </w:p>
    </w:sdtContent>
  </w:sdt>
  <w:p w14:paraId="34CABB0B" w14:textId="77777777" w:rsidR="003E0A8C" w:rsidRPr="00252357" w:rsidRDefault="003E0A8C" w:rsidP="0025235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898F3" w14:textId="77777777" w:rsidR="003E0A8C" w:rsidRPr="00D06CF4" w:rsidRDefault="003E0A8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64E70" w14:textId="77777777" w:rsidR="003E0A8C" w:rsidRPr="00D06CF4" w:rsidRDefault="003E0A8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703018704"/>
      <w:docPartObj>
        <w:docPartGallery w:val="Page Numbers (Bottom of Page)"/>
        <w:docPartUnique/>
      </w:docPartObj>
    </w:sdtPr>
    <w:sdtEndPr>
      <w:rPr>
        <w:noProof/>
      </w:rPr>
    </w:sdtEndPr>
    <w:sdtContent>
      <w:p w14:paraId="1150220B" w14:textId="06502F9A" w:rsidR="00252357" w:rsidRPr="00252357" w:rsidRDefault="00252357">
        <w:pPr>
          <w:pStyle w:val="Footer"/>
          <w:jc w:val="center"/>
          <w:rPr>
            <w:sz w:val="24"/>
            <w:szCs w:val="24"/>
          </w:rPr>
        </w:pPr>
        <w:r w:rsidRPr="00252357">
          <w:rPr>
            <w:rFonts w:ascii="Times New Roman" w:hAnsi="Times New Roman" w:cs="Times New Roman"/>
            <w:sz w:val="24"/>
            <w:szCs w:val="24"/>
          </w:rPr>
          <w:fldChar w:fldCharType="begin"/>
        </w:r>
        <w:r w:rsidRPr="00252357">
          <w:rPr>
            <w:rFonts w:ascii="Times New Roman" w:hAnsi="Times New Roman" w:cs="Times New Roman"/>
            <w:sz w:val="24"/>
            <w:szCs w:val="24"/>
          </w:rPr>
          <w:instrText xml:space="preserve"> PAGE   \* MERGEFORMAT </w:instrText>
        </w:r>
        <w:r w:rsidRPr="00252357">
          <w:rPr>
            <w:rFonts w:ascii="Times New Roman" w:hAnsi="Times New Roman" w:cs="Times New Roman"/>
            <w:sz w:val="24"/>
            <w:szCs w:val="24"/>
          </w:rPr>
          <w:fldChar w:fldCharType="separate"/>
        </w:r>
        <w:r w:rsidRPr="00252357">
          <w:rPr>
            <w:rFonts w:ascii="Times New Roman" w:hAnsi="Times New Roman" w:cs="Times New Roman"/>
            <w:noProof/>
            <w:sz w:val="24"/>
            <w:szCs w:val="24"/>
          </w:rPr>
          <w:t>2</w:t>
        </w:r>
        <w:r w:rsidRPr="00252357">
          <w:rPr>
            <w:rFonts w:ascii="Times New Roman" w:hAnsi="Times New Roman" w:cs="Times New Roman"/>
            <w:noProof/>
            <w:sz w:val="24"/>
            <w:szCs w:val="24"/>
          </w:rPr>
          <w:fldChar w:fldCharType="end"/>
        </w:r>
      </w:p>
    </w:sdtContent>
  </w:sdt>
  <w:p w14:paraId="70DF6EDE" w14:textId="77777777" w:rsidR="003E0A8C" w:rsidRPr="00252357" w:rsidRDefault="003E0A8C" w:rsidP="0025235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33257" w14:textId="77777777" w:rsidR="003E0A8C" w:rsidRPr="00D06CF4" w:rsidRDefault="003E0A8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CBB76" w14:textId="77777777" w:rsidR="003E0A8C" w:rsidRPr="00D06CF4" w:rsidRDefault="003E0A8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675162410"/>
      <w:docPartObj>
        <w:docPartGallery w:val="Page Numbers (Bottom of Page)"/>
        <w:docPartUnique/>
      </w:docPartObj>
    </w:sdtPr>
    <w:sdtEndPr>
      <w:rPr>
        <w:noProof/>
      </w:rPr>
    </w:sdtEndPr>
    <w:sdtContent>
      <w:p w14:paraId="0BDAC7C9" w14:textId="32662829" w:rsidR="00E13B73" w:rsidRPr="00E13B73" w:rsidRDefault="00E13B73">
        <w:pPr>
          <w:pStyle w:val="Footer"/>
          <w:jc w:val="center"/>
          <w:rPr>
            <w:sz w:val="24"/>
            <w:szCs w:val="24"/>
          </w:rPr>
        </w:pPr>
        <w:r w:rsidRPr="00E13B73">
          <w:rPr>
            <w:rFonts w:ascii="Times New Roman" w:hAnsi="Times New Roman" w:cs="Times New Roman"/>
            <w:sz w:val="24"/>
            <w:szCs w:val="24"/>
          </w:rPr>
          <w:fldChar w:fldCharType="begin"/>
        </w:r>
        <w:r w:rsidRPr="00E13B73">
          <w:rPr>
            <w:rFonts w:ascii="Times New Roman" w:hAnsi="Times New Roman" w:cs="Times New Roman"/>
            <w:sz w:val="24"/>
            <w:szCs w:val="24"/>
          </w:rPr>
          <w:instrText xml:space="preserve"> PAGE   \* MERGEFORMAT </w:instrText>
        </w:r>
        <w:r w:rsidRPr="00E13B73">
          <w:rPr>
            <w:rFonts w:ascii="Times New Roman" w:hAnsi="Times New Roman" w:cs="Times New Roman"/>
            <w:sz w:val="24"/>
            <w:szCs w:val="24"/>
          </w:rPr>
          <w:fldChar w:fldCharType="separate"/>
        </w:r>
        <w:r w:rsidRPr="00E13B73">
          <w:rPr>
            <w:rFonts w:ascii="Times New Roman" w:hAnsi="Times New Roman" w:cs="Times New Roman"/>
            <w:noProof/>
            <w:sz w:val="24"/>
            <w:szCs w:val="24"/>
          </w:rPr>
          <w:t>2</w:t>
        </w:r>
        <w:r w:rsidRPr="00E13B73">
          <w:rPr>
            <w:rFonts w:ascii="Times New Roman" w:hAnsi="Times New Roman" w:cs="Times New Roman"/>
            <w:noProof/>
            <w:sz w:val="24"/>
            <w:szCs w:val="24"/>
          </w:rPr>
          <w:fldChar w:fldCharType="end"/>
        </w:r>
      </w:p>
    </w:sdtContent>
  </w:sdt>
  <w:p w14:paraId="46DF467D" w14:textId="77777777" w:rsidR="003E0A8C" w:rsidRPr="00E13B73" w:rsidRDefault="003E0A8C" w:rsidP="00E13B7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B4344" w14:textId="77777777" w:rsidR="003E0A8C" w:rsidRPr="00D06CF4" w:rsidRDefault="003E0A8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B3B73" w14:textId="77777777" w:rsidR="004C590F" w:rsidRPr="00D06CF4" w:rsidRDefault="004C590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952788263"/>
      <w:docPartObj>
        <w:docPartGallery w:val="Page Numbers (Bottom of Page)"/>
        <w:docPartUnique/>
      </w:docPartObj>
    </w:sdtPr>
    <w:sdtEndPr>
      <w:rPr>
        <w:noProof/>
      </w:rPr>
    </w:sdtEndPr>
    <w:sdtContent>
      <w:p w14:paraId="5A0EA83E" w14:textId="7FB87CDC" w:rsidR="00E13B73" w:rsidRPr="00E13B73" w:rsidRDefault="00E13B73">
        <w:pPr>
          <w:pStyle w:val="Footer"/>
          <w:jc w:val="center"/>
          <w:rPr>
            <w:sz w:val="24"/>
            <w:szCs w:val="24"/>
          </w:rPr>
        </w:pPr>
        <w:r w:rsidRPr="00E13B73">
          <w:rPr>
            <w:rFonts w:ascii="Times New Roman" w:hAnsi="Times New Roman" w:cs="Times New Roman"/>
            <w:sz w:val="24"/>
            <w:szCs w:val="24"/>
          </w:rPr>
          <w:fldChar w:fldCharType="begin"/>
        </w:r>
        <w:r w:rsidRPr="00E13B73">
          <w:rPr>
            <w:rFonts w:ascii="Times New Roman" w:hAnsi="Times New Roman" w:cs="Times New Roman"/>
            <w:sz w:val="24"/>
            <w:szCs w:val="24"/>
          </w:rPr>
          <w:instrText xml:space="preserve"> PAGE   \* MERGEFORMAT </w:instrText>
        </w:r>
        <w:r w:rsidRPr="00E13B73">
          <w:rPr>
            <w:rFonts w:ascii="Times New Roman" w:hAnsi="Times New Roman" w:cs="Times New Roman"/>
            <w:sz w:val="24"/>
            <w:szCs w:val="24"/>
          </w:rPr>
          <w:fldChar w:fldCharType="separate"/>
        </w:r>
        <w:r w:rsidRPr="00E13B73">
          <w:rPr>
            <w:rFonts w:ascii="Times New Roman" w:hAnsi="Times New Roman" w:cs="Times New Roman"/>
            <w:noProof/>
            <w:sz w:val="24"/>
            <w:szCs w:val="24"/>
          </w:rPr>
          <w:t>2</w:t>
        </w:r>
        <w:r w:rsidRPr="00E13B73">
          <w:rPr>
            <w:rFonts w:ascii="Times New Roman" w:hAnsi="Times New Roman" w:cs="Times New Roman"/>
            <w:noProof/>
            <w:sz w:val="24"/>
            <w:szCs w:val="24"/>
          </w:rPr>
          <w:fldChar w:fldCharType="end"/>
        </w:r>
      </w:p>
    </w:sdtContent>
  </w:sdt>
  <w:p w14:paraId="5C357507" w14:textId="77777777" w:rsidR="004C590F" w:rsidRPr="00E13B73" w:rsidRDefault="004C590F" w:rsidP="00E13B7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8C389" w14:textId="77777777" w:rsidR="004C590F" w:rsidRPr="00D06CF4" w:rsidRDefault="004C590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98182" w14:textId="77777777" w:rsidR="004C590F" w:rsidRPr="00D06CF4" w:rsidRDefault="004C590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975487952"/>
      <w:docPartObj>
        <w:docPartGallery w:val="Page Numbers (Bottom of Page)"/>
        <w:docPartUnique/>
      </w:docPartObj>
    </w:sdtPr>
    <w:sdtEndPr>
      <w:rPr>
        <w:noProof/>
      </w:rPr>
    </w:sdtEndPr>
    <w:sdtContent>
      <w:p w14:paraId="458B8985" w14:textId="4571D409" w:rsidR="00E13B73" w:rsidRPr="00E13B73" w:rsidRDefault="00E13B73">
        <w:pPr>
          <w:pStyle w:val="Footer"/>
          <w:jc w:val="center"/>
          <w:rPr>
            <w:sz w:val="24"/>
            <w:szCs w:val="24"/>
          </w:rPr>
        </w:pPr>
        <w:r w:rsidRPr="00E13B73">
          <w:rPr>
            <w:rFonts w:ascii="Times New Roman" w:hAnsi="Times New Roman" w:cs="Times New Roman"/>
            <w:sz w:val="24"/>
            <w:szCs w:val="24"/>
          </w:rPr>
          <w:fldChar w:fldCharType="begin"/>
        </w:r>
        <w:r w:rsidRPr="00E13B73">
          <w:rPr>
            <w:rFonts w:ascii="Times New Roman" w:hAnsi="Times New Roman" w:cs="Times New Roman"/>
            <w:sz w:val="24"/>
            <w:szCs w:val="24"/>
          </w:rPr>
          <w:instrText xml:space="preserve"> PAGE   \* MERGEFORMAT </w:instrText>
        </w:r>
        <w:r w:rsidRPr="00E13B73">
          <w:rPr>
            <w:rFonts w:ascii="Times New Roman" w:hAnsi="Times New Roman" w:cs="Times New Roman"/>
            <w:sz w:val="24"/>
            <w:szCs w:val="24"/>
          </w:rPr>
          <w:fldChar w:fldCharType="separate"/>
        </w:r>
        <w:r w:rsidRPr="00E13B73">
          <w:rPr>
            <w:rFonts w:ascii="Times New Roman" w:hAnsi="Times New Roman" w:cs="Times New Roman"/>
            <w:noProof/>
            <w:sz w:val="24"/>
            <w:szCs w:val="24"/>
          </w:rPr>
          <w:t>2</w:t>
        </w:r>
        <w:r w:rsidRPr="00E13B73">
          <w:rPr>
            <w:rFonts w:ascii="Times New Roman" w:hAnsi="Times New Roman" w:cs="Times New Roman"/>
            <w:noProof/>
            <w:sz w:val="24"/>
            <w:szCs w:val="24"/>
          </w:rPr>
          <w:fldChar w:fldCharType="end"/>
        </w:r>
      </w:p>
    </w:sdtContent>
  </w:sdt>
  <w:p w14:paraId="2C020B33" w14:textId="77777777" w:rsidR="004C590F" w:rsidRPr="00E13B73" w:rsidRDefault="004C590F" w:rsidP="00E13B7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A1F32" w14:textId="77777777" w:rsidR="004C590F" w:rsidRPr="00D06CF4" w:rsidRDefault="004C590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B241D" w14:textId="77777777" w:rsidR="004C590F" w:rsidRPr="00D06CF4" w:rsidRDefault="004C590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1492491"/>
      <w:docPartObj>
        <w:docPartGallery w:val="Page Numbers (Bottom of Page)"/>
        <w:docPartUnique/>
      </w:docPartObj>
    </w:sdtPr>
    <w:sdtEndPr>
      <w:rPr>
        <w:noProof/>
      </w:rPr>
    </w:sdtEndPr>
    <w:sdtContent>
      <w:p w14:paraId="75E5A6C1" w14:textId="1CE35177" w:rsidR="00E13B73" w:rsidRDefault="00E13B73">
        <w:pPr>
          <w:pStyle w:val="Footer"/>
          <w:jc w:val="center"/>
        </w:pPr>
        <w:r w:rsidRPr="00E13B73">
          <w:rPr>
            <w:rFonts w:ascii="Times New Roman" w:hAnsi="Times New Roman" w:cs="Times New Roman"/>
            <w:sz w:val="24"/>
            <w:szCs w:val="24"/>
          </w:rPr>
          <w:fldChar w:fldCharType="begin"/>
        </w:r>
        <w:r w:rsidRPr="00E13B73">
          <w:rPr>
            <w:rFonts w:ascii="Times New Roman" w:hAnsi="Times New Roman" w:cs="Times New Roman"/>
            <w:sz w:val="24"/>
            <w:szCs w:val="24"/>
          </w:rPr>
          <w:instrText xml:space="preserve"> PAGE   \* MERGEFORMAT </w:instrText>
        </w:r>
        <w:r w:rsidRPr="00E13B73">
          <w:rPr>
            <w:rFonts w:ascii="Times New Roman" w:hAnsi="Times New Roman" w:cs="Times New Roman"/>
            <w:sz w:val="24"/>
            <w:szCs w:val="24"/>
          </w:rPr>
          <w:fldChar w:fldCharType="separate"/>
        </w:r>
        <w:r w:rsidRPr="00E13B73">
          <w:rPr>
            <w:rFonts w:ascii="Times New Roman" w:hAnsi="Times New Roman" w:cs="Times New Roman"/>
            <w:noProof/>
            <w:sz w:val="24"/>
            <w:szCs w:val="24"/>
          </w:rPr>
          <w:t>2</w:t>
        </w:r>
        <w:r w:rsidRPr="00E13B73">
          <w:rPr>
            <w:rFonts w:ascii="Times New Roman" w:hAnsi="Times New Roman" w:cs="Times New Roman"/>
            <w:noProof/>
            <w:sz w:val="24"/>
            <w:szCs w:val="24"/>
          </w:rPr>
          <w:fldChar w:fldCharType="end"/>
        </w:r>
      </w:p>
    </w:sdtContent>
  </w:sdt>
  <w:p w14:paraId="55A38C79" w14:textId="77777777" w:rsidR="004C590F" w:rsidRPr="00E13B73" w:rsidRDefault="004C590F" w:rsidP="00E13B7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70E0E" w14:textId="77777777" w:rsidR="004C590F" w:rsidRPr="00D06CF4" w:rsidRDefault="004C590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5DB8F" w14:textId="77777777" w:rsidR="002C0C50" w:rsidRPr="00D06CF4" w:rsidRDefault="002C0C5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4233594"/>
      <w:docPartObj>
        <w:docPartGallery w:val="Page Numbers (Bottom of Page)"/>
        <w:docPartUnique/>
      </w:docPartObj>
    </w:sdtPr>
    <w:sdtEndPr>
      <w:rPr>
        <w:noProof/>
      </w:rPr>
    </w:sdtEndPr>
    <w:sdtContent>
      <w:p w14:paraId="038ECB6A" w14:textId="785A243D" w:rsidR="00E13B73" w:rsidRDefault="00E13B73">
        <w:pPr>
          <w:pStyle w:val="Footer"/>
          <w:jc w:val="center"/>
        </w:pPr>
        <w:r w:rsidRPr="00E13B73">
          <w:rPr>
            <w:rFonts w:ascii="Times New Roman" w:hAnsi="Times New Roman" w:cs="Times New Roman"/>
            <w:sz w:val="24"/>
            <w:szCs w:val="24"/>
          </w:rPr>
          <w:fldChar w:fldCharType="begin"/>
        </w:r>
        <w:r w:rsidRPr="00E13B73">
          <w:rPr>
            <w:rFonts w:ascii="Times New Roman" w:hAnsi="Times New Roman" w:cs="Times New Roman"/>
            <w:sz w:val="24"/>
            <w:szCs w:val="24"/>
          </w:rPr>
          <w:instrText xml:space="preserve"> PAGE   \* MERGEFORMAT </w:instrText>
        </w:r>
        <w:r w:rsidRPr="00E13B73">
          <w:rPr>
            <w:rFonts w:ascii="Times New Roman" w:hAnsi="Times New Roman" w:cs="Times New Roman"/>
            <w:sz w:val="24"/>
            <w:szCs w:val="24"/>
          </w:rPr>
          <w:fldChar w:fldCharType="separate"/>
        </w:r>
        <w:r w:rsidRPr="00E13B73">
          <w:rPr>
            <w:rFonts w:ascii="Times New Roman" w:hAnsi="Times New Roman" w:cs="Times New Roman"/>
            <w:noProof/>
            <w:sz w:val="24"/>
            <w:szCs w:val="24"/>
          </w:rPr>
          <w:t>2</w:t>
        </w:r>
        <w:r w:rsidRPr="00E13B73">
          <w:rPr>
            <w:rFonts w:ascii="Times New Roman" w:hAnsi="Times New Roman" w:cs="Times New Roman"/>
            <w:noProof/>
            <w:sz w:val="24"/>
            <w:szCs w:val="24"/>
          </w:rPr>
          <w:fldChar w:fldCharType="end"/>
        </w:r>
      </w:p>
    </w:sdtContent>
  </w:sdt>
  <w:p w14:paraId="6E0104E1" w14:textId="77777777" w:rsidR="002C0C50" w:rsidRDefault="002C0C50">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05E7A" w14:textId="77777777" w:rsidR="002C0C50" w:rsidRPr="00D06CF4" w:rsidRDefault="002C0C5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F4E24" w14:textId="77777777" w:rsidR="000A4598" w:rsidRPr="00D06CF4" w:rsidRDefault="000A459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8209245"/>
      <w:docPartObj>
        <w:docPartGallery w:val="Page Numbers (Bottom of Page)"/>
        <w:docPartUnique/>
      </w:docPartObj>
    </w:sdtPr>
    <w:sdtEndPr>
      <w:rPr>
        <w:noProof/>
      </w:rPr>
    </w:sdtEndPr>
    <w:sdtContent>
      <w:p w14:paraId="21516429" w14:textId="421476A0" w:rsidR="0061151E" w:rsidRDefault="0061151E">
        <w:pPr>
          <w:pStyle w:val="Footer"/>
          <w:jc w:val="center"/>
        </w:pPr>
        <w:r w:rsidRPr="0061151E">
          <w:rPr>
            <w:rFonts w:ascii="Times New Roman" w:hAnsi="Times New Roman" w:cs="Times New Roman"/>
            <w:sz w:val="24"/>
            <w:szCs w:val="24"/>
          </w:rPr>
          <w:fldChar w:fldCharType="begin"/>
        </w:r>
        <w:r w:rsidRPr="0061151E">
          <w:rPr>
            <w:rFonts w:ascii="Times New Roman" w:hAnsi="Times New Roman" w:cs="Times New Roman"/>
            <w:sz w:val="24"/>
            <w:szCs w:val="24"/>
          </w:rPr>
          <w:instrText xml:space="preserve"> PAGE   \* MERGEFORMAT </w:instrText>
        </w:r>
        <w:r w:rsidRPr="0061151E">
          <w:rPr>
            <w:rFonts w:ascii="Times New Roman" w:hAnsi="Times New Roman" w:cs="Times New Roman"/>
            <w:sz w:val="24"/>
            <w:szCs w:val="24"/>
          </w:rPr>
          <w:fldChar w:fldCharType="separate"/>
        </w:r>
        <w:r w:rsidRPr="0061151E">
          <w:rPr>
            <w:rFonts w:ascii="Times New Roman" w:hAnsi="Times New Roman" w:cs="Times New Roman"/>
            <w:noProof/>
            <w:sz w:val="24"/>
            <w:szCs w:val="24"/>
          </w:rPr>
          <w:t>2</w:t>
        </w:r>
        <w:r w:rsidRPr="0061151E">
          <w:rPr>
            <w:rFonts w:ascii="Times New Roman" w:hAnsi="Times New Roman" w:cs="Times New Roman"/>
            <w:noProof/>
            <w:sz w:val="24"/>
            <w:szCs w:val="24"/>
          </w:rPr>
          <w:fldChar w:fldCharType="end"/>
        </w:r>
      </w:p>
    </w:sdtContent>
  </w:sdt>
  <w:p w14:paraId="074D2469" w14:textId="77777777" w:rsidR="000A4598" w:rsidRPr="0061151E" w:rsidRDefault="000A4598" w:rsidP="0061151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FFDA3" w14:textId="77777777" w:rsidR="000A4598" w:rsidRPr="00D06CF4" w:rsidRDefault="000A459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C417C" w14:textId="77777777" w:rsidR="000A4598" w:rsidRPr="00D06CF4" w:rsidRDefault="000A459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4267963"/>
      <w:docPartObj>
        <w:docPartGallery w:val="Page Numbers (Bottom of Page)"/>
        <w:docPartUnique/>
      </w:docPartObj>
    </w:sdtPr>
    <w:sdtEndPr>
      <w:rPr>
        <w:noProof/>
      </w:rPr>
    </w:sdtEndPr>
    <w:sdtContent>
      <w:p w14:paraId="5F52AAAD" w14:textId="501A5BA3" w:rsidR="0061151E" w:rsidRDefault="0061151E">
        <w:pPr>
          <w:pStyle w:val="Footer"/>
          <w:jc w:val="center"/>
        </w:pPr>
        <w:r w:rsidRPr="0061151E">
          <w:rPr>
            <w:rFonts w:ascii="Times New Roman" w:hAnsi="Times New Roman" w:cs="Times New Roman"/>
          </w:rPr>
          <w:fldChar w:fldCharType="begin"/>
        </w:r>
        <w:r w:rsidRPr="0061151E">
          <w:rPr>
            <w:rFonts w:ascii="Times New Roman" w:hAnsi="Times New Roman" w:cs="Times New Roman"/>
          </w:rPr>
          <w:instrText xml:space="preserve"> PAGE   \* MERGEFORMAT </w:instrText>
        </w:r>
        <w:r w:rsidRPr="0061151E">
          <w:rPr>
            <w:rFonts w:ascii="Times New Roman" w:hAnsi="Times New Roman" w:cs="Times New Roman"/>
          </w:rPr>
          <w:fldChar w:fldCharType="separate"/>
        </w:r>
        <w:r w:rsidRPr="0061151E">
          <w:rPr>
            <w:rFonts w:ascii="Times New Roman" w:hAnsi="Times New Roman" w:cs="Times New Roman"/>
            <w:noProof/>
          </w:rPr>
          <w:t>2</w:t>
        </w:r>
        <w:r w:rsidRPr="0061151E">
          <w:rPr>
            <w:rFonts w:ascii="Times New Roman" w:hAnsi="Times New Roman" w:cs="Times New Roman"/>
            <w:noProof/>
          </w:rPr>
          <w:fldChar w:fldCharType="end"/>
        </w:r>
      </w:p>
    </w:sdtContent>
  </w:sdt>
  <w:p w14:paraId="2F3D76FF" w14:textId="77777777" w:rsidR="000A4598" w:rsidRPr="0061151E" w:rsidRDefault="000A4598" w:rsidP="0061151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81120" w14:textId="77777777" w:rsidR="000A4598" w:rsidRPr="00D06CF4" w:rsidRDefault="000A459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1EE2F" w14:textId="77777777" w:rsidR="000A4598" w:rsidRPr="00D06CF4" w:rsidRDefault="000A459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0654485"/>
      <w:docPartObj>
        <w:docPartGallery w:val="Page Numbers (Bottom of Page)"/>
        <w:docPartUnique/>
      </w:docPartObj>
    </w:sdtPr>
    <w:sdtEndPr>
      <w:rPr>
        <w:noProof/>
      </w:rPr>
    </w:sdtEndPr>
    <w:sdtContent>
      <w:p w14:paraId="3D317659" w14:textId="0DBAAF75" w:rsidR="0061151E" w:rsidRDefault="0061151E">
        <w:pPr>
          <w:pStyle w:val="Footer"/>
          <w:jc w:val="center"/>
        </w:pPr>
        <w:r w:rsidRPr="0061151E">
          <w:rPr>
            <w:rFonts w:ascii="Times New Roman" w:hAnsi="Times New Roman" w:cs="Times New Roman"/>
            <w:sz w:val="24"/>
            <w:szCs w:val="24"/>
          </w:rPr>
          <w:fldChar w:fldCharType="begin"/>
        </w:r>
        <w:r w:rsidRPr="0061151E">
          <w:rPr>
            <w:rFonts w:ascii="Times New Roman" w:hAnsi="Times New Roman" w:cs="Times New Roman"/>
            <w:sz w:val="24"/>
            <w:szCs w:val="24"/>
          </w:rPr>
          <w:instrText xml:space="preserve"> PAGE   \* MERGEFORMAT </w:instrText>
        </w:r>
        <w:r w:rsidRPr="0061151E">
          <w:rPr>
            <w:rFonts w:ascii="Times New Roman" w:hAnsi="Times New Roman" w:cs="Times New Roman"/>
            <w:sz w:val="24"/>
            <w:szCs w:val="24"/>
          </w:rPr>
          <w:fldChar w:fldCharType="separate"/>
        </w:r>
        <w:r w:rsidRPr="0061151E">
          <w:rPr>
            <w:rFonts w:ascii="Times New Roman" w:hAnsi="Times New Roman" w:cs="Times New Roman"/>
            <w:noProof/>
            <w:sz w:val="24"/>
            <w:szCs w:val="24"/>
          </w:rPr>
          <w:t>2</w:t>
        </w:r>
        <w:r w:rsidRPr="0061151E">
          <w:rPr>
            <w:rFonts w:ascii="Times New Roman" w:hAnsi="Times New Roman" w:cs="Times New Roman"/>
            <w:noProof/>
            <w:sz w:val="24"/>
            <w:szCs w:val="24"/>
          </w:rPr>
          <w:fldChar w:fldCharType="end"/>
        </w:r>
      </w:p>
    </w:sdtContent>
  </w:sdt>
  <w:p w14:paraId="4C32949E" w14:textId="77777777" w:rsidR="000A4598" w:rsidRDefault="000A4598">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46B55" w14:textId="77777777" w:rsidR="000A4598" w:rsidRPr="00D06CF4" w:rsidRDefault="000A459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CB4A0" w14:textId="77777777" w:rsidR="000A4598" w:rsidRPr="00D06CF4" w:rsidRDefault="000A459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0371008"/>
      <w:docPartObj>
        <w:docPartGallery w:val="Page Numbers (Bottom of Page)"/>
        <w:docPartUnique/>
      </w:docPartObj>
    </w:sdtPr>
    <w:sdtEndPr>
      <w:rPr>
        <w:noProof/>
      </w:rPr>
    </w:sdtEndPr>
    <w:sdtContent>
      <w:p w14:paraId="27F22655" w14:textId="5695FC4C" w:rsidR="0061151E" w:rsidRDefault="0061151E">
        <w:pPr>
          <w:pStyle w:val="Footer"/>
          <w:jc w:val="center"/>
        </w:pPr>
        <w:r w:rsidRPr="0061151E">
          <w:rPr>
            <w:rFonts w:ascii="Times New Roman" w:hAnsi="Times New Roman" w:cs="Times New Roman"/>
            <w:sz w:val="24"/>
            <w:szCs w:val="24"/>
          </w:rPr>
          <w:fldChar w:fldCharType="begin"/>
        </w:r>
        <w:r w:rsidRPr="0061151E">
          <w:rPr>
            <w:rFonts w:ascii="Times New Roman" w:hAnsi="Times New Roman" w:cs="Times New Roman"/>
            <w:sz w:val="24"/>
            <w:szCs w:val="24"/>
          </w:rPr>
          <w:instrText xml:space="preserve"> PAGE   \* MERGEFORMAT </w:instrText>
        </w:r>
        <w:r w:rsidRPr="0061151E">
          <w:rPr>
            <w:rFonts w:ascii="Times New Roman" w:hAnsi="Times New Roman" w:cs="Times New Roman"/>
            <w:sz w:val="24"/>
            <w:szCs w:val="24"/>
          </w:rPr>
          <w:fldChar w:fldCharType="separate"/>
        </w:r>
        <w:r w:rsidRPr="0061151E">
          <w:rPr>
            <w:rFonts w:ascii="Times New Roman" w:hAnsi="Times New Roman" w:cs="Times New Roman"/>
            <w:noProof/>
            <w:sz w:val="24"/>
            <w:szCs w:val="24"/>
          </w:rPr>
          <w:t>2</w:t>
        </w:r>
        <w:r w:rsidRPr="0061151E">
          <w:rPr>
            <w:rFonts w:ascii="Times New Roman" w:hAnsi="Times New Roman" w:cs="Times New Roman"/>
            <w:noProof/>
            <w:sz w:val="24"/>
            <w:szCs w:val="24"/>
          </w:rPr>
          <w:fldChar w:fldCharType="end"/>
        </w:r>
      </w:p>
    </w:sdtContent>
  </w:sdt>
  <w:p w14:paraId="3A5E2828" w14:textId="77777777" w:rsidR="000A4598" w:rsidRPr="0061151E" w:rsidRDefault="000A4598" w:rsidP="0061151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73503" w14:textId="77777777" w:rsidR="000A4598" w:rsidRPr="00D06CF4" w:rsidRDefault="000A459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2C8AB" w14:textId="77777777" w:rsidR="00145434" w:rsidRPr="00D06CF4" w:rsidRDefault="0014543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81934"/>
      <w:docPartObj>
        <w:docPartGallery w:val="Page Numbers (Bottom of Page)"/>
        <w:docPartUnique/>
      </w:docPartObj>
    </w:sdtPr>
    <w:sdtEndPr>
      <w:rPr>
        <w:noProof/>
      </w:rPr>
    </w:sdtEndPr>
    <w:sdtContent>
      <w:p w14:paraId="6AC48151" w14:textId="35E3DF4B" w:rsidR="002C4B9F" w:rsidRDefault="002C4B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C960C2" w14:textId="77777777" w:rsidR="00145434" w:rsidRDefault="00145434">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47834" w14:textId="77777777" w:rsidR="00145434" w:rsidRPr="00D06CF4" w:rsidRDefault="0014543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99E94" w14:textId="77777777" w:rsidR="00145434" w:rsidRPr="00D06CF4" w:rsidRDefault="0014543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7129749"/>
      <w:docPartObj>
        <w:docPartGallery w:val="Page Numbers (Bottom of Page)"/>
        <w:docPartUnique/>
      </w:docPartObj>
    </w:sdtPr>
    <w:sdtEndPr>
      <w:rPr>
        <w:noProof/>
      </w:rPr>
    </w:sdtEndPr>
    <w:sdtContent>
      <w:p w14:paraId="6B5A5B4A" w14:textId="66C4D4D4" w:rsidR="002C4B9F" w:rsidRDefault="002C4B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632683" w14:textId="77777777" w:rsidR="00145434" w:rsidRDefault="00145434">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71AA2" w14:textId="77777777" w:rsidR="00145434" w:rsidRPr="00D06CF4" w:rsidRDefault="0014543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2BD6A" w14:textId="77777777" w:rsidR="00145434" w:rsidRPr="00D06CF4" w:rsidRDefault="0014543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4150518"/>
      <w:docPartObj>
        <w:docPartGallery w:val="Page Numbers (Bottom of Page)"/>
        <w:docPartUnique/>
      </w:docPartObj>
    </w:sdtPr>
    <w:sdtEndPr>
      <w:rPr>
        <w:noProof/>
      </w:rPr>
    </w:sdtEndPr>
    <w:sdtContent>
      <w:p w14:paraId="152B197B" w14:textId="644810D3" w:rsidR="002C4B9F" w:rsidRDefault="002C4B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A5F118" w14:textId="77777777" w:rsidR="00145434" w:rsidRDefault="00145434">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45A21" w14:textId="77777777" w:rsidR="00145434" w:rsidRPr="00D06CF4" w:rsidRDefault="0014543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4C477" w14:textId="77777777" w:rsidR="00145434" w:rsidRPr="00D06CF4" w:rsidRDefault="0014543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4019869"/>
      <w:docPartObj>
        <w:docPartGallery w:val="Page Numbers (Bottom of Page)"/>
        <w:docPartUnique/>
      </w:docPartObj>
    </w:sdtPr>
    <w:sdtEndPr>
      <w:rPr>
        <w:noProof/>
      </w:rPr>
    </w:sdtEndPr>
    <w:sdtContent>
      <w:p w14:paraId="3769A398" w14:textId="7467D329" w:rsidR="002C4B9F" w:rsidRDefault="002C4B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B2EA6B" w14:textId="77777777" w:rsidR="00145434" w:rsidRDefault="00145434">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FC2A4" w14:textId="77777777" w:rsidR="00145434" w:rsidRPr="00D06CF4" w:rsidRDefault="00145434">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14230" w14:textId="77777777" w:rsidR="00A437C8" w:rsidRPr="00D06CF4" w:rsidRDefault="00A437C8">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177021"/>
      <w:docPartObj>
        <w:docPartGallery w:val="Page Numbers (Bottom of Page)"/>
        <w:docPartUnique/>
      </w:docPartObj>
    </w:sdtPr>
    <w:sdtEndPr>
      <w:rPr>
        <w:noProof/>
      </w:rPr>
    </w:sdtEndPr>
    <w:sdtContent>
      <w:p w14:paraId="676DDE07" w14:textId="310C71D0" w:rsidR="002C4B9F" w:rsidRDefault="002C4B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58273A" w14:textId="77777777" w:rsidR="00A437C8" w:rsidRDefault="00A437C8">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9AE4B" w14:textId="77777777" w:rsidR="00A437C8" w:rsidRPr="00D06CF4" w:rsidRDefault="00A437C8">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43761" w14:textId="77777777" w:rsidR="00A437C8" w:rsidRPr="00D06CF4" w:rsidRDefault="00A437C8">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8497909"/>
      <w:docPartObj>
        <w:docPartGallery w:val="Page Numbers (Bottom of Page)"/>
        <w:docPartUnique/>
      </w:docPartObj>
    </w:sdtPr>
    <w:sdtEndPr>
      <w:rPr>
        <w:noProof/>
      </w:rPr>
    </w:sdtEndPr>
    <w:sdtContent>
      <w:p w14:paraId="40FEBCE4" w14:textId="6A302064" w:rsidR="002C4B9F" w:rsidRDefault="002C4B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53BC72" w14:textId="77777777" w:rsidR="00A437C8" w:rsidRDefault="00A437C8">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CE40E" w14:textId="77777777" w:rsidR="00A437C8" w:rsidRPr="00D06CF4" w:rsidRDefault="00A437C8">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B0793" w14:textId="77777777" w:rsidR="00A437C8" w:rsidRPr="00D06CF4" w:rsidRDefault="00A437C8">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8827624"/>
      <w:docPartObj>
        <w:docPartGallery w:val="Page Numbers (Bottom of Page)"/>
        <w:docPartUnique/>
      </w:docPartObj>
    </w:sdtPr>
    <w:sdtEndPr>
      <w:rPr>
        <w:noProof/>
      </w:rPr>
    </w:sdtEndPr>
    <w:sdtContent>
      <w:p w14:paraId="067E5D02" w14:textId="0159C223" w:rsidR="002C4B9F" w:rsidRDefault="002C4B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E0E172" w14:textId="77777777" w:rsidR="00A437C8" w:rsidRDefault="00A437C8">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5D4FD" w14:textId="77777777" w:rsidR="00A437C8" w:rsidRPr="00D06CF4" w:rsidRDefault="00A437C8">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D9202" w14:textId="77777777" w:rsidR="00A437C8" w:rsidRPr="00D06CF4" w:rsidRDefault="00A437C8">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6002016"/>
      <w:docPartObj>
        <w:docPartGallery w:val="Page Numbers (Bottom of Page)"/>
        <w:docPartUnique/>
      </w:docPartObj>
    </w:sdtPr>
    <w:sdtEndPr>
      <w:rPr>
        <w:noProof/>
      </w:rPr>
    </w:sdtEndPr>
    <w:sdtContent>
      <w:p w14:paraId="702C0A46" w14:textId="3C150617" w:rsidR="00553E1A" w:rsidRDefault="00553E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547057" w14:textId="77777777" w:rsidR="00A437C8" w:rsidRDefault="00A437C8">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25B38" w14:textId="77777777" w:rsidR="00A437C8" w:rsidRPr="00D06CF4" w:rsidRDefault="00A437C8">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72288" w14:textId="77777777" w:rsidR="00BE1A15" w:rsidRPr="00D06CF4" w:rsidRDefault="00BE1A15">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038782"/>
      <w:docPartObj>
        <w:docPartGallery w:val="Page Numbers (Bottom of Page)"/>
        <w:docPartUnique/>
      </w:docPartObj>
    </w:sdtPr>
    <w:sdtEndPr>
      <w:rPr>
        <w:noProof/>
      </w:rPr>
    </w:sdtEndPr>
    <w:sdtContent>
      <w:p w14:paraId="31297FA2" w14:textId="0EEE6619" w:rsidR="00553E1A" w:rsidRDefault="00553E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BD78FC" w14:textId="77777777" w:rsidR="00BE1A15" w:rsidRDefault="00BE1A15">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1786F" w14:textId="77777777" w:rsidR="00BE1A15" w:rsidRPr="00D06CF4" w:rsidRDefault="00BE1A15">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D6E67" w14:textId="77777777" w:rsidR="00BE1A15" w:rsidRPr="00D06CF4" w:rsidRDefault="00BE1A15">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0873570"/>
      <w:docPartObj>
        <w:docPartGallery w:val="Page Numbers (Bottom of Page)"/>
        <w:docPartUnique/>
      </w:docPartObj>
    </w:sdtPr>
    <w:sdtEndPr>
      <w:rPr>
        <w:noProof/>
      </w:rPr>
    </w:sdtEndPr>
    <w:sdtContent>
      <w:p w14:paraId="7E6A680A" w14:textId="6091F0E9" w:rsidR="00553E1A" w:rsidRDefault="00553E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7E5397" w14:textId="77777777" w:rsidR="00BE1A15" w:rsidRDefault="00BE1A15">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46A45" w14:textId="77777777" w:rsidR="00BE1A15" w:rsidRPr="00D06CF4" w:rsidRDefault="00BE1A15">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BDBF3" w14:textId="77777777" w:rsidR="00BE1A15" w:rsidRPr="00D06CF4" w:rsidRDefault="00BE1A15">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018475"/>
      <w:docPartObj>
        <w:docPartGallery w:val="Page Numbers (Bottom of Page)"/>
        <w:docPartUnique/>
      </w:docPartObj>
    </w:sdtPr>
    <w:sdtEndPr>
      <w:rPr>
        <w:noProof/>
      </w:rPr>
    </w:sdtEndPr>
    <w:sdtContent>
      <w:p w14:paraId="5541E15B" w14:textId="038B22E2" w:rsidR="00553E1A" w:rsidRDefault="00553E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260D96" w14:textId="77777777" w:rsidR="00BE1A15" w:rsidRDefault="00BE1A15">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A4941" w14:textId="77777777" w:rsidR="00BE1A15" w:rsidRPr="00D06CF4" w:rsidRDefault="00BE1A15">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F3C5C" w14:textId="77777777" w:rsidR="00BE1A15" w:rsidRPr="00D06CF4" w:rsidRDefault="00BE1A15">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9050722"/>
      <w:docPartObj>
        <w:docPartGallery w:val="Page Numbers (Bottom of Page)"/>
        <w:docPartUnique/>
      </w:docPartObj>
    </w:sdtPr>
    <w:sdtEndPr>
      <w:rPr>
        <w:noProof/>
      </w:rPr>
    </w:sdtEndPr>
    <w:sdtContent>
      <w:p w14:paraId="34498AA9" w14:textId="402D0B51" w:rsidR="00553E1A" w:rsidRDefault="00553E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5FF171" w14:textId="77777777" w:rsidR="00BE1A15" w:rsidRDefault="00BE1A15">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F171A" w14:textId="77777777" w:rsidR="00BE1A15" w:rsidRPr="00D06CF4" w:rsidRDefault="00BE1A15">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FD5B1" w14:textId="77777777" w:rsidR="008D6D49" w:rsidRPr="00D06CF4" w:rsidRDefault="008D6D49">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9292306"/>
      <w:docPartObj>
        <w:docPartGallery w:val="Page Numbers (Bottom of Page)"/>
        <w:docPartUnique/>
      </w:docPartObj>
    </w:sdtPr>
    <w:sdtEndPr>
      <w:rPr>
        <w:noProof/>
      </w:rPr>
    </w:sdtEndPr>
    <w:sdtContent>
      <w:p w14:paraId="78AFCD59" w14:textId="68214E06" w:rsidR="00553E1A" w:rsidRDefault="00553E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E4880B" w14:textId="77777777" w:rsidR="008D6D49" w:rsidRDefault="008D6D49">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96B25" w14:textId="77777777" w:rsidR="008D6D49" w:rsidRPr="00D06CF4" w:rsidRDefault="008D6D49">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B8A68" w14:textId="77777777" w:rsidR="008D6D49" w:rsidRPr="00D06CF4" w:rsidRDefault="008D6D49">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38317"/>
      <w:docPartObj>
        <w:docPartGallery w:val="Page Numbers (Bottom of Page)"/>
        <w:docPartUnique/>
      </w:docPartObj>
    </w:sdtPr>
    <w:sdtEndPr>
      <w:rPr>
        <w:noProof/>
      </w:rPr>
    </w:sdtEndPr>
    <w:sdtContent>
      <w:p w14:paraId="22F5C31C" w14:textId="7F0F2537" w:rsidR="00553E1A" w:rsidRDefault="00553E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E58D43" w14:textId="77777777" w:rsidR="008D6D49" w:rsidRDefault="008D6D49">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651D4" w14:textId="77777777" w:rsidR="008D6D49" w:rsidRPr="00D06CF4" w:rsidRDefault="008D6D49">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71059" w14:textId="77777777" w:rsidR="008D6D49" w:rsidRPr="00D06CF4" w:rsidRDefault="008D6D49">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4949524"/>
      <w:docPartObj>
        <w:docPartGallery w:val="Page Numbers (Bottom of Page)"/>
        <w:docPartUnique/>
      </w:docPartObj>
    </w:sdtPr>
    <w:sdtEndPr>
      <w:rPr>
        <w:noProof/>
      </w:rPr>
    </w:sdtEndPr>
    <w:sdtContent>
      <w:p w14:paraId="6A8D6088" w14:textId="1DAF750E" w:rsidR="00553E1A" w:rsidRDefault="00553E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4248DE" w14:textId="77777777" w:rsidR="008D6D49" w:rsidRDefault="008D6D49">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5DB78" w14:textId="77777777" w:rsidR="008D6D49" w:rsidRPr="00D06CF4" w:rsidRDefault="008D6D49">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81F12" w14:textId="77777777" w:rsidR="008D6D49" w:rsidRPr="00D06CF4" w:rsidRDefault="008D6D49">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7948359"/>
      <w:docPartObj>
        <w:docPartGallery w:val="Page Numbers (Bottom of Page)"/>
        <w:docPartUnique/>
      </w:docPartObj>
    </w:sdtPr>
    <w:sdtEndPr>
      <w:rPr>
        <w:noProof/>
      </w:rPr>
    </w:sdtEndPr>
    <w:sdtContent>
      <w:p w14:paraId="0811483D" w14:textId="15E40CF0" w:rsidR="00553E1A" w:rsidRDefault="00553E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9C46C6" w14:textId="77777777" w:rsidR="008D6D49" w:rsidRDefault="008D6D49">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E6431" w14:textId="77777777" w:rsidR="008D6D49" w:rsidRPr="00D06CF4" w:rsidRDefault="008D6D49">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0D925" w14:textId="77777777" w:rsidR="00E51A4F" w:rsidRPr="00D06CF4" w:rsidRDefault="00E51A4F">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438316"/>
      <w:docPartObj>
        <w:docPartGallery w:val="Page Numbers (Bottom of Page)"/>
        <w:docPartUnique/>
      </w:docPartObj>
    </w:sdtPr>
    <w:sdtEndPr>
      <w:rPr>
        <w:noProof/>
      </w:rPr>
    </w:sdtEndPr>
    <w:sdtContent>
      <w:p w14:paraId="059D1BCE" w14:textId="4D3738E4" w:rsidR="00EE7E10" w:rsidRDefault="00EE7E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91818F" w14:textId="77777777" w:rsidR="00E51A4F" w:rsidRDefault="00E51A4F">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8234A" w14:textId="77777777" w:rsidR="00E51A4F" w:rsidRPr="00D06CF4" w:rsidRDefault="00E51A4F">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AA89C" w14:textId="77777777" w:rsidR="00E51A4F" w:rsidRPr="00D06CF4" w:rsidRDefault="00E51A4F">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4466514"/>
      <w:docPartObj>
        <w:docPartGallery w:val="Page Numbers (Bottom of Page)"/>
        <w:docPartUnique/>
      </w:docPartObj>
    </w:sdtPr>
    <w:sdtEndPr>
      <w:rPr>
        <w:noProof/>
      </w:rPr>
    </w:sdtEndPr>
    <w:sdtContent>
      <w:p w14:paraId="4E6B5C0F" w14:textId="1F2E697E" w:rsidR="00EE7E10" w:rsidRDefault="00EE7E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768EA2" w14:textId="77777777" w:rsidR="00E51A4F" w:rsidRDefault="00E51A4F">
    <w:pPr>
      <w:pStyle w:val="FooterCouncil"/>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68D05" w14:textId="77777777" w:rsidR="00E51A4F" w:rsidRPr="00D06CF4" w:rsidRDefault="00E51A4F">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61451" w14:textId="77777777" w:rsidR="00E51A4F" w:rsidRPr="00D06CF4" w:rsidRDefault="00E51A4F">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3499451"/>
      <w:docPartObj>
        <w:docPartGallery w:val="Page Numbers (Bottom of Page)"/>
        <w:docPartUnique/>
      </w:docPartObj>
    </w:sdtPr>
    <w:sdtEndPr>
      <w:rPr>
        <w:noProof/>
      </w:rPr>
    </w:sdtEndPr>
    <w:sdtContent>
      <w:p w14:paraId="10319D25" w14:textId="20D2D492" w:rsidR="00EE7E10" w:rsidRDefault="00EE7E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FCBC1D" w14:textId="77777777" w:rsidR="00E51A4F" w:rsidRDefault="00E51A4F">
    <w:pPr>
      <w:pStyle w:val="FooterCouncil"/>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B062B" w14:textId="77777777" w:rsidR="00E51A4F" w:rsidRPr="00D06CF4" w:rsidRDefault="00E51A4F">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4127A" w14:textId="77777777" w:rsidR="00E51A4F" w:rsidRPr="00D06CF4" w:rsidRDefault="00E51A4F">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9096325"/>
      <w:docPartObj>
        <w:docPartGallery w:val="Page Numbers (Bottom of Page)"/>
        <w:docPartUnique/>
      </w:docPartObj>
    </w:sdtPr>
    <w:sdtEndPr>
      <w:rPr>
        <w:noProof/>
      </w:rPr>
    </w:sdtEndPr>
    <w:sdtContent>
      <w:p w14:paraId="11CF4A8B" w14:textId="508F27D6" w:rsidR="00EE7E10" w:rsidRDefault="00EE7E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D7264F" w14:textId="77777777" w:rsidR="00E51A4F" w:rsidRDefault="00E51A4F">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3554B" w14:textId="77777777" w:rsidR="00E51A4F" w:rsidRPr="00D06CF4" w:rsidRDefault="00E51A4F">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D009D" w14:textId="77777777" w:rsidR="001460A9" w:rsidRPr="00D06CF4" w:rsidRDefault="001460A9">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538700"/>
      <w:docPartObj>
        <w:docPartGallery w:val="Page Numbers (Bottom of Page)"/>
        <w:docPartUnique/>
      </w:docPartObj>
    </w:sdtPr>
    <w:sdtEndPr>
      <w:rPr>
        <w:noProof/>
      </w:rPr>
    </w:sdtEndPr>
    <w:sdtContent>
      <w:p w14:paraId="39DCDF87" w14:textId="30A3CF0C" w:rsidR="00EE7E10" w:rsidRDefault="00EE7E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051CD1" w14:textId="77777777" w:rsidR="001460A9" w:rsidRDefault="001460A9">
    <w:pPr>
      <w:pStyle w:val="FooterCouncil"/>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79F00" w14:textId="77777777" w:rsidR="001460A9" w:rsidRPr="00D06CF4" w:rsidRDefault="001460A9">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2FABB" w14:textId="77777777" w:rsidR="001460A9" w:rsidRPr="00D06CF4" w:rsidRDefault="001460A9">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2126102"/>
      <w:docPartObj>
        <w:docPartGallery w:val="Page Numbers (Bottom of Page)"/>
        <w:docPartUnique/>
      </w:docPartObj>
    </w:sdtPr>
    <w:sdtEndPr>
      <w:rPr>
        <w:noProof/>
      </w:rPr>
    </w:sdtEndPr>
    <w:sdtContent>
      <w:p w14:paraId="752FAD3B" w14:textId="37234359" w:rsidR="00EE7E10" w:rsidRDefault="00EE7E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605331" w14:textId="77777777" w:rsidR="001460A9" w:rsidRDefault="001460A9">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FC687" w14:textId="77777777" w:rsidR="001460A9" w:rsidRPr="00D06CF4" w:rsidRDefault="001460A9">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B1A41" w14:textId="77777777" w:rsidR="001460A9" w:rsidRPr="00D06CF4" w:rsidRDefault="001460A9">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6603733"/>
      <w:docPartObj>
        <w:docPartGallery w:val="Page Numbers (Bottom of Page)"/>
        <w:docPartUnique/>
      </w:docPartObj>
    </w:sdtPr>
    <w:sdtEndPr>
      <w:rPr>
        <w:noProof/>
      </w:rPr>
    </w:sdtEndPr>
    <w:sdtContent>
      <w:p w14:paraId="03E0A26D" w14:textId="5968659B" w:rsidR="00EE7E10" w:rsidRDefault="00EE7E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0E1467" w14:textId="77777777" w:rsidR="001460A9" w:rsidRDefault="001460A9">
    <w:pPr>
      <w:pStyle w:val="FooterCouncil"/>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E2DA8" w14:textId="77777777" w:rsidR="001460A9" w:rsidRPr="00D06CF4" w:rsidRDefault="001460A9">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29877" w14:textId="77777777" w:rsidR="001460A9" w:rsidRPr="00D06CF4" w:rsidRDefault="001460A9">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649704"/>
      <w:docPartObj>
        <w:docPartGallery w:val="Page Numbers (Bottom of Page)"/>
        <w:docPartUnique/>
      </w:docPartObj>
    </w:sdtPr>
    <w:sdtEndPr>
      <w:rPr>
        <w:noProof/>
      </w:rPr>
    </w:sdtEndPr>
    <w:sdtContent>
      <w:p w14:paraId="516D03EE" w14:textId="224D3992" w:rsidR="00EE7E10" w:rsidRDefault="00EE7E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A1F198" w14:textId="77777777" w:rsidR="001460A9" w:rsidRDefault="001460A9">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42700" w14:textId="77777777" w:rsidR="001460A9" w:rsidRPr="00D06CF4" w:rsidRDefault="001460A9">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E1809" w14:textId="77777777" w:rsidR="00823693" w:rsidRPr="00D06CF4" w:rsidRDefault="00823693">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4062053"/>
      <w:docPartObj>
        <w:docPartGallery w:val="Page Numbers (Bottom of Page)"/>
        <w:docPartUnique/>
      </w:docPartObj>
    </w:sdtPr>
    <w:sdtEndPr>
      <w:rPr>
        <w:noProof/>
      </w:rPr>
    </w:sdtEndPr>
    <w:sdtContent>
      <w:p w14:paraId="6B95B1FD" w14:textId="4BF66FA9" w:rsidR="00EE7E10" w:rsidRDefault="00EE7E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3314A5" w14:textId="77777777" w:rsidR="00823693" w:rsidRDefault="00823693">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00927" w14:textId="77777777" w:rsidR="00823693" w:rsidRPr="00D06CF4" w:rsidRDefault="00823693">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93EC5" w14:textId="77777777" w:rsidR="00823693" w:rsidRPr="00D06CF4" w:rsidRDefault="00823693">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791723"/>
      <w:docPartObj>
        <w:docPartGallery w:val="Page Numbers (Bottom of Page)"/>
        <w:docPartUnique/>
      </w:docPartObj>
    </w:sdtPr>
    <w:sdtEndPr>
      <w:rPr>
        <w:noProof/>
      </w:rPr>
    </w:sdtEndPr>
    <w:sdtContent>
      <w:p w14:paraId="1D4D0304" w14:textId="76129F69" w:rsidR="00F37339" w:rsidRDefault="00F373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1A0D6B" w14:textId="77777777" w:rsidR="00823693" w:rsidRDefault="00823693">
    <w:pPr>
      <w:pStyle w:val="FooterCouncil"/>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8DEBB" w14:textId="77777777" w:rsidR="00823693" w:rsidRPr="00D06CF4" w:rsidRDefault="00823693">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8666815"/>
      <w:docPartObj>
        <w:docPartGallery w:val="Page Numbers (Bottom of Page)"/>
        <w:docPartUnique/>
      </w:docPartObj>
    </w:sdtPr>
    <w:sdtEndPr>
      <w:rPr>
        <w:noProof/>
      </w:rPr>
    </w:sdtEndPr>
    <w:sdtContent>
      <w:p w14:paraId="745D31D3" w14:textId="794D9E32" w:rsidR="00F37339" w:rsidRDefault="00F373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11930D" w14:textId="77777777" w:rsidR="00644683" w:rsidRDefault="00644683">
    <w:pPr>
      <w:pStyle w:val="FooterCouncil"/>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6320876"/>
      <w:docPartObj>
        <w:docPartGallery w:val="Page Numbers (Bottom of Page)"/>
        <w:docPartUnique/>
      </w:docPartObj>
    </w:sdtPr>
    <w:sdtEndPr>
      <w:rPr>
        <w:noProof/>
      </w:rPr>
    </w:sdtEndPr>
    <w:sdtContent>
      <w:p w14:paraId="2DC27A54" w14:textId="1DBDE252" w:rsidR="00F37339" w:rsidRDefault="00F373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8F535E" w14:textId="77777777" w:rsidR="00644683" w:rsidRDefault="00644683">
    <w:pPr>
      <w:pStyle w:val="FooterCouncil"/>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0D03E" w14:textId="77777777" w:rsidR="00852517" w:rsidRPr="00D06CF4" w:rsidRDefault="00852517">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6139665"/>
      <w:docPartObj>
        <w:docPartGallery w:val="Page Numbers (Bottom of Page)"/>
        <w:docPartUnique/>
      </w:docPartObj>
    </w:sdtPr>
    <w:sdtEndPr>
      <w:rPr>
        <w:noProof/>
      </w:rPr>
    </w:sdtEndPr>
    <w:sdtContent>
      <w:p w14:paraId="45C03F56" w14:textId="4363BB6C" w:rsidR="00F37339" w:rsidRDefault="00F373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AEEF08" w14:textId="77777777" w:rsidR="00852517" w:rsidRDefault="00852517">
    <w:pPr>
      <w:pStyle w:val="FooterCouncil"/>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0769E" w14:textId="77777777" w:rsidR="00852517" w:rsidRPr="00D06CF4" w:rsidRDefault="00852517">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0EBA7" w14:textId="77777777" w:rsidR="00852517" w:rsidRPr="00D06CF4" w:rsidRDefault="00852517">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7733989"/>
      <w:docPartObj>
        <w:docPartGallery w:val="Page Numbers (Bottom of Page)"/>
        <w:docPartUnique/>
      </w:docPartObj>
    </w:sdtPr>
    <w:sdtEndPr>
      <w:rPr>
        <w:noProof/>
      </w:rPr>
    </w:sdtEndPr>
    <w:sdtContent>
      <w:p w14:paraId="64FB936A" w14:textId="073BFEFD" w:rsidR="00F37339" w:rsidRDefault="00F373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79C37A" w14:textId="77777777" w:rsidR="00852517" w:rsidRDefault="00852517">
    <w:pPr>
      <w:pStyle w:val="FooterCouncil"/>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CF327" w14:textId="77777777" w:rsidR="00852517" w:rsidRPr="00D06CF4" w:rsidRDefault="00852517">
    <w:pPr>
      <w:pStyle w:val="Footer"/>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11FBF" w14:textId="77777777" w:rsidR="00852517" w:rsidRPr="00D06CF4" w:rsidRDefault="00852517">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860433"/>
      <w:docPartObj>
        <w:docPartGallery w:val="Page Numbers (Bottom of Page)"/>
        <w:docPartUnique/>
      </w:docPartObj>
    </w:sdtPr>
    <w:sdtEndPr>
      <w:rPr>
        <w:noProof/>
      </w:rPr>
    </w:sdtEndPr>
    <w:sdtContent>
      <w:p w14:paraId="10EF54C9" w14:textId="41C380A7" w:rsidR="00F37339" w:rsidRDefault="00F373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742AC1" w14:textId="77777777" w:rsidR="00852517" w:rsidRDefault="00852517">
    <w:pPr>
      <w:pStyle w:val="FooterCouncil"/>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8654C" w14:textId="77777777" w:rsidR="00852517" w:rsidRPr="00D06CF4" w:rsidRDefault="00852517">
    <w:pPr>
      <w:pStyle w:val="Footer"/>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A4094" w14:textId="77777777" w:rsidR="00852517" w:rsidRPr="00D06CF4" w:rsidRDefault="00852517">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2150147"/>
      <w:docPartObj>
        <w:docPartGallery w:val="Page Numbers (Bottom of Page)"/>
        <w:docPartUnique/>
      </w:docPartObj>
    </w:sdtPr>
    <w:sdtEndPr>
      <w:rPr>
        <w:noProof/>
      </w:rPr>
    </w:sdtEndPr>
    <w:sdtContent>
      <w:p w14:paraId="78D5EE06" w14:textId="05BDEA66" w:rsidR="00F37339" w:rsidRDefault="00F373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DB91BE" w14:textId="77777777" w:rsidR="00852517" w:rsidRDefault="00852517">
    <w:pPr>
      <w:pStyle w:val="FooterCouncil"/>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6D360" w14:textId="77777777" w:rsidR="00852517" w:rsidRPr="00D06CF4" w:rsidRDefault="00852517">
    <w:pPr>
      <w:pStyle w:val="Footer"/>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35FDF" w14:textId="77777777" w:rsidR="00550A54" w:rsidRPr="00D06CF4" w:rsidRDefault="00550A54">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6237176"/>
      <w:docPartObj>
        <w:docPartGallery w:val="Page Numbers (Bottom of Page)"/>
        <w:docPartUnique/>
      </w:docPartObj>
    </w:sdtPr>
    <w:sdtEndPr>
      <w:rPr>
        <w:noProof/>
      </w:rPr>
    </w:sdtEndPr>
    <w:sdtContent>
      <w:p w14:paraId="43332F53" w14:textId="5B778B4A" w:rsidR="00F37339" w:rsidRDefault="00F373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56679F" w14:textId="77777777" w:rsidR="00550A54" w:rsidRDefault="00550A54">
    <w:pPr>
      <w:pStyle w:val="FooterCouncil"/>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80D18" w14:textId="77777777" w:rsidR="00550A54" w:rsidRPr="00D06CF4" w:rsidRDefault="00550A54">
    <w:pPr>
      <w:pStyle w:val="Footer"/>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9BD47" w14:textId="77777777" w:rsidR="00550A54" w:rsidRPr="00D06CF4" w:rsidRDefault="00550A54">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4356303"/>
      <w:docPartObj>
        <w:docPartGallery w:val="Page Numbers (Bottom of Page)"/>
        <w:docPartUnique/>
      </w:docPartObj>
    </w:sdtPr>
    <w:sdtEndPr>
      <w:rPr>
        <w:noProof/>
      </w:rPr>
    </w:sdtEndPr>
    <w:sdtContent>
      <w:p w14:paraId="594E5A7D" w14:textId="185F77C5" w:rsidR="00F37339" w:rsidRDefault="00F373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A0F211" w14:textId="77777777" w:rsidR="00550A54" w:rsidRDefault="00550A54">
    <w:pPr>
      <w:pStyle w:val="FooterCouncil"/>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9EB9C" w14:textId="77777777" w:rsidR="00550A54" w:rsidRPr="00D06CF4" w:rsidRDefault="00550A54">
    <w:pPr>
      <w:pStyle w:val="Footer"/>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F7E6B" w14:textId="77777777" w:rsidR="00B803E9" w:rsidRPr="00D06CF4" w:rsidRDefault="00B803E9">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335857"/>
      <w:docPartObj>
        <w:docPartGallery w:val="Page Numbers (Bottom of Page)"/>
        <w:docPartUnique/>
      </w:docPartObj>
    </w:sdtPr>
    <w:sdtEndPr>
      <w:rPr>
        <w:noProof/>
      </w:rPr>
    </w:sdtEndPr>
    <w:sdtContent>
      <w:p w14:paraId="000AE928" w14:textId="01128383" w:rsidR="00F37339" w:rsidRDefault="00F373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AA2728" w14:textId="77777777" w:rsidR="00B803E9" w:rsidRDefault="00B803E9">
    <w:pPr>
      <w:pStyle w:val="FooterCouncil"/>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CEB85" w14:textId="77777777" w:rsidR="00B803E9" w:rsidRPr="00D06CF4" w:rsidRDefault="00B803E9">
    <w:pPr>
      <w:pStyle w:val="Footer"/>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D2419" w14:textId="77777777" w:rsidR="00B803E9" w:rsidRPr="00D06CF4" w:rsidRDefault="00B803E9">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9505265"/>
      <w:docPartObj>
        <w:docPartGallery w:val="Page Numbers (Bottom of Page)"/>
        <w:docPartUnique/>
      </w:docPartObj>
    </w:sdtPr>
    <w:sdtEndPr>
      <w:rPr>
        <w:noProof/>
      </w:rPr>
    </w:sdtEndPr>
    <w:sdtContent>
      <w:p w14:paraId="3B8468BE" w14:textId="20DB8C7C" w:rsidR="00F37339" w:rsidRDefault="00F373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7B29E1" w14:textId="77777777" w:rsidR="00B803E9" w:rsidRDefault="00B803E9">
    <w:pPr>
      <w:pStyle w:val="FooterCouncil"/>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1A8B1" w14:textId="77777777" w:rsidR="00B803E9" w:rsidRPr="00D06CF4" w:rsidRDefault="00B803E9">
    <w:pPr>
      <w:pStyle w:val="Footer"/>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104FE" w14:textId="77777777" w:rsidR="00B803E9" w:rsidRPr="00D06CF4" w:rsidRDefault="00B803E9">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5531089"/>
      <w:docPartObj>
        <w:docPartGallery w:val="Page Numbers (Bottom of Page)"/>
        <w:docPartUnique/>
      </w:docPartObj>
    </w:sdtPr>
    <w:sdtEndPr>
      <w:rPr>
        <w:noProof/>
      </w:rPr>
    </w:sdtEndPr>
    <w:sdtContent>
      <w:p w14:paraId="576EB5AF" w14:textId="05AE5F87" w:rsidR="00F37339" w:rsidRDefault="00F373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24289E" w14:textId="77777777" w:rsidR="00B803E9" w:rsidRDefault="00B803E9">
    <w:pPr>
      <w:pStyle w:val="FooterCouncil"/>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789A8" w14:textId="77777777" w:rsidR="00B803E9" w:rsidRPr="00D06CF4" w:rsidRDefault="00B803E9">
    <w:pPr>
      <w:pStyle w:val="Footer"/>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DBA87" w14:textId="77777777" w:rsidR="00B803E9" w:rsidRPr="00D06CF4" w:rsidRDefault="00B803E9">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2897350"/>
      <w:docPartObj>
        <w:docPartGallery w:val="Page Numbers (Bottom of Page)"/>
        <w:docPartUnique/>
      </w:docPartObj>
    </w:sdtPr>
    <w:sdtEndPr>
      <w:rPr>
        <w:noProof/>
      </w:rPr>
    </w:sdtEndPr>
    <w:sdtContent>
      <w:p w14:paraId="3D4E33E1" w14:textId="77777777" w:rsidR="00F37339" w:rsidRDefault="00F373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C7D1B6" w14:textId="77777777" w:rsidR="00B803E9" w:rsidRDefault="00B803E9">
    <w:pPr>
      <w:pStyle w:val="FooterCouncil"/>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E0B3D" w14:textId="77777777" w:rsidR="00B803E9" w:rsidRPr="00D06CF4" w:rsidRDefault="00B803E9">
    <w:pPr>
      <w:pStyle w:val="Footer"/>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F71F3" w14:textId="77777777" w:rsidR="00F54DA9" w:rsidRPr="00D06CF4" w:rsidRDefault="00F54DA9">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3390229"/>
      <w:docPartObj>
        <w:docPartGallery w:val="Page Numbers (Bottom of Page)"/>
        <w:docPartUnique/>
      </w:docPartObj>
    </w:sdtPr>
    <w:sdtEndPr>
      <w:rPr>
        <w:noProof/>
      </w:rPr>
    </w:sdtEndPr>
    <w:sdtContent>
      <w:p w14:paraId="7403BF1D" w14:textId="6C20F23D" w:rsidR="00F37339" w:rsidRDefault="00F373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0C2322" w14:textId="77777777" w:rsidR="00F54DA9" w:rsidRDefault="00F54DA9">
    <w:pPr>
      <w:pStyle w:val="FooterCouncil"/>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62F6A" w14:textId="77777777" w:rsidR="00F54DA9" w:rsidRPr="00D06CF4" w:rsidRDefault="00F54DA9">
    <w:pPr>
      <w:pStyle w:val="Footer"/>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4DA49" w14:textId="77777777" w:rsidR="00F54DA9" w:rsidRPr="00D06CF4" w:rsidRDefault="00F54DA9">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579646"/>
      <w:docPartObj>
        <w:docPartGallery w:val="Page Numbers (Bottom of Page)"/>
        <w:docPartUnique/>
      </w:docPartObj>
    </w:sdtPr>
    <w:sdtEndPr>
      <w:rPr>
        <w:noProof/>
      </w:rPr>
    </w:sdtEndPr>
    <w:sdtContent>
      <w:p w14:paraId="27E3350C" w14:textId="3D07BC2D" w:rsidR="00F37339" w:rsidRDefault="00F373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4CA106" w14:textId="77777777" w:rsidR="00F54DA9" w:rsidRDefault="00F54DA9">
    <w:pPr>
      <w:pStyle w:val="FooterCouncil"/>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56344" w14:textId="77777777" w:rsidR="00F54DA9" w:rsidRPr="00D06CF4" w:rsidRDefault="00F54DA9">
    <w:pPr>
      <w:pStyle w:val="Footer"/>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DC129" w14:textId="77777777" w:rsidR="00F54DA9" w:rsidRPr="00D06CF4" w:rsidRDefault="00F54DA9">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017360"/>
      <w:docPartObj>
        <w:docPartGallery w:val="Page Numbers (Bottom of Page)"/>
        <w:docPartUnique/>
      </w:docPartObj>
    </w:sdtPr>
    <w:sdtEndPr>
      <w:rPr>
        <w:noProof/>
      </w:rPr>
    </w:sdtEndPr>
    <w:sdtContent>
      <w:p w14:paraId="173BFDE4" w14:textId="23EEBB5C" w:rsidR="00F37339" w:rsidRDefault="00F373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CE8CE2" w14:textId="77777777" w:rsidR="00F54DA9" w:rsidRDefault="00F54DA9">
    <w:pPr>
      <w:pStyle w:val="FooterCouncil"/>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9E4BD" w14:textId="77777777" w:rsidR="00F54DA9" w:rsidRPr="00D06CF4" w:rsidRDefault="00F54DA9">
    <w:pPr>
      <w:pStyle w:val="Footer"/>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276CD" w14:textId="77777777" w:rsidR="00F54DA9" w:rsidRPr="00D06CF4" w:rsidRDefault="00F54DA9">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354726"/>
      <w:docPartObj>
        <w:docPartGallery w:val="Page Numbers (Bottom of Page)"/>
        <w:docPartUnique/>
      </w:docPartObj>
    </w:sdtPr>
    <w:sdtEndPr>
      <w:rPr>
        <w:noProof/>
      </w:rPr>
    </w:sdtEndPr>
    <w:sdtContent>
      <w:p w14:paraId="2F20C376" w14:textId="256452C7" w:rsidR="00F37339" w:rsidRDefault="00F373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FADDEE" w14:textId="77777777" w:rsidR="00F54DA9" w:rsidRDefault="00F54DA9">
    <w:pPr>
      <w:pStyle w:val="FooterCouncil"/>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6B324" w14:textId="77777777" w:rsidR="00F54DA9" w:rsidRPr="00D06CF4" w:rsidRDefault="00F54DA9">
    <w:pPr>
      <w:pStyle w:val="Footer"/>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50704" w14:textId="77777777" w:rsidR="00137D7A" w:rsidRPr="00623DB4" w:rsidRDefault="00137D7A">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2136873"/>
      <w:docPartObj>
        <w:docPartGallery w:val="Page Numbers (Bottom of Page)"/>
        <w:docPartUnique/>
      </w:docPartObj>
    </w:sdtPr>
    <w:sdtEndPr>
      <w:rPr>
        <w:noProof/>
      </w:rPr>
    </w:sdtEndPr>
    <w:sdtContent>
      <w:p w14:paraId="4A748FC1" w14:textId="73C4D970" w:rsidR="00F37339" w:rsidRDefault="00F373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C84800" w14:textId="77777777" w:rsidR="00137D7A" w:rsidRDefault="00137D7A">
    <w:pPr>
      <w:pStyle w:val="FooterCouncil"/>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4E171" w14:textId="77777777" w:rsidR="00137D7A" w:rsidRPr="00623DB4" w:rsidRDefault="00137D7A">
    <w:pPr>
      <w:pStyle w:val="Footer"/>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F8CED" w14:textId="77777777" w:rsidR="00137D7A" w:rsidRPr="009F5ACB" w:rsidRDefault="00137D7A">
    <w:pPr>
      <w:pStyle w:val="FooterCoverPage"/>
      <w:rPr>
        <w:rFonts w:ascii="Arial" w:hAnsi="Arial" w:cs="Arial"/>
        <w:b/>
        <w:sz w:val="48"/>
      </w:rPr>
    </w:pPr>
    <w:r w:rsidRPr="009F5ACB">
      <w:rPr>
        <w:rFonts w:ascii="Arial" w:hAnsi="Arial" w:cs="Arial"/>
        <w:b/>
        <w:sz w:val="48"/>
      </w:rPr>
      <w:t>EN</w:t>
    </w:r>
    <w:r w:rsidRPr="009F5ACB">
      <w:rPr>
        <w:rFonts w:ascii="Arial" w:hAnsi="Arial" w:cs="Arial"/>
        <w:b/>
        <w:sz w:val="48"/>
      </w:rPr>
      <w:tab/>
    </w:r>
    <w:r w:rsidRPr="009F5ACB">
      <w:rPr>
        <w:rFonts w:ascii="Arial" w:hAnsi="Arial" w:cs="Arial"/>
        <w:b/>
        <w:sz w:val="48"/>
      </w:rPr>
      <w:tab/>
    </w:r>
    <w:r w:rsidRPr="009F5ACB">
      <w:tab/>
    </w:r>
    <w:r w:rsidRPr="009F5ACB">
      <w:rPr>
        <w:rFonts w:ascii="Arial" w:hAnsi="Arial" w:cs="Arial"/>
        <w:b/>
        <w:sz w:val="48"/>
      </w:rPr>
      <w:t>EN</w:t>
    </w: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4157892"/>
      <w:docPartObj>
        <w:docPartGallery w:val="Page Numbers (Bottom of Page)"/>
        <w:docPartUnique/>
      </w:docPartObj>
    </w:sdtPr>
    <w:sdtEndPr>
      <w:rPr>
        <w:noProof/>
      </w:rPr>
    </w:sdtEndPr>
    <w:sdtContent>
      <w:p w14:paraId="26D232FD" w14:textId="742EADDD" w:rsidR="00337476" w:rsidRDefault="003374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E73FD3" w14:textId="77777777" w:rsidR="00644683" w:rsidRDefault="00644683">
    <w:pPr>
      <w:pStyle w:val="FooterCouncil"/>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2D633" w14:textId="4D97784D" w:rsidR="00137D7A" w:rsidRPr="009F5ACB" w:rsidRDefault="00137D7A">
    <w:pPr>
      <w:pStyle w:val="FooterCoverPage"/>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CA78A" w14:textId="77777777" w:rsidR="00137D7A" w:rsidRPr="009F5ACB" w:rsidRDefault="00137D7A">
    <w:pPr>
      <w:pStyle w:val="FooterCoverPage"/>
      <w:rPr>
        <w:rFonts w:ascii="Arial" w:hAnsi="Arial" w:cs="Arial"/>
        <w:b/>
        <w:sz w:val="48"/>
      </w:rPr>
    </w:pPr>
    <w:r w:rsidRPr="009F5ACB">
      <w:rPr>
        <w:rFonts w:ascii="Arial" w:hAnsi="Arial" w:cs="Arial"/>
        <w:b/>
        <w:sz w:val="48"/>
      </w:rPr>
      <w:t>EN</w:t>
    </w:r>
    <w:r w:rsidRPr="009F5ACB">
      <w:rPr>
        <w:rFonts w:ascii="Arial" w:hAnsi="Arial" w:cs="Arial"/>
        <w:b/>
        <w:sz w:val="48"/>
      </w:rPr>
      <w:tab/>
    </w:r>
    <w:r w:rsidRPr="009F5ACB">
      <w:rPr>
        <w:rFonts w:ascii="Arial" w:hAnsi="Arial" w:cs="Arial"/>
        <w:b/>
        <w:sz w:val="48"/>
      </w:rPr>
      <w:tab/>
    </w:r>
    <w:r w:rsidRPr="009F5ACB">
      <w:tab/>
    </w:r>
    <w:r w:rsidRPr="009F5ACB">
      <w:rPr>
        <w:rFonts w:ascii="Arial" w:hAnsi="Arial" w:cs="Arial"/>
        <w:b/>
        <w:sz w:val="48"/>
      </w:rPr>
      <w:t>EN</w:t>
    </w: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3196587"/>
      <w:docPartObj>
        <w:docPartGallery w:val="Page Numbers (Bottom of Page)"/>
        <w:docPartUnique/>
      </w:docPartObj>
    </w:sdtPr>
    <w:sdtEndPr>
      <w:rPr>
        <w:noProof/>
      </w:rPr>
    </w:sdtEndPr>
    <w:sdtContent>
      <w:p w14:paraId="7D7B98AE" w14:textId="2CB74095" w:rsidR="00337476" w:rsidRDefault="003374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ADAD01" w14:textId="77777777" w:rsidR="00644683" w:rsidRDefault="00644683">
    <w:pPr>
      <w:pStyle w:val="FooterCouncil"/>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DEC91" w14:textId="77777777" w:rsidR="00137D7A" w:rsidRPr="009F5ACB" w:rsidRDefault="00137D7A">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6127FB" w14:textId="77777777" w:rsidR="006838D0" w:rsidRDefault="006838D0" w:rsidP="001F1F6A">
      <w:pPr>
        <w:spacing w:after="0" w:line="240" w:lineRule="auto"/>
      </w:pPr>
      <w:r>
        <w:separator/>
      </w:r>
    </w:p>
  </w:footnote>
  <w:footnote w:type="continuationSeparator" w:id="0">
    <w:p w14:paraId="6BC3C17F" w14:textId="77777777" w:rsidR="006838D0" w:rsidRDefault="006838D0" w:rsidP="001F1F6A">
      <w:pPr>
        <w:spacing w:after="0" w:line="240" w:lineRule="auto"/>
      </w:pPr>
      <w:r>
        <w:continuationSeparator/>
      </w:r>
    </w:p>
  </w:footnote>
  <w:footnote w:id="1">
    <w:p w14:paraId="089A40AD" w14:textId="2C45FAF2" w:rsidR="00A437C8" w:rsidRPr="00DA626D" w:rsidRDefault="00A437C8" w:rsidP="00A437C8">
      <w:pPr>
        <w:pStyle w:val="FootnoteText"/>
        <w:rPr>
          <w:lang w:val="en-GB"/>
        </w:rPr>
      </w:pPr>
      <w:r w:rsidRPr="00DA626D">
        <w:rPr>
          <w:rStyle w:val="FootnoteReference"/>
          <w:lang w:val="en-GB"/>
        </w:rPr>
        <w:footnoteRef/>
      </w:r>
      <w:r w:rsidRPr="00DA626D">
        <w:rPr>
          <w:lang w:val="en-GB"/>
        </w:rPr>
        <w:t xml:space="preserve"> </w:t>
      </w:r>
      <w:hyperlink r:id="rId1" w:history="1">
        <w:r w:rsidR="00A025C9" w:rsidRPr="009F2491">
          <w:rPr>
            <w:rStyle w:val="Hyperlink"/>
            <w:lang w:val="en-GB"/>
          </w:rPr>
          <w:t>https://ec.europa.eu/newsroom/dae/document.cfm?doc_id=75185</w:t>
        </w:r>
      </w:hyperlink>
      <w:r w:rsidR="00A025C9">
        <w:rPr>
          <w:lang w:val="en-GB"/>
        </w:rPr>
        <w:t xml:space="preserve"> </w:t>
      </w:r>
    </w:p>
  </w:footnote>
  <w:footnote w:id="2">
    <w:p w14:paraId="20AFE306" w14:textId="06618FE5" w:rsidR="00A437C8" w:rsidRPr="00DA626D" w:rsidRDefault="00A437C8" w:rsidP="00A437C8">
      <w:pPr>
        <w:pStyle w:val="FootnoteText"/>
        <w:ind w:left="0" w:firstLine="0"/>
        <w:rPr>
          <w:lang w:val="en-GB"/>
        </w:rPr>
      </w:pPr>
      <w:r w:rsidRPr="00DA626D">
        <w:rPr>
          <w:rStyle w:val="FootnoteReference"/>
          <w:lang w:val="en-GB"/>
        </w:rPr>
        <w:footnoteRef/>
      </w:r>
      <w:r w:rsidRPr="00DA626D">
        <w:rPr>
          <w:lang w:val="en-GB"/>
        </w:rPr>
        <w:t xml:space="preserve"> Available at </w:t>
      </w:r>
      <w:hyperlink r:id="rId2" w:history="1">
        <w:r w:rsidR="00A025C9" w:rsidRPr="009F2491">
          <w:rPr>
            <w:rStyle w:val="Hyperlink"/>
            <w:lang w:val="en-GB"/>
          </w:rPr>
          <w:t>https://e3p.jrc.ec.europa.eu/publications/2021-best-practice-guidelines-eu-code-conduct-data-centre-energy-efficiency</w:t>
        </w:r>
      </w:hyperlink>
      <w:r w:rsidR="00A025C9">
        <w:rPr>
          <w:lang w:val="en-GB"/>
        </w:rPr>
        <w:t xml:space="preserve"> </w:t>
      </w:r>
    </w:p>
  </w:footnote>
  <w:footnote w:id="3">
    <w:p w14:paraId="16A51D2C" w14:textId="203C40BE" w:rsidR="00A437C8" w:rsidRPr="00DA626D" w:rsidRDefault="00A437C8" w:rsidP="00A437C8">
      <w:pPr>
        <w:pStyle w:val="FootnoteText"/>
        <w:rPr>
          <w:lang w:val="en-GB"/>
        </w:rPr>
      </w:pPr>
      <w:r w:rsidRPr="00DA626D">
        <w:rPr>
          <w:rStyle w:val="FootnoteReference"/>
          <w:lang w:val="en-GB"/>
        </w:rPr>
        <w:footnoteRef/>
      </w:r>
      <w:r w:rsidRPr="00DA626D">
        <w:rPr>
          <w:lang w:val="en-GB"/>
        </w:rPr>
        <w:t xml:space="preserve"> </w:t>
      </w:r>
      <w:hyperlink r:id="rId3" w:history="1">
        <w:r w:rsidR="00A025C9" w:rsidRPr="009F2491">
          <w:rPr>
            <w:rStyle w:val="Hyperlink"/>
            <w:lang w:val="en-GB"/>
          </w:rPr>
          <w:t>https://ec.europa.eu/isa2/sites/default/files/eif_brochure_final.pdf</w:t>
        </w:r>
      </w:hyperlink>
      <w:r w:rsidR="00A025C9">
        <w:rPr>
          <w:lang w:val="en-GB"/>
        </w:rPr>
        <w:t xml:space="preserve"> </w:t>
      </w:r>
    </w:p>
  </w:footnote>
  <w:footnote w:id="4">
    <w:p w14:paraId="575CD91B" w14:textId="7BA5E575" w:rsidR="00A437C8" w:rsidRPr="00DA626D" w:rsidRDefault="00A437C8" w:rsidP="00A437C8">
      <w:pPr>
        <w:pStyle w:val="FootnoteText"/>
        <w:rPr>
          <w:lang w:val="en-GB"/>
        </w:rPr>
      </w:pPr>
      <w:r w:rsidRPr="00DA626D">
        <w:rPr>
          <w:rStyle w:val="FootnoteReference"/>
          <w:lang w:val="en-GB"/>
        </w:rPr>
        <w:footnoteRef/>
      </w:r>
      <w:r w:rsidRPr="00DA626D">
        <w:rPr>
          <w:lang w:val="en-GB"/>
        </w:rPr>
        <w:t xml:space="preserve"> </w:t>
      </w:r>
      <w:hyperlink r:id="rId4" w:history="1">
        <w:r w:rsidR="00A025C9" w:rsidRPr="009F2491">
          <w:rPr>
            <w:rStyle w:val="Hyperlink"/>
            <w:lang w:val="en-GB"/>
          </w:rPr>
          <w:t>https://ec.europa.eu/newsroom/dae/document.cfm?doc_id=75185</w:t>
        </w:r>
      </w:hyperlink>
      <w:r w:rsidR="00A025C9">
        <w:rPr>
          <w:lang w:val="en-GB"/>
        </w:rPr>
        <w:t xml:space="preserve"> </w:t>
      </w:r>
    </w:p>
  </w:footnote>
  <w:footnote w:id="5">
    <w:p w14:paraId="44BE983A" w14:textId="77777777" w:rsidR="00BE1A15" w:rsidRPr="0078776B" w:rsidRDefault="00BE1A15" w:rsidP="00BE1A15">
      <w:pPr>
        <w:pStyle w:val="FootnoteText"/>
        <w:ind w:left="0" w:firstLine="0"/>
        <w:rPr>
          <w:highlight w:val="yellow"/>
          <w:lang w:val="en-GB"/>
        </w:rPr>
      </w:pPr>
      <w:r w:rsidRPr="00046597">
        <w:rPr>
          <w:rStyle w:val="FootnoteReference"/>
          <w:lang w:val="en-GB"/>
        </w:rPr>
        <w:footnoteRef/>
      </w:r>
      <w:r w:rsidRPr="00046597">
        <w:rPr>
          <w:lang w:val="en-GB"/>
        </w:rPr>
        <w:t xml:space="preserve"> Except projects in power and/or heat generation, as well as related transmission and distribution infrastructure, using natural gas, that are compliant with the conditions set out in Annex III of the ‘Do no significant harm’ Technical Guidance (2021/C58/01).</w:t>
      </w:r>
    </w:p>
  </w:footnote>
  <w:footnote w:id="6">
    <w:p w14:paraId="5EE2D08B" w14:textId="77777777" w:rsidR="00BE1A15" w:rsidRPr="00046597" w:rsidRDefault="00BE1A15" w:rsidP="00BE1A15">
      <w:pPr>
        <w:pStyle w:val="FootnoteText"/>
        <w:ind w:left="0" w:firstLine="0"/>
        <w:rPr>
          <w:lang w:val="en-GB"/>
        </w:rPr>
      </w:pPr>
      <w:r w:rsidRPr="00046597">
        <w:rPr>
          <w:rStyle w:val="FootnoteReference"/>
          <w:lang w:val="en-GB"/>
        </w:rPr>
        <w:footnoteRef/>
      </w:r>
      <w:r w:rsidRPr="00046597">
        <w:rPr>
          <w:lang w:val="en-GB"/>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7">
    <w:p w14:paraId="3E675EC8" w14:textId="77777777" w:rsidR="00BE1A15" w:rsidRPr="00046597" w:rsidRDefault="00BE1A15" w:rsidP="00BE1A15">
      <w:pPr>
        <w:pStyle w:val="FootnoteText"/>
        <w:ind w:left="0" w:firstLine="0"/>
        <w:rPr>
          <w:lang w:val="en-GB"/>
        </w:rPr>
      </w:pPr>
      <w:r w:rsidRPr="00046597">
        <w:rPr>
          <w:rStyle w:val="FootnoteReference"/>
          <w:lang w:val="en-GB"/>
        </w:rPr>
        <w:footnoteRef/>
      </w:r>
      <w:r w:rsidRPr="00046597">
        <w:rPr>
          <w:lang w:val="en-GB"/>
        </w:rPr>
        <w:t xml:space="preserve"> This exclusion does not apply to actions in plants exclusively dedicated to treating non-recyclable hazardous waste, and to existing plants, where the actions are for the purpose of increasing energy efficiency, capturing exhaust gases for storage or use or recovering materials from incineration ashes, provided such actions do not result in an increase of the plants’ waste processing capacity or in an extension of the lifetime of the plants; for which evidence is provided at plant level.</w:t>
      </w:r>
    </w:p>
  </w:footnote>
  <w:footnote w:id="8">
    <w:p w14:paraId="1EABE2EB" w14:textId="77777777" w:rsidR="00BE1A15" w:rsidRDefault="00BE1A15" w:rsidP="00BE1A15">
      <w:pPr>
        <w:pStyle w:val="FootnoteText"/>
        <w:ind w:left="0" w:firstLine="0"/>
        <w:rPr>
          <w:lang w:val="en-GB"/>
        </w:rPr>
      </w:pPr>
      <w:r w:rsidRPr="00046597">
        <w:rPr>
          <w:rStyle w:val="FootnoteReference"/>
          <w:lang w:val="en-GB"/>
        </w:rPr>
        <w:footnoteRef/>
      </w:r>
      <w:r w:rsidRPr="00046597">
        <w:rPr>
          <w:lang w:val="en-GB"/>
        </w:rPr>
        <w:t xml:space="preserve"> This exclusion does not apply to actions in existing mechanical biological treatment plants, where the actions are for the purpose of increasing energy efficiency or retrofitting to recycling operations of separated waste to compost bio-waste and anaerobic digestion of bio-waste, provided such actions do not result in an increase of the plants’ waste processing capacity or in an extension of the lifetime of the plants; for which evidence is provided at plant level.</w:t>
      </w:r>
    </w:p>
  </w:footnote>
  <w:footnote w:id="9">
    <w:p w14:paraId="432D170E" w14:textId="77777777" w:rsidR="00BE1A15" w:rsidRPr="00756E80" w:rsidRDefault="00BE1A15" w:rsidP="00114539">
      <w:pPr>
        <w:pStyle w:val="FootnoteText"/>
        <w:ind w:left="0" w:firstLine="0"/>
        <w:rPr>
          <w:noProof/>
          <w:lang w:val="en-GB"/>
        </w:rPr>
      </w:pPr>
      <w:r w:rsidRPr="00756E80">
        <w:rPr>
          <w:rStyle w:val="FootnoteReference"/>
        </w:rPr>
        <w:footnoteRef/>
      </w:r>
      <w:r w:rsidRPr="0061489A">
        <w:rPr>
          <w:lang w:val="en-IE"/>
        </w:rPr>
        <w:t xml:space="preserve"> </w:t>
      </w:r>
      <w:r w:rsidRPr="00756E80">
        <w:rPr>
          <w:noProof/>
          <w:lang w:val="en-GB"/>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0">
    <w:p w14:paraId="33DA4B14" w14:textId="77777777" w:rsidR="00BE1A15" w:rsidRPr="00756E80" w:rsidRDefault="00BE1A15" w:rsidP="00114539">
      <w:pPr>
        <w:pStyle w:val="FootnoteText"/>
        <w:ind w:left="0" w:firstLine="0"/>
        <w:rPr>
          <w:noProof/>
          <w:lang w:val="en-GB"/>
        </w:rPr>
      </w:pPr>
      <w:r w:rsidRPr="00756E80">
        <w:rPr>
          <w:rStyle w:val="FootnoteReference"/>
        </w:rPr>
        <w:footnoteRef/>
      </w:r>
      <w:r w:rsidRPr="0061489A">
        <w:rPr>
          <w:lang w:val="en-IE"/>
        </w:rPr>
        <w:t xml:space="preserve"> </w:t>
      </w:r>
      <w:r w:rsidRPr="00756E80">
        <w:rPr>
          <w:noProof/>
          <w:lang w:val="en-GB"/>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1">
    <w:p w14:paraId="587F13AF" w14:textId="77777777" w:rsidR="00BE1A15" w:rsidRPr="00756E80" w:rsidRDefault="00BE1A15" w:rsidP="00114539">
      <w:pPr>
        <w:pStyle w:val="FootnoteText"/>
        <w:ind w:left="0" w:firstLine="0"/>
        <w:rPr>
          <w:noProof/>
          <w:lang w:val="en-GB"/>
        </w:rPr>
      </w:pPr>
      <w:r w:rsidRPr="00756E80">
        <w:rPr>
          <w:rStyle w:val="FootnoteReference"/>
        </w:rPr>
        <w:footnoteRef/>
      </w:r>
      <w:r w:rsidRPr="0061489A">
        <w:rPr>
          <w:lang w:val="en-IE"/>
        </w:rPr>
        <w:t xml:space="preserve"> </w:t>
      </w:r>
      <w:r w:rsidRPr="00756E80">
        <w:rPr>
          <w:noProof/>
          <w:lang w:val="en-GB"/>
        </w:rPr>
        <w:t xml:space="preserve">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w:t>
      </w:r>
      <w:r w:rsidRPr="00114539">
        <w:rPr>
          <w:lang w:val="en-IE"/>
        </w:rPr>
        <w:t>measure</w:t>
      </w:r>
      <w:r w:rsidRPr="00756E80">
        <w:rPr>
          <w:noProof/>
          <w:lang w:val="en-GB"/>
        </w:rPr>
        <w:t xml:space="preserve"> do not result in an increase of the plants’ waste processing capacity or in an extension of the lifetime of the plants; for which evidence is provided at plant level. </w:t>
      </w:r>
    </w:p>
  </w:footnote>
  <w:footnote w:id="12">
    <w:p w14:paraId="1E22FD1D" w14:textId="77777777" w:rsidR="00BE1A15" w:rsidRPr="00756E80" w:rsidRDefault="00BE1A15" w:rsidP="00114539">
      <w:pPr>
        <w:pStyle w:val="FootnoteText"/>
        <w:ind w:left="0" w:firstLine="0"/>
        <w:rPr>
          <w:noProof/>
          <w:highlight w:val="yellow"/>
          <w:lang w:val="en-GB"/>
        </w:rPr>
      </w:pPr>
      <w:r w:rsidRPr="00756E80">
        <w:rPr>
          <w:rStyle w:val="FootnoteReference"/>
        </w:rPr>
        <w:footnoteRef/>
      </w:r>
      <w:r w:rsidRPr="0061489A">
        <w:rPr>
          <w:lang w:val="en-IE"/>
        </w:rPr>
        <w:t xml:space="preserve"> </w:t>
      </w:r>
      <w:r w:rsidRPr="00756E80">
        <w:rPr>
          <w:noProof/>
          <w:lang w:val="en-GB"/>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bio[1]waste, provided such actions under this measure do not result in an increase of the plants’ waste processing capacity or in an extension of the lifetime of the plants; for which evidence is provided at plant level. </w:t>
      </w:r>
    </w:p>
  </w:footnote>
  <w:footnote w:id="13">
    <w:p w14:paraId="3F550186" w14:textId="77777777" w:rsidR="00BE1A15" w:rsidRPr="00756E80" w:rsidRDefault="00BE1A15" w:rsidP="00114539">
      <w:pPr>
        <w:pStyle w:val="FootnoteText"/>
        <w:ind w:left="0" w:firstLine="0"/>
        <w:rPr>
          <w:noProof/>
          <w:lang w:val="en-GB"/>
        </w:rPr>
      </w:pPr>
      <w:r w:rsidRPr="00756E80">
        <w:rPr>
          <w:rStyle w:val="FootnoteReference"/>
        </w:rPr>
        <w:footnoteRef/>
      </w:r>
      <w:r w:rsidRPr="0061489A">
        <w:rPr>
          <w:lang w:val="en-IE"/>
        </w:rPr>
        <w:t xml:space="preserve"> </w:t>
      </w:r>
      <w:r w:rsidRPr="00756E80">
        <w:rPr>
          <w:noProof/>
          <w:lang w:val="en-GB"/>
        </w:rPr>
        <w:t xml:space="preserve">It is considered that a Final </w:t>
      </w:r>
      <w:r w:rsidRPr="00114539">
        <w:rPr>
          <w:noProof/>
          <w:lang w:val="en-GB"/>
        </w:rPr>
        <w:t xml:space="preserve">Beneficiary has a “substantial focus” on a sector or business activity if such sector or activity is identified as being an essential part of the business activity of the Final Beneficiary respectively in relation to the gross revenue, profit, or client base of the </w:t>
      </w:r>
      <w:r w:rsidRPr="00114539">
        <w:rPr>
          <w:lang w:val="en-IE"/>
        </w:rPr>
        <w:t>Final</w:t>
      </w:r>
      <w:r w:rsidRPr="00756E80">
        <w:rPr>
          <w:noProof/>
          <w:lang w:val="en-GB"/>
        </w:rPr>
        <w:t xml:space="preserve"> Beneficiary. The gross revenue generated from the restricted sector or activity shall, in any case, not exceed 50% of the gross revenue.</w:t>
      </w:r>
    </w:p>
  </w:footnote>
  <w:footnote w:id="14">
    <w:p w14:paraId="3B28502A" w14:textId="77777777" w:rsidR="00BE1A15" w:rsidRPr="00756E80" w:rsidRDefault="00BE1A15" w:rsidP="00114539">
      <w:pPr>
        <w:pStyle w:val="FootnoteText"/>
        <w:ind w:left="0" w:firstLine="0"/>
        <w:rPr>
          <w:noProof/>
          <w:lang w:val="en-GB"/>
        </w:rPr>
      </w:pPr>
      <w:r w:rsidRPr="00756E80">
        <w:rPr>
          <w:rStyle w:val="FootnoteReference"/>
        </w:rPr>
        <w:footnoteRef/>
      </w:r>
      <w:r w:rsidRPr="0061489A">
        <w:rPr>
          <w:lang w:val="en-IE"/>
        </w:rPr>
        <w:t xml:space="preserve"> </w:t>
      </w:r>
      <w:r w:rsidRPr="00756E80">
        <w:rPr>
          <w:noProof/>
          <w:lang w:val="en-GB"/>
        </w:rPr>
        <w:t xml:space="preserve">Except </w:t>
      </w:r>
      <w:r w:rsidRPr="00114539">
        <w:rPr>
          <w:lang w:val="en-IE"/>
        </w:rPr>
        <w:t>for</w:t>
      </w:r>
      <w:r w:rsidRPr="00756E80">
        <w:rPr>
          <w:noProof/>
          <w:lang w:val="en-GB"/>
        </w:rPr>
        <w:t xml:space="preserve">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5">
    <w:p w14:paraId="149836F9" w14:textId="77777777" w:rsidR="00BE1A15" w:rsidRPr="00756E80" w:rsidRDefault="00BE1A15" w:rsidP="00756E80">
      <w:pPr>
        <w:pStyle w:val="FootnoteText"/>
        <w:ind w:left="0" w:firstLine="0"/>
        <w:rPr>
          <w:lang w:val="en-IE"/>
        </w:rPr>
      </w:pPr>
      <w:r w:rsidRPr="00756E80">
        <w:rPr>
          <w:rStyle w:val="FootnoteReference"/>
        </w:rPr>
        <w:footnoteRef/>
      </w:r>
      <w:r w:rsidRPr="00756E80">
        <w:rPr>
          <w:lang w:val="en-GB"/>
        </w:rPr>
        <w:t xml:space="preserve"> </w:t>
      </w:r>
      <w:r w:rsidRPr="00756E80">
        <w:rPr>
          <w:lang w:val="en-IE"/>
        </w:rPr>
        <w:t xml:space="preserve">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16">
    <w:p w14:paraId="2E81AE86" w14:textId="77777777" w:rsidR="00BE1A15" w:rsidRPr="00756E80" w:rsidRDefault="00BE1A15" w:rsidP="00BE1A15">
      <w:pPr>
        <w:pStyle w:val="FootnoteText"/>
        <w:rPr>
          <w:lang w:val="en-IE"/>
        </w:rPr>
      </w:pPr>
      <w:r w:rsidRPr="00756E80">
        <w:rPr>
          <w:rStyle w:val="FootnoteReference"/>
        </w:rPr>
        <w:footnoteRef/>
      </w:r>
      <w:r w:rsidRPr="00756E80">
        <w:rPr>
          <w:lang w:val="en-GB"/>
        </w:rPr>
        <w:t xml:space="preserve"> </w:t>
      </w:r>
      <w:r w:rsidRPr="00756E80">
        <w:rPr>
          <w:lang w:val="en-IE"/>
        </w:rPr>
        <w:t>Polluting vehicles are defined as non-zero-emission vehicles.</w:t>
      </w:r>
    </w:p>
  </w:footnote>
  <w:footnote w:id="17">
    <w:p w14:paraId="401109C5" w14:textId="77777777" w:rsidR="00BE1A15" w:rsidRPr="00756E80" w:rsidRDefault="00BE1A15" w:rsidP="00BE1A15">
      <w:pPr>
        <w:pStyle w:val="FootnoteText"/>
        <w:ind w:left="0" w:firstLine="0"/>
        <w:rPr>
          <w:lang w:val="en-IE"/>
        </w:rPr>
      </w:pPr>
      <w:r w:rsidRPr="00756E80">
        <w:rPr>
          <w:rStyle w:val="FootnoteReference"/>
        </w:rPr>
        <w:footnoteRef/>
      </w:r>
      <w:r w:rsidRPr="00756E80">
        <w:rPr>
          <w:lang w:val="en-GB"/>
        </w:rPr>
        <w:t xml:space="preserve"> </w:t>
      </w:r>
      <w:r w:rsidRPr="00756E80">
        <w:rPr>
          <w:lang w:val="en-IE"/>
        </w:rPr>
        <w:t xml:space="preserve">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18">
    <w:p w14:paraId="36BD45E9" w14:textId="77777777" w:rsidR="008D6D49" w:rsidRPr="00DA626D" w:rsidRDefault="008D6D49" w:rsidP="008D6D49">
      <w:pPr>
        <w:pStyle w:val="FootnoteText"/>
        <w:ind w:left="0" w:firstLine="0"/>
        <w:rPr>
          <w:lang w:val="en-GB"/>
        </w:rPr>
      </w:pPr>
      <w:r w:rsidRPr="00DA626D">
        <w:rPr>
          <w:rStyle w:val="FootnoteReference"/>
          <w:lang w:val="en-GB"/>
        </w:rPr>
        <w:footnoteRef/>
      </w:r>
      <w:r w:rsidRPr="00DA626D">
        <w:rPr>
          <w:lang w:val="en-GB"/>
        </w:rPr>
        <w:t xml:space="preserve"> Except projects in power and/or heat generation, as well as related transmission and distribution infrastructure, using natural gas, that are compliant with the conditions set out in Annex III of the ‘Do no significant harm’ Technical Guidance (2021/C58/01).</w:t>
      </w:r>
    </w:p>
  </w:footnote>
  <w:footnote w:id="19">
    <w:p w14:paraId="162FCE5E" w14:textId="77777777" w:rsidR="008D6D49" w:rsidRPr="00DA626D" w:rsidRDefault="008D6D49" w:rsidP="008D6D49">
      <w:pPr>
        <w:pStyle w:val="FootnoteText"/>
        <w:ind w:left="0" w:firstLine="0"/>
        <w:rPr>
          <w:lang w:val="en-GB"/>
        </w:rPr>
      </w:pPr>
      <w:r w:rsidRPr="00DA626D">
        <w:rPr>
          <w:rStyle w:val="FootnoteReference"/>
          <w:lang w:val="en-GB"/>
        </w:rPr>
        <w:footnoteRef/>
      </w:r>
      <w:r w:rsidRPr="00DA626D">
        <w:rPr>
          <w:lang w:val="en-GB"/>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20">
    <w:p w14:paraId="430CB401" w14:textId="77777777" w:rsidR="008D6D49" w:rsidRPr="00DA626D" w:rsidRDefault="008D6D49" w:rsidP="008D6D49">
      <w:pPr>
        <w:pStyle w:val="FootnoteText"/>
        <w:ind w:left="0" w:firstLine="0"/>
        <w:rPr>
          <w:lang w:val="en-GB"/>
        </w:rPr>
      </w:pPr>
      <w:r w:rsidRPr="00DA626D">
        <w:rPr>
          <w:rStyle w:val="FootnoteReference"/>
          <w:lang w:val="en-GB"/>
        </w:rPr>
        <w:footnoteRef/>
      </w:r>
      <w:r w:rsidRPr="00DA626D">
        <w:rPr>
          <w:lang w:val="en-GB"/>
        </w:rPr>
        <w:t xml:space="preserve"> Except projects in power and/or heat generation, as well as related transmission and distribution infrastructure, using natural gas, that are compliant with the conditions set out in Annex III of the ‘Do no significant harm’ Technical Guidance (2021/C58/01).</w:t>
      </w:r>
    </w:p>
  </w:footnote>
  <w:footnote w:id="21">
    <w:p w14:paraId="59626B9E" w14:textId="77777777" w:rsidR="008D6D49" w:rsidRPr="00DA626D" w:rsidRDefault="008D6D49" w:rsidP="008D6D49">
      <w:pPr>
        <w:pStyle w:val="FootnoteText"/>
        <w:ind w:left="0" w:firstLine="0"/>
        <w:rPr>
          <w:lang w:val="en-GB"/>
        </w:rPr>
      </w:pPr>
      <w:r w:rsidRPr="00DA626D">
        <w:rPr>
          <w:rStyle w:val="FootnoteReference"/>
          <w:lang w:val="en-GB"/>
        </w:rPr>
        <w:footnoteRef/>
      </w:r>
      <w:r w:rsidRPr="00DA626D">
        <w:rPr>
          <w:lang w:val="en-GB"/>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22">
    <w:p w14:paraId="2FC783C3" w14:textId="77777777" w:rsidR="008D6D49" w:rsidRPr="00DA626D" w:rsidRDefault="008D6D49" w:rsidP="008D6D49">
      <w:pPr>
        <w:pStyle w:val="FootnoteText"/>
        <w:ind w:left="0" w:firstLine="0"/>
        <w:rPr>
          <w:lang w:val="en-GB"/>
        </w:rPr>
      </w:pPr>
      <w:r w:rsidRPr="00DA626D">
        <w:rPr>
          <w:rStyle w:val="FootnoteReference"/>
          <w:lang w:val="en-GB"/>
        </w:rPr>
        <w:footnoteRef/>
      </w:r>
      <w:r w:rsidRPr="00DA626D">
        <w:rPr>
          <w:lang w:val="en-GB"/>
        </w:rPr>
        <w:t xml:space="preserve"> Except projects in power and/or heat generation, as well as related transmission and distribution infrastructure, using natural gas, that are compliant with the conditions set out in Annex III of the ‘Do no significant harm’ Technical Guidance (2021/C58/01).</w:t>
      </w:r>
    </w:p>
  </w:footnote>
  <w:footnote w:id="23">
    <w:p w14:paraId="141690E1" w14:textId="77777777" w:rsidR="008D6D49" w:rsidRPr="00DA626D" w:rsidRDefault="008D6D49" w:rsidP="008D6D49">
      <w:pPr>
        <w:pStyle w:val="FootnoteText"/>
        <w:ind w:left="0" w:firstLine="0"/>
        <w:rPr>
          <w:lang w:val="en-GB"/>
        </w:rPr>
      </w:pPr>
      <w:r w:rsidRPr="00DA626D">
        <w:rPr>
          <w:rStyle w:val="FootnoteReference"/>
          <w:lang w:val="en-GB"/>
        </w:rPr>
        <w:footnoteRef/>
      </w:r>
      <w:r w:rsidRPr="00DA626D">
        <w:rPr>
          <w:lang w:val="en-GB"/>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24">
    <w:p w14:paraId="40C0D4B1" w14:textId="77777777" w:rsidR="008D6D49" w:rsidRPr="00D96D68" w:rsidRDefault="008D6D49" w:rsidP="008D6D49">
      <w:pPr>
        <w:pStyle w:val="FootnoteText"/>
        <w:ind w:left="0" w:firstLine="0"/>
        <w:rPr>
          <w:lang w:val="en-IE"/>
        </w:rPr>
      </w:pPr>
      <w:r>
        <w:rPr>
          <w:rStyle w:val="FootnoteReference"/>
        </w:rPr>
        <w:footnoteRef/>
      </w:r>
      <w:r w:rsidRPr="00425781">
        <w:rPr>
          <w:lang w:val="en-IE"/>
        </w:rPr>
        <w:t xml:space="preserve"> </w:t>
      </w:r>
      <w:r w:rsidRPr="00D96D68">
        <w:rPr>
          <w:lang w:val="en-GB"/>
        </w:rPr>
        <w:t>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25">
    <w:p w14:paraId="40AC52AF" w14:textId="77777777" w:rsidR="008D6D49" w:rsidRPr="00D96D68" w:rsidRDefault="008D6D49" w:rsidP="008D6D49">
      <w:pPr>
        <w:pStyle w:val="FootnoteText"/>
        <w:ind w:left="0" w:firstLine="0"/>
        <w:rPr>
          <w:lang w:val="en-IE"/>
        </w:rPr>
      </w:pPr>
      <w:r>
        <w:rPr>
          <w:rStyle w:val="FootnoteReference"/>
        </w:rPr>
        <w:footnoteRef/>
      </w:r>
      <w:r w:rsidRPr="00425781">
        <w:rPr>
          <w:lang w:val="en-IE"/>
        </w:rPr>
        <w:t xml:space="preserve"> </w:t>
      </w:r>
      <w:r w:rsidRPr="003A4FE3">
        <w:rPr>
          <w:lang w:val="en-GB"/>
        </w:rPr>
        <w:t>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26">
    <w:p w14:paraId="2DECC8E2" w14:textId="77777777" w:rsidR="008D6D49" w:rsidRPr="00D96D68" w:rsidRDefault="008D6D49" w:rsidP="008D6D49">
      <w:pPr>
        <w:pStyle w:val="FootnoteText"/>
        <w:ind w:left="0" w:firstLine="0"/>
        <w:rPr>
          <w:lang w:val="en-IE"/>
        </w:rPr>
      </w:pPr>
      <w:r>
        <w:rPr>
          <w:rStyle w:val="FootnoteReference"/>
        </w:rPr>
        <w:footnoteRef/>
      </w:r>
      <w:r w:rsidRPr="00425781">
        <w:rPr>
          <w:lang w:val="en-IE"/>
        </w:rPr>
        <w:t xml:space="preserve"> </w:t>
      </w:r>
      <w:r w:rsidRPr="003A4FE3">
        <w:rPr>
          <w:lang w:val="en-GB"/>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27">
    <w:p w14:paraId="6FE3609D" w14:textId="77777777" w:rsidR="008D6D49" w:rsidRPr="00D96D68" w:rsidRDefault="008D6D49" w:rsidP="008D6D49">
      <w:pPr>
        <w:pStyle w:val="FootnoteText"/>
        <w:ind w:left="0" w:firstLine="0"/>
        <w:rPr>
          <w:lang w:val="en-IE"/>
        </w:rPr>
      </w:pPr>
      <w:r>
        <w:rPr>
          <w:rStyle w:val="FootnoteReference"/>
        </w:rPr>
        <w:footnoteRef/>
      </w:r>
      <w:r w:rsidRPr="00425781">
        <w:rPr>
          <w:lang w:val="en-IE"/>
        </w:rPr>
        <w:t xml:space="preserve"> </w:t>
      </w:r>
      <w:r w:rsidRPr="00D96D68">
        <w:rPr>
          <w:lang w:val="en-I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28">
    <w:p w14:paraId="00FE5110" w14:textId="77777777" w:rsidR="008D6D49" w:rsidRPr="00D96D68" w:rsidRDefault="008D6D49" w:rsidP="008D6D49">
      <w:pPr>
        <w:pStyle w:val="FootnoteText"/>
        <w:ind w:left="0" w:firstLine="0"/>
        <w:rPr>
          <w:lang w:val="en-IE"/>
        </w:rPr>
      </w:pPr>
      <w:r>
        <w:rPr>
          <w:rStyle w:val="FootnoteReference"/>
        </w:rPr>
        <w:footnoteRef/>
      </w:r>
      <w:r w:rsidRPr="00425781">
        <w:rPr>
          <w:lang w:val="en-IE"/>
        </w:rPr>
        <w:t xml:space="preserve"> </w:t>
      </w:r>
      <w:r w:rsidRPr="003A4FE3">
        <w:rPr>
          <w:lang w:val="en-IE"/>
        </w:rPr>
        <w:t>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29">
    <w:p w14:paraId="37788730" w14:textId="77777777" w:rsidR="008D6D49" w:rsidRPr="00D96D68" w:rsidRDefault="008D6D49" w:rsidP="008D6D49">
      <w:pPr>
        <w:pStyle w:val="FootnoteText"/>
        <w:ind w:left="0" w:firstLine="0"/>
        <w:rPr>
          <w:lang w:val="en-IE"/>
        </w:rPr>
      </w:pPr>
      <w:r>
        <w:rPr>
          <w:rStyle w:val="FootnoteReference"/>
        </w:rPr>
        <w:footnoteRef/>
      </w:r>
      <w:r w:rsidRPr="00425781">
        <w:rPr>
          <w:lang w:val="en-IE"/>
        </w:rPr>
        <w:t xml:space="preserve"> </w:t>
      </w:r>
      <w:r w:rsidRPr="00D96D68">
        <w:rPr>
          <w:lang w:val="en-IE"/>
        </w:rPr>
        <w:t>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30">
    <w:p w14:paraId="25E71501" w14:textId="77777777" w:rsidR="008D6D49" w:rsidRPr="001C4D06" w:rsidRDefault="008D6D49" w:rsidP="008D6D49">
      <w:pPr>
        <w:pStyle w:val="FootnoteText"/>
        <w:ind w:left="0" w:firstLine="0"/>
        <w:rPr>
          <w:lang w:val="en-IE"/>
        </w:rPr>
      </w:pPr>
      <w:r>
        <w:rPr>
          <w:rStyle w:val="FootnoteReference"/>
        </w:rPr>
        <w:footnoteRef/>
      </w:r>
      <w:r w:rsidRPr="00425781">
        <w:rPr>
          <w:lang w:val="en-IE"/>
        </w:rPr>
        <w:t xml:space="preserve"> </w:t>
      </w:r>
      <w:r w:rsidRPr="001C4D06">
        <w:rPr>
          <w:lang w:val="en-IE"/>
        </w:rPr>
        <w:t>This exclusion does not apply to actions under this measure in plants exclusively dedicated to treating non</w:t>
      </w:r>
      <w:r>
        <w:rPr>
          <w:lang w:val="en-IE"/>
        </w:rPr>
        <w:t>-</w:t>
      </w:r>
      <w:r w:rsidRPr="001C4D06">
        <w:rPr>
          <w:lang w:val="en-IE"/>
        </w:rPr>
        <w:t>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31">
    <w:p w14:paraId="2D1DA121" w14:textId="77777777" w:rsidR="008D6D49" w:rsidRPr="001C4D06" w:rsidRDefault="008D6D49" w:rsidP="008D6D49">
      <w:pPr>
        <w:pStyle w:val="FootnoteText"/>
        <w:ind w:left="0" w:firstLine="0"/>
        <w:rPr>
          <w:lang w:val="en-IE"/>
        </w:rPr>
      </w:pPr>
      <w:r>
        <w:rPr>
          <w:rStyle w:val="FootnoteReference"/>
        </w:rPr>
        <w:footnoteRef/>
      </w:r>
      <w:r w:rsidRPr="00425781">
        <w:rPr>
          <w:lang w:val="en-IE"/>
        </w:rPr>
        <w:t xml:space="preserve"> T</w:t>
      </w:r>
      <w:r w:rsidRPr="001C4D06">
        <w:rPr>
          <w:lang w:val="en-IE"/>
        </w:rPr>
        <w:t xml:space="preserve">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32">
    <w:p w14:paraId="64BB39B1" w14:textId="77777777" w:rsidR="008D6D49" w:rsidRPr="001C4D06" w:rsidRDefault="008D6D49" w:rsidP="008D6D49">
      <w:pPr>
        <w:pStyle w:val="FootnoteText"/>
        <w:ind w:left="0" w:firstLine="0"/>
        <w:rPr>
          <w:lang w:val="en-IE"/>
        </w:rPr>
      </w:pPr>
      <w:r>
        <w:rPr>
          <w:rStyle w:val="FootnoteReference"/>
        </w:rPr>
        <w:footnoteRef/>
      </w:r>
      <w:r w:rsidRPr="00425781">
        <w:rPr>
          <w:lang w:val="en-IE"/>
        </w:rPr>
        <w:t xml:space="preserve"> </w:t>
      </w:r>
      <w:r w:rsidRPr="001C4D06">
        <w:rPr>
          <w:lang w:val="en-IE"/>
        </w:rPr>
        <w:t>Except projects in power and/or heat generation, as well as related transmission and distribution infrastructure, using natural gas, that are compliant with the conditions set out in Annex III of the ‘Do no significant harm’ Technical Guidance (2021/C58/01).</w:t>
      </w:r>
    </w:p>
  </w:footnote>
  <w:footnote w:id="33">
    <w:p w14:paraId="7DA118CF" w14:textId="77777777" w:rsidR="008D6D49" w:rsidRPr="001C4D06" w:rsidRDefault="008D6D49" w:rsidP="008D6D49">
      <w:pPr>
        <w:pStyle w:val="FootnoteText"/>
        <w:ind w:left="0" w:firstLine="0"/>
        <w:rPr>
          <w:lang w:val="en-IE"/>
        </w:rPr>
      </w:pPr>
      <w:r>
        <w:rPr>
          <w:rStyle w:val="FootnoteReference"/>
        </w:rPr>
        <w:footnoteRef/>
      </w:r>
      <w:r w:rsidRPr="00425781">
        <w:rPr>
          <w:lang w:val="en-IE"/>
        </w:rPr>
        <w:t xml:space="preserve"> </w:t>
      </w:r>
      <w:r w:rsidRPr="001C4D06">
        <w:rPr>
          <w:lang w:val="en-IE"/>
        </w:rPr>
        <w:t>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34">
    <w:p w14:paraId="12AE3B9F" w14:textId="77777777" w:rsidR="00B803E9" w:rsidRPr="00577C5B" w:rsidRDefault="00B803E9" w:rsidP="00B803E9">
      <w:pPr>
        <w:pStyle w:val="FootnoteText"/>
        <w:rPr>
          <w:lang w:val="en-IE"/>
        </w:rPr>
      </w:pPr>
      <w:r>
        <w:rPr>
          <w:rStyle w:val="FootnoteReference"/>
        </w:rPr>
        <w:footnoteRef/>
      </w:r>
      <w:r w:rsidRPr="00A753A0">
        <w:rPr>
          <w:lang w:val="en-IE"/>
        </w:rPr>
        <w:t xml:space="preserve"> </w:t>
      </w:r>
      <w:r w:rsidRPr="00577C5B">
        <w:rPr>
          <w:lang w:val="en-GB"/>
        </w:rPr>
        <w:t>Investment 13 is included in Section O.3.</w:t>
      </w:r>
    </w:p>
  </w:footnote>
  <w:footnote w:id="35">
    <w:p w14:paraId="41320CA4" w14:textId="77777777" w:rsidR="00B803E9" w:rsidRPr="00DA626D" w:rsidRDefault="00B803E9" w:rsidP="00B803E9">
      <w:pPr>
        <w:pStyle w:val="FootnoteText"/>
        <w:rPr>
          <w:lang w:val="en-GB"/>
        </w:rPr>
      </w:pPr>
      <w:r w:rsidRPr="00DA626D">
        <w:rPr>
          <w:rStyle w:val="FootnoteReference"/>
          <w:lang w:val="en-GB"/>
        </w:rPr>
        <w:footnoteRef/>
      </w:r>
      <w:r w:rsidRPr="00DA626D">
        <w:rPr>
          <w:lang w:val="en-GB"/>
        </w:rPr>
        <w:t xml:space="preserve"> Investment 13 </w:t>
      </w:r>
      <w:r>
        <w:rPr>
          <w:lang w:val="en-GB"/>
        </w:rPr>
        <w:t>is</w:t>
      </w:r>
      <w:r w:rsidRPr="00DA626D">
        <w:rPr>
          <w:lang w:val="en-GB"/>
        </w:rPr>
        <w:t xml:space="preserve"> included in Section O.3.</w:t>
      </w:r>
    </w:p>
  </w:footnote>
  <w:footnote w:id="36">
    <w:p w14:paraId="381BCD2A" w14:textId="77777777" w:rsidR="00B803E9" w:rsidRPr="007228D4" w:rsidRDefault="00B803E9" w:rsidP="00B803E9">
      <w:pPr>
        <w:pStyle w:val="FootnoteText"/>
        <w:rPr>
          <w:lang w:val="en-GB"/>
        </w:rPr>
      </w:pPr>
      <w:r>
        <w:rPr>
          <w:rStyle w:val="FootnoteReference"/>
        </w:rPr>
        <w:footnoteRef/>
      </w:r>
      <w:r w:rsidRPr="007228D4">
        <w:rPr>
          <w:lang w:val="en-GB"/>
        </w:rPr>
        <w:t xml:space="preserve"> </w:t>
      </w:r>
      <w:r w:rsidRPr="00DA626D">
        <w:rPr>
          <w:lang w:val="en-GB"/>
        </w:rPr>
        <w:t>Investment 1</w:t>
      </w:r>
      <w:r>
        <w:rPr>
          <w:lang w:val="en-GB"/>
        </w:rPr>
        <w:t>7</w:t>
      </w:r>
      <w:r w:rsidRPr="00DA626D">
        <w:rPr>
          <w:lang w:val="en-GB"/>
        </w:rPr>
        <w:t xml:space="preserve"> </w:t>
      </w:r>
      <w:r>
        <w:rPr>
          <w:lang w:val="en-GB"/>
        </w:rPr>
        <w:t>is</w:t>
      </w:r>
      <w:r w:rsidRPr="00DA626D">
        <w:rPr>
          <w:lang w:val="en-GB"/>
        </w:rPr>
        <w:t xml:space="preserve"> included in Section O.3.</w:t>
      </w:r>
    </w:p>
  </w:footnote>
  <w:footnote w:id="37">
    <w:p w14:paraId="1D9A9914" w14:textId="41EA0EC6" w:rsidR="00B803E9" w:rsidRPr="00DA626D" w:rsidRDefault="00B803E9" w:rsidP="00B803E9">
      <w:pPr>
        <w:pStyle w:val="FootnoteText"/>
        <w:rPr>
          <w:lang w:val="en-GB"/>
        </w:rPr>
      </w:pPr>
      <w:r w:rsidRPr="00DA626D">
        <w:rPr>
          <w:rStyle w:val="FootnoteReference"/>
          <w:lang w:val="en-GB"/>
        </w:rPr>
        <w:footnoteRef/>
      </w:r>
      <w:r w:rsidRPr="00DA626D">
        <w:rPr>
          <w:lang w:val="en-GB"/>
        </w:rPr>
        <w:t xml:space="preserve"> </w:t>
      </w:r>
      <w:hyperlink r:id="rId5" w:history="1">
        <w:r w:rsidR="001B1E82" w:rsidRPr="00E34F2C">
          <w:rPr>
            <w:rStyle w:val="Hyperlink"/>
            <w:lang w:val="en-GB"/>
          </w:rPr>
          <w:t>https://publications.jrc.ec.europa.eu/repository/handle/JRC107466</w:t>
        </w:r>
      </w:hyperlink>
      <w:r w:rsidR="001B1E82">
        <w:rPr>
          <w:lang w:val="en-GB"/>
        </w:rPr>
        <w:t xml:space="preserve"> </w:t>
      </w:r>
    </w:p>
  </w:footnote>
  <w:footnote w:id="38">
    <w:p w14:paraId="4EEF5F6B" w14:textId="64AFC8DD" w:rsidR="00B803E9" w:rsidRPr="00DA626D" w:rsidRDefault="00B803E9" w:rsidP="00B803E9">
      <w:pPr>
        <w:pStyle w:val="FootnoteText"/>
        <w:rPr>
          <w:lang w:val="en-GB"/>
        </w:rPr>
      </w:pPr>
      <w:r w:rsidRPr="00DA626D">
        <w:rPr>
          <w:rStyle w:val="FootnoteReference"/>
          <w:lang w:val="en-GB"/>
        </w:rPr>
        <w:footnoteRef/>
      </w:r>
      <w:r w:rsidRPr="00DA626D">
        <w:rPr>
          <w:lang w:val="en-GB"/>
        </w:rPr>
        <w:t xml:space="preserve"> </w:t>
      </w:r>
      <w:hyperlink r:id="rId6" w:history="1">
        <w:r w:rsidR="001B1E82" w:rsidRPr="00E34F2C">
          <w:rPr>
            <w:rStyle w:val="Hyperlink"/>
            <w:lang w:val="en-GB"/>
          </w:rPr>
          <w:t>https://publications.jrc.ec.europa.eu/repository/handle/JRC106281</w:t>
        </w:r>
      </w:hyperlink>
      <w:r w:rsidR="001B1E82">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CC9B2" w14:textId="77777777" w:rsidR="00CE5A80" w:rsidRPr="00CE5A80" w:rsidRDefault="00CE5A80" w:rsidP="00CE5A8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7ED0A" w14:textId="77777777" w:rsidR="00CE5A80" w:rsidRPr="00CE5A80" w:rsidRDefault="00CE5A80" w:rsidP="00CE5A8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54073" w14:textId="77777777" w:rsidR="00CE5A80" w:rsidRPr="00CE5A80" w:rsidRDefault="00CE5A80" w:rsidP="00CE5A8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54937" w14:textId="77777777" w:rsidR="00644683" w:rsidRDefault="0064468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674BE" w14:textId="77777777" w:rsidR="00644683" w:rsidRDefault="00644683">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CFFAB" w14:textId="77777777" w:rsidR="00644683" w:rsidRDefault="0064468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3A1C9" w14:textId="77777777" w:rsidR="00756A50" w:rsidRPr="00D06CF4" w:rsidRDefault="00756A5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06BB4" w14:textId="77777777" w:rsidR="00756A50" w:rsidRDefault="00756A50">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2C756" w14:textId="77777777" w:rsidR="00756A50" w:rsidRPr="00D06CF4" w:rsidRDefault="00756A5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CDDD2" w14:textId="77777777" w:rsidR="00756A50" w:rsidRPr="00D06CF4" w:rsidRDefault="00756A5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650BD" w14:textId="77777777" w:rsidR="00756A50" w:rsidRDefault="00756A50">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67351" w14:textId="77777777" w:rsidR="00756A50" w:rsidRPr="00D06CF4" w:rsidRDefault="00756A5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CE74B" w14:textId="77777777" w:rsidR="00756A50" w:rsidRPr="00D06CF4" w:rsidRDefault="00756A5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2487E" w14:textId="77777777" w:rsidR="00756A50" w:rsidRDefault="00756A50">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3C60F" w14:textId="77777777" w:rsidR="00756A50" w:rsidRPr="00D06CF4" w:rsidRDefault="00756A5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FFFDF" w14:textId="77777777" w:rsidR="005E1674" w:rsidRPr="00D06CF4" w:rsidRDefault="005E167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ACD6E" w14:textId="77777777" w:rsidR="005E1674" w:rsidRDefault="005E1674">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FEB38" w14:textId="77777777" w:rsidR="005E1674" w:rsidRPr="00D06CF4" w:rsidRDefault="005E167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B204E" w14:textId="77777777" w:rsidR="005E1674" w:rsidRPr="00D06CF4" w:rsidRDefault="005E167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A22C8" w14:textId="77777777" w:rsidR="005E1674" w:rsidRDefault="005E1674">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134D0" w14:textId="77777777" w:rsidR="005E1674" w:rsidRPr="00D06CF4" w:rsidRDefault="005E167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1D3C6" w14:textId="77777777" w:rsidR="005E1674" w:rsidRPr="00D06CF4" w:rsidRDefault="005E167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928C4" w14:textId="77777777" w:rsidR="005E1674" w:rsidRDefault="005E1674">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4E549" w14:textId="77777777" w:rsidR="005E1674" w:rsidRPr="00D06CF4" w:rsidRDefault="005E167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B1C9" w14:textId="77777777" w:rsidR="005E1674" w:rsidRPr="00D06CF4" w:rsidRDefault="005E167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94C74" w14:textId="77777777" w:rsidR="005E1674" w:rsidRDefault="005E1674">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9D21B" w14:textId="77777777" w:rsidR="005E1674" w:rsidRPr="00D06CF4" w:rsidRDefault="005E167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50584" w14:textId="77777777" w:rsidR="003E0A8C" w:rsidRPr="00D06CF4" w:rsidRDefault="003E0A8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F79BA" w14:textId="77777777" w:rsidR="003E0A8C" w:rsidRDefault="003E0A8C">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385EE" w14:textId="77777777" w:rsidR="003E0A8C" w:rsidRPr="00D06CF4" w:rsidRDefault="003E0A8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45FEF" w14:textId="77777777" w:rsidR="003E0A8C" w:rsidRPr="00D06CF4" w:rsidRDefault="003E0A8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83351" w14:textId="77777777" w:rsidR="003E0A8C" w:rsidRDefault="003E0A8C">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88036" w14:textId="77777777" w:rsidR="003E0A8C" w:rsidRPr="00D06CF4" w:rsidRDefault="003E0A8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35130" w14:textId="77777777" w:rsidR="003E0A8C" w:rsidRPr="00D06CF4" w:rsidRDefault="003E0A8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CAA1C" w14:textId="77777777" w:rsidR="003E0A8C" w:rsidRDefault="003E0A8C">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6B136" w14:textId="77777777" w:rsidR="003E0A8C" w:rsidRPr="00D06CF4" w:rsidRDefault="003E0A8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39A15" w14:textId="77777777" w:rsidR="003E0A8C" w:rsidRPr="00D06CF4" w:rsidRDefault="003E0A8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CCE93" w14:textId="77777777" w:rsidR="003E0A8C" w:rsidRDefault="003E0A8C">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A06B4" w14:textId="77777777" w:rsidR="003E0A8C" w:rsidRPr="00D06CF4" w:rsidRDefault="003E0A8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E6ABD" w14:textId="77777777" w:rsidR="004C590F" w:rsidRPr="00D06CF4" w:rsidRDefault="004C590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1E320" w14:textId="77777777" w:rsidR="004C590F" w:rsidRDefault="004C590F">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DF48D" w14:textId="77777777" w:rsidR="004C590F" w:rsidRPr="00D06CF4" w:rsidRDefault="004C590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DE8B8" w14:textId="77777777" w:rsidR="004C590F" w:rsidRPr="00D06CF4" w:rsidRDefault="004C590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D6B1C" w14:textId="77777777" w:rsidR="004C590F" w:rsidRDefault="004C590F">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C8EF4" w14:textId="77777777" w:rsidR="004C590F" w:rsidRPr="00D06CF4" w:rsidRDefault="004C590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907B4" w14:textId="77777777" w:rsidR="004C590F" w:rsidRPr="00D06CF4" w:rsidRDefault="004C590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C24FB" w14:textId="77777777" w:rsidR="004C590F" w:rsidRDefault="004C590F">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D82FB" w14:textId="77777777" w:rsidR="004C590F" w:rsidRPr="00D06CF4" w:rsidRDefault="004C590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C63F5" w14:textId="77777777" w:rsidR="002C0C50" w:rsidRPr="00D06CF4" w:rsidRDefault="002C0C5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DEB5E" w14:textId="77777777" w:rsidR="002C0C50" w:rsidRDefault="002C0C50">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4F8F6" w14:textId="77777777" w:rsidR="002C0C50" w:rsidRPr="00D06CF4" w:rsidRDefault="002C0C5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A5DDE" w14:textId="77777777" w:rsidR="000A4598" w:rsidRPr="00D06CF4" w:rsidRDefault="000A459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7D264" w14:textId="77777777" w:rsidR="000A4598" w:rsidRDefault="000A4598">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B6D2D" w14:textId="77777777" w:rsidR="000A4598" w:rsidRPr="00D06CF4" w:rsidRDefault="000A459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56A2B" w14:textId="77777777" w:rsidR="000A4598" w:rsidRPr="00D06CF4" w:rsidRDefault="000A459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4BF5F" w14:textId="77777777" w:rsidR="000A4598" w:rsidRDefault="000A4598">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03C06" w14:textId="77777777" w:rsidR="000A4598" w:rsidRPr="00D06CF4" w:rsidRDefault="000A459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205A7" w14:textId="77777777" w:rsidR="000A4598" w:rsidRPr="00D06CF4" w:rsidRDefault="000A459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B9190" w14:textId="77777777" w:rsidR="000A4598" w:rsidRDefault="000A4598">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69537" w14:textId="77777777" w:rsidR="000A4598" w:rsidRPr="00D06CF4" w:rsidRDefault="000A459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E738A" w14:textId="77777777" w:rsidR="000A4598" w:rsidRPr="00D06CF4" w:rsidRDefault="000A459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FB43F" w14:textId="77777777" w:rsidR="000A4598" w:rsidRDefault="000A4598">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D02E0" w14:textId="77777777" w:rsidR="000A4598" w:rsidRPr="00D06CF4" w:rsidRDefault="000A459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1C684" w14:textId="77777777" w:rsidR="00145434" w:rsidRPr="00D06CF4" w:rsidRDefault="0014543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78253" w14:textId="77777777" w:rsidR="00145434" w:rsidRDefault="00145434">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05570" w14:textId="77777777" w:rsidR="00145434" w:rsidRPr="00D06CF4" w:rsidRDefault="0014543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02748" w14:textId="77777777" w:rsidR="00145434" w:rsidRPr="00D06CF4" w:rsidRDefault="0014543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E1FA8" w14:textId="77777777" w:rsidR="00145434" w:rsidRDefault="00145434">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04FEF" w14:textId="77777777" w:rsidR="00145434" w:rsidRPr="00D06CF4" w:rsidRDefault="0014543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DD644" w14:textId="77777777" w:rsidR="00145434" w:rsidRPr="00D06CF4" w:rsidRDefault="0014543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C61C4" w14:textId="77777777" w:rsidR="00145434" w:rsidRDefault="00145434">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7C472" w14:textId="77777777" w:rsidR="00145434" w:rsidRPr="00D06CF4" w:rsidRDefault="0014543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D431B" w14:textId="77777777" w:rsidR="00145434" w:rsidRPr="00D06CF4" w:rsidRDefault="0014543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48D8E" w14:textId="77777777" w:rsidR="00145434" w:rsidRDefault="00145434">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5A95A" w14:textId="77777777" w:rsidR="00145434" w:rsidRPr="00D06CF4" w:rsidRDefault="00145434">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1BC86" w14:textId="77777777" w:rsidR="00A437C8" w:rsidRPr="00D06CF4" w:rsidRDefault="00A437C8">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6FE7B" w14:textId="77777777" w:rsidR="00A437C8" w:rsidRDefault="00A437C8">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52959" w14:textId="77777777" w:rsidR="00A437C8" w:rsidRPr="00D06CF4" w:rsidRDefault="00A437C8">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42B69" w14:textId="77777777" w:rsidR="00A437C8" w:rsidRPr="00D06CF4" w:rsidRDefault="00A437C8">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92EAB" w14:textId="77777777" w:rsidR="00A437C8" w:rsidRDefault="00A437C8">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0D8FC" w14:textId="77777777" w:rsidR="00A437C8" w:rsidRPr="00D06CF4" w:rsidRDefault="00A437C8">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E938C" w14:textId="77777777" w:rsidR="00A437C8" w:rsidRPr="00D06CF4" w:rsidRDefault="00A437C8">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C0D7F" w14:textId="77777777" w:rsidR="00A437C8" w:rsidRDefault="00A437C8">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72B86" w14:textId="77777777" w:rsidR="00A437C8" w:rsidRPr="00D06CF4" w:rsidRDefault="00A437C8">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8B5B5" w14:textId="77777777" w:rsidR="00A437C8" w:rsidRPr="00D06CF4" w:rsidRDefault="00A437C8">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D5FC5" w14:textId="77777777" w:rsidR="00A437C8" w:rsidRDefault="00A437C8">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21B2A" w14:textId="77777777" w:rsidR="00A437C8" w:rsidRPr="00D06CF4" w:rsidRDefault="00A437C8">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0A228" w14:textId="77777777" w:rsidR="00BE1A15" w:rsidRPr="00D06CF4" w:rsidRDefault="00BE1A15">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E01D0" w14:textId="77777777" w:rsidR="00BE1A15" w:rsidRDefault="00BE1A15">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E96BC" w14:textId="77777777" w:rsidR="00BE1A15" w:rsidRPr="00D06CF4" w:rsidRDefault="00BE1A15">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C98DB" w14:textId="77777777" w:rsidR="00BE1A15" w:rsidRPr="00D06CF4" w:rsidRDefault="00BE1A15">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75AC8" w14:textId="77777777" w:rsidR="00BE1A15" w:rsidRDefault="00BE1A15">
    <w:r>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6AA6A" w14:textId="77777777" w:rsidR="00BE1A15" w:rsidRPr="00D06CF4" w:rsidRDefault="00BE1A15">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A3CDA" w14:textId="77777777" w:rsidR="00BE1A15" w:rsidRPr="00D06CF4" w:rsidRDefault="00BE1A15">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C3EBE" w14:textId="77777777" w:rsidR="00BE1A15" w:rsidRDefault="00BE1A15">
    <w:r>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4DCDF" w14:textId="77777777" w:rsidR="00BE1A15" w:rsidRPr="00D06CF4" w:rsidRDefault="00BE1A15">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561B6" w14:textId="77777777" w:rsidR="00BE1A15" w:rsidRPr="00D06CF4" w:rsidRDefault="00BE1A15">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AB8BE" w14:textId="77777777" w:rsidR="00BE1A15" w:rsidRDefault="00BE1A15">
    <w:r>
      <w:t>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7FEAB" w14:textId="77777777" w:rsidR="00BE1A15" w:rsidRPr="00D06CF4" w:rsidRDefault="00BE1A15">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1B16A" w14:textId="77777777" w:rsidR="008D6D49" w:rsidRPr="00D06CF4" w:rsidRDefault="008D6D49">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0FF1C" w14:textId="77777777" w:rsidR="008D6D49" w:rsidRDefault="008D6D49">
    <w:r>
      <w:t>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DFBF0" w14:textId="77777777" w:rsidR="008D6D49" w:rsidRPr="00D06CF4" w:rsidRDefault="008D6D49">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B5F75" w14:textId="77777777" w:rsidR="008D6D49" w:rsidRPr="00D06CF4" w:rsidRDefault="008D6D49">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BFCD7" w14:textId="77777777" w:rsidR="008D6D49" w:rsidRDefault="008D6D49">
    <w:r>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9F3CD" w14:textId="77777777" w:rsidR="008D6D49" w:rsidRPr="00D06CF4" w:rsidRDefault="008D6D49">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BD410" w14:textId="77777777" w:rsidR="008D6D49" w:rsidRPr="00D06CF4" w:rsidRDefault="008D6D49">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36745" w14:textId="77777777" w:rsidR="008D6D49" w:rsidRDefault="008D6D49">
    <w:r>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4FF2B" w14:textId="77777777" w:rsidR="008D6D49" w:rsidRPr="00D06CF4" w:rsidRDefault="008D6D49">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E17D5" w14:textId="77777777" w:rsidR="008D6D49" w:rsidRPr="00D06CF4" w:rsidRDefault="008D6D49">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B131E" w14:textId="77777777" w:rsidR="008D6D49" w:rsidRDefault="008D6D49">
    <w:r>
      <w:t>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7D457" w14:textId="77777777" w:rsidR="008D6D49" w:rsidRPr="00D06CF4" w:rsidRDefault="008D6D49">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93BD8" w14:textId="77777777" w:rsidR="00E51A4F" w:rsidRPr="00D06CF4" w:rsidRDefault="00E51A4F">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BB828" w14:textId="77777777" w:rsidR="00E51A4F" w:rsidRDefault="00E51A4F">
    <w:r>
      <w:t> </w: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AC271" w14:textId="77777777" w:rsidR="00E51A4F" w:rsidRPr="00D06CF4" w:rsidRDefault="00E51A4F">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6D687" w14:textId="77777777" w:rsidR="00E51A4F" w:rsidRPr="00D06CF4" w:rsidRDefault="00E51A4F">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C7933" w14:textId="77777777" w:rsidR="00E51A4F" w:rsidRDefault="00E51A4F">
    <w:r>
      <w:t> </w:t>
    </w: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8D247" w14:textId="77777777" w:rsidR="00E51A4F" w:rsidRPr="00D06CF4" w:rsidRDefault="00E51A4F">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F350B" w14:textId="77777777" w:rsidR="00E51A4F" w:rsidRPr="00D06CF4" w:rsidRDefault="00E51A4F">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837B3" w14:textId="77777777" w:rsidR="00E51A4F" w:rsidRDefault="00E51A4F">
    <w:r>
      <w:t> </w:t>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44314" w14:textId="77777777" w:rsidR="00E51A4F" w:rsidRPr="00D06CF4" w:rsidRDefault="00E51A4F">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D9DF2" w14:textId="77777777" w:rsidR="00E51A4F" w:rsidRPr="00D06CF4" w:rsidRDefault="00E51A4F">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D6DB9" w14:textId="77777777" w:rsidR="00E51A4F" w:rsidRDefault="00E51A4F">
    <w:r>
      <w:t> </w:t>
    </w: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F8F60" w14:textId="77777777" w:rsidR="00E51A4F" w:rsidRPr="00D06CF4" w:rsidRDefault="00E51A4F">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B8B86" w14:textId="77777777" w:rsidR="001460A9" w:rsidRPr="00D06CF4" w:rsidRDefault="001460A9">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751EF" w14:textId="77777777" w:rsidR="001460A9" w:rsidRDefault="001460A9">
    <w:r>
      <w:t>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E169F" w14:textId="77777777" w:rsidR="001460A9" w:rsidRPr="00D06CF4" w:rsidRDefault="001460A9">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CFC3F" w14:textId="77777777" w:rsidR="001460A9" w:rsidRPr="00D06CF4" w:rsidRDefault="001460A9">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C99AA" w14:textId="77777777" w:rsidR="001460A9" w:rsidRDefault="001460A9">
    <w:r>
      <w:t>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A263F" w14:textId="77777777" w:rsidR="001460A9" w:rsidRPr="00D06CF4" w:rsidRDefault="001460A9">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19B7D" w14:textId="77777777" w:rsidR="001460A9" w:rsidRPr="00D06CF4" w:rsidRDefault="001460A9">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FCE1B" w14:textId="77777777" w:rsidR="001460A9" w:rsidRDefault="001460A9">
    <w:r>
      <w:t> </w:t>
    </w: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DE374" w14:textId="77777777" w:rsidR="001460A9" w:rsidRPr="00D06CF4" w:rsidRDefault="001460A9">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D764C" w14:textId="77777777" w:rsidR="001460A9" w:rsidRPr="00D06CF4" w:rsidRDefault="001460A9">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CB02C" w14:textId="77777777" w:rsidR="001460A9" w:rsidRDefault="001460A9">
    <w:r>
      <w:t> </w: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EA90F" w14:textId="77777777" w:rsidR="001460A9" w:rsidRPr="00D06CF4" w:rsidRDefault="001460A9">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502AD" w14:textId="77777777" w:rsidR="00823693" w:rsidRPr="00D06CF4" w:rsidRDefault="00823693">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5734F" w14:textId="77777777" w:rsidR="00823693" w:rsidRDefault="00823693">
    <w:r>
      <w:t> </w:t>
    </w: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A48F3" w14:textId="77777777" w:rsidR="00823693" w:rsidRPr="00D06CF4" w:rsidRDefault="00823693">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8C3E2" w14:textId="77777777" w:rsidR="00823693" w:rsidRPr="00D06CF4" w:rsidRDefault="00823693">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B7692" w14:textId="77777777" w:rsidR="00823693" w:rsidRDefault="00823693">
    <w:r>
      <w:t> </w:t>
    </w: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162B4" w14:textId="77777777" w:rsidR="00823693" w:rsidRPr="00D06CF4" w:rsidRDefault="00823693">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0AB86" w14:textId="77777777" w:rsidR="00644683" w:rsidRDefault="00644683">
    <w:r>
      <w:t> </w:t>
    </w: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8F84D" w14:textId="77777777" w:rsidR="00644683" w:rsidRDefault="00644683">
    <w:r>
      <w:t> </w:t>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DF67E" w14:textId="77777777" w:rsidR="00852517" w:rsidRPr="00D06CF4" w:rsidRDefault="00852517">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3A5B1" w14:textId="77777777" w:rsidR="00852517" w:rsidRDefault="00852517">
    <w:r>
      <w:t> </w:t>
    </w: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44EE3" w14:textId="77777777" w:rsidR="00852517" w:rsidRPr="00D06CF4" w:rsidRDefault="00852517">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D7941" w14:textId="77777777" w:rsidR="00852517" w:rsidRPr="00D06CF4" w:rsidRDefault="00852517">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9C315" w14:textId="77777777" w:rsidR="00852517" w:rsidRDefault="00852517">
    <w:r>
      <w:t> </w:t>
    </w: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CF346" w14:textId="77777777" w:rsidR="00852517" w:rsidRPr="00D06CF4" w:rsidRDefault="00852517">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47FAF" w14:textId="77777777" w:rsidR="00852517" w:rsidRPr="00D06CF4" w:rsidRDefault="00852517">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7E561" w14:textId="77777777" w:rsidR="00852517" w:rsidRDefault="00852517">
    <w:r>
      <w:t> </w:t>
    </w: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03F1A" w14:textId="77777777" w:rsidR="00852517" w:rsidRPr="00D06CF4" w:rsidRDefault="00852517">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FC2C8" w14:textId="77777777" w:rsidR="00852517" w:rsidRPr="00D06CF4" w:rsidRDefault="00852517">
    <w:pPr>
      <w:pStyle w:val="Header"/>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B614E" w14:textId="77777777" w:rsidR="00852517" w:rsidRDefault="00852517">
    <w:r>
      <w:t> </w:t>
    </w: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E844D" w14:textId="77777777" w:rsidR="00852517" w:rsidRPr="00D06CF4" w:rsidRDefault="00852517">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E45D7" w14:textId="77777777" w:rsidR="00550A54" w:rsidRPr="00D06CF4" w:rsidRDefault="00550A54">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124ED" w14:textId="77777777" w:rsidR="00550A54" w:rsidRDefault="00550A54">
    <w:r>
      <w:t> </w:t>
    </w: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2997B" w14:textId="77777777" w:rsidR="00550A54" w:rsidRPr="00D06CF4" w:rsidRDefault="00550A54">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23C32" w14:textId="77777777" w:rsidR="00550A54" w:rsidRPr="00D06CF4" w:rsidRDefault="00550A54">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B72A2" w14:textId="77777777" w:rsidR="00550A54" w:rsidRDefault="00550A54">
    <w:r>
      <w:t> </w:t>
    </w: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523FF" w14:textId="77777777" w:rsidR="00550A54" w:rsidRPr="00D06CF4" w:rsidRDefault="00550A54">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C6CD4" w14:textId="77777777" w:rsidR="00B803E9" w:rsidRPr="00D06CF4" w:rsidRDefault="00B803E9">
    <w:pPr>
      <w:pStyle w:val="Header"/>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31262" w14:textId="77777777" w:rsidR="00B803E9" w:rsidRDefault="00B803E9">
    <w:r>
      <w:t> </w:t>
    </w: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BF691" w14:textId="77777777" w:rsidR="00B803E9" w:rsidRPr="00D06CF4" w:rsidRDefault="00B803E9">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4342B" w14:textId="77777777" w:rsidR="00B803E9" w:rsidRPr="00D06CF4" w:rsidRDefault="00B803E9">
    <w:pPr>
      <w:pStyle w:val="Header"/>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8C83F" w14:textId="77777777" w:rsidR="00B803E9" w:rsidRDefault="00B803E9">
    <w:r>
      <w:t> </w:t>
    </w: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509FC" w14:textId="77777777" w:rsidR="00B803E9" w:rsidRPr="00D06CF4" w:rsidRDefault="00B803E9">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D625F" w14:textId="77777777" w:rsidR="00B803E9" w:rsidRPr="00D06CF4" w:rsidRDefault="00B803E9">
    <w:pPr>
      <w:pStyle w:val="Header"/>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7BACD" w14:textId="77777777" w:rsidR="00B803E9" w:rsidRDefault="00B803E9">
    <w:r>
      <w:t> </w:t>
    </w: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0EB5D" w14:textId="77777777" w:rsidR="00B803E9" w:rsidRPr="00D06CF4" w:rsidRDefault="00B803E9">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41475" w14:textId="77777777" w:rsidR="00B803E9" w:rsidRPr="00D06CF4" w:rsidRDefault="00B803E9">
    <w:pPr>
      <w:pStyle w:val="Header"/>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EE5F2" w14:textId="77777777" w:rsidR="00B803E9" w:rsidRDefault="00B803E9">
    <w:r>
      <w:t> </w:t>
    </w: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A74B6" w14:textId="77777777" w:rsidR="00B803E9" w:rsidRPr="00D06CF4" w:rsidRDefault="00B803E9">
    <w:pPr>
      <w:pStyle w:val="Header"/>
    </w:pP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EF64D" w14:textId="77777777" w:rsidR="00F54DA9" w:rsidRPr="00D06CF4" w:rsidRDefault="00F54DA9">
    <w:pPr>
      <w:pStyle w:val="Header"/>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564C9" w14:textId="77777777" w:rsidR="00F54DA9" w:rsidRDefault="00F54DA9">
    <w:r>
      <w:t> </w:t>
    </w: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44D11" w14:textId="77777777" w:rsidR="00F54DA9" w:rsidRPr="00D06CF4" w:rsidRDefault="00F54DA9">
    <w:pPr>
      <w:pStyle w:val="Header"/>
    </w:pP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213E2" w14:textId="77777777" w:rsidR="00F54DA9" w:rsidRPr="00D06CF4" w:rsidRDefault="00F54DA9">
    <w:pPr>
      <w:pStyle w:val="Header"/>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BAC3E" w14:textId="77777777" w:rsidR="00F54DA9" w:rsidRDefault="00F54DA9">
    <w:r>
      <w:t> </w:t>
    </w: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02E7A" w14:textId="77777777" w:rsidR="00F54DA9" w:rsidRPr="00D06CF4" w:rsidRDefault="00F54DA9">
    <w:pPr>
      <w:pStyle w:val="Header"/>
    </w:pP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D7823" w14:textId="77777777" w:rsidR="00F54DA9" w:rsidRPr="00D06CF4" w:rsidRDefault="00F54DA9">
    <w:pPr>
      <w:pStyle w:val="Header"/>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F0619" w14:textId="77777777" w:rsidR="00F54DA9" w:rsidRDefault="00F54DA9">
    <w:r>
      <w:t> </w:t>
    </w: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BA104" w14:textId="77777777" w:rsidR="00F54DA9" w:rsidRPr="00D06CF4" w:rsidRDefault="00F54DA9">
    <w:pPr>
      <w:pStyle w:val="Header"/>
    </w:pP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F6BF0" w14:textId="77777777" w:rsidR="00F54DA9" w:rsidRPr="00D06CF4" w:rsidRDefault="00F54DA9">
    <w:pPr>
      <w:pStyle w:val="Header"/>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DBBCC" w14:textId="77777777" w:rsidR="00F54DA9" w:rsidRDefault="00F54DA9">
    <w:r>
      <w:t> </w:t>
    </w: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20DB8" w14:textId="77777777" w:rsidR="00F54DA9" w:rsidRPr="00D06CF4" w:rsidRDefault="00F54DA9">
    <w:pPr>
      <w:pStyle w:val="Header"/>
    </w:pP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87419" w14:textId="77777777" w:rsidR="00137D7A" w:rsidRPr="00623DB4" w:rsidRDefault="00137D7A">
    <w:pPr>
      <w:pStyle w:val="Header"/>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B8869" w14:textId="77777777" w:rsidR="00137D7A" w:rsidRDefault="00137D7A">
    <w:r>
      <w:t> </w:t>
    </w: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F9F9F" w14:textId="77777777" w:rsidR="00137D7A" w:rsidRPr="00623DB4" w:rsidRDefault="00137D7A">
    <w:pPr>
      <w:pStyle w:val="Header"/>
    </w:pP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1BA91" w14:textId="77777777" w:rsidR="00137D7A" w:rsidRPr="009F5ACB" w:rsidRDefault="00137D7A">
    <w:pPr>
      <w:pStyle w:val="HeaderCoverPage"/>
    </w:pP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CA964" w14:textId="77777777" w:rsidR="00644683" w:rsidRDefault="00644683">
    <w:r>
      <w:t> </w:t>
    </w: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343DD" w14:textId="77777777" w:rsidR="00137D7A" w:rsidRPr="009F5ACB" w:rsidRDefault="00137D7A">
    <w:pPr>
      <w:pStyle w:val="HeaderCoverPage"/>
    </w:pP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D3023" w14:textId="77777777" w:rsidR="00137D7A" w:rsidRPr="009F5ACB" w:rsidRDefault="00137D7A">
    <w:pPr>
      <w:pStyle w:val="HeaderCoverPage"/>
    </w:pP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99C0C" w14:textId="77777777" w:rsidR="00644683" w:rsidRDefault="00644683">
    <w:r>
      <w:t> </w:t>
    </w: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DDA19" w14:textId="77777777" w:rsidR="00137D7A" w:rsidRPr="009F5ACB" w:rsidRDefault="00137D7A">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5888"/>
        </w:tabs>
        <w:ind w:left="5888"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02545D2"/>
    <w:multiLevelType w:val="hybridMultilevel"/>
    <w:tmpl w:val="8610BCF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01250970"/>
    <w:multiLevelType w:val="hybridMultilevel"/>
    <w:tmpl w:val="CFDA6BBA"/>
    <w:lvl w:ilvl="0" w:tplc="505C60F8">
      <w:start w:val="1"/>
      <w:numFmt w:val="decimal"/>
      <w:lvlText w:val="%1)"/>
      <w:lvlJc w:val="left"/>
      <w:pPr>
        <w:ind w:left="360" w:hanging="360"/>
      </w:pPr>
      <w:rPr>
        <w:rFonts w:ascii="Times New Roman" w:eastAsiaTheme="minorEastAsia" w:hAnsi="Times New Roman" w:cstheme="minorBidi"/>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6C14162"/>
    <w:multiLevelType w:val="multilevel"/>
    <w:tmpl w:val="03564E8C"/>
    <w:lvl w:ilvl="0">
      <w:start w:val="1"/>
      <w:numFmt w:val="lowerLetter"/>
      <w:lvlText w:val="%1)"/>
      <w:lvlJc w:val="left"/>
      <w:pPr>
        <w:tabs>
          <w:tab w:val="num" w:pos="414"/>
        </w:tabs>
        <w:ind w:left="414" w:hanging="850"/>
      </w:pPr>
    </w:lvl>
    <w:lvl w:ilvl="1">
      <w:start w:val="1"/>
      <w:numFmt w:val="decimal"/>
      <w:lvlText w:val="%1.%2."/>
      <w:lvlJc w:val="left"/>
      <w:pPr>
        <w:tabs>
          <w:tab w:val="num" w:pos="414"/>
        </w:tabs>
        <w:ind w:left="414" w:hanging="850"/>
      </w:pPr>
    </w:lvl>
    <w:lvl w:ilvl="2">
      <w:start w:val="1"/>
      <w:numFmt w:val="lowerLetter"/>
      <w:lvlText w:val="%3."/>
      <w:lvlJc w:val="left"/>
      <w:pPr>
        <w:tabs>
          <w:tab w:val="num" w:pos="414"/>
        </w:tabs>
        <w:ind w:left="414" w:hanging="850"/>
      </w:pPr>
    </w:lvl>
    <w:lvl w:ilvl="3">
      <w:start w:val="1"/>
      <w:numFmt w:val="decimal"/>
      <w:lvlText w:val="%1.%2.%3.%4."/>
      <w:lvlJc w:val="left"/>
      <w:pPr>
        <w:tabs>
          <w:tab w:val="num" w:pos="414"/>
        </w:tabs>
        <w:ind w:left="414" w:hanging="850"/>
      </w:pPr>
    </w:lvl>
    <w:lvl w:ilvl="4">
      <w:start w:val="1"/>
      <w:numFmt w:val="lowerLetter"/>
      <w:lvlText w:val="(%5)"/>
      <w:lvlJc w:val="left"/>
      <w:pPr>
        <w:ind w:left="1364" w:hanging="360"/>
      </w:pPr>
    </w:lvl>
    <w:lvl w:ilvl="5">
      <w:start w:val="1"/>
      <w:numFmt w:val="lowerRoman"/>
      <w:lvlText w:val="(%6)"/>
      <w:lvlJc w:val="left"/>
      <w:pPr>
        <w:ind w:left="1724" w:hanging="360"/>
      </w:pPr>
    </w:lvl>
    <w:lvl w:ilvl="6">
      <w:start w:val="1"/>
      <w:numFmt w:val="decimal"/>
      <w:lvlText w:val="%7."/>
      <w:lvlJc w:val="left"/>
      <w:pPr>
        <w:ind w:left="2084" w:hanging="360"/>
      </w:pPr>
    </w:lvl>
    <w:lvl w:ilvl="7">
      <w:start w:val="1"/>
      <w:numFmt w:val="lowerLetter"/>
      <w:lvlText w:val="%8."/>
      <w:lvlJc w:val="left"/>
      <w:pPr>
        <w:ind w:left="2444" w:hanging="360"/>
      </w:pPr>
    </w:lvl>
    <w:lvl w:ilvl="8">
      <w:start w:val="1"/>
      <w:numFmt w:val="lowerRoman"/>
      <w:lvlText w:val="%9."/>
      <w:lvlJc w:val="left"/>
      <w:pPr>
        <w:ind w:left="2804" w:hanging="360"/>
      </w:pPr>
    </w:lvl>
  </w:abstractNum>
  <w:abstractNum w:abstractNumId="11" w15:restartNumberingAfterBreak="0">
    <w:nsid w:val="079B05E8"/>
    <w:multiLevelType w:val="hybridMultilevel"/>
    <w:tmpl w:val="2F60DEB4"/>
    <w:lvl w:ilvl="0" w:tplc="0809001B">
      <w:start w:val="1"/>
      <w:numFmt w:val="lowerRoman"/>
      <w:lvlText w:val="%1."/>
      <w:lvlJc w:val="right"/>
      <w:pPr>
        <w:ind w:left="5351" w:hanging="360"/>
      </w:pPr>
    </w:lvl>
    <w:lvl w:ilvl="1" w:tplc="08090019">
      <w:start w:val="1"/>
      <w:numFmt w:val="lowerLetter"/>
      <w:lvlText w:val="%2."/>
      <w:lvlJc w:val="left"/>
      <w:pPr>
        <w:ind w:left="6071" w:hanging="360"/>
      </w:pPr>
    </w:lvl>
    <w:lvl w:ilvl="2" w:tplc="0809001B" w:tentative="1">
      <w:start w:val="1"/>
      <w:numFmt w:val="lowerRoman"/>
      <w:lvlText w:val="%3."/>
      <w:lvlJc w:val="right"/>
      <w:pPr>
        <w:ind w:left="6791" w:hanging="180"/>
      </w:pPr>
    </w:lvl>
    <w:lvl w:ilvl="3" w:tplc="0809000F" w:tentative="1">
      <w:start w:val="1"/>
      <w:numFmt w:val="decimal"/>
      <w:lvlText w:val="%4."/>
      <w:lvlJc w:val="left"/>
      <w:pPr>
        <w:ind w:left="7511" w:hanging="360"/>
      </w:pPr>
    </w:lvl>
    <w:lvl w:ilvl="4" w:tplc="08090019" w:tentative="1">
      <w:start w:val="1"/>
      <w:numFmt w:val="lowerLetter"/>
      <w:lvlText w:val="%5."/>
      <w:lvlJc w:val="left"/>
      <w:pPr>
        <w:ind w:left="8231" w:hanging="360"/>
      </w:pPr>
    </w:lvl>
    <w:lvl w:ilvl="5" w:tplc="0809001B" w:tentative="1">
      <w:start w:val="1"/>
      <w:numFmt w:val="lowerRoman"/>
      <w:lvlText w:val="%6."/>
      <w:lvlJc w:val="right"/>
      <w:pPr>
        <w:ind w:left="8951" w:hanging="180"/>
      </w:pPr>
    </w:lvl>
    <w:lvl w:ilvl="6" w:tplc="0809000F" w:tentative="1">
      <w:start w:val="1"/>
      <w:numFmt w:val="decimal"/>
      <w:lvlText w:val="%7."/>
      <w:lvlJc w:val="left"/>
      <w:pPr>
        <w:ind w:left="9671" w:hanging="360"/>
      </w:pPr>
    </w:lvl>
    <w:lvl w:ilvl="7" w:tplc="08090019" w:tentative="1">
      <w:start w:val="1"/>
      <w:numFmt w:val="lowerLetter"/>
      <w:lvlText w:val="%8."/>
      <w:lvlJc w:val="left"/>
      <w:pPr>
        <w:ind w:left="10391" w:hanging="360"/>
      </w:pPr>
    </w:lvl>
    <w:lvl w:ilvl="8" w:tplc="0809001B" w:tentative="1">
      <w:start w:val="1"/>
      <w:numFmt w:val="lowerRoman"/>
      <w:lvlText w:val="%9."/>
      <w:lvlJc w:val="right"/>
      <w:pPr>
        <w:ind w:left="11111" w:hanging="180"/>
      </w:pPr>
    </w:lvl>
  </w:abstractNum>
  <w:abstractNum w:abstractNumId="12" w15:restartNumberingAfterBreak="0">
    <w:nsid w:val="0A67376A"/>
    <w:multiLevelType w:val="hybridMultilevel"/>
    <w:tmpl w:val="31E6BC2E"/>
    <w:lvl w:ilvl="0" w:tplc="D882AC22">
      <w:start w:val="300"/>
      <w:numFmt w:val="bullet"/>
      <w:lvlText w:val="-"/>
      <w:lvlJc w:val="left"/>
      <w:pPr>
        <w:ind w:left="820" w:hanging="360"/>
      </w:pPr>
      <w:rPr>
        <w:rFonts w:ascii="Times New Roman" w:eastAsiaTheme="minorHAnsi" w:hAnsi="Times New Roman" w:cs="Times New Roman"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3" w15:restartNumberingAfterBreak="0">
    <w:nsid w:val="0BCA78CA"/>
    <w:multiLevelType w:val="hybridMultilevel"/>
    <w:tmpl w:val="5D02981E"/>
    <w:lvl w:ilvl="0" w:tplc="CA50E8FA">
      <w:start w:val="14"/>
      <w:numFmt w:val="upperLetter"/>
      <w:lvlText w:val="%1."/>
      <w:lvlJc w:val="left"/>
      <w:pPr>
        <w:ind w:left="1275"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C891F29"/>
    <w:multiLevelType w:val="hybridMultilevel"/>
    <w:tmpl w:val="B3507058"/>
    <w:lvl w:ilvl="0" w:tplc="6066C1FA">
      <w:start w:val="1"/>
      <w:numFmt w:val="bullet"/>
      <w:lvlText w:val=""/>
      <w:lvlJc w:val="left"/>
      <w:pPr>
        <w:ind w:left="366" w:hanging="360"/>
      </w:pPr>
      <w:rPr>
        <w:rFonts w:ascii="Symbol" w:hAnsi="Symbol" w:hint="default"/>
      </w:rPr>
    </w:lvl>
    <w:lvl w:ilvl="1" w:tplc="3E8E3D2C">
      <w:start w:val="1"/>
      <w:numFmt w:val="bullet"/>
      <w:lvlText w:val="o"/>
      <w:lvlJc w:val="left"/>
      <w:pPr>
        <w:ind w:left="1086" w:hanging="360"/>
      </w:pPr>
      <w:rPr>
        <w:rFonts w:ascii="Courier New" w:hAnsi="Courier New" w:hint="default"/>
      </w:rPr>
    </w:lvl>
    <w:lvl w:ilvl="2" w:tplc="3EDCED88">
      <w:start w:val="1"/>
      <w:numFmt w:val="bullet"/>
      <w:lvlText w:val=""/>
      <w:lvlJc w:val="left"/>
      <w:pPr>
        <w:ind w:left="1806" w:hanging="360"/>
      </w:pPr>
      <w:rPr>
        <w:rFonts w:ascii="Wingdings" w:hAnsi="Wingdings" w:hint="default"/>
      </w:rPr>
    </w:lvl>
    <w:lvl w:ilvl="3" w:tplc="1816689A">
      <w:start w:val="1"/>
      <w:numFmt w:val="bullet"/>
      <w:lvlText w:val=""/>
      <w:lvlJc w:val="left"/>
      <w:pPr>
        <w:ind w:left="2526" w:hanging="360"/>
      </w:pPr>
      <w:rPr>
        <w:rFonts w:ascii="Symbol" w:hAnsi="Symbol" w:hint="default"/>
      </w:rPr>
    </w:lvl>
    <w:lvl w:ilvl="4" w:tplc="5108F088">
      <w:start w:val="1"/>
      <w:numFmt w:val="bullet"/>
      <w:lvlText w:val="o"/>
      <w:lvlJc w:val="left"/>
      <w:pPr>
        <w:ind w:left="3246" w:hanging="360"/>
      </w:pPr>
      <w:rPr>
        <w:rFonts w:ascii="Courier New" w:hAnsi="Courier New" w:hint="default"/>
      </w:rPr>
    </w:lvl>
    <w:lvl w:ilvl="5" w:tplc="4762E8DC">
      <w:start w:val="1"/>
      <w:numFmt w:val="bullet"/>
      <w:lvlText w:val=""/>
      <w:lvlJc w:val="left"/>
      <w:pPr>
        <w:ind w:left="3966" w:hanging="360"/>
      </w:pPr>
      <w:rPr>
        <w:rFonts w:ascii="Wingdings" w:hAnsi="Wingdings" w:hint="default"/>
      </w:rPr>
    </w:lvl>
    <w:lvl w:ilvl="6" w:tplc="F34EBA9A">
      <w:start w:val="1"/>
      <w:numFmt w:val="bullet"/>
      <w:lvlText w:val=""/>
      <w:lvlJc w:val="left"/>
      <w:pPr>
        <w:ind w:left="4686" w:hanging="360"/>
      </w:pPr>
      <w:rPr>
        <w:rFonts w:ascii="Symbol" w:hAnsi="Symbol" w:hint="default"/>
      </w:rPr>
    </w:lvl>
    <w:lvl w:ilvl="7" w:tplc="4F44676C">
      <w:start w:val="1"/>
      <w:numFmt w:val="bullet"/>
      <w:lvlText w:val="o"/>
      <w:lvlJc w:val="left"/>
      <w:pPr>
        <w:ind w:left="5406" w:hanging="360"/>
      </w:pPr>
      <w:rPr>
        <w:rFonts w:ascii="Courier New" w:hAnsi="Courier New" w:hint="default"/>
      </w:rPr>
    </w:lvl>
    <w:lvl w:ilvl="8" w:tplc="3ACE5360">
      <w:start w:val="1"/>
      <w:numFmt w:val="bullet"/>
      <w:lvlText w:val=""/>
      <w:lvlJc w:val="left"/>
      <w:pPr>
        <w:ind w:left="6126" w:hanging="360"/>
      </w:pPr>
      <w:rPr>
        <w:rFonts w:ascii="Wingdings" w:hAnsi="Wingdings" w:hint="default"/>
      </w:rPr>
    </w:lvl>
  </w:abstractNum>
  <w:abstractNum w:abstractNumId="15" w15:restartNumberingAfterBreak="0">
    <w:nsid w:val="0DB16011"/>
    <w:multiLevelType w:val="multilevel"/>
    <w:tmpl w:val="50D0C71C"/>
    <w:lvl w:ilvl="0">
      <w:start w:val="30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0E6861BC"/>
    <w:multiLevelType w:val="hybridMultilevel"/>
    <w:tmpl w:val="59DA64E4"/>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0F9569DD"/>
    <w:multiLevelType w:val="hybridMultilevel"/>
    <w:tmpl w:val="231C5AC6"/>
    <w:lvl w:ilvl="0" w:tplc="2ACC1B20">
      <w:start w:val="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FB05522"/>
    <w:multiLevelType w:val="hybridMultilevel"/>
    <w:tmpl w:val="7362F1AE"/>
    <w:lvl w:ilvl="0" w:tplc="4288CA54">
      <w:start w:val="1"/>
      <w:numFmt w:val="bullet"/>
      <w:lvlText w:val=""/>
      <w:lvlJc w:val="left"/>
      <w:pPr>
        <w:ind w:left="366" w:hanging="360"/>
      </w:pPr>
      <w:rPr>
        <w:rFonts w:ascii="Symbol" w:hAnsi="Symbol" w:hint="default"/>
      </w:rPr>
    </w:lvl>
    <w:lvl w:ilvl="1" w:tplc="960256FC">
      <w:start w:val="1"/>
      <w:numFmt w:val="bullet"/>
      <w:lvlText w:val="o"/>
      <w:lvlJc w:val="left"/>
      <w:pPr>
        <w:ind w:left="1086" w:hanging="360"/>
      </w:pPr>
      <w:rPr>
        <w:rFonts w:ascii="Courier New" w:hAnsi="Courier New" w:hint="default"/>
      </w:rPr>
    </w:lvl>
    <w:lvl w:ilvl="2" w:tplc="5C4A19D0">
      <w:start w:val="1"/>
      <w:numFmt w:val="bullet"/>
      <w:lvlText w:val=""/>
      <w:lvlJc w:val="left"/>
      <w:pPr>
        <w:ind w:left="1806" w:hanging="360"/>
      </w:pPr>
      <w:rPr>
        <w:rFonts w:ascii="Wingdings" w:hAnsi="Wingdings" w:hint="default"/>
      </w:rPr>
    </w:lvl>
    <w:lvl w:ilvl="3" w:tplc="BB0EB808">
      <w:start w:val="1"/>
      <w:numFmt w:val="bullet"/>
      <w:lvlText w:val=""/>
      <w:lvlJc w:val="left"/>
      <w:pPr>
        <w:ind w:left="2526" w:hanging="360"/>
      </w:pPr>
      <w:rPr>
        <w:rFonts w:ascii="Symbol" w:hAnsi="Symbol" w:hint="default"/>
      </w:rPr>
    </w:lvl>
    <w:lvl w:ilvl="4" w:tplc="BE58D908">
      <w:start w:val="1"/>
      <w:numFmt w:val="bullet"/>
      <w:lvlText w:val="o"/>
      <w:lvlJc w:val="left"/>
      <w:pPr>
        <w:ind w:left="3246" w:hanging="360"/>
      </w:pPr>
      <w:rPr>
        <w:rFonts w:ascii="Courier New" w:hAnsi="Courier New" w:hint="default"/>
      </w:rPr>
    </w:lvl>
    <w:lvl w:ilvl="5" w:tplc="8294CCF0">
      <w:start w:val="1"/>
      <w:numFmt w:val="bullet"/>
      <w:lvlText w:val=""/>
      <w:lvlJc w:val="left"/>
      <w:pPr>
        <w:ind w:left="3966" w:hanging="360"/>
      </w:pPr>
      <w:rPr>
        <w:rFonts w:ascii="Wingdings" w:hAnsi="Wingdings" w:hint="default"/>
      </w:rPr>
    </w:lvl>
    <w:lvl w:ilvl="6" w:tplc="9F1A2FEA">
      <w:start w:val="1"/>
      <w:numFmt w:val="bullet"/>
      <w:lvlText w:val=""/>
      <w:lvlJc w:val="left"/>
      <w:pPr>
        <w:ind w:left="4686" w:hanging="360"/>
      </w:pPr>
      <w:rPr>
        <w:rFonts w:ascii="Symbol" w:hAnsi="Symbol" w:hint="default"/>
      </w:rPr>
    </w:lvl>
    <w:lvl w:ilvl="7" w:tplc="86362C02">
      <w:start w:val="1"/>
      <w:numFmt w:val="bullet"/>
      <w:lvlText w:val="o"/>
      <w:lvlJc w:val="left"/>
      <w:pPr>
        <w:ind w:left="5406" w:hanging="360"/>
      </w:pPr>
      <w:rPr>
        <w:rFonts w:ascii="Courier New" w:hAnsi="Courier New" w:hint="default"/>
      </w:rPr>
    </w:lvl>
    <w:lvl w:ilvl="8" w:tplc="D7A8DD10">
      <w:start w:val="1"/>
      <w:numFmt w:val="bullet"/>
      <w:lvlText w:val=""/>
      <w:lvlJc w:val="left"/>
      <w:pPr>
        <w:ind w:left="6126" w:hanging="360"/>
      </w:pPr>
      <w:rPr>
        <w:rFonts w:ascii="Wingdings" w:hAnsi="Wingdings" w:hint="default"/>
      </w:rPr>
    </w:lvl>
  </w:abstractNum>
  <w:abstractNum w:abstractNumId="19" w15:restartNumberingAfterBreak="0">
    <w:nsid w:val="105B28B7"/>
    <w:multiLevelType w:val="hybridMultilevel"/>
    <w:tmpl w:val="514AD520"/>
    <w:lvl w:ilvl="0" w:tplc="8F3A109C">
      <w:start w:val="13"/>
      <w:numFmt w:val="bullet"/>
      <w:lvlText w:val="-"/>
      <w:lvlJc w:val="left"/>
      <w:pPr>
        <w:ind w:left="720" w:hanging="360"/>
      </w:pPr>
      <w:rPr>
        <w:rFonts w:ascii="Calibri" w:eastAsiaTheme="minorHAnsi" w:hAnsi="Calibri" w:cs="Calibri"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0C80D77"/>
    <w:multiLevelType w:val="hybridMultilevel"/>
    <w:tmpl w:val="5F1C2042"/>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2C370D3"/>
    <w:multiLevelType w:val="hybridMultilevel"/>
    <w:tmpl w:val="2C4E0604"/>
    <w:lvl w:ilvl="0" w:tplc="B9C68348">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14AE1592"/>
    <w:multiLevelType w:val="hybridMultilevel"/>
    <w:tmpl w:val="47E6AB18"/>
    <w:lvl w:ilvl="0" w:tplc="D882AC22">
      <w:start w:val="300"/>
      <w:numFmt w:val="bullet"/>
      <w:lvlText w:val="-"/>
      <w:lvlJc w:val="left"/>
      <w:pPr>
        <w:ind w:left="720" w:hanging="360"/>
      </w:pPr>
      <w:rPr>
        <w:rFonts w:ascii="Times New Roman" w:eastAsiaTheme="minorHAnsi" w:hAnsi="Times New Roman" w:cs="Times New Roman" w:hint="default"/>
      </w:rPr>
    </w:lvl>
    <w:lvl w:ilvl="1" w:tplc="D882AC22">
      <w:start w:val="300"/>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70E1716"/>
    <w:multiLevelType w:val="hybridMultilevel"/>
    <w:tmpl w:val="AA529672"/>
    <w:lvl w:ilvl="0" w:tplc="B9C6834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5" w15:restartNumberingAfterBreak="0">
    <w:nsid w:val="1CEF3561"/>
    <w:multiLevelType w:val="hybridMultilevel"/>
    <w:tmpl w:val="0D46B31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1DD91968"/>
    <w:multiLevelType w:val="hybridMultilevel"/>
    <w:tmpl w:val="E47274BA"/>
    <w:lvl w:ilvl="0" w:tplc="65F2560C">
      <w:start w:val="1"/>
      <w:numFmt w:val="bullet"/>
      <w:lvlText w:val="-"/>
      <w:lvlJc w:val="left"/>
      <w:pPr>
        <w:ind w:left="360" w:hanging="360"/>
      </w:pPr>
      <w:rPr>
        <w:rFonts w:ascii="Aptos" w:hAnsi="Aptos" w:hint="default"/>
      </w:rPr>
    </w:lvl>
    <w:lvl w:ilvl="1" w:tplc="87C06E90">
      <w:start w:val="1"/>
      <w:numFmt w:val="bullet"/>
      <w:lvlText w:val="o"/>
      <w:lvlJc w:val="left"/>
      <w:pPr>
        <w:ind w:left="1080" w:hanging="360"/>
      </w:pPr>
      <w:rPr>
        <w:rFonts w:ascii="Courier New" w:hAnsi="Courier New" w:hint="default"/>
      </w:rPr>
    </w:lvl>
    <w:lvl w:ilvl="2" w:tplc="FF82C5EA">
      <w:start w:val="1"/>
      <w:numFmt w:val="bullet"/>
      <w:lvlText w:val=""/>
      <w:lvlJc w:val="left"/>
      <w:pPr>
        <w:ind w:left="1800" w:hanging="360"/>
      </w:pPr>
      <w:rPr>
        <w:rFonts w:ascii="Wingdings" w:hAnsi="Wingdings" w:hint="default"/>
      </w:rPr>
    </w:lvl>
    <w:lvl w:ilvl="3" w:tplc="1EA61B88">
      <w:start w:val="1"/>
      <w:numFmt w:val="bullet"/>
      <w:lvlText w:val=""/>
      <w:lvlJc w:val="left"/>
      <w:pPr>
        <w:ind w:left="2520" w:hanging="360"/>
      </w:pPr>
      <w:rPr>
        <w:rFonts w:ascii="Symbol" w:hAnsi="Symbol" w:hint="default"/>
      </w:rPr>
    </w:lvl>
    <w:lvl w:ilvl="4" w:tplc="8544EC02">
      <w:start w:val="1"/>
      <w:numFmt w:val="bullet"/>
      <w:lvlText w:val="o"/>
      <w:lvlJc w:val="left"/>
      <w:pPr>
        <w:ind w:left="3240" w:hanging="360"/>
      </w:pPr>
      <w:rPr>
        <w:rFonts w:ascii="Courier New" w:hAnsi="Courier New" w:hint="default"/>
      </w:rPr>
    </w:lvl>
    <w:lvl w:ilvl="5" w:tplc="ADAC1A24">
      <w:start w:val="1"/>
      <w:numFmt w:val="bullet"/>
      <w:lvlText w:val=""/>
      <w:lvlJc w:val="left"/>
      <w:pPr>
        <w:ind w:left="3960" w:hanging="360"/>
      </w:pPr>
      <w:rPr>
        <w:rFonts w:ascii="Wingdings" w:hAnsi="Wingdings" w:hint="default"/>
      </w:rPr>
    </w:lvl>
    <w:lvl w:ilvl="6" w:tplc="3F003680">
      <w:start w:val="1"/>
      <w:numFmt w:val="bullet"/>
      <w:lvlText w:val=""/>
      <w:lvlJc w:val="left"/>
      <w:pPr>
        <w:ind w:left="4680" w:hanging="360"/>
      </w:pPr>
      <w:rPr>
        <w:rFonts w:ascii="Symbol" w:hAnsi="Symbol" w:hint="default"/>
      </w:rPr>
    </w:lvl>
    <w:lvl w:ilvl="7" w:tplc="21A03FFC">
      <w:start w:val="1"/>
      <w:numFmt w:val="bullet"/>
      <w:lvlText w:val="o"/>
      <w:lvlJc w:val="left"/>
      <w:pPr>
        <w:ind w:left="5400" w:hanging="360"/>
      </w:pPr>
      <w:rPr>
        <w:rFonts w:ascii="Courier New" w:hAnsi="Courier New" w:hint="default"/>
      </w:rPr>
    </w:lvl>
    <w:lvl w:ilvl="8" w:tplc="33FCA990">
      <w:start w:val="1"/>
      <w:numFmt w:val="bullet"/>
      <w:lvlText w:val=""/>
      <w:lvlJc w:val="left"/>
      <w:pPr>
        <w:ind w:left="6120" w:hanging="360"/>
      </w:pPr>
      <w:rPr>
        <w:rFonts w:ascii="Wingdings" w:hAnsi="Wingdings" w:hint="default"/>
      </w:rPr>
    </w:lvl>
  </w:abstractNum>
  <w:abstractNum w:abstractNumId="27" w15:restartNumberingAfterBreak="0">
    <w:nsid w:val="1F385EF2"/>
    <w:multiLevelType w:val="hybridMultilevel"/>
    <w:tmpl w:val="8B5000FE"/>
    <w:lvl w:ilvl="0" w:tplc="D882AC22">
      <w:start w:val="300"/>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1FC21727"/>
    <w:multiLevelType w:val="hybridMultilevel"/>
    <w:tmpl w:val="960242D4"/>
    <w:lvl w:ilvl="0" w:tplc="8F3A109C">
      <w:start w:val="13"/>
      <w:numFmt w:val="bullet"/>
      <w:lvlText w:val="-"/>
      <w:lvlJc w:val="left"/>
      <w:pPr>
        <w:ind w:left="720" w:hanging="360"/>
      </w:pPr>
      <w:rPr>
        <w:rFonts w:ascii="Calibri" w:eastAsiaTheme="minorHAnsi" w:hAnsi="Calibri" w:cs="Calibri" w:hint="default"/>
        <w:sz w:val="16"/>
      </w:rPr>
    </w:lvl>
    <w:lvl w:ilvl="1" w:tplc="27CE8E9E">
      <w:start w:val="100"/>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0FA3F2D"/>
    <w:multiLevelType w:val="hybridMultilevel"/>
    <w:tmpl w:val="DB142716"/>
    <w:lvl w:ilvl="0" w:tplc="DDA6C6AC">
      <w:start w:val="1"/>
      <w:numFmt w:val="bullet"/>
      <w:lvlText w:val="-"/>
      <w:lvlJc w:val="left"/>
      <w:pPr>
        <w:ind w:left="360" w:hanging="360"/>
      </w:pPr>
      <w:rPr>
        <w:rFonts w:ascii="Aptos" w:hAnsi="Apto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21E91803"/>
    <w:multiLevelType w:val="hybridMultilevel"/>
    <w:tmpl w:val="18607A70"/>
    <w:lvl w:ilvl="0" w:tplc="D882AC22">
      <w:start w:val="300"/>
      <w:numFmt w:val="bullet"/>
      <w:lvlText w:val="-"/>
      <w:lvlJc w:val="left"/>
      <w:pPr>
        <w:ind w:left="720" w:hanging="360"/>
      </w:pPr>
      <w:rPr>
        <w:rFonts w:ascii="Times New Roman" w:eastAsiaTheme="minorHAnsi" w:hAnsi="Times New Roman" w:cs="Times New Roman" w:hint="default"/>
      </w:rPr>
    </w:lvl>
    <w:lvl w:ilvl="1" w:tplc="AAC255E4">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2F2597F"/>
    <w:multiLevelType w:val="hybridMultilevel"/>
    <w:tmpl w:val="295870D6"/>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3041218"/>
    <w:multiLevelType w:val="hybridMultilevel"/>
    <w:tmpl w:val="0A7ED9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23B51748"/>
    <w:multiLevelType w:val="hybridMultilevel"/>
    <w:tmpl w:val="97226C02"/>
    <w:lvl w:ilvl="0" w:tplc="D882AC22">
      <w:start w:val="300"/>
      <w:numFmt w:val="bullet"/>
      <w:lvlText w:val="-"/>
      <w:lvlJc w:val="left"/>
      <w:pPr>
        <w:ind w:left="720" w:hanging="360"/>
      </w:pPr>
      <w:rPr>
        <w:rFonts w:ascii="Times New Roman" w:eastAsiaTheme="minorHAnsi" w:hAnsi="Times New Roman" w:cs="Times New Roman" w:hint="default"/>
        <w:color w:val="006100"/>
        <w:sz w:val="1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24BC7BCE"/>
    <w:multiLevelType w:val="hybridMultilevel"/>
    <w:tmpl w:val="ABD456DE"/>
    <w:lvl w:ilvl="0" w:tplc="D882AC22">
      <w:start w:val="300"/>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5735DF5"/>
    <w:multiLevelType w:val="hybridMultilevel"/>
    <w:tmpl w:val="A2342166"/>
    <w:lvl w:ilvl="0" w:tplc="D882AC22">
      <w:start w:val="300"/>
      <w:numFmt w:val="bullet"/>
      <w:lvlText w:val="-"/>
      <w:lvlJc w:val="left"/>
      <w:pPr>
        <w:ind w:left="360" w:hanging="360"/>
      </w:pPr>
      <w:rPr>
        <w:rFonts w:ascii="Times New Roman" w:eastAsiaTheme="minorHAnsi"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6" w15:restartNumberingAfterBreak="0">
    <w:nsid w:val="26112413"/>
    <w:multiLevelType w:val="hybridMultilevel"/>
    <w:tmpl w:val="574ECFAC"/>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65B31F5"/>
    <w:multiLevelType w:val="hybridMultilevel"/>
    <w:tmpl w:val="77241C16"/>
    <w:lvl w:ilvl="0" w:tplc="CFDA5974">
      <w:start w:val="11"/>
      <w:numFmt w:val="bullet"/>
      <w:lvlText w:val="-"/>
      <w:lvlJc w:val="left"/>
      <w:pPr>
        <w:ind w:left="677" w:hanging="360"/>
      </w:pPr>
      <w:rPr>
        <w:rFonts w:ascii="Times New Roman" w:eastAsiaTheme="minorHAnsi" w:hAnsi="Times New Roman" w:cs="Times New Roman" w:hint="default"/>
      </w:rPr>
    </w:lvl>
    <w:lvl w:ilvl="1" w:tplc="08090003" w:tentative="1">
      <w:start w:val="1"/>
      <w:numFmt w:val="bullet"/>
      <w:lvlText w:val="o"/>
      <w:lvlJc w:val="left"/>
      <w:pPr>
        <w:ind w:left="1397" w:hanging="360"/>
      </w:pPr>
      <w:rPr>
        <w:rFonts w:ascii="Courier New" w:hAnsi="Courier New" w:cs="Courier New" w:hint="default"/>
      </w:rPr>
    </w:lvl>
    <w:lvl w:ilvl="2" w:tplc="08090005" w:tentative="1">
      <w:start w:val="1"/>
      <w:numFmt w:val="bullet"/>
      <w:lvlText w:val=""/>
      <w:lvlJc w:val="left"/>
      <w:pPr>
        <w:ind w:left="2117" w:hanging="360"/>
      </w:pPr>
      <w:rPr>
        <w:rFonts w:ascii="Wingdings" w:hAnsi="Wingdings" w:hint="default"/>
      </w:rPr>
    </w:lvl>
    <w:lvl w:ilvl="3" w:tplc="08090001" w:tentative="1">
      <w:start w:val="1"/>
      <w:numFmt w:val="bullet"/>
      <w:lvlText w:val=""/>
      <w:lvlJc w:val="left"/>
      <w:pPr>
        <w:ind w:left="2837" w:hanging="360"/>
      </w:pPr>
      <w:rPr>
        <w:rFonts w:ascii="Symbol" w:hAnsi="Symbol" w:hint="default"/>
      </w:rPr>
    </w:lvl>
    <w:lvl w:ilvl="4" w:tplc="08090003" w:tentative="1">
      <w:start w:val="1"/>
      <w:numFmt w:val="bullet"/>
      <w:lvlText w:val="o"/>
      <w:lvlJc w:val="left"/>
      <w:pPr>
        <w:ind w:left="3557" w:hanging="360"/>
      </w:pPr>
      <w:rPr>
        <w:rFonts w:ascii="Courier New" w:hAnsi="Courier New" w:cs="Courier New" w:hint="default"/>
      </w:rPr>
    </w:lvl>
    <w:lvl w:ilvl="5" w:tplc="08090005" w:tentative="1">
      <w:start w:val="1"/>
      <w:numFmt w:val="bullet"/>
      <w:lvlText w:val=""/>
      <w:lvlJc w:val="left"/>
      <w:pPr>
        <w:ind w:left="4277" w:hanging="360"/>
      </w:pPr>
      <w:rPr>
        <w:rFonts w:ascii="Wingdings" w:hAnsi="Wingdings" w:hint="default"/>
      </w:rPr>
    </w:lvl>
    <w:lvl w:ilvl="6" w:tplc="08090001" w:tentative="1">
      <w:start w:val="1"/>
      <w:numFmt w:val="bullet"/>
      <w:lvlText w:val=""/>
      <w:lvlJc w:val="left"/>
      <w:pPr>
        <w:ind w:left="4997" w:hanging="360"/>
      </w:pPr>
      <w:rPr>
        <w:rFonts w:ascii="Symbol" w:hAnsi="Symbol" w:hint="default"/>
      </w:rPr>
    </w:lvl>
    <w:lvl w:ilvl="7" w:tplc="08090003" w:tentative="1">
      <w:start w:val="1"/>
      <w:numFmt w:val="bullet"/>
      <w:lvlText w:val="o"/>
      <w:lvlJc w:val="left"/>
      <w:pPr>
        <w:ind w:left="5717" w:hanging="360"/>
      </w:pPr>
      <w:rPr>
        <w:rFonts w:ascii="Courier New" w:hAnsi="Courier New" w:cs="Courier New" w:hint="default"/>
      </w:rPr>
    </w:lvl>
    <w:lvl w:ilvl="8" w:tplc="08090005" w:tentative="1">
      <w:start w:val="1"/>
      <w:numFmt w:val="bullet"/>
      <w:lvlText w:val=""/>
      <w:lvlJc w:val="left"/>
      <w:pPr>
        <w:ind w:left="6437" w:hanging="360"/>
      </w:pPr>
      <w:rPr>
        <w:rFonts w:ascii="Wingdings" w:hAnsi="Wingdings" w:hint="default"/>
      </w:rPr>
    </w:lvl>
  </w:abstractNum>
  <w:abstractNum w:abstractNumId="38" w15:restartNumberingAfterBreak="0">
    <w:nsid w:val="29EC7483"/>
    <w:multiLevelType w:val="hybridMultilevel"/>
    <w:tmpl w:val="3AFE6E2C"/>
    <w:lvl w:ilvl="0" w:tplc="B9C6834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B296EF8"/>
    <w:multiLevelType w:val="hybridMultilevel"/>
    <w:tmpl w:val="56AEE26A"/>
    <w:lvl w:ilvl="0" w:tplc="9678F580">
      <w:start w:val="1"/>
      <w:numFmt w:val="upperLetter"/>
      <w:lvlText w:val="%1)"/>
      <w:lvlJc w:val="left"/>
      <w:pPr>
        <w:ind w:left="720" w:hanging="360"/>
      </w:pPr>
      <w:rPr>
        <w:rFonts w:ascii="Times New Roman" w:hAnsi="Times New Roman" w:cs="Times New Roman" w:hint="default"/>
        <w:sz w:val="20"/>
        <w:szCs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0" w15:restartNumberingAfterBreak="0">
    <w:nsid w:val="2CAC7F68"/>
    <w:multiLevelType w:val="hybridMultilevel"/>
    <w:tmpl w:val="6B809DF2"/>
    <w:lvl w:ilvl="0" w:tplc="9CC48B70">
      <w:numFmt w:val="bullet"/>
      <w:lvlText w:val="-"/>
      <w:lvlJc w:val="left"/>
      <w:pPr>
        <w:ind w:left="36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43" w15:restartNumberingAfterBreak="0">
    <w:nsid w:val="2DD50A89"/>
    <w:multiLevelType w:val="hybridMultilevel"/>
    <w:tmpl w:val="C466044C"/>
    <w:lvl w:ilvl="0" w:tplc="D882AC22">
      <w:start w:val="300"/>
      <w:numFmt w:val="bullet"/>
      <w:lvlText w:val="-"/>
      <w:lvlJc w:val="left"/>
      <w:pPr>
        <w:ind w:left="405" w:hanging="360"/>
      </w:pPr>
      <w:rPr>
        <w:rFonts w:ascii="Times New Roman" w:eastAsiaTheme="minorHAnsi" w:hAnsi="Times New Roman" w:cs="Times New Roman" w:hint="default"/>
      </w:rPr>
    </w:lvl>
    <w:lvl w:ilvl="1" w:tplc="08090003">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44" w15:restartNumberingAfterBreak="0">
    <w:nsid w:val="2E01084A"/>
    <w:multiLevelType w:val="hybridMultilevel"/>
    <w:tmpl w:val="53B835AE"/>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0584B31"/>
    <w:multiLevelType w:val="hybridMultilevel"/>
    <w:tmpl w:val="9B302928"/>
    <w:lvl w:ilvl="0" w:tplc="B9C6834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21D30A3"/>
    <w:multiLevelType w:val="hybridMultilevel"/>
    <w:tmpl w:val="1A404892"/>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2AF2D99"/>
    <w:multiLevelType w:val="hybridMultilevel"/>
    <w:tmpl w:val="21CCD026"/>
    <w:lvl w:ilvl="0" w:tplc="4172FD36">
      <w:start w:val="2"/>
      <w:numFmt w:val="lowerRoman"/>
      <w:lvlText w:val="%1."/>
      <w:lvlJc w:val="right"/>
      <w:pPr>
        <w:ind w:left="5351"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8" w15:restartNumberingAfterBreak="0">
    <w:nsid w:val="333A6681"/>
    <w:multiLevelType w:val="hybridMultilevel"/>
    <w:tmpl w:val="412474C6"/>
    <w:lvl w:ilvl="0" w:tplc="9CC48B70">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337C5C61"/>
    <w:multiLevelType w:val="hybridMultilevel"/>
    <w:tmpl w:val="952E6DE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35E37283"/>
    <w:multiLevelType w:val="hybridMultilevel"/>
    <w:tmpl w:val="A5C61CD0"/>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6C56142"/>
    <w:multiLevelType w:val="hybridMultilevel"/>
    <w:tmpl w:val="F0FEE110"/>
    <w:name w:val="Heading2"/>
    <w:lvl w:ilvl="0" w:tplc="1BF2721A">
      <w:start w:val="11"/>
      <w:numFmt w:val="upperLetter"/>
      <w:lvlText w:val="%1."/>
      <w:lvlJc w:val="left"/>
      <w:pPr>
        <w:ind w:left="1275"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36DB40A7"/>
    <w:multiLevelType w:val="hybridMultilevel"/>
    <w:tmpl w:val="12D0332A"/>
    <w:lvl w:ilvl="0" w:tplc="D882AC22">
      <w:start w:val="30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3B766948"/>
    <w:multiLevelType w:val="hybridMultilevel"/>
    <w:tmpl w:val="77C666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B7C5DA2"/>
    <w:multiLevelType w:val="hybridMultilevel"/>
    <w:tmpl w:val="FFFFFFFF"/>
    <w:lvl w:ilvl="0" w:tplc="78DE432E">
      <w:start w:val="1"/>
      <w:numFmt w:val="bullet"/>
      <w:lvlText w:val="-"/>
      <w:lvlJc w:val="left"/>
      <w:pPr>
        <w:ind w:left="720" w:hanging="360"/>
      </w:pPr>
      <w:rPr>
        <w:rFonts w:ascii="Aptos" w:hAnsi="Aptos" w:hint="default"/>
      </w:rPr>
    </w:lvl>
    <w:lvl w:ilvl="1" w:tplc="B10C923A">
      <w:start w:val="1"/>
      <w:numFmt w:val="bullet"/>
      <w:lvlText w:val="o"/>
      <w:lvlJc w:val="left"/>
      <w:pPr>
        <w:ind w:left="1440" w:hanging="360"/>
      </w:pPr>
      <w:rPr>
        <w:rFonts w:ascii="Courier New" w:hAnsi="Courier New" w:hint="default"/>
      </w:rPr>
    </w:lvl>
    <w:lvl w:ilvl="2" w:tplc="49C224F6">
      <w:start w:val="1"/>
      <w:numFmt w:val="bullet"/>
      <w:lvlText w:val=""/>
      <w:lvlJc w:val="left"/>
      <w:pPr>
        <w:ind w:left="2160" w:hanging="360"/>
      </w:pPr>
      <w:rPr>
        <w:rFonts w:ascii="Wingdings" w:hAnsi="Wingdings" w:hint="default"/>
      </w:rPr>
    </w:lvl>
    <w:lvl w:ilvl="3" w:tplc="5470CD18">
      <w:start w:val="1"/>
      <w:numFmt w:val="bullet"/>
      <w:lvlText w:val=""/>
      <w:lvlJc w:val="left"/>
      <w:pPr>
        <w:ind w:left="2880" w:hanging="360"/>
      </w:pPr>
      <w:rPr>
        <w:rFonts w:ascii="Symbol" w:hAnsi="Symbol" w:hint="default"/>
      </w:rPr>
    </w:lvl>
    <w:lvl w:ilvl="4" w:tplc="89F85006">
      <w:start w:val="1"/>
      <w:numFmt w:val="bullet"/>
      <w:lvlText w:val="o"/>
      <w:lvlJc w:val="left"/>
      <w:pPr>
        <w:ind w:left="3600" w:hanging="360"/>
      </w:pPr>
      <w:rPr>
        <w:rFonts w:ascii="Courier New" w:hAnsi="Courier New" w:hint="default"/>
      </w:rPr>
    </w:lvl>
    <w:lvl w:ilvl="5" w:tplc="8446E8E4">
      <w:start w:val="1"/>
      <w:numFmt w:val="bullet"/>
      <w:lvlText w:val=""/>
      <w:lvlJc w:val="left"/>
      <w:pPr>
        <w:ind w:left="4320" w:hanging="360"/>
      </w:pPr>
      <w:rPr>
        <w:rFonts w:ascii="Wingdings" w:hAnsi="Wingdings" w:hint="default"/>
      </w:rPr>
    </w:lvl>
    <w:lvl w:ilvl="6" w:tplc="1C900682">
      <w:start w:val="1"/>
      <w:numFmt w:val="bullet"/>
      <w:lvlText w:val=""/>
      <w:lvlJc w:val="left"/>
      <w:pPr>
        <w:ind w:left="5040" w:hanging="360"/>
      </w:pPr>
      <w:rPr>
        <w:rFonts w:ascii="Symbol" w:hAnsi="Symbol" w:hint="default"/>
      </w:rPr>
    </w:lvl>
    <w:lvl w:ilvl="7" w:tplc="1C46EE36">
      <w:start w:val="1"/>
      <w:numFmt w:val="bullet"/>
      <w:lvlText w:val="o"/>
      <w:lvlJc w:val="left"/>
      <w:pPr>
        <w:ind w:left="5760" w:hanging="360"/>
      </w:pPr>
      <w:rPr>
        <w:rFonts w:ascii="Courier New" w:hAnsi="Courier New" w:hint="default"/>
      </w:rPr>
    </w:lvl>
    <w:lvl w:ilvl="8" w:tplc="56DEDEE6">
      <w:start w:val="1"/>
      <w:numFmt w:val="bullet"/>
      <w:lvlText w:val=""/>
      <w:lvlJc w:val="left"/>
      <w:pPr>
        <w:ind w:left="6480" w:hanging="360"/>
      </w:pPr>
      <w:rPr>
        <w:rFonts w:ascii="Wingdings" w:hAnsi="Wingdings" w:hint="default"/>
      </w:rPr>
    </w:lvl>
  </w:abstractNum>
  <w:abstractNum w:abstractNumId="55" w15:restartNumberingAfterBreak="0">
    <w:nsid w:val="3BCC40D2"/>
    <w:multiLevelType w:val="multilevel"/>
    <w:tmpl w:val="4AF61FC8"/>
    <w:lvl w:ilvl="0">
      <w:start w:val="16"/>
      <w:numFmt w:val="upperLetter"/>
      <w:lvlText w:val="%1."/>
      <w:lvlJc w:val="left"/>
      <w:pPr>
        <w:ind w:left="360" w:hanging="360"/>
      </w:pPr>
      <w:rPr>
        <w:rFonts w:hint="default"/>
        <w:b/>
        <w:bCs/>
      </w:rPr>
    </w:lvl>
    <w:lvl w:ilvl="1">
      <w:start w:val="1"/>
      <w:numFmt w:val="decimal"/>
      <w:lvlText w:val="%1.%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6" w15:restartNumberingAfterBreak="0">
    <w:nsid w:val="3BED2E0F"/>
    <w:multiLevelType w:val="multilevel"/>
    <w:tmpl w:val="40F0A5F2"/>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7" w15:restartNumberingAfterBreak="0">
    <w:nsid w:val="3EC422F4"/>
    <w:multiLevelType w:val="hybridMultilevel"/>
    <w:tmpl w:val="56EAA2AA"/>
    <w:lvl w:ilvl="0" w:tplc="59707350">
      <w:start w:val="100"/>
      <w:numFmt w:val="bullet"/>
      <w:lvlText w:val="-"/>
      <w:lvlJc w:val="left"/>
      <w:pPr>
        <w:ind w:left="720" w:hanging="360"/>
      </w:pPr>
      <w:rPr>
        <w:rFonts w:ascii="Calibri" w:eastAsiaTheme="minorHAnsi" w:hAnsi="Calibri" w:cs="Calibri" w:hint="default"/>
        <w:color w:val="006100"/>
        <w:sz w:val="1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8" w15:restartNumberingAfterBreak="0">
    <w:nsid w:val="41233036"/>
    <w:multiLevelType w:val="hybridMultilevel"/>
    <w:tmpl w:val="A44C8334"/>
    <w:lvl w:ilvl="0" w:tplc="08806A88">
      <w:start w:val="1"/>
      <w:numFmt w:val="lowerRoman"/>
      <w:lvlText w:val="%1."/>
      <w:lvlJc w:val="left"/>
      <w:pPr>
        <w:ind w:left="720" w:hanging="360"/>
      </w:pPr>
    </w:lvl>
    <w:lvl w:ilvl="1" w:tplc="5D18B8C2">
      <w:start w:val="1"/>
      <w:numFmt w:val="lowerLetter"/>
      <w:lvlText w:val="%2."/>
      <w:lvlJc w:val="left"/>
      <w:pPr>
        <w:ind w:left="1440" w:hanging="360"/>
      </w:pPr>
    </w:lvl>
    <w:lvl w:ilvl="2" w:tplc="70145102">
      <w:start w:val="1"/>
      <w:numFmt w:val="lowerRoman"/>
      <w:lvlText w:val="%3."/>
      <w:lvlJc w:val="right"/>
      <w:pPr>
        <w:ind w:left="2160" w:hanging="180"/>
      </w:pPr>
    </w:lvl>
    <w:lvl w:ilvl="3" w:tplc="39B6492E">
      <w:start w:val="1"/>
      <w:numFmt w:val="decimal"/>
      <w:lvlText w:val="%4."/>
      <w:lvlJc w:val="left"/>
      <w:pPr>
        <w:ind w:left="2880" w:hanging="360"/>
      </w:pPr>
    </w:lvl>
    <w:lvl w:ilvl="4" w:tplc="CCC63F24">
      <w:start w:val="1"/>
      <w:numFmt w:val="lowerLetter"/>
      <w:lvlText w:val="%5."/>
      <w:lvlJc w:val="left"/>
      <w:pPr>
        <w:ind w:left="3600" w:hanging="360"/>
      </w:pPr>
    </w:lvl>
    <w:lvl w:ilvl="5" w:tplc="CE5AD4B0">
      <w:start w:val="1"/>
      <w:numFmt w:val="lowerRoman"/>
      <w:lvlText w:val="%6."/>
      <w:lvlJc w:val="right"/>
      <w:pPr>
        <w:ind w:left="4320" w:hanging="180"/>
      </w:pPr>
    </w:lvl>
    <w:lvl w:ilvl="6" w:tplc="0C7AE1B4">
      <w:start w:val="1"/>
      <w:numFmt w:val="decimal"/>
      <w:lvlText w:val="%7."/>
      <w:lvlJc w:val="left"/>
      <w:pPr>
        <w:ind w:left="5040" w:hanging="360"/>
      </w:pPr>
    </w:lvl>
    <w:lvl w:ilvl="7" w:tplc="64E86D2C">
      <w:start w:val="1"/>
      <w:numFmt w:val="lowerLetter"/>
      <w:lvlText w:val="%8."/>
      <w:lvlJc w:val="left"/>
      <w:pPr>
        <w:ind w:left="5760" w:hanging="360"/>
      </w:pPr>
    </w:lvl>
    <w:lvl w:ilvl="8" w:tplc="D2D61B44">
      <w:start w:val="1"/>
      <w:numFmt w:val="lowerRoman"/>
      <w:lvlText w:val="%9."/>
      <w:lvlJc w:val="right"/>
      <w:pPr>
        <w:ind w:left="6480" w:hanging="180"/>
      </w:pPr>
    </w:lvl>
  </w:abstractNum>
  <w:abstractNum w:abstractNumId="5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61" w15:restartNumberingAfterBreak="0">
    <w:nsid w:val="43AE2FBF"/>
    <w:multiLevelType w:val="hybridMultilevel"/>
    <w:tmpl w:val="DF740F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63" w15:restartNumberingAfterBreak="0">
    <w:nsid w:val="48F80BBA"/>
    <w:multiLevelType w:val="hybridMultilevel"/>
    <w:tmpl w:val="0AD4D7CA"/>
    <w:lvl w:ilvl="0" w:tplc="2ACC1B20">
      <w:start w:val="2"/>
      <w:numFmt w:val="bullet"/>
      <w:lvlText w:val="-"/>
      <w:lvlJc w:val="left"/>
      <w:pPr>
        <w:ind w:left="1031" w:hanging="360"/>
      </w:pPr>
      <w:rPr>
        <w:rFonts w:ascii="Calibri" w:eastAsia="Calibri" w:hAnsi="Calibri" w:cs="Calibri" w:hint="default"/>
      </w:rPr>
    </w:lvl>
    <w:lvl w:ilvl="1" w:tplc="08090003" w:tentative="1">
      <w:start w:val="1"/>
      <w:numFmt w:val="bullet"/>
      <w:lvlText w:val="o"/>
      <w:lvlJc w:val="left"/>
      <w:pPr>
        <w:ind w:left="1751" w:hanging="360"/>
      </w:pPr>
      <w:rPr>
        <w:rFonts w:ascii="Courier New" w:hAnsi="Courier New" w:cs="Courier New" w:hint="default"/>
      </w:rPr>
    </w:lvl>
    <w:lvl w:ilvl="2" w:tplc="08090005" w:tentative="1">
      <w:start w:val="1"/>
      <w:numFmt w:val="bullet"/>
      <w:lvlText w:val=""/>
      <w:lvlJc w:val="left"/>
      <w:pPr>
        <w:ind w:left="2471" w:hanging="360"/>
      </w:pPr>
      <w:rPr>
        <w:rFonts w:ascii="Wingdings" w:hAnsi="Wingdings" w:hint="default"/>
      </w:rPr>
    </w:lvl>
    <w:lvl w:ilvl="3" w:tplc="08090001" w:tentative="1">
      <w:start w:val="1"/>
      <w:numFmt w:val="bullet"/>
      <w:lvlText w:val=""/>
      <w:lvlJc w:val="left"/>
      <w:pPr>
        <w:ind w:left="3191" w:hanging="360"/>
      </w:pPr>
      <w:rPr>
        <w:rFonts w:ascii="Symbol" w:hAnsi="Symbol" w:hint="default"/>
      </w:rPr>
    </w:lvl>
    <w:lvl w:ilvl="4" w:tplc="08090003" w:tentative="1">
      <w:start w:val="1"/>
      <w:numFmt w:val="bullet"/>
      <w:lvlText w:val="o"/>
      <w:lvlJc w:val="left"/>
      <w:pPr>
        <w:ind w:left="3911" w:hanging="360"/>
      </w:pPr>
      <w:rPr>
        <w:rFonts w:ascii="Courier New" w:hAnsi="Courier New" w:cs="Courier New" w:hint="default"/>
      </w:rPr>
    </w:lvl>
    <w:lvl w:ilvl="5" w:tplc="08090005" w:tentative="1">
      <w:start w:val="1"/>
      <w:numFmt w:val="bullet"/>
      <w:lvlText w:val=""/>
      <w:lvlJc w:val="left"/>
      <w:pPr>
        <w:ind w:left="4631" w:hanging="360"/>
      </w:pPr>
      <w:rPr>
        <w:rFonts w:ascii="Wingdings" w:hAnsi="Wingdings" w:hint="default"/>
      </w:rPr>
    </w:lvl>
    <w:lvl w:ilvl="6" w:tplc="08090001" w:tentative="1">
      <w:start w:val="1"/>
      <w:numFmt w:val="bullet"/>
      <w:lvlText w:val=""/>
      <w:lvlJc w:val="left"/>
      <w:pPr>
        <w:ind w:left="5351" w:hanging="360"/>
      </w:pPr>
      <w:rPr>
        <w:rFonts w:ascii="Symbol" w:hAnsi="Symbol" w:hint="default"/>
      </w:rPr>
    </w:lvl>
    <w:lvl w:ilvl="7" w:tplc="08090003" w:tentative="1">
      <w:start w:val="1"/>
      <w:numFmt w:val="bullet"/>
      <w:lvlText w:val="o"/>
      <w:lvlJc w:val="left"/>
      <w:pPr>
        <w:ind w:left="6071" w:hanging="360"/>
      </w:pPr>
      <w:rPr>
        <w:rFonts w:ascii="Courier New" w:hAnsi="Courier New" w:cs="Courier New" w:hint="default"/>
      </w:rPr>
    </w:lvl>
    <w:lvl w:ilvl="8" w:tplc="08090005" w:tentative="1">
      <w:start w:val="1"/>
      <w:numFmt w:val="bullet"/>
      <w:lvlText w:val=""/>
      <w:lvlJc w:val="left"/>
      <w:pPr>
        <w:ind w:left="6791" w:hanging="360"/>
      </w:pPr>
      <w:rPr>
        <w:rFonts w:ascii="Wingdings" w:hAnsi="Wingdings" w:hint="default"/>
      </w:rPr>
    </w:lvl>
  </w:abstractNum>
  <w:abstractNum w:abstractNumId="64" w15:restartNumberingAfterBreak="0">
    <w:nsid w:val="494F272B"/>
    <w:multiLevelType w:val="hybridMultilevel"/>
    <w:tmpl w:val="8A22D40A"/>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9865EAF"/>
    <w:multiLevelType w:val="hybridMultilevel"/>
    <w:tmpl w:val="74E4A9FA"/>
    <w:lvl w:ilvl="0" w:tplc="D74E5370">
      <w:start w:val="1"/>
      <w:numFmt w:val="bullet"/>
      <w:lvlText w:val="-"/>
      <w:lvlJc w:val="left"/>
      <w:pPr>
        <w:ind w:left="720" w:hanging="360"/>
      </w:pPr>
      <w:rPr>
        <w:rFonts w:ascii="&quot;Calibri&quot;,sans-serif" w:hAnsi="&quot;Calibri&quot;,sans-serif"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BC76841"/>
    <w:multiLevelType w:val="hybridMultilevel"/>
    <w:tmpl w:val="48205AA8"/>
    <w:lvl w:ilvl="0" w:tplc="D882AC22">
      <w:start w:val="300"/>
      <w:numFmt w:val="bullet"/>
      <w:lvlText w:val="-"/>
      <w:lvlJc w:val="left"/>
      <w:pPr>
        <w:ind w:left="720" w:hanging="360"/>
      </w:pPr>
      <w:rPr>
        <w:rFonts w:ascii="Times New Roman" w:eastAsiaTheme="minorHAnsi" w:hAnsi="Times New Roman" w:cs="Times New Roman" w:hint="default"/>
      </w:rPr>
    </w:lvl>
    <w:lvl w:ilvl="1" w:tplc="447C9CFC">
      <w:start w:val="5"/>
      <w:numFmt w:val="bullet"/>
      <w:lvlText w:val="•"/>
      <w:lvlJc w:val="left"/>
      <w:pPr>
        <w:ind w:left="1665" w:hanging="585"/>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C4E12AE"/>
    <w:multiLevelType w:val="hybridMultilevel"/>
    <w:tmpl w:val="85848390"/>
    <w:lvl w:ilvl="0" w:tplc="926CD9F6">
      <w:start w:val="12"/>
      <w:numFmt w:val="upperLetter"/>
      <w:lvlText w:val="%1."/>
      <w:lvlJc w:val="left"/>
      <w:pPr>
        <w:ind w:left="1275"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4C8845D4"/>
    <w:multiLevelType w:val="multilevel"/>
    <w:tmpl w:val="230AC082"/>
    <w:lvl w:ilvl="0">
      <w:start w:val="13"/>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9" w15:restartNumberingAfterBreak="0">
    <w:nsid w:val="4CEF3BB9"/>
    <w:multiLevelType w:val="hybridMultilevel"/>
    <w:tmpl w:val="ECAC4424"/>
    <w:lvl w:ilvl="0" w:tplc="A38E1F04">
      <w:start w:val="1"/>
      <w:numFmt w:val="upperLetter"/>
      <w:lvlText w:val="%1."/>
      <w:lvlJc w:val="left"/>
      <w:pPr>
        <w:ind w:left="1275" w:hanging="420"/>
      </w:pPr>
      <w:rPr>
        <w:rFonts w:ascii="Times New Roman" w:hAnsi="Times New Roman" w:cs="Times New Roman" w:hint="default"/>
        <w:b/>
        <w:bCs/>
      </w:rPr>
    </w:lvl>
    <w:lvl w:ilvl="1" w:tplc="080C0019">
      <w:start w:val="1"/>
      <w:numFmt w:val="lowerLetter"/>
      <w:lvlText w:val="%2."/>
      <w:lvlJc w:val="left"/>
      <w:pPr>
        <w:ind w:left="1935" w:hanging="360"/>
      </w:pPr>
    </w:lvl>
    <w:lvl w:ilvl="2" w:tplc="080C001B" w:tentative="1">
      <w:start w:val="1"/>
      <w:numFmt w:val="lowerRoman"/>
      <w:lvlText w:val="%3."/>
      <w:lvlJc w:val="right"/>
      <w:pPr>
        <w:ind w:left="2655" w:hanging="180"/>
      </w:pPr>
    </w:lvl>
    <w:lvl w:ilvl="3" w:tplc="080C000F" w:tentative="1">
      <w:start w:val="1"/>
      <w:numFmt w:val="decimal"/>
      <w:lvlText w:val="%4."/>
      <w:lvlJc w:val="left"/>
      <w:pPr>
        <w:ind w:left="3375" w:hanging="360"/>
      </w:pPr>
    </w:lvl>
    <w:lvl w:ilvl="4" w:tplc="080C0019" w:tentative="1">
      <w:start w:val="1"/>
      <w:numFmt w:val="lowerLetter"/>
      <w:lvlText w:val="%5."/>
      <w:lvlJc w:val="left"/>
      <w:pPr>
        <w:ind w:left="4095" w:hanging="360"/>
      </w:pPr>
    </w:lvl>
    <w:lvl w:ilvl="5" w:tplc="080C001B" w:tentative="1">
      <w:start w:val="1"/>
      <w:numFmt w:val="lowerRoman"/>
      <w:lvlText w:val="%6."/>
      <w:lvlJc w:val="right"/>
      <w:pPr>
        <w:ind w:left="4815" w:hanging="180"/>
      </w:pPr>
    </w:lvl>
    <w:lvl w:ilvl="6" w:tplc="080C000F" w:tentative="1">
      <w:start w:val="1"/>
      <w:numFmt w:val="decimal"/>
      <w:lvlText w:val="%7."/>
      <w:lvlJc w:val="left"/>
      <w:pPr>
        <w:ind w:left="5535" w:hanging="360"/>
      </w:pPr>
    </w:lvl>
    <w:lvl w:ilvl="7" w:tplc="080C0019" w:tentative="1">
      <w:start w:val="1"/>
      <w:numFmt w:val="lowerLetter"/>
      <w:lvlText w:val="%8."/>
      <w:lvlJc w:val="left"/>
      <w:pPr>
        <w:ind w:left="6255" w:hanging="360"/>
      </w:pPr>
    </w:lvl>
    <w:lvl w:ilvl="8" w:tplc="080C001B" w:tentative="1">
      <w:start w:val="1"/>
      <w:numFmt w:val="lowerRoman"/>
      <w:lvlText w:val="%9."/>
      <w:lvlJc w:val="right"/>
      <w:pPr>
        <w:ind w:left="6975" w:hanging="180"/>
      </w:pPr>
    </w:lvl>
  </w:abstractNum>
  <w:abstractNum w:abstractNumId="70" w15:restartNumberingAfterBreak="0">
    <w:nsid w:val="4CF4041D"/>
    <w:multiLevelType w:val="hybridMultilevel"/>
    <w:tmpl w:val="EE8CFA4E"/>
    <w:lvl w:ilvl="0" w:tplc="58ECCFE6">
      <w:numFmt w:val="bullet"/>
      <w:lvlText w:val="-"/>
      <w:lvlJc w:val="left"/>
      <w:pPr>
        <w:ind w:left="405"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1" w15:restartNumberingAfterBreak="0">
    <w:nsid w:val="4ED913E3"/>
    <w:multiLevelType w:val="hybridMultilevel"/>
    <w:tmpl w:val="29FC1E48"/>
    <w:lvl w:ilvl="0" w:tplc="8F3A109C">
      <w:start w:val="13"/>
      <w:numFmt w:val="bullet"/>
      <w:lvlText w:val="-"/>
      <w:lvlJc w:val="left"/>
      <w:pPr>
        <w:ind w:left="1570" w:hanging="360"/>
      </w:pPr>
      <w:rPr>
        <w:rFonts w:ascii="Calibri" w:eastAsiaTheme="minorHAnsi" w:hAnsi="Calibri" w:cs="Calibri" w:hint="default"/>
        <w:sz w:val="16"/>
      </w:rPr>
    </w:lvl>
    <w:lvl w:ilvl="1" w:tplc="080C0003" w:tentative="1">
      <w:start w:val="1"/>
      <w:numFmt w:val="bullet"/>
      <w:lvlText w:val="o"/>
      <w:lvlJc w:val="left"/>
      <w:pPr>
        <w:ind w:left="2290" w:hanging="360"/>
      </w:pPr>
      <w:rPr>
        <w:rFonts w:ascii="Courier New" w:hAnsi="Courier New" w:cs="Courier New" w:hint="default"/>
      </w:rPr>
    </w:lvl>
    <w:lvl w:ilvl="2" w:tplc="080C0005" w:tentative="1">
      <w:start w:val="1"/>
      <w:numFmt w:val="bullet"/>
      <w:lvlText w:val=""/>
      <w:lvlJc w:val="left"/>
      <w:pPr>
        <w:ind w:left="3010" w:hanging="360"/>
      </w:pPr>
      <w:rPr>
        <w:rFonts w:ascii="Wingdings" w:hAnsi="Wingdings" w:hint="default"/>
      </w:rPr>
    </w:lvl>
    <w:lvl w:ilvl="3" w:tplc="080C0001" w:tentative="1">
      <w:start w:val="1"/>
      <w:numFmt w:val="bullet"/>
      <w:lvlText w:val=""/>
      <w:lvlJc w:val="left"/>
      <w:pPr>
        <w:ind w:left="3730" w:hanging="360"/>
      </w:pPr>
      <w:rPr>
        <w:rFonts w:ascii="Symbol" w:hAnsi="Symbol" w:hint="default"/>
      </w:rPr>
    </w:lvl>
    <w:lvl w:ilvl="4" w:tplc="080C0003" w:tentative="1">
      <w:start w:val="1"/>
      <w:numFmt w:val="bullet"/>
      <w:lvlText w:val="o"/>
      <w:lvlJc w:val="left"/>
      <w:pPr>
        <w:ind w:left="4450" w:hanging="360"/>
      </w:pPr>
      <w:rPr>
        <w:rFonts w:ascii="Courier New" w:hAnsi="Courier New" w:cs="Courier New" w:hint="default"/>
      </w:rPr>
    </w:lvl>
    <w:lvl w:ilvl="5" w:tplc="080C0005" w:tentative="1">
      <w:start w:val="1"/>
      <w:numFmt w:val="bullet"/>
      <w:lvlText w:val=""/>
      <w:lvlJc w:val="left"/>
      <w:pPr>
        <w:ind w:left="5170" w:hanging="360"/>
      </w:pPr>
      <w:rPr>
        <w:rFonts w:ascii="Wingdings" w:hAnsi="Wingdings" w:hint="default"/>
      </w:rPr>
    </w:lvl>
    <w:lvl w:ilvl="6" w:tplc="080C0001" w:tentative="1">
      <w:start w:val="1"/>
      <w:numFmt w:val="bullet"/>
      <w:lvlText w:val=""/>
      <w:lvlJc w:val="left"/>
      <w:pPr>
        <w:ind w:left="5890" w:hanging="360"/>
      </w:pPr>
      <w:rPr>
        <w:rFonts w:ascii="Symbol" w:hAnsi="Symbol" w:hint="default"/>
      </w:rPr>
    </w:lvl>
    <w:lvl w:ilvl="7" w:tplc="080C0003" w:tentative="1">
      <w:start w:val="1"/>
      <w:numFmt w:val="bullet"/>
      <w:lvlText w:val="o"/>
      <w:lvlJc w:val="left"/>
      <w:pPr>
        <w:ind w:left="6610" w:hanging="360"/>
      </w:pPr>
      <w:rPr>
        <w:rFonts w:ascii="Courier New" w:hAnsi="Courier New" w:cs="Courier New" w:hint="default"/>
      </w:rPr>
    </w:lvl>
    <w:lvl w:ilvl="8" w:tplc="080C0005" w:tentative="1">
      <w:start w:val="1"/>
      <w:numFmt w:val="bullet"/>
      <w:lvlText w:val=""/>
      <w:lvlJc w:val="left"/>
      <w:pPr>
        <w:ind w:left="7330" w:hanging="360"/>
      </w:pPr>
      <w:rPr>
        <w:rFonts w:ascii="Wingdings" w:hAnsi="Wingdings" w:hint="default"/>
      </w:rPr>
    </w:lvl>
  </w:abstractNum>
  <w:abstractNum w:abstractNumId="72" w15:restartNumberingAfterBreak="0">
    <w:nsid w:val="4EEB472B"/>
    <w:multiLevelType w:val="hybridMultilevel"/>
    <w:tmpl w:val="E9E81AFE"/>
    <w:lvl w:ilvl="0" w:tplc="D882AC22">
      <w:start w:val="30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50DF4857"/>
    <w:multiLevelType w:val="hybridMultilevel"/>
    <w:tmpl w:val="0172AA66"/>
    <w:lvl w:ilvl="0" w:tplc="A386FAB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0FF7B02"/>
    <w:multiLevelType w:val="multilevel"/>
    <w:tmpl w:val="900CA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3A31948"/>
    <w:multiLevelType w:val="hybridMultilevel"/>
    <w:tmpl w:val="FFFFFFFF"/>
    <w:lvl w:ilvl="0" w:tplc="844E27AE">
      <w:start w:val="1"/>
      <w:numFmt w:val="bullet"/>
      <w:lvlText w:val=""/>
      <w:lvlJc w:val="left"/>
      <w:pPr>
        <w:ind w:left="720" w:hanging="360"/>
      </w:pPr>
      <w:rPr>
        <w:rFonts w:ascii="Symbol" w:hAnsi="Symbol" w:hint="default"/>
      </w:rPr>
    </w:lvl>
    <w:lvl w:ilvl="1" w:tplc="BB72AB6E">
      <w:start w:val="1"/>
      <w:numFmt w:val="bullet"/>
      <w:lvlText w:val="o"/>
      <w:lvlJc w:val="left"/>
      <w:pPr>
        <w:ind w:left="1440" w:hanging="360"/>
      </w:pPr>
      <w:rPr>
        <w:rFonts w:ascii="Courier New" w:hAnsi="Courier New" w:hint="default"/>
      </w:rPr>
    </w:lvl>
    <w:lvl w:ilvl="2" w:tplc="3B58FE3C">
      <w:start w:val="1"/>
      <w:numFmt w:val="bullet"/>
      <w:lvlText w:val=""/>
      <w:lvlJc w:val="left"/>
      <w:pPr>
        <w:ind w:left="2160" w:hanging="360"/>
      </w:pPr>
      <w:rPr>
        <w:rFonts w:ascii="Wingdings" w:hAnsi="Wingdings" w:hint="default"/>
      </w:rPr>
    </w:lvl>
    <w:lvl w:ilvl="3" w:tplc="ECB21C46">
      <w:start w:val="1"/>
      <w:numFmt w:val="bullet"/>
      <w:lvlText w:val=""/>
      <w:lvlJc w:val="left"/>
      <w:pPr>
        <w:ind w:left="2880" w:hanging="360"/>
      </w:pPr>
      <w:rPr>
        <w:rFonts w:ascii="Symbol" w:hAnsi="Symbol" w:hint="default"/>
      </w:rPr>
    </w:lvl>
    <w:lvl w:ilvl="4" w:tplc="2D5EB83A">
      <w:start w:val="1"/>
      <w:numFmt w:val="bullet"/>
      <w:lvlText w:val="o"/>
      <w:lvlJc w:val="left"/>
      <w:pPr>
        <w:ind w:left="3600" w:hanging="360"/>
      </w:pPr>
      <w:rPr>
        <w:rFonts w:ascii="Courier New" w:hAnsi="Courier New" w:hint="default"/>
      </w:rPr>
    </w:lvl>
    <w:lvl w:ilvl="5" w:tplc="1324C7B4">
      <w:start w:val="1"/>
      <w:numFmt w:val="bullet"/>
      <w:lvlText w:val=""/>
      <w:lvlJc w:val="left"/>
      <w:pPr>
        <w:ind w:left="4320" w:hanging="360"/>
      </w:pPr>
      <w:rPr>
        <w:rFonts w:ascii="Wingdings" w:hAnsi="Wingdings" w:hint="default"/>
      </w:rPr>
    </w:lvl>
    <w:lvl w:ilvl="6" w:tplc="B7F48C60">
      <w:start w:val="1"/>
      <w:numFmt w:val="bullet"/>
      <w:lvlText w:val=""/>
      <w:lvlJc w:val="left"/>
      <w:pPr>
        <w:ind w:left="5040" w:hanging="360"/>
      </w:pPr>
      <w:rPr>
        <w:rFonts w:ascii="Symbol" w:hAnsi="Symbol" w:hint="default"/>
      </w:rPr>
    </w:lvl>
    <w:lvl w:ilvl="7" w:tplc="C3E4AD40">
      <w:start w:val="1"/>
      <w:numFmt w:val="bullet"/>
      <w:lvlText w:val="o"/>
      <w:lvlJc w:val="left"/>
      <w:pPr>
        <w:ind w:left="5760" w:hanging="360"/>
      </w:pPr>
      <w:rPr>
        <w:rFonts w:ascii="Courier New" w:hAnsi="Courier New" w:hint="default"/>
      </w:rPr>
    </w:lvl>
    <w:lvl w:ilvl="8" w:tplc="EED6377A">
      <w:start w:val="1"/>
      <w:numFmt w:val="bullet"/>
      <w:lvlText w:val=""/>
      <w:lvlJc w:val="left"/>
      <w:pPr>
        <w:ind w:left="6480" w:hanging="360"/>
      </w:pPr>
      <w:rPr>
        <w:rFonts w:ascii="Wingdings" w:hAnsi="Wingdings" w:hint="default"/>
      </w:rPr>
    </w:lvl>
  </w:abstractNum>
  <w:abstractNum w:abstractNumId="76" w15:restartNumberingAfterBreak="0">
    <w:nsid w:val="5477135F"/>
    <w:multiLevelType w:val="hybridMultilevel"/>
    <w:tmpl w:val="979A93EE"/>
    <w:lvl w:ilvl="0" w:tplc="C76CFAA8">
      <w:start w:val="1"/>
      <w:numFmt w:val="lowerRoman"/>
      <w:lvlText w:val="%1)"/>
      <w:lvlJc w:val="left"/>
      <w:pPr>
        <w:ind w:left="1571" w:hanging="360"/>
      </w:pPr>
      <w:rPr>
        <w:rFonts w:asciiTheme="minorHAnsi" w:hAnsiTheme="minorHAnsi" w:cstheme="minorHAnsi"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77" w15:restartNumberingAfterBreak="0">
    <w:nsid w:val="55006B23"/>
    <w:multiLevelType w:val="hybridMultilevel"/>
    <w:tmpl w:val="FFFFFFFF"/>
    <w:lvl w:ilvl="0" w:tplc="82F0A6AC">
      <w:start w:val="1"/>
      <w:numFmt w:val="bullet"/>
      <w:lvlText w:val=""/>
      <w:lvlJc w:val="left"/>
      <w:pPr>
        <w:ind w:left="720" w:hanging="360"/>
      </w:pPr>
      <w:rPr>
        <w:rFonts w:ascii="Symbol" w:hAnsi="Symbol" w:hint="default"/>
      </w:rPr>
    </w:lvl>
    <w:lvl w:ilvl="1" w:tplc="94FAD5C0">
      <w:start w:val="1"/>
      <w:numFmt w:val="bullet"/>
      <w:lvlText w:val="o"/>
      <w:lvlJc w:val="left"/>
      <w:pPr>
        <w:ind w:left="1440" w:hanging="360"/>
      </w:pPr>
      <w:rPr>
        <w:rFonts w:ascii="Courier New" w:hAnsi="Courier New" w:hint="default"/>
      </w:rPr>
    </w:lvl>
    <w:lvl w:ilvl="2" w:tplc="A336F4AE">
      <w:start w:val="1"/>
      <w:numFmt w:val="bullet"/>
      <w:lvlText w:val=""/>
      <w:lvlJc w:val="left"/>
      <w:pPr>
        <w:ind w:left="2160" w:hanging="360"/>
      </w:pPr>
      <w:rPr>
        <w:rFonts w:ascii="Wingdings" w:hAnsi="Wingdings" w:hint="default"/>
      </w:rPr>
    </w:lvl>
    <w:lvl w:ilvl="3" w:tplc="3C62CC2E">
      <w:start w:val="1"/>
      <w:numFmt w:val="bullet"/>
      <w:lvlText w:val=""/>
      <w:lvlJc w:val="left"/>
      <w:pPr>
        <w:ind w:left="2880" w:hanging="360"/>
      </w:pPr>
      <w:rPr>
        <w:rFonts w:ascii="Symbol" w:hAnsi="Symbol" w:hint="default"/>
      </w:rPr>
    </w:lvl>
    <w:lvl w:ilvl="4" w:tplc="B11032EA">
      <w:start w:val="1"/>
      <w:numFmt w:val="bullet"/>
      <w:lvlText w:val="o"/>
      <w:lvlJc w:val="left"/>
      <w:pPr>
        <w:ind w:left="3600" w:hanging="360"/>
      </w:pPr>
      <w:rPr>
        <w:rFonts w:ascii="Courier New" w:hAnsi="Courier New" w:hint="default"/>
      </w:rPr>
    </w:lvl>
    <w:lvl w:ilvl="5" w:tplc="A6B0330C">
      <w:start w:val="1"/>
      <w:numFmt w:val="bullet"/>
      <w:lvlText w:val=""/>
      <w:lvlJc w:val="left"/>
      <w:pPr>
        <w:ind w:left="4320" w:hanging="360"/>
      </w:pPr>
      <w:rPr>
        <w:rFonts w:ascii="Wingdings" w:hAnsi="Wingdings" w:hint="default"/>
      </w:rPr>
    </w:lvl>
    <w:lvl w:ilvl="6" w:tplc="C97C2AD2">
      <w:start w:val="1"/>
      <w:numFmt w:val="bullet"/>
      <w:lvlText w:val=""/>
      <w:lvlJc w:val="left"/>
      <w:pPr>
        <w:ind w:left="5040" w:hanging="360"/>
      </w:pPr>
      <w:rPr>
        <w:rFonts w:ascii="Symbol" w:hAnsi="Symbol" w:hint="default"/>
      </w:rPr>
    </w:lvl>
    <w:lvl w:ilvl="7" w:tplc="238619A2">
      <w:start w:val="1"/>
      <w:numFmt w:val="bullet"/>
      <w:lvlText w:val="o"/>
      <w:lvlJc w:val="left"/>
      <w:pPr>
        <w:ind w:left="5760" w:hanging="360"/>
      </w:pPr>
      <w:rPr>
        <w:rFonts w:ascii="Courier New" w:hAnsi="Courier New" w:hint="default"/>
      </w:rPr>
    </w:lvl>
    <w:lvl w:ilvl="8" w:tplc="D03C23A4">
      <w:start w:val="1"/>
      <w:numFmt w:val="bullet"/>
      <w:lvlText w:val=""/>
      <w:lvlJc w:val="left"/>
      <w:pPr>
        <w:ind w:left="6480" w:hanging="360"/>
      </w:pPr>
      <w:rPr>
        <w:rFonts w:ascii="Wingdings" w:hAnsi="Wingdings" w:hint="default"/>
      </w:rPr>
    </w:lvl>
  </w:abstractNum>
  <w:abstractNum w:abstractNumId="7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79" w15:restartNumberingAfterBreak="0">
    <w:nsid w:val="57ED755F"/>
    <w:multiLevelType w:val="hybridMultilevel"/>
    <w:tmpl w:val="8B8E680C"/>
    <w:lvl w:ilvl="0" w:tplc="D882AC22">
      <w:start w:val="300"/>
      <w:numFmt w:val="bullet"/>
      <w:lvlText w:val="-"/>
      <w:lvlJc w:val="left"/>
      <w:pPr>
        <w:ind w:left="720" w:hanging="360"/>
      </w:pPr>
      <w:rPr>
        <w:rFonts w:ascii="Times New Roman" w:eastAsiaTheme="minorHAnsi" w:hAnsi="Times New Roman" w:cs="Times New Roman" w:hint="default"/>
      </w:rPr>
    </w:lvl>
    <w:lvl w:ilvl="1" w:tplc="EDAEBDD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58C3067B"/>
    <w:multiLevelType w:val="hybridMultilevel"/>
    <w:tmpl w:val="63260CA6"/>
    <w:lvl w:ilvl="0" w:tplc="071E7442">
      <w:start w:val="1"/>
      <w:numFmt w:val="decimal"/>
      <w:lvlText w:val="(%1)"/>
      <w:lvlJc w:val="left"/>
      <w:pPr>
        <w:ind w:left="1210" w:hanging="360"/>
      </w:pPr>
      <w:rPr>
        <w:rFonts w:hint="default"/>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81" w15:restartNumberingAfterBreak="0">
    <w:nsid w:val="5B3545EA"/>
    <w:multiLevelType w:val="hybridMultilevel"/>
    <w:tmpl w:val="C8645C78"/>
    <w:lvl w:ilvl="0" w:tplc="D882AC22">
      <w:start w:val="30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3" w15:restartNumberingAfterBreak="0">
    <w:nsid w:val="5B935A66"/>
    <w:multiLevelType w:val="hybridMultilevel"/>
    <w:tmpl w:val="96BC36F6"/>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5B9D5293"/>
    <w:multiLevelType w:val="multilevel"/>
    <w:tmpl w:val="EF30A5B8"/>
    <w:lvl w:ilvl="0">
      <w:start w:val="3"/>
      <w:numFmt w:val="decimal"/>
      <w:lvlText w:val="%1."/>
      <w:lvlJc w:val="left"/>
      <w:pPr>
        <w:ind w:left="360" w:hanging="360"/>
      </w:pPr>
      <w:rPr>
        <w:rFonts w:ascii="Times New Roman" w:hAnsi="Times New Roman" w:cs="Times New Roman" w:hint="default"/>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86" w15:restartNumberingAfterBreak="0">
    <w:nsid w:val="5C1020B7"/>
    <w:multiLevelType w:val="hybridMultilevel"/>
    <w:tmpl w:val="6AACAEE8"/>
    <w:lvl w:ilvl="0" w:tplc="5D3A17C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C684C71"/>
    <w:multiLevelType w:val="hybridMultilevel"/>
    <w:tmpl w:val="94BEE072"/>
    <w:lvl w:ilvl="0" w:tplc="B9C6834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9" w15:restartNumberingAfterBreak="0">
    <w:nsid w:val="5CCD6F9A"/>
    <w:multiLevelType w:val="hybridMultilevel"/>
    <w:tmpl w:val="04F0CB5A"/>
    <w:lvl w:ilvl="0" w:tplc="BADE8FF4">
      <w:start w:val="1"/>
      <w:numFmt w:val="decimal"/>
      <w:lvlText w:val="%1)"/>
      <w:lvlJc w:val="left"/>
      <w:pPr>
        <w:ind w:left="720" w:hanging="360"/>
      </w:pPr>
    </w:lvl>
    <w:lvl w:ilvl="1" w:tplc="EAFE9634">
      <w:start w:val="1"/>
      <w:numFmt w:val="lowerLetter"/>
      <w:lvlText w:val="%2."/>
      <w:lvlJc w:val="left"/>
      <w:pPr>
        <w:ind w:left="1440" w:hanging="360"/>
      </w:pPr>
    </w:lvl>
    <w:lvl w:ilvl="2" w:tplc="DA164002">
      <w:start w:val="1"/>
      <w:numFmt w:val="lowerRoman"/>
      <w:lvlText w:val="%3."/>
      <w:lvlJc w:val="right"/>
      <w:pPr>
        <w:ind w:left="2160" w:hanging="180"/>
      </w:pPr>
    </w:lvl>
    <w:lvl w:ilvl="3" w:tplc="04CEA7F0">
      <w:start w:val="1"/>
      <w:numFmt w:val="decimal"/>
      <w:lvlText w:val="%4."/>
      <w:lvlJc w:val="left"/>
      <w:pPr>
        <w:ind w:left="2880" w:hanging="360"/>
      </w:pPr>
    </w:lvl>
    <w:lvl w:ilvl="4" w:tplc="1C2E908C">
      <w:start w:val="1"/>
      <w:numFmt w:val="lowerLetter"/>
      <w:lvlText w:val="%5."/>
      <w:lvlJc w:val="left"/>
      <w:pPr>
        <w:ind w:left="3600" w:hanging="360"/>
      </w:pPr>
    </w:lvl>
    <w:lvl w:ilvl="5" w:tplc="C598E4A0">
      <w:start w:val="1"/>
      <w:numFmt w:val="lowerRoman"/>
      <w:lvlText w:val="%6."/>
      <w:lvlJc w:val="right"/>
      <w:pPr>
        <w:ind w:left="4320" w:hanging="180"/>
      </w:pPr>
    </w:lvl>
    <w:lvl w:ilvl="6" w:tplc="71BCAF00">
      <w:start w:val="1"/>
      <w:numFmt w:val="decimal"/>
      <w:lvlText w:val="%7."/>
      <w:lvlJc w:val="left"/>
      <w:pPr>
        <w:ind w:left="5040" w:hanging="360"/>
      </w:pPr>
    </w:lvl>
    <w:lvl w:ilvl="7" w:tplc="2B5A7DE4">
      <w:start w:val="1"/>
      <w:numFmt w:val="lowerLetter"/>
      <w:lvlText w:val="%8."/>
      <w:lvlJc w:val="left"/>
      <w:pPr>
        <w:ind w:left="5760" w:hanging="360"/>
      </w:pPr>
    </w:lvl>
    <w:lvl w:ilvl="8" w:tplc="FA2AB408">
      <w:start w:val="1"/>
      <w:numFmt w:val="lowerRoman"/>
      <w:lvlText w:val="%9."/>
      <w:lvlJc w:val="right"/>
      <w:pPr>
        <w:ind w:left="6480" w:hanging="180"/>
      </w:pPr>
    </w:lvl>
  </w:abstractNum>
  <w:abstractNum w:abstractNumId="90" w15:restartNumberingAfterBreak="0">
    <w:nsid w:val="5FB55EED"/>
    <w:multiLevelType w:val="multilevel"/>
    <w:tmpl w:val="E162FDF2"/>
    <w:lvl w:ilvl="0">
      <w:start w:val="1"/>
      <w:numFmt w:val="decimal"/>
      <w:lvlRestart w:val="0"/>
      <w:lvlText w:val="%1."/>
      <w:lvlJc w:val="left"/>
      <w:pPr>
        <w:tabs>
          <w:tab w:val="num" w:pos="720"/>
        </w:tabs>
        <w:ind w:left="720" w:hanging="850"/>
      </w:pPr>
    </w:lvl>
    <w:lvl w:ilvl="1">
      <w:start w:val="1"/>
      <w:numFmt w:val="decimal"/>
      <w:lvlText w:val="%1.%2."/>
      <w:lvlJc w:val="left"/>
      <w:pPr>
        <w:tabs>
          <w:tab w:val="num" w:pos="720"/>
        </w:tabs>
        <w:ind w:left="720" w:hanging="850"/>
      </w:pPr>
    </w:lvl>
    <w:lvl w:ilvl="2">
      <w:start w:val="1"/>
      <w:numFmt w:val="lowerLetter"/>
      <w:lvlText w:val="%3."/>
      <w:lvlJc w:val="left"/>
      <w:pPr>
        <w:tabs>
          <w:tab w:val="num" w:pos="720"/>
        </w:tabs>
        <w:ind w:left="720" w:hanging="850"/>
      </w:pPr>
    </w:lvl>
    <w:lvl w:ilvl="3">
      <w:start w:val="1"/>
      <w:numFmt w:val="decimal"/>
      <w:lvlText w:val="%1.%2.%3.%4."/>
      <w:lvlJc w:val="left"/>
      <w:pPr>
        <w:tabs>
          <w:tab w:val="num" w:pos="720"/>
        </w:tabs>
        <w:ind w:left="720" w:hanging="850"/>
      </w:pPr>
    </w:lvl>
    <w:lvl w:ilvl="4">
      <w:start w:val="1"/>
      <w:numFmt w:val="lowerLetter"/>
      <w:lvlText w:val="(%5)"/>
      <w:lvlJc w:val="left"/>
      <w:pPr>
        <w:ind w:left="1670" w:hanging="360"/>
      </w:pPr>
    </w:lvl>
    <w:lvl w:ilvl="5">
      <w:start w:val="1"/>
      <w:numFmt w:val="lowerRoman"/>
      <w:lvlText w:val="(%6)"/>
      <w:lvlJc w:val="left"/>
      <w:pPr>
        <w:ind w:left="2030" w:hanging="360"/>
      </w:pPr>
    </w:lvl>
    <w:lvl w:ilvl="6">
      <w:start w:val="1"/>
      <w:numFmt w:val="decimal"/>
      <w:lvlText w:val="%7."/>
      <w:lvlJc w:val="left"/>
      <w:pPr>
        <w:ind w:left="2390" w:hanging="360"/>
      </w:pPr>
    </w:lvl>
    <w:lvl w:ilvl="7">
      <w:start w:val="1"/>
      <w:numFmt w:val="lowerLetter"/>
      <w:lvlText w:val="%8."/>
      <w:lvlJc w:val="left"/>
      <w:pPr>
        <w:ind w:left="2750" w:hanging="360"/>
      </w:pPr>
    </w:lvl>
    <w:lvl w:ilvl="8">
      <w:start w:val="1"/>
      <w:numFmt w:val="lowerRoman"/>
      <w:lvlText w:val="%9."/>
      <w:lvlJc w:val="left"/>
      <w:pPr>
        <w:ind w:left="3110" w:hanging="360"/>
      </w:pPr>
    </w:lvl>
  </w:abstractNum>
  <w:abstractNum w:abstractNumId="91" w15:restartNumberingAfterBreak="0">
    <w:nsid w:val="60A2739D"/>
    <w:multiLevelType w:val="hybridMultilevel"/>
    <w:tmpl w:val="43BE1CC4"/>
    <w:lvl w:ilvl="0" w:tplc="D882AC22">
      <w:start w:val="300"/>
      <w:numFmt w:val="bullet"/>
      <w:lvlText w:val="-"/>
      <w:lvlJc w:val="left"/>
      <w:pPr>
        <w:ind w:left="1210" w:hanging="360"/>
      </w:pPr>
      <w:rPr>
        <w:rFonts w:ascii="Times New Roman" w:eastAsiaTheme="minorHAnsi" w:hAnsi="Times New Roman" w:cs="Times New Roman" w:hint="default"/>
      </w:rPr>
    </w:lvl>
    <w:lvl w:ilvl="1" w:tplc="080C0003" w:tentative="1">
      <w:start w:val="1"/>
      <w:numFmt w:val="bullet"/>
      <w:lvlText w:val="o"/>
      <w:lvlJc w:val="left"/>
      <w:pPr>
        <w:ind w:left="1930" w:hanging="360"/>
      </w:pPr>
      <w:rPr>
        <w:rFonts w:ascii="Courier New" w:hAnsi="Courier New" w:cs="Courier New" w:hint="default"/>
      </w:rPr>
    </w:lvl>
    <w:lvl w:ilvl="2" w:tplc="080C0005" w:tentative="1">
      <w:start w:val="1"/>
      <w:numFmt w:val="bullet"/>
      <w:lvlText w:val=""/>
      <w:lvlJc w:val="left"/>
      <w:pPr>
        <w:ind w:left="2650" w:hanging="360"/>
      </w:pPr>
      <w:rPr>
        <w:rFonts w:ascii="Wingdings" w:hAnsi="Wingdings" w:hint="default"/>
      </w:rPr>
    </w:lvl>
    <w:lvl w:ilvl="3" w:tplc="080C0001" w:tentative="1">
      <w:start w:val="1"/>
      <w:numFmt w:val="bullet"/>
      <w:lvlText w:val=""/>
      <w:lvlJc w:val="left"/>
      <w:pPr>
        <w:ind w:left="3370" w:hanging="360"/>
      </w:pPr>
      <w:rPr>
        <w:rFonts w:ascii="Symbol" w:hAnsi="Symbol" w:hint="default"/>
      </w:rPr>
    </w:lvl>
    <w:lvl w:ilvl="4" w:tplc="080C0003" w:tentative="1">
      <w:start w:val="1"/>
      <w:numFmt w:val="bullet"/>
      <w:lvlText w:val="o"/>
      <w:lvlJc w:val="left"/>
      <w:pPr>
        <w:ind w:left="4090" w:hanging="360"/>
      </w:pPr>
      <w:rPr>
        <w:rFonts w:ascii="Courier New" w:hAnsi="Courier New" w:cs="Courier New" w:hint="default"/>
      </w:rPr>
    </w:lvl>
    <w:lvl w:ilvl="5" w:tplc="080C0005" w:tentative="1">
      <w:start w:val="1"/>
      <w:numFmt w:val="bullet"/>
      <w:lvlText w:val=""/>
      <w:lvlJc w:val="left"/>
      <w:pPr>
        <w:ind w:left="4810" w:hanging="360"/>
      </w:pPr>
      <w:rPr>
        <w:rFonts w:ascii="Wingdings" w:hAnsi="Wingdings" w:hint="default"/>
      </w:rPr>
    </w:lvl>
    <w:lvl w:ilvl="6" w:tplc="080C0001" w:tentative="1">
      <w:start w:val="1"/>
      <w:numFmt w:val="bullet"/>
      <w:lvlText w:val=""/>
      <w:lvlJc w:val="left"/>
      <w:pPr>
        <w:ind w:left="5530" w:hanging="360"/>
      </w:pPr>
      <w:rPr>
        <w:rFonts w:ascii="Symbol" w:hAnsi="Symbol" w:hint="default"/>
      </w:rPr>
    </w:lvl>
    <w:lvl w:ilvl="7" w:tplc="080C0003" w:tentative="1">
      <w:start w:val="1"/>
      <w:numFmt w:val="bullet"/>
      <w:lvlText w:val="o"/>
      <w:lvlJc w:val="left"/>
      <w:pPr>
        <w:ind w:left="6250" w:hanging="360"/>
      </w:pPr>
      <w:rPr>
        <w:rFonts w:ascii="Courier New" w:hAnsi="Courier New" w:cs="Courier New" w:hint="default"/>
      </w:rPr>
    </w:lvl>
    <w:lvl w:ilvl="8" w:tplc="080C0005" w:tentative="1">
      <w:start w:val="1"/>
      <w:numFmt w:val="bullet"/>
      <w:lvlText w:val=""/>
      <w:lvlJc w:val="left"/>
      <w:pPr>
        <w:ind w:left="6970" w:hanging="360"/>
      </w:pPr>
      <w:rPr>
        <w:rFonts w:ascii="Wingdings" w:hAnsi="Wingdings" w:hint="default"/>
      </w:rPr>
    </w:lvl>
  </w:abstractNum>
  <w:abstractNum w:abstractNumId="92" w15:restartNumberingAfterBreak="0">
    <w:nsid w:val="61AE1EA1"/>
    <w:multiLevelType w:val="hybridMultilevel"/>
    <w:tmpl w:val="9EE08A40"/>
    <w:lvl w:ilvl="0" w:tplc="BA807564">
      <w:start w:val="289"/>
      <w:numFmt w:val="bullet"/>
      <w:lvlText w:val="-"/>
      <w:lvlJc w:val="left"/>
      <w:pPr>
        <w:ind w:left="720" w:hanging="360"/>
      </w:pPr>
      <w:rPr>
        <w:rFonts w:ascii="Calibri" w:eastAsiaTheme="minorHAnsi" w:hAnsi="Calibri" w:cs="Calibri" w:hint="default"/>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56642AA"/>
    <w:multiLevelType w:val="hybridMultilevel"/>
    <w:tmpl w:val="519C1E6A"/>
    <w:lvl w:ilvl="0" w:tplc="5D3A17C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6226580"/>
    <w:multiLevelType w:val="hybridMultilevel"/>
    <w:tmpl w:val="54887522"/>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66662D2F"/>
    <w:multiLevelType w:val="hybridMultilevel"/>
    <w:tmpl w:val="4A9467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97" w15:restartNumberingAfterBreak="0">
    <w:nsid w:val="6A3E1952"/>
    <w:multiLevelType w:val="hybridMultilevel"/>
    <w:tmpl w:val="492C974E"/>
    <w:lvl w:ilvl="0" w:tplc="BA807564">
      <w:start w:val="289"/>
      <w:numFmt w:val="bullet"/>
      <w:lvlText w:val="-"/>
      <w:lvlJc w:val="left"/>
      <w:pPr>
        <w:ind w:left="720" w:hanging="360"/>
      </w:pPr>
      <w:rPr>
        <w:rFonts w:ascii="Calibri" w:eastAsiaTheme="minorHAnsi" w:hAnsi="Calibri" w:cs="Calibri" w:hint="default"/>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E9C36C9"/>
    <w:multiLevelType w:val="hybridMultilevel"/>
    <w:tmpl w:val="EEEED190"/>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70F94FEF"/>
    <w:multiLevelType w:val="hybridMultilevel"/>
    <w:tmpl w:val="AA9A4BD2"/>
    <w:lvl w:ilvl="0" w:tplc="D882AC22">
      <w:start w:val="30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0" w15:restartNumberingAfterBreak="0">
    <w:nsid w:val="72155DD3"/>
    <w:multiLevelType w:val="hybridMultilevel"/>
    <w:tmpl w:val="D48EF33A"/>
    <w:lvl w:ilvl="0" w:tplc="3B8CB6F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1" w15:restartNumberingAfterBreak="0">
    <w:nsid w:val="72B1525F"/>
    <w:multiLevelType w:val="hybridMultilevel"/>
    <w:tmpl w:val="D3D8C5EA"/>
    <w:lvl w:ilvl="0" w:tplc="5D3A17C2">
      <w:start w:val="3"/>
      <w:numFmt w:val="bullet"/>
      <w:lvlText w:val="-"/>
      <w:lvlJc w:val="left"/>
      <w:pPr>
        <w:ind w:left="360" w:hanging="360"/>
      </w:pPr>
      <w:rPr>
        <w:rFonts w:ascii="Calibri" w:eastAsiaTheme="minorHAnsi" w:hAnsi="Calibri" w:cs="Calibri" w:hint="default"/>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2" w15:restartNumberingAfterBreak="0">
    <w:nsid w:val="72FF6569"/>
    <w:multiLevelType w:val="hybridMultilevel"/>
    <w:tmpl w:val="7E68EAA2"/>
    <w:lvl w:ilvl="0" w:tplc="8F3A109C">
      <w:start w:val="13"/>
      <w:numFmt w:val="bullet"/>
      <w:lvlText w:val="-"/>
      <w:lvlJc w:val="left"/>
      <w:pPr>
        <w:ind w:left="720" w:hanging="360"/>
      </w:pPr>
      <w:rPr>
        <w:rFonts w:ascii="Calibri" w:eastAsiaTheme="minorHAnsi" w:hAnsi="Calibri" w:cs="Calibri"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74023C4F"/>
    <w:multiLevelType w:val="hybridMultilevel"/>
    <w:tmpl w:val="CA3E652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791C5F05"/>
    <w:multiLevelType w:val="hybridMultilevel"/>
    <w:tmpl w:val="EC10A070"/>
    <w:lvl w:ilvl="0" w:tplc="870A1EF4">
      <w:start w:val="1"/>
      <w:numFmt w:val="bullet"/>
      <w:lvlText w:val=""/>
      <w:lvlJc w:val="left"/>
      <w:pPr>
        <w:ind w:left="366" w:hanging="360"/>
      </w:pPr>
      <w:rPr>
        <w:rFonts w:ascii="Symbol" w:hAnsi="Symbol" w:hint="default"/>
      </w:rPr>
    </w:lvl>
    <w:lvl w:ilvl="1" w:tplc="C4A81944">
      <w:start w:val="1"/>
      <w:numFmt w:val="bullet"/>
      <w:lvlText w:val="o"/>
      <w:lvlJc w:val="left"/>
      <w:pPr>
        <w:ind w:left="1086" w:hanging="360"/>
      </w:pPr>
      <w:rPr>
        <w:rFonts w:ascii="Courier New" w:hAnsi="Courier New" w:hint="default"/>
      </w:rPr>
    </w:lvl>
    <w:lvl w:ilvl="2" w:tplc="AEB86D4C">
      <w:start w:val="1"/>
      <w:numFmt w:val="bullet"/>
      <w:lvlText w:val=""/>
      <w:lvlJc w:val="left"/>
      <w:pPr>
        <w:ind w:left="1806" w:hanging="360"/>
      </w:pPr>
      <w:rPr>
        <w:rFonts w:ascii="Wingdings" w:hAnsi="Wingdings" w:hint="default"/>
      </w:rPr>
    </w:lvl>
    <w:lvl w:ilvl="3" w:tplc="7188FC04">
      <w:start w:val="1"/>
      <w:numFmt w:val="bullet"/>
      <w:lvlText w:val=""/>
      <w:lvlJc w:val="left"/>
      <w:pPr>
        <w:ind w:left="2526" w:hanging="360"/>
      </w:pPr>
      <w:rPr>
        <w:rFonts w:ascii="Symbol" w:hAnsi="Symbol" w:hint="default"/>
      </w:rPr>
    </w:lvl>
    <w:lvl w:ilvl="4" w:tplc="DB5AA0E0">
      <w:start w:val="1"/>
      <w:numFmt w:val="bullet"/>
      <w:lvlText w:val="o"/>
      <w:lvlJc w:val="left"/>
      <w:pPr>
        <w:ind w:left="3246" w:hanging="360"/>
      </w:pPr>
      <w:rPr>
        <w:rFonts w:ascii="Courier New" w:hAnsi="Courier New" w:hint="default"/>
      </w:rPr>
    </w:lvl>
    <w:lvl w:ilvl="5" w:tplc="3F282CF0">
      <w:start w:val="1"/>
      <w:numFmt w:val="bullet"/>
      <w:lvlText w:val=""/>
      <w:lvlJc w:val="left"/>
      <w:pPr>
        <w:ind w:left="3966" w:hanging="360"/>
      </w:pPr>
      <w:rPr>
        <w:rFonts w:ascii="Wingdings" w:hAnsi="Wingdings" w:hint="default"/>
      </w:rPr>
    </w:lvl>
    <w:lvl w:ilvl="6" w:tplc="65C0D9FE">
      <w:start w:val="1"/>
      <w:numFmt w:val="bullet"/>
      <w:lvlText w:val=""/>
      <w:lvlJc w:val="left"/>
      <w:pPr>
        <w:ind w:left="4686" w:hanging="360"/>
      </w:pPr>
      <w:rPr>
        <w:rFonts w:ascii="Symbol" w:hAnsi="Symbol" w:hint="default"/>
      </w:rPr>
    </w:lvl>
    <w:lvl w:ilvl="7" w:tplc="84705850">
      <w:start w:val="1"/>
      <w:numFmt w:val="bullet"/>
      <w:lvlText w:val="o"/>
      <w:lvlJc w:val="left"/>
      <w:pPr>
        <w:ind w:left="5406" w:hanging="360"/>
      </w:pPr>
      <w:rPr>
        <w:rFonts w:ascii="Courier New" w:hAnsi="Courier New" w:hint="default"/>
      </w:rPr>
    </w:lvl>
    <w:lvl w:ilvl="8" w:tplc="82F2F39C">
      <w:start w:val="1"/>
      <w:numFmt w:val="bullet"/>
      <w:lvlText w:val=""/>
      <w:lvlJc w:val="left"/>
      <w:pPr>
        <w:ind w:left="6126" w:hanging="360"/>
      </w:pPr>
      <w:rPr>
        <w:rFonts w:ascii="Wingdings" w:hAnsi="Wingdings" w:hint="default"/>
      </w:rPr>
    </w:lvl>
  </w:abstractNum>
  <w:abstractNum w:abstractNumId="105" w15:restartNumberingAfterBreak="0">
    <w:nsid w:val="7ACA593F"/>
    <w:multiLevelType w:val="hybridMultilevel"/>
    <w:tmpl w:val="54AE0644"/>
    <w:lvl w:ilvl="0" w:tplc="7612FEAA">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6" w15:restartNumberingAfterBreak="0">
    <w:nsid w:val="7B497586"/>
    <w:multiLevelType w:val="hybridMultilevel"/>
    <w:tmpl w:val="B1A0F714"/>
    <w:lvl w:ilvl="0" w:tplc="8F3A109C">
      <w:start w:val="13"/>
      <w:numFmt w:val="bullet"/>
      <w:lvlText w:val="-"/>
      <w:lvlJc w:val="left"/>
      <w:pPr>
        <w:ind w:left="720" w:hanging="360"/>
      </w:pPr>
      <w:rPr>
        <w:rFonts w:ascii="Calibri" w:eastAsiaTheme="minorHAnsi" w:hAnsi="Calibri" w:cs="Calibri" w:hint="default"/>
        <w:sz w:val="16"/>
      </w:rPr>
    </w:lvl>
    <w:lvl w:ilvl="1" w:tplc="E49CCB7E">
      <w:start w:val="1"/>
      <w:numFmt w:val="bullet"/>
      <w:lvlText w:val="o"/>
      <w:lvlJc w:val="left"/>
      <w:pPr>
        <w:ind w:left="1440" w:hanging="360"/>
      </w:pPr>
      <w:rPr>
        <w:rFonts w:ascii="Courier New" w:hAnsi="Courier New" w:hint="default"/>
      </w:rPr>
    </w:lvl>
    <w:lvl w:ilvl="2" w:tplc="32425FC0">
      <w:start w:val="1"/>
      <w:numFmt w:val="bullet"/>
      <w:lvlText w:val=""/>
      <w:lvlJc w:val="left"/>
      <w:pPr>
        <w:ind w:left="2160" w:hanging="360"/>
      </w:pPr>
      <w:rPr>
        <w:rFonts w:ascii="Wingdings" w:hAnsi="Wingdings" w:hint="default"/>
      </w:rPr>
    </w:lvl>
    <w:lvl w:ilvl="3" w:tplc="A6FA633C">
      <w:start w:val="1"/>
      <w:numFmt w:val="bullet"/>
      <w:lvlText w:val=""/>
      <w:lvlJc w:val="left"/>
      <w:pPr>
        <w:ind w:left="2880" w:hanging="360"/>
      </w:pPr>
      <w:rPr>
        <w:rFonts w:ascii="Symbol" w:hAnsi="Symbol" w:hint="default"/>
      </w:rPr>
    </w:lvl>
    <w:lvl w:ilvl="4" w:tplc="689A40DE">
      <w:start w:val="1"/>
      <w:numFmt w:val="bullet"/>
      <w:lvlText w:val="o"/>
      <w:lvlJc w:val="left"/>
      <w:pPr>
        <w:ind w:left="3600" w:hanging="360"/>
      </w:pPr>
      <w:rPr>
        <w:rFonts w:ascii="Courier New" w:hAnsi="Courier New" w:hint="default"/>
      </w:rPr>
    </w:lvl>
    <w:lvl w:ilvl="5" w:tplc="EC807EDC">
      <w:start w:val="1"/>
      <w:numFmt w:val="bullet"/>
      <w:lvlText w:val=""/>
      <w:lvlJc w:val="left"/>
      <w:pPr>
        <w:ind w:left="4320" w:hanging="360"/>
      </w:pPr>
      <w:rPr>
        <w:rFonts w:ascii="Wingdings" w:hAnsi="Wingdings" w:hint="default"/>
      </w:rPr>
    </w:lvl>
    <w:lvl w:ilvl="6" w:tplc="48BCD32C">
      <w:start w:val="1"/>
      <w:numFmt w:val="bullet"/>
      <w:lvlText w:val=""/>
      <w:lvlJc w:val="left"/>
      <w:pPr>
        <w:ind w:left="5040" w:hanging="360"/>
      </w:pPr>
      <w:rPr>
        <w:rFonts w:ascii="Symbol" w:hAnsi="Symbol" w:hint="default"/>
      </w:rPr>
    </w:lvl>
    <w:lvl w:ilvl="7" w:tplc="E8CECF1C">
      <w:start w:val="1"/>
      <w:numFmt w:val="bullet"/>
      <w:lvlText w:val="o"/>
      <w:lvlJc w:val="left"/>
      <w:pPr>
        <w:ind w:left="5760" w:hanging="360"/>
      </w:pPr>
      <w:rPr>
        <w:rFonts w:ascii="Courier New" w:hAnsi="Courier New" w:hint="default"/>
      </w:rPr>
    </w:lvl>
    <w:lvl w:ilvl="8" w:tplc="DC9E34F0">
      <w:start w:val="1"/>
      <w:numFmt w:val="bullet"/>
      <w:lvlText w:val=""/>
      <w:lvlJc w:val="left"/>
      <w:pPr>
        <w:ind w:left="6480" w:hanging="360"/>
      </w:pPr>
      <w:rPr>
        <w:rFonts w:ascii="Wingdings" w:hAnsi="Wingdings" w:hint="default"/>
      </w:rPr>
    </w:lvl>
  </w:abstractNum>
  <w:abstractNum w:abstractNumId="107" w15:restartNumberingAfterBreak="0">
    <w:nsid w:val="7B55AF37"/>
    <w:multiLevelType w:val="hybridMultilevel"/>
    <w:tmpl w:val="FFFFFFFF"/>
    <w:lvl w:ilvl="0" w:tplc="8B106F5C">
      <w:start w:val="1"/>
      <w:numFmt w:val="bullet"/>
      <w:lvlText w:val=""/>
      <w:lvlJc w:val="left"/>
      <w:pPr>
        <w:ind w:left="720" w:hanging="360"/>
      </w:pPr>
      <w:rPr>
        <w:rFonts w:ascii="Symbol" w:hAnsi="Symbol" w:hint="default"/>
      </w:rPr>
    </w:lvl>
    <w:lvl w:ilvl="1" w:tplc="A3E4D164">
      <w:start w:val="1"/>
      <w:numFmt w:val="bullet"/>
      <w:lvlText w:val="o"/>
      <w:lvlJc w:val="left"/>
      <w:pPr>
        <w:ind w:left="1440" w:hanging="360"/>
      </w:pPr>
      <w:rPr>
        <w:rFonts w:ascii="Courier New" w:hAnsi="Courier New" w:hint="default"/>
      </w:rPr>
    </w:lvl>
    <w:lvl w:ilvl="2" w:tplc="689CC046">
      <w:start w:val="1"/>
      <w:numFmt w:val="bullet"/>
      <w:lvlText w:val=""/>
      <w:lvlJc w:val="left"/>
      <w:pPr>
        <w:ind w:left="2160" w:hanging="360"/>
      </w:pPr>
      <w:rPr>
        <w:rFonts w:ascii="Wingdings" w:hAnsi="Wingdings" w:hint="default"/>
      </w:rPr>
    </w:lvl>
    <w:lvl w:ilvl="3" w:tplc="F1D4DC82">
      <w:start w:val="1"/>
      <w:numFmt w:val="bullet"/>
      <w:lvlText w:val=""/>
      <w:lvlJc w:val="left"/>
      <w:pPr>
        <w:ind w:left="2880" w:hanging="360"/>
      </w:pPr>
      <w:rPr>
        <w:rFonts w:ascii="Symbol" w:hAnsi="Symbol" w:hint="default"/>
      </w:rPr>
    </w:lvl>
    <w:lvl w:ilvl="4" w:tplc="1BD6689C">
      <w:start w:val="1"/>
      <w:numFmt w:val="bullet"/>
      <w:lvlText w:val="o"/>
      <w:lvlJc w:val="left"/>
      <w:pPr>
        <w:ind w:left="3600" w:hanging="360"/>
      </w:pPr>
      <w:rPr>
        <w:rFonts w:ascii="Courier New" w:hAnsi="Courier New" w:hint="default"/>
      </w:rPr>
    </w:lvl>
    <w:lvl w:ilvl="5" w:tplc="96E45866">
      <w:start w:val="1"/>
      <w:numFmt w:val="bullet"/>
      <w:lvlText w:val=""/>
      <w:lvlJc w:val="left"/>
      <w:pPr>
        <w:ind w:left="4320" w:hanging="360"/>
      </w:pPr>
      <w:rPr>
        <w:rFonts w:ascii="Wingdings" w:hAnsi="Wingdings" w:hint="default"/>
      </w:rPr>
    </w:lvl>
    <w:lvl w:ilvl="6" w:tplc="D1C03960">
      <w:start w:val="1"/>
      <w:numFmt w:val="bullet"/>
      <w:lvlText w:val=""/>
      <w:lvlJc w:val="left"/>
      <w:pPr>
        <w:ind w:left="5040" w:hanging="360"/>
      </w:pPr>
      <w:rPr>
        <w:rFonts w:ascii="Symbol" w:hAnsi="Symbol" w:hint="default"/>
      </w:rPr>
    </w:lvl>
    <w:lvl w:ilvl="7" w:tplc="9D5A0804">
      <w:start w:val="1"/>
      <w:numFmt w:val="bullet"/>
      <w:lvlText w:val="o"/>
      <w:lvlJc w:val="left"/>
      <w:pPr>
        <w:ind w:left="5760" w:hanging="360"/>
      </w:pPr>
      <w:rPr>
        <w:rFonts w:ascii="Courier New" w:hAnsi="Courier New" w:hint="default"/>
      </w:rPr>
    </w:lvl>
    <w:lvl w:ilvl="8" w:tplc="D712445A">
      <w:start w:val="1"/>
      <w:numFmt w:val="bullet"/>
      <w:lvlText w:val=""/>
      <w:lvlJc w:val="left"/>
      <w:pPr>
        <w:ind w:left="6480" w:hanging="360"/>
      </w:pPr>
      <w:rPr>
        <w:rFonts w:ascii="Wingdings" w:hAnsi="Wingdings" w:hint="default"/>
      </w:rPr>
    </w:lvl>
  </w:abstractNum>
  <w:abstractNum w:abstractNumId="10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109" w15:restartNumberingAfterBreak="0">
    <w:nsid w:val="7D190679"/>
    <w:multiLevelType w:val="hybridMultilevel"/>
    <w:tmpl w:val="3AE4C722"/>
    <w:lvl w:ilvl="0" w:tplc="54803D26">
      <w:start w:val="8"/>
      <w:numFmt w:val="upperLetter"/>
      <w:lvlText w:val="%1."/>
      <w:lvlJc w:val="left"/>
      <w:pPr>
        <w:ind w:left="1275"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0" w15:restartNumberingAfterBreak="0">
    <w:nsid w:val="7DF4564F"/>
    <w:multiLevelType w:val="hybridMultilevel"/>
    <w:tmpl w:val="DF682C34"/>
    <w:lvl w:ilvl="0" w:tplc="B9C6834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9"/>
  </w:num>
  <w:num w:numId="2">
    <w:abstractNumId w:val="91"/>
  </w:num>
  <w:num w:numId="3">
    <w:abstractNumId w:val="65"/>
  </w:num>
  <w:num w:numId="4">
    <w:abstractNumId w:val="16"/>
  </w:num>
  <w:num w:numId="5">
    <w:abstractNumId w:val="94"/>
  </w:num>
  <w:num w:numId="6">
    <w:abstractNumId w:val="31"/>
  </w:num>
  <w:num w:numId="7">
    <w:abstractNumId w:val="95"/>
  </w:num>
  <w:num w:numId="8">
    <w:abstractNumId w:val="66"/>
  </w:num>
  <w:num w:numId="9">
    <w:abstractNumId w:val="98"/>
  </w:num>
  <w:num w:numId="10">
    <w:abstractNumId w:val="34"/>
  </w:num>
  <w:num w:numId="11">
    <w:abstractNumId w:val="107"/>
  </w:num>
  <w:num w:numId="12">
    <w:abstractNumId w:val="77"/>
  </w:num>
  <w:num w:numId="13">
    <w:abstractNumId w:val="75"/>
  </w:num>
  <w:num w:numId="14">
    <w:abstractNumId w:val="89"/>
  </w:num>
  <w:num w:numId="15">
    <w:abstractNumId w:val="71"/>
  </w:num>
  <w:num w:numId="16">
    <w:abstractNumId w:val="102"/>
  </w:num>
  <w:num w:numId="17">
    <w:abstractNumId w:val="19"/>
  </w:num>
  <w:num w:numId="18">
    <w:abstractNumId w:val="46"/>
  </w:num>
  <w:num w:numId="19">
    <w:abstractNumId w:val="7"/>
  </w:num>
  <w:num w:numId="20">
    <w:abstractNumId w:val="5"/>
  </w:num>
  <w:num w:numId="21">
    <w:abstractNumId w:val="4"/>
  </w:num>
  <w:num w:numId="22">
    <w:abstractNumId w:val="3"/>
  </w:num>
  <w:num w:numId="23">
    <w:abstractNumId w:val="6"/>
  </w:num>
  <w:num w:numId="24">
    <w:abstractNumId w:val="2"/>
  </w:num>
  <w:num w:numId="25">
    <w:abstractNumId w:val="1"/>
  </w:num>
  <w:num w:numId="26">
    <w:abstractNumId w:val="0"/>
  </w:num>
  <w:num w:numId="27">
    <w:abstractNumId w:val="88"/>
  </w:num>
  <w:num w:numId="28">
    <w:abstractNumId w:val="59"/>
  </w:num>
  <w:num w:numId="29">
    <w:abstractNumId w:val="96"/>
  </w:num>
  <w:num w:numId="30">
    <w:abstractNumId w:val="42"/>
  </w:num>
  <w:num w:numId="31">
    <w:abstractNumId w:val="60"/>
  </w:num>
  <w:num w:numId="32">
    <w:abstractNumId w:val="24"/>
  </w:num>
  <w:num w:numId="33">
    <w:abstractNumId w:val="62"/>
  </w:num>
  <w:num w:numId="34">
    <w:abstractNumId w:val="82"/>
  </w:num>
  <w:num w:numId="35">
    <w:abstractNumId w:val="85"/>
  </w:num>
  <w:num w:numId="36">
    <w:abstractNumId w:val="41"/>
  </w:num>
  <w:num w:numId="37">
    <w:abstractNumId w:val="78"/>
  </w:num>
  <w:num w:numId="38">
    <w:abstractNumId w:val="108"/>
  </w:num>
  <w:num w:numId="39">
    <w:abstractNumId w:val="79"/>
  </w:num>
  <w:num w:numId="40">
    <w:abstractNumId w:val="22"/>
  </w:num>
  <w:num w:numId="41">
    <w:abstractNumId w:val="40"/>
  </w:num>
  <w:num w:numId="42">
    <w:abstractNumId w:val="43"/>
  </w:num>
  <w:num w:numId="43">
    <w:abstractNumId w:val="54"/>
  </w:num>
  <w:num w:numId="44">
    <w:abstractNumId w:val="35"/>
  </w:num>
  <w:num w:numId="45">
    <w:abstractNumId w:val="70"/>
  </w:num>
  <w:num w:numId="46">
    <w:abstractNumId w:val="109"/>
  </w:num>
  <w:num w:numId="47">
    <w:abstractNumId w:val="68"/>
  </w:num>
  <w:num w:numId="48">
    <w:abstractNumId w:val="15"/>
  </w:num>
  <w:num w:numId="49">
    <w:abstractNumId w:val="39"/>
  </w:num>
  <w:num w:numId="50">
    <w:abstractNumId w:val="51"/>
  </w:num>
  <w:num w:numId="51">
    <w:abstractNumId w:val="80"/>
  </w:num>
  <w:num w:numId="52">
    <w:abstractNumId w:val="28"/>
  </w:num>
  <w:num w:numId="53">
    <w:abstractNumId w:val="92"/>
  </w:num>
  <w:num w:numId="54">
    <w:abstractNumId w:val="97"/>
  </w:num>
  <w:num w:numId="55">
    <w:abstractNumId w:val="67"/>
  </w:num>
  <w:num w:numId="56">
    <w:abstractNumId w:val="56"/>
  </w:num>
  <w:num w:numId="57">
    <w:abstractNumId w:val="30"/>
  </w:num>
  <w:num w:numId="58">
    <w:abstractNumId w:val="57"/>
  </w:num>
  <w:num w:numId="59">
    <w:abstractNumId w:val="106"/>
  </w:num>
  <w:num w:numId="60">
    <w:abstractNumId w:val="12"/>
  </w:num>
  <w:num w:numId="61">
    <w:abstractNumId w:val="33"/>
  </w:num>
  <w:num w:numId="62">
    <w:abstractNumId w:val="13"/>
  </w:num>
  <w:num w:numId="63">
    <w:abstractNumId w:val="83"/>
  </w:num>
  <w:num w:numId="64">
    <w:abstractNumId w:val="48"/>
  </w:num>
  <w:num w:numId="65">
    <w:abstractNumId w:val="29"/>
  </w:num>
  <w:num w:numId="66">
    <w:abstractNumId w:val="76"/>
  </w:num>
  <w:num w:numId="67">
    <w:abstractNumId w:val="11"/>
  </w:num>
  <w:num w:numId="68">
    <w:abstractNumId w:val="63"/>
  </w:num>
  <w:num w:numId="69">
    <w:abstractNumId w:val="87"/>
  </w:num>
  <w:num w:numId="70">
    <w:abstractNumId w:val="45"/>
  </w:num>
  <w:num w:numId="71">
    <w:abstractNumId w:val="21"/>
  </w:num>
  <w:num w:numId="72">
    <w:abstractNumId w:val="23"/>
  </w:num>
  <w:num w:numId="73">
    <w:abstractNumId w:val="110"/>
  </w:num>
  <w:num w:numId="74">
    <w:abstractNumId w:val="17"/>
  </w:num>
  <w:num w:numId="75">
    <w:abstractNumId w:val="37"/>
  </w:num>
  <w:num w:numId="76">
    <w:abstractNumId w:val="47"/>
  </w:num>
  <w:num w:numId="77">
    <w:abstractNumId w:val="38"/>
  </w:num>
  <w:num w:numId="78">
    <w:abstractNumId w:val="53"/>
  </w:num>
  <w:num w:numId="79">
    <w:abstractNumId w:val="73"/>
  </w:num>
  <w:num w:numId="80">
    <w:abstractNumId w:val="32"/>
  </w:num>
  <w:num w:numId="81">
    <w:abstractNumId w:val="9"/>
  </w:num>
  <w:num w:numId="82">
    <w:abstractNumId w:val="86"/>
  </w:num>
  <w:num w:numId="83">
    <w:abstractNumId w:val="93"/>
  </w:num>
  <w:num w:numId="84">
    <w:abstractNumId w:val="101"/>
  </w:num>
  <w:num w:numId="85">
    <w:abstractNumId w:val="50"/>
  </w:num>
  <w:num w:numId="86">
    <w:abstractNumId w:val="64"/>
  </w:num>
  <w:num w:numId="87">
    <w:abstractNumId w:val="27"/>
  </w:num>
  <w:num w:numId="88">
    <w:abstractNumId w:val="18"/>
  </w:num>
  <w:num w:numId="89">
    <w:abstractNumId w:val="14"/>
  </w:num>
  <w:num w:numId="90">
    <w:abstractNumId w:val="104"/>
  </w:num>
  <w:num w:numId="91">
    <w:abstractNumId w:val="26"/>
  </w:num>
  <w:num w:numId="92">
    <w:abstractNumId w:val="74"/>
  </w:num>
  <w:num w:numId="93">
    <w:abstractNumId w:val="72"/>
  </w:num>
  <w:num w:numId="94">
    <w:abstractNumId w:val="44"/>
  </w:num>
  <w:num w:numId="95">
    <w:abstractNumId w:val="49"/>
  </w:num>
  <w:num w:numId="96">
    <w:abstractNumId w:val="52"/>
  </w:num>
  <w:num w:numId="97">
    <w:abstractNumId w:val="81"/>
  </w:num>
  <w:num w:numId="98">
    <w:abstractNumId w:val="99"/>
  </w:num>
  <w:num w:numId="99">
    <w:abstractNumId w:val="105"/>
  </w:num>
  <w:num w:numId="10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90"/>
  </w:num>
  <w:num w:numId="102">
    <w:abstractNumId w:val="10"/>
  </w:num>
  <w:num w:numId="103">
    <w:abstractNumId w:val="103"/>
  </w:num>
  <w:num w:numId="104">
    <w:abstractNumId w:val="20"/>
  </w:num>
  <w:num w:numId="105">
    <w:abstractNumId w:val="36"/>
  </w:num>
  <w:num w:numId="106">
    <w:abstractNumId w:val="8"/>
  </w:num>
  <w:num w:numId="107">
    <w:abstractNumId w:val="55"/>
  </w:num>
  <w:num w:numId="108">
    <w:abstractNumId w:val="25"/>
  </w:num>
  <w:num w:numId="109">
    <w:abstractNumId w:val="100"/>
  </w:num>
  <w:num w:numId="110">
    <w:abstractNumId w:val="84"/>
  </w:num>
  <w:num w:numId="111">
    <w:abstractNumId w:val="61"/>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F5632FB3-E708-4AF3-9855-5C6E05C09CBB"/>
    <w:docVar w:name="LW_COVERPAGE_TYPE" w:val="1"/>
    <w:docVar w:name="LW_CROSSREFERENCE" w:val="{SWD(2026) 229 final}"/>
    <w:docVar w:name="LW_DocType" w:val="NORMAL"/>
    <w:docVar w:name="LW_EMISSION" w:val="13.7.2026"/>
    <w:docVar w:name="LW_EMISSION_ISODATE" w:val="2026-07-13"/>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29 October 2021 on the approval of the assessment of the recovery and resilience plan for Romania"/>
    <w:docVar w:name="LW_PART_NBR" w:val="1"/>
    <w:docVar w:name="LW_PART_NBR_TOTAL" w:val="1"/>
    <w:docVar w:name="LW_REF.INST.NEW" w:val="COM"/>
    <w:docVar w:name="LW_REF.INST.NEW_ADOPTED" w:val="final"/>
    <w:docVar w:name="LW_REF.INST.NEW_TEXT" w:val="(2026) 37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36D76E44"/>
    <w:rsid w:val="000000ED"/>
    <w:rsid w:val="00000B51"/>
    <w:rsid w:val="00001328"/>
    <w:rsid w:val="0000146C"/>
    <w:rsid w:val="00002CF5"/>
    <w:rsid w:val="00002F3C"/>
    <w:rsid w:val="000045F6"/>
    <w:rsid w:val="0000479D"/>
    <w:rsid w:val="00004870"/>
    <w:rsid w:val="000074EC"/>
    <w:rsid w:val="000109C6"/>
    <w:rsid w:val="00010D40"/>
    <w:rsid w:val="00011C76"/>
    <w:rsid w:val="00011DC9"/>
    <w:rsid w:val="0001275D"/>
    <w:rsid w:val="000128A7"/>
    <w:rsid w:val="00013E47"/>
    <w:rsid w:val="000140C3"/>
    <w:rsid w:val="00014BD1"/>
    <w:rsid w:val="000156E5"/>
    <w:rsid w:val="00015BE7"/>
    <w:rsid w:val="0001622C"/>
    <w:rsid w:val="00017329"/>
    <w:rsid w:val="0001754C"/>
    <w:rsid w:val="00017AA7"/>
    <w:rsid w:val="00017EC5"/>
    <w:rsid w:val="00020901"/>
    <w:rsid w:val="0002194B"/>
    <w:rsid w:val="0002212B"/>
    <w:rsid w:val="000222A5"/>
    <w:rsid w:val="00022600"/>
    <w:rsid w:val="000230A3"/>
    <w:rsid w:val="00023BD2"/>
    <w:rsid w:val="0002502A"/>
    <w:rsid w:val="00025BE0"/>
    <w:rsid w:val="00026902"/>
    <w:rsid w:val="00026D0D"/>
    <w:rsid w:val="0002758A"/>
    <w:rsid w:val="00030188"/>
    <w:rsid w:val="0003039B"/>
    <w:rsid w:val="0003297A"/>
    <w:rsid w:val="00032C8B"/>
    <w:rsid w:val="00032E4C"/>
    <w:rsid w:val="00034AE2"/>
    <w:rsid w:val="0003548D"/>
    <w:rsid w:val="00036C4E"/>
    <w:rsid w:val="000371DE"/>
    <w:rsid w:val="00037374"/>
    <w:rsid w:val="00042A9C"/>
    <w:rsid w:val="00042BFB"/>
    <w:rsid w:val="00043702"/>
    <w:rsid w:val="000438F2"/>
    <w:rsid w:val="00043C1C"/>
    <w:rsid w:val="00043E2D"/>
    <w:rsid w:val="000445A7"/>
    <w:rsid w:val="00044DC7"/>
    <w:rsid w:val="00045076"/>
    <w:rsid w:val="00046ADD"/>
    <w:rsid w:val="0004717E"/>
    <w:rsid w:val="000473D2"/>
    <w:rsid w:val="00047554"/>
    <w:rsid w:val="0005026F"/>
    <w:rsid w:val="000506A7"/>
    <w:rsid w:val="00050B9C"/>
    <w:rsid w:val="00051D88"/>
    <w:rsid w:val="0005340E"/>
    <w:rsid w:val="00053EFE"/>
    <w:rsid w:val="0005645D"/>
    <w:rsid w:val="00056974"/>
    <w:rsid w:val="00056B96"/>
    <w:rsid w:val="00057315"/>
    <w:rsid w:val="0006241F"/>
    <w:rsid w:val="00062588"/>
    <w:rsid w:val="000626F4"/>
    <w:rsid w:val="00062C17"/>
    <w:rsid w:val="00063B28"/>
    <w:rsid w:val="000646A8"/>
    <w:rsid w:val="000652A9"/>
    <w:rsid w:val="00066491"/>
    <w:rsid w:val="0006660B"/>
    <w:rsid w:val="000679E2"/>
    <w:rsid w:val="000719AE"/>
    <w:rsid w:val="00071A4F"/>
    <w:rsid w:val="00071B84"/>
    <w:rsid w:val="00071B85"/>
    <w:rsid w:val="00071DBF"/>
    <w:rsid w:val="00072317"/>
    <w:rsid w:val="00072A1A"/>
    <w:rsid w:val="00073762"/>
    <w:rsid w:val="00074C1D"/>
    <w:rsid w:val="0007787D"/>
    <w:rsid w:val="000800EC"/>
    <w:rsid w:val="000813F9"/>
    <w:rsid w:val="00081C8B"/>
    <w:rsid w:val="000830FE"/>
    <w:rsid w:val="00083897"/>
    <w:rsid w:val="00084B90"/>
    <w:rsid w:val="00085AB5"/>
    <w:rsid w:val="0008645E"/>
    <w:rsid w:val="000867F0"/>
    <w:rsid w:val="000869E8"/>
    <w:rsid w:val="00086EC5"/>
    <w:rsid w:val="000877F5"/>
    <w:rsid w:val="000878CB"/>
    <w:rsid w:val="00087B8C"/>
    <w:rsid w:val="00091707"/>
    <w:rsid w:val="0009410B"/>
    <w:rsid w:val="000945E6"/>
    <w:rsid w:val="000949AC"/>
    <w:rsid w:val="00095577"/>
    <w:rsid w:val="0009673A"/>
    <w:rsid w:val="000968F6"/>
    <w:rsid w:val="00097A88"/>
    <w:rsid w:val="000A0331"/>
    <w:rsid w:val="000A0F5B"/>
    <w:rsid w:val="000A1431"/>
    <w:rsid w:val="000A36BB"/>
    <w:rsid w:val="000A4598"/>
    <w:rsid w:val="000A502B"/>
    <w:rsid w:val="000A536D"/>
    <w:rsid w:val="000A5C8D"/>
    <w:rsid w:val="000A5F22"/>
    <w:rsid w:val="000A60F7"/>
    <w:rsid w:val="000A680B"/>
    <w:rsid w:val="000A6E29"/>
    <w:rsid w:val="000A736F"/>
    <w:rsid w:val="000A783C"/>
    <w:rsid w:val="000B1924"/>
    <w:rsid w:val="000B1E47"/>
    <w:rsid w:val="000B269E"/>
    <w:rsid w:val="000B3AA3"/>
    <w:rsid w:val="000B3F0E"/>
    <w:rsid w:val="000B468D"/>
    <w:rsid w:val="000B4852"/>
    <w:rsid w:val="000B4BB8"/>
    <w:rsid w:val="000B6243"/>
    <w:rsid w:val="000B65E3"/>
    <w:rsid w:val="000B69F4"/>
    <w:rsid w:val="000B7B6B"/>
    <w:rsid w:val="000C0F5D"/>
    <w:rsid w:val="000C12C4"/>
    <w:rsid w:val="000C14E7"/>
    <w:rsid w:val="000C23F8"/>
    <w:rsid w:val="000C5224"/>
    <w:rsid w:val="000C54CA"/>
    <w:rsid w:val="000C55B6"/>
    <w:rsid w:val="000C5AE8"/>
    <w:rsid w:val="000C6284"/>
    <w:rsid w:val="000C6947"/>
    <w:rsid w:val="000C6A03"/>
    <w:rsid w:val="000C6C3D"/>
    <w:rsid w:val="000C7ED8"/>
    <w:rsid w:val="000D121D"/>
    <w:rsid w:val="000D1FCE"/>
    <w:rsid w:val="000D2E14"/>
    <w:rsid w:val="000D3B9C"/>
    <w:rsid w:val="000D4308"/>
    <w:rsid w:val="000D4687"/>
    <w:rsid w:val="000D6ABD"/>
    <w:rsid w:val="000E1005"/>
    <w:rsid w:val="000E398C"/>
    <w:rsid w:val="000E43D5"/>
    <w:rsid w:val="000E51A0"/>
    <w:rsid w:val="000E6917"/>
    <w:rsid w:val="000F02EA"/>
    <w:rsid w:val="000F11E4"/>
    <w:rsid w:val="000F3185"/>
    <w:rsid w:val="000F4174"/>
    <w:rsid w:val="000F4D85"/>
    <w:rsid w:val="000F4E06"/>
    <w:rsid w:val="000F54F4"/>
    <w:rsid w:val="000F5587"/>
    <w:rsid w:val="000F5D6E"/>
    <w:rsid w:val="000F6809"/>
    <w:rsid w:val="000F7265"/>
    <w:rsid w:val="00100D2F"/>
    <w:rsid w:val="00100EDD"/>
    <w:rsid w:val="001015F0"/>
    <w:rsid w:val="00102146"/>
    <w:rsid w:val="00102227"/>
    <w:rsid w:val="00102ACE"/>
    <w:rsid w:val="00102C50"/>
    <w:rsid w:val="00103219"/>
    <w:rsid w:val="0010345B"/>
    <w:rsid w:val="00105D0D"/>
    <w:rsid w:val="00106005"/>
    <w:rsid w:val="001060B6"/>
    <w:rsid w:val="001068FC"/>
    <w:rsid w:val="00111B04"/>
    <w:rsid w:val="00113131"/>
    <w:rsid w:val="00113255"/>
    <w:rsid w:val="0011428F"/>
    <w:rsid w:val="00114539"/>
    <w:rsid w:val="00115D8A"/>
    <w:rsid w:val="001161A1"/>
    <w:rsid w:val="0011633D"/>
    <w:rsid w:val="00117256"/>
    <w:rsid w:val="00117560"/>
    <w:rsid w:val="00117940"/>
    <w:rsid w:val="00117C50"/>
    <w:rsid w:val="00117E74"/>
    <w:rsid w:val="0012014F"/>
    <w:rsid w:val="00120FC4"/>
    <w:rsid w:val="001212B0"/>
    <w:rsid w:val="00122F34"/>
    <w:rsid w:val="00123A66"/>
    <w:rsid w:val="00124781"/>
    <w:rsid w:val="00125222"/>
    <w:rsid w:val="0012522C"/>
    <w:rsid w:val="00125400"/>
    <w:rsid w:val="001260B0"/>
    <w:rsid w:val="0013160A"/>
    <w:rsid w:val="00131BA9"/>
    <w:rsid w:val="00132AAF"/>
    <w:rsid w:val="00133417"/>
    <w:rsid w:val="00134534"/>
    <w:rsid w:val="001345F8"/>
    <w:rsid w:val="00134DF4"/>
    <w:rsid w:val="00135383"/>
    <w:rsid w:val="001359BA"/>
    <w:rsid w:val="00135FCE"/>
    <w:rsid w:val="001372C9"/>
    <w:rsid w:val="00137D7A"/>
    <w:rsid w:val="00141938"/>
    <w:rsid w:val="001427C1"/>
    <w:rsid w:val="00142F61"/>
    <w:rsid w:val="00142FAC"/>
    <w:rsid w:val="00143CD8"/>
    <w:rsid w:val="00143F68"/>
    <w:rsid w:val="00145434"/>
    <w:rsid w:val="001460A9"/>
    <w:rsid w:val="001466C3"/>
    <w:rsid w:val="001467BF"/>
    <w:rsid w:val="00150523"/>
    <w:rsid w:val="00150DDF"/>
    <w:rsid w:val="00152B36"/>
    <w:rsid w:val="00155FCE"/>
    <w:rsid w:val="00156127"/>
    <w:rsid w:val="001566D8"/>
    <w:rsid w:val="00157121"/>
    <w:rsid w:val="001602EC"/>
    <w:rsid w:val="00160919"/>
    <w:rsid w:val="00160F82"/>
    <w:rsid w:val="00161DFE"/>
    <w:rsid w:val="001627F2"/>
    <w:rsid w:val="00163548"/>
    <w:rsid w:val="001648E1"/>
    <w:rsid w:val="00165ED1"/>
    <w:rsid w:val="00166865"/>
    <w:rsid w:val="001669DC"/>
    <w:rsid w:val="0016774A"/>
    <w:rsid w:val="00167E99"/>
    <w:rsid w:val="0017170B"/>
    <w:rsid w:val="00172576"/>
    <w:rsid w:val="00174ADA"/>
    <w:rsid w:val="00175209"/>
    <w:rsid w:val="00175934"/>
    <w:rsid w:val="00177559"/>
    <w:rsid w:val="00181A06"/>
    <w:rsid w:val="00182965"/>
    <w:rsid w:val="00182A29"/>
    <w:rsid w:val="00184447"/>
    <w:rsid w:val="0018522B"/>
    <w:rsid w:val="00186345"/>
    <w:rsid w:val="001863EE"/>
    <w:rsid w:val="00192C63"/>
    <w:rsid w:val="00192F81"/>
    <w:rsid w:val="001935CB"/>
    <w:rsid w:val="00193EC6"/>
    <w:rsid w:val="00195A3A"/>
    <w:rsid w:val="00196411"/>
    <w:rsid w:val="0019675C"/>
    <w:rsid w:val="001976B4"/>
    <w:rsid w:val="00197A74"/>
    <w:rsid w:val="00197F84"/>
    <w:rsid w:val="001A1EB7"/>
    <w:rsid w:val="001A1F0D"/>
    <w:rsid w:val="001A2876"/>
    <w:rsid w:val="001A2AE4"/>
    <w:rsid w:val="001A3299"/>
    <w:rsid w:val="001A411F"/>
    <w:rsid w:val="001A45CF"/>
    <w:rsid w:val="001A6407"/>
    <w:rsid w:val="001A7361"/>
    <w:rsid w:val="001A74DE"/>
    <w:rsid w:val="001B0FF5"/>
    <w:rsid w:val="001B1306"/>
    <w:rsid w:val="001B145F"/>
    <w:rsid w:val="001B1E82"/>
    <w:rsid w:val="001B2527"/>
    <w:rsid w:val="001B258E"/>
    <w:rsid w:val="001B28D1"/>
    <w:rsid w:val="001B3717"/>
    <w:rsid w:val="001B395B"/>
    <w:rsid w:val="001B3A84"/>
    <w:rsid w:val="001B440B"/>
    <w:rsid w:val="001C0829"/>
    <w:rsid w:val="001C096B"/>
    <w:rsid w:val="001C153A"/>
    <w:rsid w:val="001C17BC"/>
    <w:rsid w:val="001C1BC0"/>
    <w:rsid w:val="001C1D42"/>
    <w:rsid w:val="001C33E4"/>
    <w:rsid w:val="001C381F"/>
    <w:rsid w:val="001C43BF"/>
    <w:rsid w:val="001C453A"/>
    <w:rsid w:val="001C5A96"/>
    <w:rsid w:val="001C70B1"/>
    <w:rsid w:val="001D03E3"/>
    <w:rsid w:val="001D04D4"/>
    <w:rsid w:val="001D18BC"/>
    <w:rsid w:val="001D1FE0"/>
    <w:rsid w:val="001D2A11"/>
    <w:rsid w:val="001D452E"/>
    <w:rsid w:val="001D4A41"/>
    <w:rsid w:val="001D5211"/>
    <w:rsid w:val="001D65BA"/>
    <w:rsid w:val="001D6CB1"/>
    <w:rsid w:val="001D6F3B"/>
    <w:rsid w:val="001E0019"/>
    <w:rsid w:val="001E259C"/>
    <w:rsid w:val="001E3BFA"/>
    <w:rsid w:val="001E3DB3"/>
    <w:rsid w:val="001E3DB7"/>
    <w:rsid w:val="001E40B0"/>
    <w:rsid w:val="001E43E5"/>
    <w:rsid w:val="001E47B8"/>
    <w:rsid w:val="001E4F6F"/>
    <w:rsid w:val="001E5820"/>
    <w:rsid w:val="001E58BB"/>
    <w:rsid w:val="001E6606"/>
    <w:rsid w:val="001E70EF"/>
    <w:rsid w:val="001E7224"/>
    <w:rsid w:val="001E7678"/>
    <w:rsid w:val="001E7B3C"/>
    <w:rsid w:val="001F1E5A"/>
    <w:rsid w:val="001F1F6A"/>
    <w:rsid w:val="001F57A5"/>
    <w:rsid w:val="001F5A3B"/>
    <w:rsid w:val="001F5C1B"/>
    <w:rsid w:val="001F6A03"/>
    <w:rsid w:val="002007EC"/>
    <w:rsid w:val="0020212E"/>
    <w:rsid w:val="002021CF"/>
    <w:rsid w:val="00202653"/>
    <w:rsid w:val="00202C43"/>
    <w:rsid w:val="00203655"/>
    <w:rsid w:val="002040B4"/>
    <w:rsid w:val="00205160"/>
    <w:rsid w:val="00206ECD"/>
    <w:rsid w:val="00207A7B"/>
    <w:rsid w:val="0021018E"/>
    <w:rsid w:val="00210522"/>
    <w:rsid w:val="0021061B"/>
    <w:rsid w:val="00210E71"/>
    <w:rsid w:val="002113BF"/>
    <w:rsid w:val="00212EF3"/>
    <w:rsid w:val="002139CE"/>
    <w:rsid w:val="00214207"/>
    <w:rsid w:val="0021461F"/>
    <w:rsid w:val="00214629"/>
    <w:rsid w:val="00214F4D"/>
    <w:rsid w:val="002153EB"/>
    <w:rsid w:val="00217053"/>
    <w:rsid w:val="00220930"/>
    <w:rsid w:val="00221B38"/>
    <w:rsid w:val="00222054"/>
    <w:rsid w:val="00222873"/>
    <w:rsid w:val="00222877"/>
    <w:rsid w:val="0022331C"/>
    <w:rsid w:val="002238B3"/>
    <w:rsid w:val="0022413F"/>
    <w:rsid w:val="00224141"/>
    <w:rsid w:val="002241F2"/>
    <w:rsid w:val="00224C73"/>
    <w:rsid w:val="00225512"/>
    <w:rsid w:val="002260B0"/>
    <w:rsid w:val="00226855"/>
    <w:rsid w:val="0023099F"/>
    <w:rsid w:val="00232A27"/>
    <w:rsid w:val="00234665"/>
    <w:rsid w:val="00236343"/>
    <w:rsid w:val="00236355"/>
    <w:rsid w:val="00236384"/>
    <w:rsid w:val="0023734D"/>
    <w:rsid w:val="00240655"/>
    <w:rsid w:val="00240ABA"/>
    <w:rsid w:val="00240C71"/>
    <w:rsid w:val="002411F8"/>
    <w:rsid w:val="00241231"/>
    <w:rsid w:val="00241B6B"/>
    <w:rsid w:val="00243CF1"/>
    <w:rsid w:val="0024537F"/>
    <w:rsid w:val="00246087"/>
    <w:rsid w:val="00246B22"/>
    <w:rsid w:val="00246F55"/>
    <w:rsid w:val="002500F7"/>
    <w:rsid w:val="00250992"/>
    <w:rsid w:val="0025186F"/>
    <w:rsid w:val="00252357"/>
    <w:rsid w:val="00252675"/>
    <w:rsid w:val="002527C2"/>
    <w:rsid w:val="002528BB"/>
    <w:rsid w:val="00252F8F"/>
    <w:rsid w:val="00252F95"/>
    <w:rsid w:val="00253D96"/>
    <w:rsid w:val="002546E7"/>
    <w:rsid w:val="00254FC0"/>
    <w:rsid w:val="00255043"/>
    <w:rsid w:val="002553C8"/>
    <w:rsid w:val="00255A88"/>
    <w:rsid w:val="00256348"/>
    <w:rsid w:val="00257DF3"/>
    <w:rsid w:val="00260C4E"/>
    <w:rsid w:val="002615A1"/>
    <w:rsid w:val="002632D0"/>
    <w:rsid w:val="00263498"/>
    <w:rsid w:val="00263798"/>
    <w:rsid w:val="002639CB"/>
    <w:rsid w:val="00264F52"/>
    <w:rsid w:val="00266172"/>
    <w:rsid w:val="00266784"/>
    <w:rsid w:val="002668F8"/>
    <w:rsid w:val="00267BEA"/>
    <w:rsid w:val="00270B0B"/>
    <w:rsid w:val="002714B4"/>
    <w:rsid w:val="0027152C"/>
    <w:rsid w:val="00272604"/>
    <w:rsid w:val="00272622"/>
    <w:rsid w:val="002728F3"/>
    <w:rsid w:val="00272C5E"/>
    <w:rsid w:val="00272EC1"/>
    <w:rsid w:val="002735E8"/>
    <w:rsid w:val="00274033"/>
    <w:rsid w:val="00274282"/>
    <w:rsid w:val="002747D0"/>
    <w:rsid w:val="002758AF"/>
    <w:rsid w:val="00276C0D"/>
    <w:rsid w:val="00281181"/>
    <w:rsid w:val="00283CDA"/>
    <w:rsid w:val="002846B0"/>
    <w:rsid w:val="00284764"/>
    <w:rsid w:val="00284C22"/>
    <w:rsid w:val="0028701D"/>
    <w:rsid w:val="002879A0"/>
    <w:rsid w:val="00290679"/>
    <w:rsid w:val="00290957"/>
    <w:rsid w:val="00291374"/>
    <w:rsid w:val="00293472"/>
    <w:rsid w:val="00293B54"/>
    <w:rsid w:val="00294BA3"/>
    <w:rsid w:val="00295B5E"/>
    <w:rsid w:val="002974B2"/>
    <w:rsid w:val="00297690"/>
    <w:rsid w:val="002A0491"/>
    <w:rsid w:val="002A04F9"/>
    <w:rsid w:val="002A0D0E"/>
    <w:rsid w:val="002A0D30"/>
    <w:rsid w:val="002A1A08"/>
    <w:rsid w:val="002A2A89"/>
    <w:rsid w:val="002A2D71"/>
    <w:rsid w:val="002A3978"/>
    <w:rsid w:val="002A471B"/>
    <w:rsid w:val="002A4C3B"/>
    <w:rsid w:val="002A4DB0"/>
    <w:rsid w:val="002A57D2"/>
    <w:rsid w:val="002A7039"/>
    <w:rsid w:val="002B1D4E"/>
    <w:rsid w:val="002B3CDB"/>
    <w:rsid w:val="002B425A"/>
    <w:rsid w:val="002B5D9E"/>
    <w:rsid w:val="002B6DE6"/>
    <w:rsid w:val="002B6F1D"/>
    <w:rsid w:val="002B6FA7"/>
    <w:rsid w:val="002C060B"/>
    <w:rsid w:val="002C0C50"/>
    <w:rsid w:val="002C17FA"/>
    <w:rsid w:val="002C2258"/>
    <w:rsid w:val="002C2916"/>
    <w:rsid w:val="002C4B9F"/>
    <w:rsid w:val="002C5AB6"/>
    <w:rsid w:val="002C5DD2"/>
    <w:rsid w:val="002C60EF"/>
    <w:rsid w:val="002C7BE3"/>
    <w:rsid w:val="002D0515"/>
    <w:rsid w:val="002D0B57"/>
    <w:rsid w:val="002D0FC2"/>
    <w:rsid w:val="002D2922"/>
    <w:rsid w:val="002D339E"/>
    <w:rsid w:val="002D4BE7"/>
    <w:rsid w:val="002D5BF5"/>
    <w:rsid w:val="002D5F47"/>
    <w:rsid w:val="002D6FEA"/>
    <w:rsid w:val="002D7E19"/>
    <w:rsid w:val="002D7F3B"/>
    <w:rsid w:val="002E0DEB"/>
    <w:rsid w:val="002E1809"/>
    <w:rsid w:val="002E195D"/>
    <w:rsid w:val="002E2DA9"/>
    <w:rsid w:val="002E344C"/>
    <w:rsid w:val="002E448D"/>
    <w:rsid w:val="002E4785"/>
    <w:rsid w:val="002E4A7E"/>
    <w:rsid w:val="002E5DF4"/>
    <w:rsid w:val="002E742C"/>
    <w:rsid w:val="002E7F8E"/>
    <w:rsid w:val="002F008A"/>
    <w:rsid w:val="002F0469"/>
    <w:rsid w:val="002F1319"/>
    <w:rsid w:val="002F187E"/>
    <w:rsid w:val="002F37D8"/>
    <w:rsid w:val="002F3B09"/>
    <w:rsid w:val="0030187C"/>
    <w:rsid w:val="00301ABB"/>
    <w:rsid w:val="00301AEB"/>
    <w:rsid w:val="003044C0"/>
    <w:rsid w:val="0030505A"/>
    <w:rsid w:val="00305BAA"/>
    <w:rsid w:val="00306401"/>
    <w:rsid w:val="0030687D"/>
    <w:rsid w:val="00306D09"/>
    <w:rsid w:val="00307300"/>
    <w:rsid w:val="00307333"/>
    <w:rsid w:val="00311E58"/>
    <w:rsid w:val="00312A0C"/>
    <w:rsid w:val="00313764"/>
    <w:rsid w:val="00315256"/>
    <w:rsid w:val="00315639"/>
    <w:rsid w:val="00315FFA"/>
    <w:rsid w:val="00316394"/>
    <w:rsid w:val="00316A8A"/>
    <w:rsid w:val="003221A9"/>
    <w:rsid w:val="003232CF"/>
    <w:rsid w:val="003234C9"/>
    <w:rsid w:val="003238AD"/>
    <w:rsid w:val="00323D53"/>
    <w:rsid w:val="00325FE4"/>
    <w:rsid w:val="0032644D"/>
    <w:rsid w:val="00326998"/>
    <w:rsid w:val="00327D9F"/>
    <w:rsid w:val="00330282"/>
    <w:rsid w:val="00330A46"/>
    <w:rsid w:val="003312AF"/>
    <w:rsid w:val="00331BEB"/>
    <w:rsid w:val="0033384D"/>
    <w:rsid w:val="00333F70"/>
    <w:rsid w:val="003364DB"/>
    <w:rsid w:val="003372D8"/>
    <w:rsid w:val="00337476"/>
    <w:rsid w:val="003375D5"/>
    <w:rsid w:val="003403D0"/>
    <w:rsid w:val="003417C1"/>
    <w:rsid w:val="00341852"/>
    <w:rsid w:val="00342E34"/>
    <w:rsid w:val="003459BE"/>
    <w:rsid w:val="00346088"/>
    <w:rsid w:val="00346B2B"/>
    <w:rsid w:val="0035332B"/>
    <w:rsid w:val="003535BE"/>
    <w:rsid w:val="00353F1E"/>
    <w:rsid w:val="003555E7"/>
    <w:rsid w:val="0035713B"/>
    <w:rsid w:val="0035790D"/>
    <w:rsid w:val="00361014"/>
    <w:rsid w:val="0036124F"/>
    <w:rsid w:val="003613BF"/>
    <w:rsid w:val="0036254B"/>
    <w:rsid w:val="00363841"/>
    <w:rsid w:val="00364C3E"/>
    <w:rsid w:val="0036525C"/>
    <w:rsid w:val="00365AA9"/>
    <w:rsid w:val="003665CF"/>
    <w:rsid w:val="00366603"/>
    <w:rsid w:val="00366B49"/>
    <w:rsid w:val="00366C9C"/>
    <w:rsid w:val="003733EA"/>
    <w:rsid w:val="003746EC"/>
    <w:rsid w:val="00376C4E"/>
    <w:rsid w:val="003777BC"/>
    <w:rsid w:val="00377CB4"/>
    <w:rsid w:val="00380001"/>
    <w:rsid w:val="003811C3"/>
    <w:rsid w:val="0038124C"/>
    <w:rsid w:val="0038160C"/>
    <w:rsid w:val="00381CF1"/>
    <w:rsid w:val="00382753"/>
    <w:rsid w:val="00382D78"/>
    <w:rsid w:val="00383070"/>
    <w:rsid w:val="00383815"/>
    <w:rsid w:val="00384084"/>
    <w:rsid w:val="0038497F"/>
    <w:rsid w:val="00387B27"/>
    <w:rsid w:val="00390303"/>
    <w:rsid w:val="00391636"/>
    <w:rsid w:val="00391F9E"/>
    <w:rsid w:val="00392861"/>
    <w:rsid w:val="003943A4"/>
    <w:rsid w:val="003946C1"/>
    <w:rsid w:val="0039482C"/>
    <w:rsid w:val="00394D3E"/>
    <w:rsid w:val="00395403"/>
    <w:rsid w:val="003955DD"/>
    <w:rsid w:val="00395E9A"/>
    <w:rsid w:val="003967FD"/>
    <w:rsid w:val="003968CE"/>
    <w:rsid w:val="003968DA"/>
    <w:rsid w:val="00397565"/>
    <w:rsid w:val="003977D9"/>
    <w:rsid w:val="003977E8"/>
    <w:rsid w:val="003A05DE"/>
    <w:rsid w:val="003A0DB0"/>
    <w:rsid w:val="003A12B5"/>
    <w:rsid w:val="003A1784"/>
    <w:rsid w:val="003A1794"/>
    <w:rsid w:val="003A1E4A"/>
    <w:rsid w:val="003A29D5"/>
    <w:rsid w:val="003A2AEB"/>
    <w:rsid w:val="003A352C"/>
    <w:rsid w:val="003A3BC7"/>
    <w:rsid w:val="003A45AD"/>
    <w:rsid w:val="003A58F3"/>
    <w:rsid w:val="003A6363"/>
    <w:rsid w:val="003A6582"/>
    <w:rsid w:val="003A69E7"/>
    <w:rsid w:val="003A7544"/>
    <w:rsid w:val="003A7CB5"/>
    <w:rsid w:val="003B099B"/>
    <w:rsid w:val="003B1E51"/>
    <w:rsid w:val="003B2912"/>
    <w:rsid w:val="003B2975"/>
    <w:rsid w:val="003B32A3"/>
    <w:rsid w:val="003B3A5F"/>
    <w:rsid w:val="003B5171"/>
    <w:rsid w:val="003B71D2"/>
    <w:rsid w:val="003B7B0C"/>
    <w:rsid w:val="003C00E7"/>
    <w:rsid w:val="003C3A2B"/>
    <w:rsid w:val="003C4552"/>
    <w:rsid w:val="003C4FEE"/>
    <w:rsid w:val="003C7876"/>
    <w:rsid w:val="003D1201"/>
    <w:rsid w:val="003D1777"/>
    <w:rsid w:val="003D190B"/>
    <w:rsid w:val="003D2D4B"/>
    <w:rsid w:val="003D3040"/>
    <w:rsid w:val="003D41D5"/>
    <w:rsid w:val="003D5070"/>
    <w:rsid w:val="003D6BB4"/>
    <w:rsid w:val="003E0143"/>
    <w:rsid w:val="003E0A8C"/>
    <w:rsid w:val="003E195E"/>
    <w:rsid w:val="003E1A24"/>
    <w:rsid w:val="003E1F05"/>
    <w:rsid w:val="003E2740"/>
    <w:rsid w:val="003E3F89"/>
    <w:rsid w:val="003E4425"/>
    <w:rsid w:val="003F033F"/>
    <w:rsid w:val="003F0994"/>
    <w:rsid w:val="003F1CBA"/>
    <w:rsid w:val="003F1D01"/>
    <w:rsid w:val="003F4566"/>
    <w:rsid w:val="003F47F9"/>
    <w:rsid w:val="003F5317"/>
    <w:rsid w:val="003F5C5D"/>
    <w:rsid w:val="003F5C8E"/>
    <w:rsid w:val="003F5EFB"/>
    <w:rsid w:val="003F67AE"/>
    <w:rsid w:val="003F70AE"/>
    <w:rsid w:val="00400F33"/>
    <w:rsid w:val="004010FA"/>
    <w:rsid w:val="0040126A"/>
    <w:rsid w:val="00401C2A"/>
    <w:rsid w:val="00402779"/>
    <w:rsid w:val="00402C69"/>
    <w:rsid w:val="0040309F"/>
    <w:rsid w:val="00403354"/>
    <w:rsid w:val="00403704"/>
    <w:rsid w:val="0040431D"/>
    <w:rsid w:val="0040434E"/>
    <w:rsid w:val="00404B9B"/>
    <w:rsid w:val="00404EC7"/>
    <w:rsid w:val="0040577E"/>
    <w:rsid w:val="004068A7"/>
    <w:rsid w:val="00407CEF"/>
    <w:rsid w:val="00407E95"/>
    <w:rsid w:val="00410C6C"/>
    <w:rsid w:val="00411CED"/>
    <w:rsid w:val="00413445"/>
    <w:rsid w:val="00413742"/>
    <w:rsid w:val="004138A7"/>
    <w:rsid w:val="00413A6D"/>
    <w:rsid w:val="00413E66"/>
    <w:rsid w:val="00416F83"/>
    <w:rsid w:val="00417292"/>
    <w:rsid w:val="00421530"/>
    <w:rsid w:val="00421B3B"/>
    <w:rsid w:val="0042232E"/>
    <w:rsid w:val="00424CF8"/>
    <w:rsid w:val="00425811"/>
    <w:rsid w:val="0043035B"/>
    <w:rsid w:val="0043081B"/>
    <w:rsid w:val="00430BA6"/>
    <w:rsid w:val="00432188"/>
    <w:rsid w:val="0043221B"/>
    <w:rsid w:val="00432A7E"/>
    <w:rsid w:val="00432EF4"/>
    <w:rsid w:val="00434724"/>
    <w:rsid w:val="00434F83"/>
    <w:rsid w:val="0043662D"/>
    <w:rsid w:val="004366B2"/>
    <w:rsid w:val="00436896"/>
    <w:rsid w:val="00436C75"/>
    <w:rsid w:val="00436E2F"/>
    <w:rsid w:val="00436F45"/>
    <w:rsid w:val="00440FE2"/>
    <w:rsid w:val="0044231D"/>
    <w:rsid w:val="0044271B"/>
    <w:rsid w:val="0044492C"/>
    <w:rsid w:val="00447282"/>
    <w:rsid w:val="00447A58"/>
    <w:rsid w:val="00447C12"/>
    <w:rsid w:val="0045028D"/>
    <w:rsid w:val="00450785"/>
    <w:rsid w:val="00450B92"/>
    <w:rsid w:val="00450D82"/>
    <w:rsid w:val="004510C3"/>
    <w:rsid w:val="004524EA"/>
    <w:rsid w:val="00452E61"/>
    <w:rsid w:val="0045347A"/>
    <w:rsid w:val="004534D1"/>
    <w:rsid w:val="004543E1"/>
    <w:rsid w:val="00455DF0"/>
    <w:rsid w:val="00456089"/>
    <w:rsid w:val="00457326"/>
    <w:rsid w:val="00457947"/>
    <w:rsid w:val="004579CB"/>
    <w:rsid w:val="00457B5A"/>
    <w:rsid w:val="004602F5"/>
    <w:rsid w:val="00463750"/>
    <w:rsid w:val="004650B9"/>
    <w:rsid w:val="00466522"/>
    <w:rsid w:val="00466A5C"/>
    <w:rsid w:val="00466F73"/>
    <w:rsid w:val="00467B6D"/>
    <w:rsid w:val="00467F77"/>
    <w:rsid w:val="00470EF2"/>
    <w:rsid w:val="00474671"/>
    <w:rsid w:val="00474E23"/>
    <w:rsid w:val="00475739"/>
    <w:rsid w:val="00476231"/>
    <w:rsid w:val="00476C09"/>
    <w:rsid w:val="00477075"/>
    <w:rsid w:val="0047720C"/>
    <w:rsid w:val="0047749A"/>
    <w:rsid w:val="00477DC6"/>
    <w:rsid w:val="00481F2D"/>
    <w:rsid w:val="004826E3"/>
    <w:rsid w:val="004828ED"/>
    <w:rsid w:val="00482945"/>
    <w:rsid w:val="00482D50"/>
    <w:rsid w:val="00483334"/>
    <w:rsid w:val="00485E1E"/>
    <w:rsid w:val="00485F2C"/>
    <w:rsid w:val="00486786"/>
    <w:rsid w:val="004926F1"/>
    <w:rsid w:val="004927DF"/>
    <w:rsid w:val="004935F1"/>
    <w:rsid w:val="00493DDF"/>
    <w:rsid w:val="00495F6E"/>
    <w:rsid w:val="004962F5"/>
    <w:rsid w:val="004968F1"/>
    <w:rsid w:val="004973EB"/>
    <w:rsid w:val="004977E1"/>
    <w:rsid w:val="004A2DCC"/>
    <w:rsid w:val="004A5034"/>
    <w:rsid w:val="004A647E"/>
    <w:rsid w:val="004B013D"/>
    <w:rsid w:val="004B082A"/>
    <w:rsid w:val="004B159A"/>
    <w:rsid w:val="004B210F"/>
    <w:rsid w:val="004B2877"/>
    <w:rsid w:val="004B44C0"/>
    <w:rsid w:val="004B67F9"/>
    <w:rsid w:val="004B7407"/>
    <w:rsid w:val="004B79B8"/>
    <w:rsid w:val="004C214F"/>
    <w:rsid w:val="004C2661"/>
    <w:rsid w:val="004C2F48"/>
    <w:rsid w:val="004C590F"/>
    <w:rsid w:val="004C63A1"/>
    <w:rsid w:val="004C6892"/>
    <w:rsid w:val="004D1416"/>
    <w:rsid w:val="004D1CCF"/>
    <w:rsid w:val="004D1E3F"/>
    <w:rsid w:val="004D3328"/>
    <w:rsid w:val="004D4541"/>
    <w:rsid w:val="004D4E45"/>
    <w:rsid w:val="004D5332"/>
    <w:rsid w:val="004E0034"/>
    <w:rsid w:val="004E0232"/>
    <w:rsid w:val="004E06CC"/>
    <w:rsid w:val="004E0EA6"/>
    <w:rsid w:val="004E0F8B"/>
    <w:rsid w:val="004E12C6"/>
    <w:rsid w:val="004E1E1D"/>
    <w:rsid w:val="004E31A5"/>
    <w:rsid w:val="004E3414"/>
    <w:rsid w:val="004E384E"/>
    <w:rsid w:val="004E3B7F"/>
    <w:rsid w:val="004E60E0"/>
    <w:rsid w:val="004E628C"/>
    <w:rsid w:val="004E6539"/>
    <w:rsid w:val="004F008A"/>
    <w:rsid w:val="004F0217"/>
    <w:rsid w:val="004F0C94"/>
    <w:rsid w:val="004F1660"/>
    <w:rsid w:val="004F1D5E"/>
    <w:rsid w:val="004F21C6"/>
    <w:rsid w:val="004F4D40"/>
    <w:rsid w:val="004F4EB6"/>
    <w:rsid w:val="004F5CEA"/>
    <w:rsid w:val="004F6D04"/>
    <w:rsid w:val="004F7384"/>
    <w:rsid w:val="004F7570"/>
    <w:rsid w:val="00501216"/>
    <w:rsid w:val="00501B14"/>
    <w:rsid w:val="00502838"/>
    <w:rsid w:val="00502D13"/>
    <w:rsid w:val="00503453"/>
    <w:rsid w:val="00503F05"/>
    <w:rsid w:val="00504C09"/>
    <w:rsid w:val="005071D5"/>
    <w:rsid w:val="00507F19"/>
    <w:rsid w:val="00510662"/>
    <w:rsid w:val="00512845"/>
    <w:rsid w:val="00512936"/>
    <w:rsid w:val="00512A2C"/>
    <w:rsid w:val="0051368E"/>
    <w:rsid w:val="005142D6"/>
    <w:rsid w:val="005144F6"/>
    <w:rsid w:val="00514AB4"/>
    <w:rsid w:val="005153D3"/>
    <w:rsid w:val="00516BA6"/>
    <w:rsid w:val="00516C24"/>
    <w:rsid w:val="005173D2"/>
    <w:rsid w:val="00520229"/>
    <w:rsid w:val="00520A24"/>
    <w:rsid w:val="00521B6B"/>
    <w:rsid w:val="005221D4"/>
    <w:rsid w:val="005233B8"/>
    <w:rsid w:val="0052392A"/>
    <w:rsid w:val="0052449F"/>
    <w:rsid w:val="00525B75"/>
    <w:rsid w:val="00525E44"/>
    <w:rsid w:val="005277BD"/>
    <w:rsid w:val="00530BE8"/>
    <w:rsid w:val="00530CE4"/>
    <w:rsid w:val="005326D2"/>
    <w:rsid w:val="00532AFE"/>
    <w:rsid w:val="00534E18"/>
    <w:rsid w:val="00535681"/>
    <w:rsid w:val="005360ED"/>
    <w:rsid w:val="005362B9"/>
    <w:rsid w:val="00537A5F"/>
    <w:rsid w:val="00540509"/>
    <w:rsid w:val="00541583"/>
    <w:rsid w:val="00541E59"/>
    <w:rsid w:val="00541ECC"/>
    <w:rsid w:val="005427FE"/>
    <w:rsid w:val="00542BB5"/>
    <w:rsid w:val="00543EEC"/>
    <w:rsid w:val="00544A94"/>
    <w:rsid w:val="00546263"/>
    <w:rsid w:val="00546A41"/>
    <w:rsid w:val="00547480"/>
    <w:rsid w:val="005474AB"/>
    <w:rsid w:val="005503B7"/>
    <w:rsid w:val="00550810"/>
    <w:rsid w:val="005508EA"/>
    <w:rsid w:val="00550A54"/>
    <w:rsid w:val="00552A44"/>
    <w:rsid w:val="00553E1A"/>
    <w:rsid w:val="00554054"/>
    <w:rsid w:val="005540E9"/>
    <w:rsid w:val="00554BFD"/>
    <w:rsid w:val="00554C03"/>
    <w:rsid w:val="00554D1B"/>
    <w:rsid w:val="00555186"/>
    <w:rsid w:val="00555CEC"/>
    <w:rsid w:val="00555E0A"/>
    <w:rsid w:val="005606AE"/>
    <w:rsid w:val="005610E4"/>
    <w:rsid w:val="00561D1A"/>
    <w:rsid w:val="0056235E"/>
    <w:rsid w:val="00563437"/>
    <w:rsid w:val="0056343E"/>
    <w:rsid w:val="00563D6A"/>
    <w:rsid w:val="00564896"/>
    <w:rsid w:val="00564C16"/>
    <w:rsid w:val="00565174"/>
    <w:rsid w:val="00565658"/>
    <w:rsid w:val="00566EDE"/>
    <w:rsid w:val="00567929"/>
    <w:rsid w:val="00570FBA"/>
    <w:rsid w:val="00571CFD"/>
    <w:rsid w:val="00573266"/>
    <w:rsid w:val="0057340D"/>
    <w:rsid w:val="0057381B"/>
    <w:rsid w:val="00573883"/>
    <w:rsid w:val="005740F8"/>
    <w:rsid w:val="0057466C"/>
    <w:rsid w:val="005748BB"/>
    <w:rsid w:val="00575879"/>
    <w:rsid w:val="00575A0B"/>
    <w:rsid w:val="00575C51"/>
    <w:rsid w:val="00580F24"/>
    <w:rsid w:val="00582DF8"/>
    <w:rsid w:val="00583270"/>
    <w:rsid w:val="00583FC8"/>
    <w:rsid w:val="00584352"/>
    <w:rsid w:val="00585D08"/>
    <w:rsid w:val="0058638D"/>
    <w:rsid w:val="00586A62"/>
    <w:rsid w:val="0058730A"/>
    <w:rsid w:val="00590A67"/>
    <w:rsid w:val="00590D55"/>
    <w:rsid w:val="0059112F"/>
    <w:rsid w:val="005919A5"/>
    <w:rsid w:val="005919C8"/>
    <w:rsid w:val="00592A36"/>
    <w:rsid w:val="00592C0C"/>
    <w:rsid w:val="00594999"/>
    <w:rsid w:val="00595532"/>
    <w:rsid w:val="00596B8C"/>
    <w:rsid w:val="00596C40"/>
    <w:rsid w:val="00596D7D"/>
    <w:rsid w:val="005A19EF"/>
    <w:rsid w:val="005A2583"/>
    <w:rsid w:val="005A33D5"/>
    <w:rsid w:val="005A4470"/>
    <w:rsid w:val="005A4CB8"/>
    <w:rsid w:val="005A5C68"/>
    <w:rsid w:val="005A5E41"/>
    <w:rsid w:val="005A5ED3"/>
    <w:rsid w:val="005A6AA1"/>
    <w:rsid w:val="005A6C3E"/>
    <w:rsid w:val="005A6E94"/>
    <w:rsid w:val="005A79E4"/>
    <w:rsid w:val="005B0DFC"/>
    <w:rsid w:val="005B0E0B"/>
    <w:rsid w:val="005B117D"/>
    <w:rsid w:val="005B1279"/>
    <w:rsid w:val="005B29C4"/>
    <w:rsid w:val="005B2C67"/>
    <w:rsid w:val="005B2F92"/>
    <w:rsid w:val="005B351B"/>
    <w:rsid w:val="005B3D5C"/>
    <w:rsid w:val="005B54F4"/>
    <w:rsid w:val="005B5649"/>
    <w:rsid w:val="005B604B"/>
    <w:rsid w:val="005B614A"/>
    <w:rsid w:val="005B6B85"/>
    <w:rsid w:val="005B6E06"/>
    <w:rsid w:val="005B71A5"/>
    <w:rsid w:val="005C005B"/>
    <w:rsid w:val="005C0418"/>
    <w:rsid w:val="005C0B61"/>
    <w:rsid w:val="005C2911"/>
    <w:rsid w:val="005C3959"/>
    <w:rsid w:val="005C5CF6"/>
    <w:rsid w:val="005C6CA5"/>
    <w:rsid w:val="005D04B4"/>
    <w:rsid w:val="005D0C58"/>
    <w:rsid w:val="005D0EB4"/>
    <w:rsid w:val="005D242D"/>
    <w:rsid w:val="005D289C"/>
    <w:rsid w:val="005D2E14"/>
    <w:rsid w:val="005D34EB"/>
    <w:rsid w:val="005D3D3F"/>
    <w:rsid w:val="005D3E6B"/>
    <w:rsid w:val="005D4628"/>
    <w:rsid w:val="005D49F9"/>
    <w:rsid w:val="005D5DD6"/>
    <w:rsid w:val="005D6812"/>
    <w:rsid w:val="005D71B5"/>
    <w:rsid w:val="005D7A6B"/>
    <w:rsid w:val="005E140D"/>
    <w:rsid w:val="005E1669"/>
    <w:rsid w:val="005E1674"/>
    <w:rsid w:val="005E1BD3"/>
    <w:rsid w:val="005E3148"/>
    <w:rsid w:val="005E3158"/>
    <w:rsid w:val="005E3264"/>
    <w:rsid w:val="005E500B"/>
    <w:rsid w:val="005E50E0"/>
    <w:rsid w:val="005E5BAA"/>
    <w:rsid w:val="005E633A"/>
    <w:rsid w:val="005E7019"/>
    <w:rsid w:val="005E7044"/>
    <w:rsid w:val="005E70EA"/>
    <w:rsid w:val="005E7A24"/>
    <w:rsid w:val="005E7B9F"/>
    <w:rsid w:val="005F0AE8"/>
    <w:rsid w:val="005F1134"/>
    <w:rsid w:val="005F339B"/>
    <w:rsid w:val="005F37F2"/>
    <w:rsid w:val="005F4B20"/>
    <w:rsid w:val="005F59FB"/>
    <w:rsid w:val="005F6A9D"/>
    <w:rsid w:val="005F71C3"/>
    <w:rsid w:val="005F7606"/>
    <w:rsid w:val="005F7D99"/>
    <w:rsid w:val="00602282"/>
    <w:rsid w:val="0060261E"/>
    <w:rsid w:val="006039E7"/>
    <w:rsid w:val="00603B39"/>
    <w:rsid w:val="00603C22"/>
    <w:rsid w:val="00605214"/>
    <w:rsid w:val="00610474"/>
    <w:rsid w:val="0061094C"/>
    <w:rsid w:val="0061151E"/>
    <w:rsid w:val="00612FF8"/>
    <w:rsid w:val="00613155"/>
    <w:rsid w:val="006143A6"/>
    <w:rsid w:val="0061489A"/>
    <w:rsid w:val="006152EA"/>
    <w:rsid w:val="00615519"/>
    <w:rsid w:val="00615A70"/>
    <w:rsid w:val="00615AEB"/>
    <w:rsid w:val="00616559"/>
    <w:rsid w:val="0061782C"/>
    <w:rsid w:val="00620CBC"/>
    <w:rsid w:val="00620F42"/>
    <w:rsid w:val="0062157A"/>
    <w:rsid w:val="00621CB2"/>
    <w:rsid w:val="0062345B"/>
    <w:rsid w:val="006238A5"/>
    <w:rsid w:val="00624B33"/>
    <w:rsid w:val="00625B47"/>
    <w:rsid w:val="00625BAC"/>
    <w:rsid w:val="00625E7D"/>
    <w:rsid w:val="00626B4C"/>
    <w:rsid w:val="00630193"/>
    <w:rsid w:val="0063036B"/>
    <w:rsid w:val="006305A8"/>
    <w:rsid w:val="006318FE"/>
    <w:rsid w:val="0063203F"/>
    <w:rsid w:val="0063205F"/>
    <w:rsid w:val="00633641"/>
    <w:rsid w:val="00633E3D"/>
    <w:rsid w:val="00634CA1"/>
    <w:rsid w:val="0063510E"/>
    <w:rsid w:val="00635F21"/>
    <w:rsid w:val="00636AF8"/>
    <w:rsid w:val="00636FD7"/>
    <w:rsid w:val="0064089D"/>
    <w:rsid w:val="0064289F"/>
    <w:rsid w:val="00644683"/>
    <w:rsid w:val="00644E9F"/>
    <w:rsid w:val="006451AB"/>
    <w:rsid w:val="0064526B"/>
    <w:rsid w:val="006454D6"/>
    <w:rsid w:val="00646225"/>
    <w:rsid w:val="006465E8"/>
    <w:rsid w:val="00646694"/>
    <w:rsid w:val="006467B8"/>
    <w:rsid w:val="00646D1E"/>
    <w:rsid w:val="00646E13"/>
    <w:rsid w:val="0064748E"/>
    <w:rsid w:val="00647D54"/>
    <w:rsid w:val="0065052A"/>
    <w:rsid w:val="00650ADB"/>
    <w:rsid w:val="006524DD"/>
    <w:rsid w:val="00653619"/>
    <w:rsid w:val="006567E3"/>
    <w:rsid w:val="0066047F"/>
    <w:rsid w:val="0066053B"/>
    <w:rsid w:val="00660C41"/>
    <w:rsid w:val="006621E4"/>
    <w:rsid w:val="00663E75"/>
    <w:rsid w:val="00663F2E"/>
    <w:rsid w:val="00664708"/>
    <w:rsid w:val="00665CBE"/>
    <w:rsid w:val="00670A44"/>
    <w:rsid w:val="00670B61"/>
    <w:rsid w:val="00670F75"/>
    <w:rsid w:val="006711B1"/>
    <w:rsid w:val="00674467"/>
    <w:rsid w:val="00674597"/>
    <w:rsid w:val="0067475A"/>
    <w:rsid w:val="00674C7C"/>
    <w:rsid w:val="006757A8"/>
    <w:rsid w:val="0067588B"/>
    <w:rsid w:val="00675D91"/>
    <w:rsid w:val="00676024"/>
    <w:rsid w:val="00676A66"/>
    <w:rsid w:val="006775C3"/>
    <w:rsid w:val="006818E7"/>
    <w:rsid w:val="00683674"/>
    <w:rsid w:val="006838D0"/>
    <w:rsid w:val="00683AA3"/>
    <w:rsid w:val="00683DEC"/>
    <w:rsid w:val="00684D89"/>
    <w:rsid w:val="00684EB9"/>
    <w:rsid w:val="006854DA"/>
    <w:rsid w:val="00685999"/>
    <w:rsid w:val="00685B2C"/>
    <w:rsid w:val="006907B9"/>
    <w:rsid w:val="00691352"/>
    <w:rsid w:val="0069200F"/>
    <w:rsid w:val="006921CA"/>
    <w:rsid w:val="00692D1D"/>
    <w:rsid w:val="00692F07"/>
    <w:rsid w:val="00693729"/>
    <w:rsid w:val="0069391B"/>
    <w:rsid w:val="00693BEC"/>
    <w:rsid w:val="0069440F"/>
    <w:rsid w:val="0069448C"/>
    <w:rsid w:val="00694E71"/>
    <w:rsid w:val="0069503B"/>
    <w:rsid w:val="00695048"/>
    <w:rsid w:val="00695197"/>
    <w:rsid w:val="0069536B"/>
    <w:rsid w:val="00695EFB"/>
    <w:rsid w:val="006971A1"/>
    <w:rsid w:val="006A0218"/>
    <w:rsid w:val="006A0590"/>
    <w:rsid w:val="006A0CBC"/>
    <w:rsid w:val="006A1391"/>
    <w:rsid w:val="006A1530"/>
    <w:rsid w:val="006A15EB"/>
    <w:rsid w:val="006A2C43"/>
    <w:rsid w:val="006A2D9E"/>
    <w:rsid w:val="006A2FDD"/>
    <w:rsid w:val="006A33F0"/>
    <w:rsid w:val="006A3A59"/>
    <w:rsid w:val="006A3C70"/>
    <w:rsid w:val="006A40A1"/>
    <w:rsid w:val="006A4356"/>
    <w:rsid w:val="006A4721"/>
    <w:rsid w:val="006A68A8"/>
    <w:rsid w:val="006A7D50"/>
    <w:rsid w:val="006B0CBA"/>
    <w:rsid w:val="006B10DE"/>
    <w:rsid w:val="006B12BA"/>
    <w:rsid w:val="006B2605"/>
    <w:rsid w:val="006B339A"/>
    <w:rsid w:val="006B3BB9"/>
    <w:rsid w:val="006B453A"/>
    <w:rsid w:val="006B4AB3"/>
    <w:rsid w:val="006B5543"/>
    <w:rsid w:val="006B59E7"/>
    <w:rsid w:val="006C09E1"/>
    <w:rsid w:val="006C0F70"/>
    <w:rsid w:val="006C1C59"/>
    <w:rsid w:val="006C284A"/>
    <w:rsid w:val="006C2C05"/>
    <w:rsid w:val="006C37D0"/>
    <w:rsid w:val="006C4DE5"/>
    <w:rsid w:val="006C5234"/>
    <w:rsid w:val="006C649B"/>
    <w:rsid w:val="006C6C41"/>
    <w:rsid w:val="006C6F29"/>
    <w:rsid w:val="006C7F72"/>
    <w:rsid w:val="006D1592"/>
    <w:rsid w:val="006D2869"/>
    <w:rsid w:val="006D29F1"/>
    <w:rsid w:val="006D5B79"/>
    <w:rsid w:val="006D5E9C"/>
    <w:rsid w:val="006D6403"/>
    <w:rsid w:val="006D64E1"/>
    <w:rsid w:val="006D67AE"/>
    <w:rsid w:val="006D6D0A"/>
    <w:rsid w:val="006D71CE"/>
    <w:rsid w:val="006D7813"/>
    <w:rsid w:val="006D7ABB"/>
    <w:rsid w:val="006D7AEB"/>
    <w:rsid w:val="006E0234"/>
    <w:rsid w:val="006E097B"/>
    <w:rsid w:val="006E226A"/>
    <w:rsid w:val="006E2382"/>
    <w:rsid w:val="006E5E5B"/>
    <w:rsid w:val="006E5F9F"/>
    <w:rsid w:val="006E60DF"/>
    <w:rsid w:val="006E6892"/>
    <w:rsid w:val="006E7B16"/>
    <w:rsid w:val="006E7E40"/>
    <w:rsid w:val="006F081D"/>
    <w:rsid w:val="006F295E"/>
    <w:rsid w:val="006F2E09"/>
    <w:rsid w:val="006F3BD5"/>
    <w:rsid w:val="006F422D"/>
    <w:rsid w:val="006F4909"/>
    <w:rsid w:val="006F5948"/>
    <w:rsid w:val="006F6472"/>
    <w:rsid w:val="006F7761"/>
    <w:rsid w:val="007015DD"/>
    <w:rsid w:val="00701B12"/>
    <w:rsid w:val="007033BD"/>
    <w:rsid w:val="007054BD"/>
    <w:rsid w:val="00706298"/>
    <w:rsid w:val="00707166"/>
    <w:rsid w:val="007077B4"/>
    <w:rsid w:val="007078B1"/>
    <w:rsid w:val="00710A8D"/>
    <w:rsid w:val="007115B4"/>
    <w:rsid w:val="00711676"/>
    <w:rsid w:val="00711A48"/>
    <w:rsid w:val="0071281E"/>
    <w:rsid w:val="007128FA"/>
    <w:rsid w:val="0071407D"/>
    <w:rsid w:val="007144A1"/>
    <w:rsid w:val="007157CF"/>
    <w:rsid w:val="00716FCB"/>
    <w:rsid w:val="00717D31"/>
    <w:rsid w:val="00720C72"/>
    <w:rsid w:val="00720D06"/>
    <w:rsid w:val="007212FE"/>
    <w:rsid w:val="00723841"/>
    <w:rsid w:val="0072553E"/>
    <w:rsid w:val="00726A1E"/>
    <w:rsid w:val="00727372"/>
    <w:rsid w:val="007300AC"/>
    <w:rsid w:val="00731E4B"/>
    <w:rsid w:val="00732A84"/>
    <w:rsid w:val="0073329D"/>
    <w:rsid w:val="007337B6"/>
    <w:rsid w:val="007339DC"/>
    <w:rsid w:val="0073676E"/>
    <w:rsid w:val="00737B23"/>
    <w:rsid w:val="0074010B"/>
    <w:rsid w:val="00740F46"/>
    <w:rsid w:val="007423BB"/>
    <w:rsid w:val="007456E5"/>
    <w:rsid w:val="00746D88"/>
    <w:rsid w:val="0075024B"/>
    <w:rsid w:val="00751512"/>
    <w:rsid w:val="00751BAB"/>
    <w:rsid w:val="007523C1"/>
    <w:rsid w:val="00752634"/>
    <w:rsid w:val="00752755"/>
    <w:rsid w:val="007529F7"/>
    <w:rsid w:val="00752DD5"/>
    <w:rsid w:val="0075315B"/>
    <w:rsid w:val="00753931"/>
    <w:rsid w:val="0075416A"/>
    <w:rsid w:val="007546B9"/>
    <w:rsid w:val="0075498F"/>
    <w:rsid w:val="00755857"/>
    <w:rsid w:val="00756311"/>
    <w:rsid w:val="00756796"/>
    <w:rsid w:val="00756A50"/>
    <w:rsid w:val="00756E80"/>
    <w:rsid w:val="00757200"/>
    <w:rsid w:val="0075769B"/>
    <w:rsid w:val="007608D0"/>
    <w:rsid w:val="00761330"/>
    <w:rsid w:val="0076186C"/>
    <w:rsid w:val="00761E3D"/>
    <w:rsid w:val="00761FE4"/>
    <w:rsid w:val="00762AB8"/>
    <w:rsid w:val="00762CAF"/>
    <w:rsid w:val="00765879"/>
    <w:rsid w:val="007658F3"/>
    <w:rsid w:val="00765DB3"/>
    <w:rsid w:val="00765F07"/>
    <w:rsid w:val="0076662C"/>
    <w:rsid w:val="00767413"/>
    <w:rsid w:val="00770F80"/>
    <w:rsid w:val="00771684"/>
    <w:rsid w:val="0077371C"/>
    <w:rsid w:val="007753C5"/>
    <w:rsid w:val="00775F17"/>
    <w:rsid w:val="007763FE"/>
    <w:rsid w:val="007765B9"/>
    <w:rsid w:val="007769C3"/>
    <w:rsid w:val="00776B8A"/>
    <w:rsid w:val="00777F3C"/>
    <w:rsid w:val="007825EB"/>
    <w:rsid w:val="007833AE"/>
    <w:rsid w:val="0078343C"/>
    <w:rsid w:val="00783F54"/>
    <w:rsid w:val="007856E0"/>
    <w:rsid w:val="007868B2"/>
    <w:rsid w:val="00786B73"/>
    <w:rsid w:val="00786C3F"/>
    <w:rsid w:val="0078790C"/>
    <w:rsid w:val="00787B5C"/>
    <w:rsid w:val="00791C40"/>
    <w:rsid w:val="00792A7A"/>
    <w:rsid w:val="00792BB8"/>
    <w:rsid w:val="00792D46"/>
    <w:rsid w:val="00796640"/>
    <w:rsid w:val="007966D5"/>
    <w:rsid w:val="0079673D"/>
    <w:rsid w:val="00796D48"/>
    <w:rsid w:val="007971EE"/>
    <w:rsid w:val="0079747B"/>
    <w:rsid w:val="007975AB"/>
    <w:rsid w:val="00797B2D"/>
    <w:rsid w:val="007A0A68"/>
    <w:rsid w:val="007A0BDF"/>
    <w:rsid w:val="007A1117"/>
    <w:rsid w:val="007A200F"/>
    <w:rsid w:val="007A25A1"/>
    <w:rsid w:val="007A3673"/>
    <w:rsid w:val="007A3C9F"/>
    <w:rsid w:val="007A43C3"/>
    <w:rsid w:val="007A45A4"/>
    <w:rsid w:val="007A4D72"/>
    <w:rsid w:val="007A5AF1"/>
    <w:rsid w:val="007A65A2"/>
    <w:rsid w:val="007A767F"/>
    <w:rsid w:val="007A7FDD"/>
    <w:rsid w:val="007B0647"/>
    <w:rsid w:val="007B27F4"/>
    <w:rsid w:val="007B2E6C"/>
    <w:rsid w:val="007B3444"/>
    <w:rsid w:val="007B372B"/>
    <w:rsid w:val="007B39B9"/>
    <w:rsid w:val="007B4A6E"/>
    <w:rsid w:val="007B4CD9"/>
    <w:rsid w:val="007B6A38"/>
    <w:rsid w:val="007B6EAD"/>
    <w:rsid w:val="007B76E5"/>
    <w:rsid w:val="007C020A"/>
    <w:rsid w:val="007C03E1"/>
    <w:rsid w:val="007C0A77"/>
    <w:rsid w:val="007C0D62"/>
    <w:rsid w:val="007C2A29"/>
    <w:rsid w:val="007C2D48"/>
    <w:rsid w:val="007C301F"/>
    <w:rsid w:val="007C52FF"/>
    <w:rsid w:val="007C54C7"/>
    <w:rsid w:val="007C7B1C"/>
    <w:rsid w:val="007C7F71"/>
    <w:rsid w:val="007D03A3"/>
    <w:rsid w:val="007D061C"/>
    <w:rsid w:val="007D08D4"/>
    <w:rsid w:val="007D1220"/>
    <w:rsid w:val="007D173B"/>
    <w:rsid w:val="007D18E5"/>
    <w:rsid w:val="007D1A2D"/>
    <w:rsid w:val="007D1C9B"/>
    <w:rsid w:val="007D3428"/>
    <w:rsid w:val="007D42BD"/>
    <w:rsid w:val="007D490B"/>
    <w:rsid w:val="007D523F"/>
    <w:rsid w:val="007D5DA9"/>
    <w:rsid w:val="007E0039"/>
    <w:rsid w:val="007E0909"/>
    <w:rsid w:val="007E1541"/>
    <w:rsid w:val="007E2B4F"/>
    <w:rsid w:val="007E2BE4"/>
    <w:rsid w:val="007E3CE5"/>
    <w:rsid w:val="007E447C"/>
    <w:rsid w:val="007E4BFB"/>
    <w:rsid w:val="007E4CAE"/>
    <w:rsid w:val="007E5BD6"/>
    <w:rsid w:val="007E5F4F"/>
    <w:rsid w:val="007E75FF"/>
    <w:rsid w:val="007E76F3"/>
    <w:rsid w:val="007F0133"/>
    <w:rsid w:val="007F0C9C"/>
    <w:rsid w:val="007F0FC8"/>
    <w:rsid w:val="007F12EC"/>
    <w:rsid w:val="007F1CF2"/>
    <w:rsid w:val="007F2592"/>
    <w:rsid w:val="007F4014"/>
    <w:rsid w:val="007F47C3"/>
    <w:rsid w:val="007F4BE4"/>
    <w:rsid w:val="00800CB9"/>
    <w:rsid w:val="00800E2A"/>
    <w:rsid w:val="00801C4D"/>
    <w:rsid w:val="00802CD1"/>
    <w:rsid w:val="00803989"/>
    <w:rsid w:val="00803FA3"/>
    <w:rsid w:val="00803FE8"/>
    <w:rsid w:val="00804171"/>
    <w:rsid w:val="00804EFC"/>
    <w:rsid w:val="0080529D"/>
    <w:rsid w:val="0080608C"/>
    <w:rsid w:val="00807525"/>
    <w:rsid w:val="00807A36"/>
    <w:rsid w:val="00810A80"/>
    <w:rsid w:val="008125CA"/>
    <w:rsid w:val="00812CE6"/>
    <w:rsid w:val="00813E3F"/>
    <w:rsid w:val="00813F3A"/>
    <w:rsid w:val="0081690A"/>
    <w:rsid w:val="0081743A"/>
    <w:rsid w:val="008179E8"/>
    <w:rsid w:val="00817FE2"/>
    <w:rsid w:val="008200DD"/>
    <w:rsid w:val="008201CA"/>
    <w:rsid w:val="00822F4A"/>
    <w:rsid w:val="00823434"/>
    <w:rsid w:val="00823600"/>
    <w:rsid w:val="00823693"/>
    <w:rsid w:val="00824245"/>
    <w:rsid w:val="008242B3"/>
    <w:rsid w:val="008252E9"/>
    <w:rsid w:val="00826E2A"/>
    <w:rsid w:val="00832626"/>
    <w:rsid w:val="00832C1A"/>
    <w:rsid w:val="00833FD8"/>
    <w:rsid w:val="00835B0B"/>
    <w:rsid w:val="008372BE"/>
    <w:rsid w:val="00837713"/>
    <w:rsid w:val="00840998"/>
    <w:rsid w:val="00840C6A"/>
    <w:rsid w:val="008415A4"/>
    <w:rsid w:val="00842155"/>
    <w:rsid w:val="00842BA5"/>
    <w:rsid w:val="008440D9"/>
    <w:rsid w:val="00846158"/>
    <w:rsid w:val="00847108"/>
    <w:rsid w:val="008501D4"/>
    <w:rsid w:val="008502B2"/>
    <w:rsid w:val="008514F6"/>
    <w:rsid w:val="00851AF8"/>
    <w:rsid w:val="00851CDE"/>
    <w:rsid w:val="00852517"/>
    <w:rsid w:val="00852A4A"/>
    <w:rsid w:val="00853D1C"/>
    <w:rsid w:val="00854433"/>
    <w:rsid w:val="008552AF"/>
    <w:rsid w:val="008553C5"/>
    <w:rsid w:val="00855ABD"/>
    <w:rsid w:val="00856230"/>
    <w:rsid w:val="00856326"/>
    <w:rsid w:val="008571B8"/>
    <w:rsid w:val="00857F5C"/>
    <w:rsid w:val="008615DC"/>
    <w:rsid w:val="008626FD"/>
    <w:rsid w:val="008628AD"/>
    <w:rsid w:val="00863001"/>
    <w:rsid w:val="00863552"/>
    <w:rsid w:val="008637D8"/>
    <w:rsid w:val="00863BD7"/>
    <w:rsid w:val="00864155"/>
    <w:rsid w:val="0086428C"/>
    <w:rsid w:val="00864A82"/>
    <w:rsid w:val="008658AE"/>
    <w:rsid w:val="0086671C"/>
    <w:rsid w:val="0086721B"/>
    <w:rsid w:val="008705B1"/>
    <w:rsid w:val="00870A4C"/>
    <w:rsid w:val="00870ABF"/>
    <w:rsid w:val="00872924"/>
    <w:rsid w:val="00873922"/>
    <w:rsid w:val="00873E35"/>
    <w:rsid w:val="00874B6D"/>
    <w:rsid w:val="00875191"/>
    <w:rsid w:val="0087618F"/>
    <w:rsid w:val="00876363"/>
    <w:rsid w:val="00877039"/>
    <w:rsid w:val="0087789B"/>
    <w:rsid w:val="0088036D"/>
    <w:rsid w:val="008808E6"/>
    <w:rsid w:val="0088437B"/>
    <w:rsid w:val="00884FE6"/>
    <w:rsid w:val="00885642"/>
    <w:rsid w:val="00885A34"/>
    <w:rsid w:val="0088647A"/>
    <w:rsid w:val="00886BA7"/>
    <w:rsid w:val="0088733C"/>
    <w:rsid w:val="00887937"/>
    <w:rsid w:val="0089024F"/>
    <w:rsid w:val="00890D58"/>
    <w:rsid w:val="008915F6"/>
    <w:rsid w:val="008924DA"/>
    <w:rsid w:val="00892514"/>
    <w:rsid w:val="00892545"/>
    <w:rsid w:val="00893094"/>
    <w:rsid w:val="00893A6A"/>
    <w:rsid w:val="00893DDC"/>
    <w:rsid w:val="0089561B"/>
    <w:rsid w:val="00895636"/>
    <w:rsid w:val="00895EE8"/>
    <w:rsid w:val="0089700E"/>
    <w:rsid w:val="00897371"/>
    <w:rsid w:val="00897E23"/>
    <w:rsid w:val="008A021B"/>
    <w:rsid w:val="008A0CE7"/>
    <w:rsid w:val="008A0FBA"/>
    <w:rsid w:val="008A1481"/>
    <w:rsid w:val="008A14E6"/>
    <w:rsid w:val="008A17E7"/>
    <w:rsid w:val="008A3142"/>
    <w:rsid w:val="008A3C7B"/>
    <w:rsid w:val="008A3DA5"/>
    <w:rsid w:val="008A5215"/>
    <w:rsid w:val="008A5552"/>
    <w:rsid w:val="008A576F"/>
    <w:rsid w:val="008A62DC"/>
    <w:rsid w:val="008A6662"/>
    <w:rsid w:val="008A68C0"/>
    <w:rsid w:val="008A77C4"/>
    <w:rsid w:val="008A7DD3"/>
    <w:rsid w:val="008A7F1F"/>
    <w:rsid w:val="008B0042"/>
    <w:rsid w:val="008B0626"/>
    <w:rsid w:val="008B0B0C"/>
    <w:rsid w:val="008B12E8"/>
    <w:rsid w:val="008B1941"/>
    <w:rsid w:val="008B3DB3"/>
    <w:rsid w:val="008B5355"/>
    <w:rsid w:val="008B54E0"/>
    <w:rsid w:val="008B5DB9"/>
    <w:rsid w:val="008B6AD0"/>
    <w:rsid w:val="008B6C11"/>
    <w:rsid w:val="008C108D"/>
    <w:rsid w:val="008C1EF9"/>
    <w:rsid w:val="008C3967"/>
    <w:rsid w:val="008C3AA0"/>
    <w:rsid w:val="008C40F0"/>
    <w:rsid w:val="008C464C"/>
    <w:rsid w:val="008C4C19"/>
    <w:rsid w:val="008C5433"/>
    <w:rsid w:val="008C63CA"/>
    <w:rsid w:val="008C6712"/>
    <w:rsid w:val="008D0346"/>
    <w:rsid w:val="008D0389"/>
    <w:rsid w:val="008D2938"/>
    <w:rsid w:val="008D3620"/>
    <w:rsid w:val="008D37C1"/>
    <w:rsid w:val="008D5EA2"/>
    <w:rsid w:val="008D6C6B"/>
    <w:rsid w:val="008D6D49"/>
    <w:rsid w:val="008D71D6"/>
    <w:rsid w:val="008E00BB"/>
    <w:rsid w:val="008E299C"/>
    <w:rsid w:val="008E4D48"/>
    <w:rsid w:val="008E59D4"/>
    <w:rsid w:val="008E7FCB"/>
    <w:rsid w:val="008F015B"/>
    <w:rsid w:val="008F01A5"/>
    <w:rsid w:val="008F02D3"/>
    <w:rsid w:val="008F0C08"/>
    <w:rsid w:val="008F2FC5"/>
    <w:rsid w:val="008F3C81"/>
    <w:rsid w:val="008F3E9C"/>
    <w:rsid w:val="008F4607"/>
    <w:rsid w:val="008F5579"/>
    <w:rsid w:val="008F6B95"/>
    <w:rsid w:val="008F6EB0"/>
    <w:rsid w:val="008F7375"/>
    <w:rsid w:val="008F7A25"/>
    <w:rsid w:val="008F7C97"/>
    <w:rsid w:val="008F7F77"/>
    <w:rsid w:val="008F7FF7"/>
    <w:rsid w:val="009007D7"/>
    <w:rsid w:val="009019FD"/>
    <w:rsid w:val="009037BD"/>
    <w:rsid w:val="00904909"/>
    <w:rsid w:val="00905A89"/>
    <w:rsid w:val="00906922"/>
    <w:rsid w:val="009076AC"/>
    <w:rsid w:val="0091080A"/>
    <w:rsid w:val="00910A45"/>
    <w:rsid w:val="00911EB2"/>
    <w:rsid w:val="00912A6F"/>
    <w:rsid w:val="009134C4"/>
    <w:rsid w:val="00914FB9"/>
    <w:rsid w:val="0091576E"/>
    <w:rsid w:val="00916298"/>
    <w:rsid w:val="009206BD"/>
    <w:rsid w:val="0092169D"/>
    <w:rsid w:val="009218CF"/>
    <w:rsid w:val="00921E6E"/>
    <w:rsid w:val="00922519"/>
    <w:rsid w:val="00922621"/>
    <w:rsid w:val="00924A18"/>
    <w:rsid w:val="009258A8"/>
    <w:rsid w:val="00925929"/>
    <w:rsid w:val="00926B46"/>
    <w:rsid w:val="00927117"/>
    <w:rsid w:val="009273D7"/>
    <w:rsid w:val="0093094B"/>
    <w:rsid w:val="009319F6"/>
    <w:rsid w:val="009325A7"/>
    <w:rsid w:val="009328C3"/>
    <w:rsid w:val="00932D63"/>
    <w:rsid w:val="00932F41"/>
    <w:rsid w:val="0093337E"/>
    <w:rsid w:val="009348C9"/>
    <w:rsid w:val="0093499C"/>
    <w:rsid w:val="009349B5"/>
    <w:rsid w:val="00936F3E"/>
    <w:rsid w:val="00937AD4"/>
    <w:rsid w:val="00940DA9"/>
    <w:rsid w:val="009416C4"/>
    <w:rsid w:val="0094317F"/>
    <w:rsid w:val="00944AA7"/>
    <w:rsid w:val="0094572A"/>
    <w:rsid w:val="009457F5"/>
    <w:rsid w:val="00947281"/>
    <w:rsid w:val="0094756C"/>
    <w:rsid w:val="00950319"/>
    <w:rsid w:val="00950C49"/>
    <w:rsid w:val="00950F11"/>
    <w:rsid w:val="00951D43"/>
    <w:rsid w:val="00951DD0"/>
    <w:rsid w:val="00951F3D"/>
    <w:rsid w:val="00952C1A"/>
    <w:rsid w:val="009533F8"/>
    <w:rsid w:val="009564E2"/>
    <w:rsid w:val="0095666C"/>
    <w:rsid w:val="00957FB4"/>
    <w:rsid w:val="00960440"/>
    <w:rsid w:val="00961885"/>
    <w:rsid w:val="00962EDA"/>
    <w:rsid w:val="00962FA1"/>
    <w:rsid w:val="009632AF"/>
    <w:rsid w:val="009639E6"/>
    <w:rsid w:val="00964A14"/>
    <w:rsid w:val="00965EE8"/>
    <w:rsid w:val="00966902"/>
    <w:rsid w:val="0096709D"/>
    <w:rsid w:val="0096737A"/>
    <w:rsid w:val="00967640"/>
    <w:rsid w:val="00971175"/>
    <w:rsid w:val="00971389"/>
    <w:rsid w:val="009723A4"/>
    <w:rsid w:val="00972750"/>
    <w:rsid w:val="00973F28"/>
    <w:rsid w:val="00975D7E"/>
    <w:rsid w:val="0098180F"/>
    <w:rsid w:val="00982617"/>
    <w:rsid w:val="00982D0C"/>
    <w:rsid w:val="00983724"/>
    <w:rsid w:val="00983AF9"/>
    <w:rsid w:val="00985698"/>
    <w:rsid w:val="0098597B"/>
    <w:rsid w:val="0099103F"/>
    <w:rsid w:val="009910E8"/>
    <w:rsid w:val="00991939"/>
    <w:rsid w:val="00992856"/>
    <w:rsid w:val="009928B4"/>
    <w:rsid w:val="00992A0B"/>
    <w:rsid w:val="00992AB5"/>
    <w:rsid w:val="0099598E"/>
    <w:rsid w:val="00995BFD"/>
    <w:rsid w:val="009A2B8C"/>
    <w:rsid w:val="009A2E2B"/>
    <w:rsid w:val="009A4C60"/>
    <w:rsid w:val="009A508F"/>
    <w:rsid w:val="009A5CC9"/>
    <w:rsid w:val="009A5EBD"/>
    <w:rsid w:val="009A6F96"/>
    <w:rsid w:val="009A7149"/>
    <w:rsid w:val="009A7843"/>
    <w:rsid w:val="009A7C57"/>
    <w:rsid w:val="009B11AB"/>
    <w:rsid w:val="009B196C"/>
    <w:rsid w:val="009B4282"/>
    <w:rsid w:val="009B445B"/>
    <w:rsid w:val="009B6031"/>
    <w:rsid w:val="009B6A7B"/>
    <w:rsid w:val="009B721C"/>
    <w:rsid w:val="009B7B01"/>
    <w:rsid w:val="009B7CD4"/>
    <w:rsid w:val="009B7D73"/>
    <w:rsid w:val="009C2B36"/>
    <w:rsid w:val="009C3AF4"/>
    <w:rsid w:val="009C5567"/>
    <w:rsid w:val="009C55B5"/>
    <w:rsid w:val="009C5ECF"/>
    <w:rsid w:val="009C6D9D"/>
    <w:rsid w:val="009C7343"/>
    <w:rsid w:val="009D12FE"/>
    <w:rsid w:val="009D21AF"/>
    <w:rsid w:val="009D29D0"/>
    <w:rsid w:val="009D3488"/>
    <w:rsid w:val="009D3EE5"/>
    <w:rsid w:val="009D4D43"/>
    <w:rsid w:val="009D5741"/>
    <w:rsid w:val="009D79EC"/>
    <w:rsid w:val="009E0608"/>
    <w:rsid w:val="009E2202"/>
    <w:rsid w:val="009E28D8"/>
    <w:rsid w:val="009E357C"/>
    <w:rsid w:val="009E38AD"/>
    <w:rsid w:val="009E3B26"/>
    <w:rsid w:val="009E4D39"/>
    <w:rsid w:val="009E5748"/>
    <w:rsid w:val="009E7E5C"/>
    <w:rsid w:val="009F0A4D"/>
    <w:rsid w:val="009F1872"/>
    <w:rsid w:val="009F34D8"/>
    <w:rsid w:val="009F48CF"/>
    <w:rsid w:val="009F5717"/>
    <w:rsid w:val="009F5E22"/>
    <w:rsid w:val="009F7C39"/>
    <w:rsid w:val="00A001B3"/>
    <w:rsid w:val="00A001F6"/>
    <w:rsid w:val="00A005B8"/>
    <w:rsid w:val="00A019F3"/>
    <w:rsid w:val="00A025C9"/>
    <w:rsid w:val="00A02738"/>
    <w:rsid w:val="00A03341"/>
    <w:rsid w:val="00A0425F"/>
    <w:rsid w:val="00A045C5"/>
    <w:rsid w:val="00A04F8E"/>
    <w:rsid w:val="00A05D6D"/>
    <w:rsid w:val="00A06E42"/>
    <w:rsid w:val="00A07398"/>
    <w:rsid w:val="00A07F28"/>
    <w:rsid w:val="00A07F94"/>
    <w:rsid w:val="00A1086F"/>
    <w:rsid w:val="00A110EA"/>
    <w:rsid w:val="00A11DC9"/>
    <w:rsid w:val="00A13949"/>
    <w:rsid w:val="00A13BE6"/>
    <w:rsid w:val="00A1528E"/>
    <w:rsid w:val="00A155A9"/>
    <w:rsid w:val="00A15D1F"/>
    <w:rsid w:val="00A17131"/>
    <w:rsid w:val="00A22BF5"/>
    <w:rsid w:val="00A24FEA"/>
    <w:rsid w:val="00A251B3"/>
    <w:rsid w:val="00A26376"/>
    <w:rsid w:val="00A26CC7"/>
    <w:rsid w:val="00A26E44"/>
    <w:rsid w:val="00A276F1"/>
    <w:rsid w:val="00A27D1A"/>
    <w:rsid w:val="00A302E8"/>
    <w:rsid w:val="00A304B5"/>
    <w:rsid w:val="00A3127D"/>
    <w:rsid w:val="00A31E3F"/>
    <w:rsid w:val="00A32247"/>
    <w:rsid w:val="00A32E61"/>
    <w:rsid w:val="00A33385"/>
    <w:rsid w:val="00A346A0"/>
    <w:rsid w:val="00A3546B"/>
    <w:rsid w:val="00A36F1D"/>
    <w:rsid w:val="00A37347"/>
    <w:rsid w:val="00A37ADF"/>
    <w:rsid w:val="00A40BF7"/>
    <w:rsid w:val="00A42B0C"/>
    <w:rsid w:val="00A434E8"/>
    <w:rsid w:val="00A437C8"/>
    <w:rsid w:val="00A44535"/>
    <w:rsid w:val="00A44682"/>
    <w:rsid w:val="00A46482"/>
    <w:rsid w:val="00A47170"/>
    <w:rsid w:val="00A47266"/>
    <w:rsid w:val="00A50105"/>
    <w:rsid w:val="00A50AE8"/>
    <w:rsid w:val="00A50C15"/>
    <w:rsid w:val="00A51015"/>
    <w:rsid w:val="00A5206F"/>
    <w:rsid w:val="00A543A6"/>
    <w:rsid w:val="00A5478D"/>
    <w:rsid w:val="00A54EF5"/>
    <w:rsid w:val="00A57BEB"/>
    <w:rsid w:val="00A57DAF"/>
    <w:rsid w:val="00A609F3"/>
    <w:rsid w:val="00A6272F"/>
    <w:rsid w:val="00A655E1"/>
    <w:rsid w:val="00A6698F"/>
    <w:rsid w:val="00A67D10"/>
    <w:rsid w:val="00A70544"/>
    <w:rsid w:val="00A70CB4"/>
    <w:rsid w:val="00A71A2F"/>
    <w:rsid w:val="00A71DC0"/>
    <w:rsid w:val="00A72017"/>
    <w:rsid w:val="00A72B18"/>
    <w:rsid w:val="00A766D2"/>
    <w:rsid w:val="00A767B6"/>
    <w:rsid w:val="00A7690D"/>
    <w:rsid w:val="00A7753A"/>
    <w:rsid w:val="00A777CD"/>
    <w:rsid w:val="00A777F3"/>
    <w:rsid w:val="00A77ABC"/>
    <w:rsid w:val="00A8003E"/>
    <w:rsid w:val="00A80218"/>
    <w:rsid w:val="00A80797"/>
    <w:rsid w:val="00A81090"/>
    <w:rsid w:val="00A81DB5"/>
    <w:rsid w:val="00A82D0E"/>
    <w:rsid w:val="00A8402D"/>
    <w:rsid w:val="00A85246"/>
    <w:rsid w:val="00A85275"/>
    <w:rsid w:val="00A86168"/>
    <w:rsid w:val="00A870F8"/>
    <w:rsid w:val="00A87D06"/>
    <w:rsid w:val="00A921F8"/>
    <w:rsid w:val="00A93804"/>
    <w:rsid w:val="00A941BF"/>
    <w:rsid w:val="00A950F0"/>
    <w:rsid w:val="00A95C0E"/>
    <w:rsid w:val="00A96628"/>
    <w:rsid w:val="00A96AF0"/>
    <w:rsid w:val="00A97352"/>
    <w:rsid w:val="00A97D70"/>
    <w:rsid w:val="00A97DB3"/>
    <w:rsid w:val="00AA05B3"/>
    <w:rsid w:val="00AA1312"/>
    <w:rsid w:val="00AA2988"/>
    <w:rsid w:val="00AA3598"/>
    <w:rsid w:val="00AA375F"/>
    <w:rsid w:val="00AA4101"/>
    <w:rsid w:val="00AA638F"/>
    <w:rsid w:val="00AA65C6"/>
    <w:rsid w:val="00AA6EC5"/>
    <w:rsid w:val="00AA72C4"/>
    <w:rsid w:val="00AA7909"/>
    <w:rsid w:val="00AA793A"/>
    <w:rsid w:val="00AB0759"/>
    <w:rsid w:val="00AB29B0"/>
    <w:rsid w:val="00AB4879"/>
    <w:rsid w:val="00AB4D1D"/>
    <w:rsid w:val="00AB5715"/>
    <w:rsid w:val="00AB6093"/>
    <w:rsid w:val="00AB74A1"/>
    <w:rsid w:val="00AB7B17"/>
    <w:rsid w:val="00AC0616"/>
    <w:rsid w:val="00AC1C68"/>
    <w:rsid w:val="00AC3AFC"/>
    <w:rsid w:val="00AC4000"/>
    <w:rsid w:val="00AC45B7"/>
    <w:rsid w:val="00AC4C36"/>
    <w:rsid w:val="00AC5A9B"/>
    <w:rsid w:val="00AC76FE"/>
    <w:rsid w:val="00AC7774"/>
    <w:rsid w:val="00AD142A"/>
    <w:rsid w:val="00AD3067"/>
    <w:rsid w:val="00AD4054"/>
    <w:rsid w:val="00AD54CE"/>
    <w:rsid w:val="00AD5849"/>
    <w:rsid w:val="00AD5EDB"/>
    <w:rsid w:val="00AD7374"/>
    <w:rsid w:val="00AD77D4"/>
    <w:rsid w:val="00AD7A29"/>
    <w:rsid w:val="00AE01BC"/>
    <w:rsid w:val="00AE1CCC"/>
    <w:rsid w:val="00AE201E"/>
    <w:rsid w:val="00AE33AB"/>
    <w:rsid w:val="00AE474C"/>
    <w:rsid w:val="00AE4FC0"/>
    <w:rsid w:val="00AE608D"/>
    <w:rsid w:val="00AE6436"/>
    <w:rsid w:val="00AE66FC"/>
    <w:rsid w:val="00AE74B3"/>
    <w:rsid w:val="00AF0541"/>
    <w:rsid w:val="00AF0CFC"/>
    <w:rsid w:val="00AF1F26"/>
    <w:rsid w:val="00AF24A1"/>
    <w:rsid w:val="00AF2D45"/>
    <w:rsid w:val="00AF2DC1"/>
    <w:rsid w:val="00AF57F8"/>
    <w:rsid w:val="00AF67E4"/>
    <w:rsid w:val="00AF745C"/>
    <w:rsid w:val="00B0018B"/>
    <w:rsid w:val="00B007B6"/>
    <w:rsid w:val="00B013DF"/>
    <w:rsid w:val="00B016E9"/>
    <w:rsid w:val="00B02607"/>
    <w:rsid w:val="00B036CB"/>
    <w:rsid w:val="00B03C60"/>
    <w:rsid w:val="00B051ED"/>
    <w:rsid w:val="00B053A2"/>
    <w:rsid w:val="00B0607F"/>
    <w:rsid w:val="00B0636C"/>
    <w:rsid w:val="00B069AE"/>
    <w:rsid w:val="00B07F45"/>
    <w:rsid w:val="00B11035"/>
    <w:rsid w:val="00B11AC3"/>
    <w:rsid w:val="00B120A7"/>
    <w:rsid w:val="00B12A33"/>
    <w:rsid w:val="00B14556"/>
    <w:rsid w:val="00B1526B"/>
    <w:rsid w:val="00B1527D"/>
    <w:rsid w:val="00B16D44"/>
    <w:rsid w:val="00B16DBB"/>
    <w:rsid w:val="00B172B1"/>
    <w:rsid w:val="00B17380"/>
    <w:rsid w:val="00B1767A"/>
    <w:rsid w:val="00B17DC6"/>
    <w:rsid w:val="00B20224"/>
    <w:rsid w:val="00B20BE7"/>
    <w:rsid w:val="00B22A76"/>
    <w:rsid w:val="00B23F04"/>
    <w:rsid w:val="00B24816"/>
    <w:rsid w:val="00B273A8"/>
    <w:rsid w:val="00B27EA0"/>
    <w:rsid w:val="00B30227"/>
    <w:rsid w:val="00B3097E"/>
    <w:rsid w:val="00B30AF6"/>
    <w:rsid w:val="00B33C1C"/>
    <w:rsid w:val="00B36785"/>
    <w:rsid w:val="00B408AA"/>
    <w:rsid w:val="00B4161A"/>
    <w:rsid w:val="00B41A91"/>
    <w:rsid w:val="00B4213A"/>
    <w:rsid w:val="00B42B1E"/>
    <w:rsid w:val="00B430CC"/>
    <w:rsid w:val="00B43172"/>
    <w:rsid w:val="00B4491A"/>
    <w:rsid w:val="00B45362"/>
    <w:rsid w:val="00B474E4"/>
    <w:rsid w:val="00B478FC"/>
    <w:rsid w:val="00B509C5"/>
    <w:rsid w:val="00B50A21"/>
    <w:rsid w:val="00B518C1"/>
    <w:rsid w:val="00B53858"/>
    <w:rsid w:val="00B53C83"/>
    <w:rsid w:val="00B53E6A"/>
    <w:rsid w:val="00B559FD"/>
    <w:rsid w:val="00B602AF"/>
    <w:rsid w:val="00B60C20"/>
    <w:rsid w:val="00B617DB"/>
    <w:rsid w:val="00B617E0"/>
    <w:rsid w:val="00B63813"/>
    <w:rsid w:val="00B650AC"/>
    <w:rsid w:val="00B65150"/>
    <w:rsid w:val="00B65F11"/>
    <w:rsid w:val="00B66850"/>
    <w:rsid w:val="00B668B0"/>
    <w:rsid w:val="00B715FC"/>
    <w:rsid w:val="00B72883"/>
    <w:rsid w:val="00B72C25"/>
    <w:rsid w:val="00B72CF5"/>
    <w:rsid w:val="00B7338F"/>
    <w:rsid w:val="00B73453"/>
    <w:rsid w:val="00B73938"/>
    <w:rsid w:val="00B73A82"/>
    <w:rsid w:val="00B7450A"/>
    <w:rsid w:val="00B7642C"/>
    <w:rsid w:val="00B764D4"/>
    <w:rsid w:val="00B76E99"/>
    <w:rsid w:val="00B770B6"/>
    <w:rsid w:val="00B803E9"/>
    <w:rsid w:val="00B80ECC"/>
    <w:rsid w:val="00B81C65"/>
    <w:rsid w:val="00B82BBC"/>
    <w:rsid w:val="00B837E7"/>
    <w:rsid w:val="00B83BCF"/>
    <w:rsid w:val="00B83C09"/>
    <w:rsid w:val="00B850C3"/>
    <w:rsid w:val="00B85C34"/>
    <w:rsid w:val="00B864F5"/>
    <w:rsid w:val="00B90C35"/>
    <w:rsid w:val="00B9147B"/>
    <w:rsid w:val="00B915B1"/>
    <w:rsid w:val="00B91711"/>
    <w:rsid w:val="00B92A90"/>
    <w:rsid w:val="00B92CA4"/>
    <w:rsid w:val="00B930DD"/>
    <w:rsid w:val="00B9478C"/>
    <w:rsid w:val="00B950AE"/>
    <w:rsid w:val="00B955D7"/>
    <w:rsid w:val="00B956EA"/>
    <w:rsid w:val="00B9620E"/>
    <w:rsid w:val="00B96A94"/>
    <w:rsid w:val="00B97311"/>
    <w:rsid w:val="00BA040A"/>
    <w:rsid w:val="00BA0C71"/>
    <w:rsid w:val="00BA1EBF"/>
    <w:rsid w:val="00BA26EA"/>
    <w:rsid w:val="00BA2C4C"/>
    <w:rsid w:val="00BA2CB4"/>
    <w:rsid w:val="00BA38EF"/>
    <w:rsid w:val="00BA3AFE"/>
    <w:rsid w:val="00BA5FAE"/>
    <w:rsid w:val="00BA78D5"/>
    <w:rsid w:val="00BA7BD5"/>
    <w:rsid w:val="00BB0769"/>
    <w:rsid w:val="00BB0D8B"/>
    <w:rsid w:val="00BB1145"/>
    <w:rsid w:val="00BB1CE3"/>
    <w:rsid w:val="00BB2031"/>
    <w:rsid w:val="00BB2508"/>
    <w:rsid w:val="00BB29E4"/>
    <w:rsid w:val="00BB3143"/>
    <w:rsid w:val="00BB3AC3"/>
    <w:rsid w:val="00BB4C84"/>
    <w:rsid w:val="00BB5503"/>
    <w:rsid w:val="00BB5622"/>
    <w:rsid w:val="00BB60D1"/>
    <w:rsid w:val="00BB7F68"/>
    <w:rsid w:val="00BC0E43"/>
    <w:rsid w:val="00BC121B"/>
    <w:rsid w:val="00BC1EBB"/>
    <w:rsid w:val="00BC2B7C"/>
    <w:rsid w:val="00BC2E39"/>
    <w:rsid w:val="00BC38B7"/>
    <w:rsid w:val="00BC4125"/>
    <w:rsid w:val="00BC4E54"/>
    <w:rsid w:val="00BC4EDD"/>
    <w:rsid w:val="00BC4FE7"/>
    <w:rsid w:val="00BC513E"/>
    <w:rsid w:val="00BC52F1"/>
    <w:rsid w:val="00BC63E0"/>
    <w:rsid w:val="00BC75E4"/>
    <w:rsid w:val="00BC7B97"/>
    <w:rsid w:val="00BD01A2"/>
    <w:rsid w:val="00BD025F"/>
    <w:rsid w:val="00BD09A6"/>
    <w:rsid w:val="00BD1573"/>
    <w:rsid w:val="00BD18BB"/>
    <w:rsid w:val="00BD1DA5"/>
    <w:rsid w:val="00BD1F48"/>
    <w:rsid w:val="00BD2EFD"/>
    <w:rsid w:val="00BD5FF7"/>
    <w:rsid w:val="00BD6A85"/>
    <w:rsid w:val="00BD79EC"/>
    <w:rsid w:val="00BD7EF0"/>
    <w:rsid w:val="00BE10FC"/>
    <w:rsid w:val="00BE1716"/>
    <w:rsid w:val="00BE1A15"/>
    <w:rsid w:val="00BE21BA"/>
    <w:rsid w:val="00BE2BAC"/>
    <w:rsid w:val="00BE3F16"/>
    <w:rsid w:val="00BE41E3"/>
    <w:rsid w:val="00BE45B0"/>
    <w:rsid w:val="00BE4919"/>
    <w:rsid w:val="00BE4971"/>
    <w:rsid w:val="00BE4EEA"/>
    <w:rsid w:val="00BE5872"/>
    <w:rsid w:val="00BE60BF"/>
    <w:rsid w:val="00BE631E"/>
    <w:rsid w:val="00BE78B1"/>
    <w:rsid w:val="00BE7B77"/>
    <w:rsid w:val="00BF1E3E"/>
    <w:rsid w:val="00BF245B"/>
    <w:rsid w:val="00BF25B3"/>
    <w:rsid w:val="00BF2DEF"/>
    <w:rsid w:val="00BF3A2C"/>
    <w:rsid w:val="00BF3B69"/>
    <w:rsid w:val="00BF4CF8"/>
    <w:rsid w:val="00BF5959"/>
    <w:rsid w:val="00BF6184"/>
    <w:rsid w:val="00BF6A46"/>
    <w:rsid w:val="00BF6DF3"/>
    <w:rsid w:val="00BF6F74"/>
    <w:rsid w:val="00BF7453"/>
    <w:rsid w:val="00C002BC"/>
    <w:rsid w:val="00C014B2"/>
    <w:rsid w:val="00C02076"/>
    <w:rsid w:val="00C03368"/>
    <w:rsid w:val="00C047BB"/>
    <w:rsid w:val="00C06250"/>
    <w:rsid w:val="00C0704F"/>
    <w:rsid w:val="00C07858"/>
    <w:rsid w:val="00C10BF2"/>
    <w:rsid w:val="00C10C29"/>
    <w:rsid w:val="00C13018"/>
    <w:rsid w:val="00C13AC2"/>
    <w:rsid w:val="00C1448D"/>
    <w:rsid w:val="00C154EA"/>
    <w:rsid w:val="00C162C9"/>
    <w:rsid w:val="00C1662E"/>
    <w:rsid w:val="00C204CB"/>
    <w:rsid w:val="00C2087C"/>
    <w:rsid w:val="00C20DB7"/>
    <w:rsid w:val="00C24310"/>
    <w:rsid w:val="00C25669"/>
    <w:rsid w:val="00C262B2"/>
    <w:rsid w:val="00C26D92"/>
    <w:rsid w:val="00C278C0"/>
    <w:rsid w:val="00C3079E"/>
    <w:rsid w:val="00C30A57"/>
    <w:rsid w:val="00C318F1"/>
    <w:rsid w:val="00C3292C"/>
    <w:rsid w:val="00C3311B"/>
    <w:rsid w:val="00C333FB"/>
    <w:rsid w:val="00C33E06"/>
    <w:rsid w:val="00C3425E"/>
    <w:rsid w:val="00C35176"/>
    <w:rsid w:val="00C35188"/>
    <w:rsid w:val="00C35621"/>
    <w:rsid w:val="00C35B8C"/>
    <w:rsid w:val="00C37034"/>
    <w:rsid w:val="00C372D5"/>
    <w:rsid w:val="00C379EA"/>
    <w:rsid w:val="00C37EC7"/>
    <w:rsid w:val="00C4084F"/>
    <w:rsid w:val="00C40989"/>
    <w:rsid w:val="00C4214A"/>
    <w:rsid w:val="00C428E4"/>
    <w:rsid w:val="00C432EC"/>
    <w:rsid w:val="00C437B0"/>
    <w:rsid w:val="00C43C3F"/>
    <w:rsid w:val="00C43D00"/>
    <w:rsid w:val="00C44A49"/>
    <w:rsid w:val="00C46D0D"/>
    <w:rsid w:val="00C515F1"/>
    <w:rsid w:val="00C51C66"/>
    <w:rsid w:val="00C53098"/>
    <w:rsid w:val="00C53681"/>
    <w:rsid w:val="00C5405C"/>
    <w:rsid w:val="00C55364"/>
    <w:rsid w:val="00C55FB1"/>
    <w:rsid w:val="00C56442"/>
    <w:rsid w:val="00C5772C"/>
    <w:rsid w:val="00C61FE5"/>
    <w:rsid w:val="00C62825"/>
    <w:rsid w:val="00C636D0"/>
    <w:rsid w:val="00C64996"/>
    <w:rsid w:val="00C64D3D"/>
    <w:rsid w:val="00C6512A"/>
    <w:rsid w:val="00C65C98"/>
    <w:rsid w:val="00C65E38"/>
    <w:rsid w:val="00C672B0"/>
    <w:rsid w:val="00C673A8"/>
    <w:rsid w:val="00C6740A"/>
    <w:rsid w:val="00C704B2"/>
    <w:rsid w:val="00C70530"/>
    <w:rsid w:val="00C71180"/>
    <w:rsid w:val="00C71DB5"/>
    <w:rsid w:val="00C7222E"/>
    <w:rsid w:val="00C7261A"/>
    <w:rsid w:val="00C72BF7"/>
    <w:rsid w:val="00C73629"/>
    <w:rsid w:val="00C75084"/>
    <w:rsid w:val="00C7587C"/>
    <w:rsid w:val="00C77053"/>
    <w:rsid w:val="00C777EE"/>
    <w:rsid w:val="00C77BF0"/>
    <w:rsid w:val="00C80200"/>
    <w:rsid w:val="00C81381"/>
    <w:rsid w:val="00C816B3"/>
    <w:rsid w:val="00C81EC7"/>
    <w:rsid w:val="00C820BC"/>
    <w:rsid w:val="00C82F63"/>
    <w:rsid w:val="00C84518"/>
    <w:rsid w:val="00C846E6"/>
    <w:rsid w:val="00C85F1D"/>
    <w:rsid w:val="00C8611D"/>
    <w:rsid w:val="00C8622E"/>
    <w:rsid w:val="00C8662A"/>
    <w:rsid w:val="00C87D8F"/>
    <w:rsid w:val="00C91F0B"/>
    <w:rsid w:val="00C92D6A"/>
    <w:rsid w:val="00C92F3A"/>
    <w:rsid w:val="00C947B7"/>
    <w:rsid w:val="00C9495F"/>
    <w:rsid w:val="00C96B6F"/>
    <w:rsid w:val="00C97BE7"/>
    <w:rsid w:val="00CA0080"/>
    <w:rsid w:val="00CA2FF0"/>
    <w:rsid w:val="00CA3E14"/>
    <w:rsid w:val="00CA47EC"/>
    <w:rsid w:val="00CA4D98"/>
    <w:rsid w:val="00CA67D4"/>
    <w:rsid w:val="00CA695B"/>
    <w:rsid w:val="00CA69E3"/>
    <w:rsid w:val="00CB11E3"/>
    <w:rsid w:val="00CB16B6"/>
    <w:rsid w:val="00CB1B3C"/>
    <w:rsid w:val="00CB2543"/>
    <w:rsid w:val="00CB25A0"/>
    <w:rsid w:val="00CB2BFC"/>
    <w:rsid w:val="00CB352D"/>
    <w:rsid w:val="00CB377D"/>
    <w:rsid w:val="00CB3CDA"/>
    <w:rsid w:val="00CB3FD2"/>
    <w:rsid w:val="00CB5B55"/>
    <w:rsid w:val="00CB643E"/>
    <w:rsid w:val="00CB75B0"/>
    <w:rsid w:val="00CB7CD7"/>
    <w:rsid w:val="00CC0A38"/>
    <w:rsid w:val="00CC2DCF"/>
    <w:rsid w:val="00CC37A7"/>
    <w:rsid w:val="00CC58EE"/>
    <w:rsid w:val="00CC64AA"/>
    <w:rsid w:val="00CC668A"/>
    <w:rsid w:val="00CC7A21"/>
    <w:rsid w:val="00CD06F2"/>
    <w:rsid w:val="00CD1297"/>
    <w:rsid w:val="00CD21AB"/>
    <w:rsid w:val="00CD306B"/>
    <w:rsid w:val="00CD46CE"/>
    <w:rsid w:val="00CD52E6"/>
    <w:rsid w:val="00CD5554"/>
    <w:rsid w:val="00CD7AC9"/>
    <w:rsid w:val="00CD7C55"/>
    <w:rsid w:val="00CD7FA5"/>
    <w:rsid w:val="00CE06DB"/>
    <w:rsid w:val="00CE103C"/>
    <w:rsid w:val="00CE284A"/>
    <w:rsid w:val="00CE40D7"/>
    <w:rsid w:val="00CE5A80"/>
    <w:rsid w:val="00CE5D28"/>
    <w:rsid w:val="00CE6627"/>
    <w:rsid w:val="00CE716C"/>
    <w:rsid w:val="00CE799F"/>
    <w:rsid w:val="00CF110A"/>
    <w:rsid w:val="00CF1245"/>
    <w:rsid w:val="00CF2651"/>
    <w:rsid w:val="00CF2B75"/>
    <w:rsid w:val="00CF2C1F"/>
    <w:rsid w:val="00CF2FEA"/>
    <w:rsid w:val="00CF3200"/>
    <w:rsid w:val="00CF3841"/>
    <w:rsid w:val="00CF44C4"/>
    <w:rsid w:val="00CF4C3A"/>
    <w:rsid w:val="00CF5E9D"/>
    <w:rsid w:val="00CF793A"/>
    <w:rsid w:val="00CF7A8F"/>
    <w:rsid w:val="00D00EA9"/>
    <w:rsid w:val="00D01882"/>
    <w:rsid w:val="00D01E23"/>
    <w:rsid w:val="00D02E4A"/>
    <w:rsid w:val="00D03BFE"/>
    <w:rsid w:val="00D0563D"/>
    <w:rsid w:val="00D05E68"/>
    <w:rsid w:val="00D07399"/>
    <w:rsid w:val="00D1027A"/>
    <w:rsid w:val="00D10337"/>
    <w:rsid w:val="00D10A78"/>
    <w:rsid w:val="00D11473"/>
    <w:rsid w:val="00D1158F"/>
    <w:rsid w:val="00D11E4E"/>
    <w:rsid w:val="00D12417"/>
    <w:rsid w:val="00D12BFE"/>
    <w:rsid w:val="00D13DF9"/>
    <w:rsid w:val="00D15369"/>
    <w:rsid w:val="00D169ED"/>
    <w:rsid w:val="00D175D1"/>
    <w:rsid w:val="00D211C1"/>
    <w:rsid w:val="00D21D4E"/>
    <w:rsid w:val="00D21DB2"/>
    <w:rsid w:val="00D220DA"/>
    <w:rsid w:val="00D23D91"/>
    <w:rsid w:val="00D2430F"/>
    <w:rsid w:val="00D25CB6"/>
    <w:rsid w:val="00D26568"/>
    <w:rsid w:val="00D271DD"/>
    <w:rsid w:val="00D303B2"/>
    <w:rsid w:val="00D316E3"/>
    <w:rsid w:val="00D31BA9"/>
    <w:rsid w:val="00D31C47"/>
    <w:rsid w:val="00D34B7B"/>
    <w:rsid w:val="00D35647"/>
    <w:rsid w:val="00D35665"/>
    <w:rsid w:val="00D370DD"/>
    <w:rsid w:val="00D37C26"/>
    <w:rsid w:val="00D40E95"/>
    <w:rsid w:val="00D42AA1"/>
    <w:rsid w:val="00D42D53"/>
    <w:rsid w:val="00D43FA7"/>
    <w:rsid w:val="00D4447E"/>
    <w:rsid w:val="00D451AB"/>
    <w:rsid w:val="00D45635"/>
    <w:rsid w:val="00D47EBA"/>
    <w:rsid w:val="00D51E3B"/>
    <w:rsid w:val="00D5340F"/>
    <w:rsid w:val="00D54D6C"/>
    <w:rsid w:val="00D56D18"/>
    <w:rsid w:val="00D57C9B"/>
    <w:rsid w:val="00D60F02"/>
    <w:rsid w:val="00D62760"/>
    <w:rsid w:val="00D64855"/>
    <w:rsid w:val="00D651F4"/>
    <w:rsid w:val="00D66903"/>
    <w:rsid w:val="00D6691A"/>
    <w:rsid w:val="00D66BE4"/>
    <w:rsid w:val="00D672FD"/>
    <w:rsid w:val="00D67E83"/>
    <w:rsid w:val="00D702E8"/>
    <w:rsid w:val="00D713E3"/>
    <w:rsid w:val="00D7229D"/>
    <w:rsid w:val="00D73777"/>
    <w:rsid w:val="00D73CA7"/>
    <w:rsid w:val="00D74D76"/>
    <w:rsid w:val="00D751FA"/>
    <w:rsid w:val="00D7646B"/>
    <w:rsid w:val="00D764C2"/>
    <w:rsid w:val="00D770C3"/>
    <w:rsid w:val="00D7730F"/>
    <w:rsid w:val="00D77C33"/>
    <w:rsid w:val="00D8123C"/>
    <w:rsid w:val="00D81950"/>
    <w:rsid w:val="00D81A1E"/>
    <w:rsid w:val="00D81FF1"/>
    <w:rsid w:val="00D8208B"/>
    <w:rsid w:val="00D82DC9"/>
    <w:rsid w:val="00D83EFC"/>
    <w:rsid w:val="00D848FA"/>
    <w:rsid w:val="00D860F8"/>
    <w:rsid w:val="00D861CE"/>
    <w:rsid w:val="00D864AD"/>
    <w:rsid w:val="00D87AF4"/>
    <w:rsid w:val="00D901D6"/>
    <w:rsid w:val="00D910A0"/>
    <w:rsid w:val="00D92331"/>
    <w:rsid w:val="00D92D36"/>
    <w:rsid w:val="00D934CF"/>
    <w:rsid w:val="00D9382C"/>
    <w:rsid w:val="00D93D53"/>
    <w:rsid w:val="00D93EF9"/>
    <w:rsid w:val="00D9632A"/>
    <w:rsid w:val="00D97099"/>
    <w:rsid w:val="00D976C3"/>
    <w:rsid w:val="00DA17FF"/>
    <w:rsid w:val="00DA26C9"/>
    <w:rsid w:val="00DA4D8B"/>
    <w:rsid w:val="00DA57EF"/>
    <w:rsid w:val="00DA5BCF"/>
    <w:rsid w:val="00DA68F4"/>
    <w:rsid w:val="00DB04A1"/>
    <w:rsid w:val="00DB1738"/>
    <w:rsid w:val="00DB1ABC"/>
    <w:rsid w:val="00DB2A32"/>
    <w:rsid w:val="00DB2ABE"/>
    <w:rsid w:val="00DB4200"/>
    <w:rsid w:val="00DB5418"/>
    <w:rsid w:val="00DB6024"/>
    <w:rsid w:val="00DB7B69"/>
    <w:rsid w:val="00DC01B3"/>
    <w:rsid w:val="00DC0A9B"/>
    <w:rsid w:val="00DC1F6C"/>
    <w:rsid w:val="00DC2659"/>
    <w:rsid w:val="00DC2D7F"/>
    <w:rsid w:val="00DC2DCE"/>
    <w:rsid w:val="00DC3892"/>
    <w:rsid w:val="00DC3D2B"/>
    <w:rsid w:val="00DC4E45"/>
    <w:rsid w:val="00DC534F"/>
    <w:rsid w:val="00DC5E2E"/>
    <w:rsid w:val="00DC61C1"/>
    <w:rsid w:val="00DC65DB"/>
    <w:rsid w:val="00DC6959"/>
    <w:rsid w:val="00DC711A"/>
    <w:rsid w:val="00DC773E"/>
    <w:rsid w:val="00DC795A"/>
    <w:rsid w:val="00DC7B72"/>
    <w:rsid w:val="00DD1CC0"/>
    <w:rsid w:val="00DD2056"/>
    <w:rsid w:val="00DD3A7A"/>
    <w:rsid w:val="00DD4DEB"/>
    <w:rsid w:val="00DD6A65"/>
    <w:rsid w:val="00DD6B68"/>
    <w:rsid w:val="00DD6D22"/>
    <w:rsid w:val="00DD700E"/>
    <w:rsid w:val="00DD701C"/>
    <w:rsid w:val="00DD74CD"/>
    <w:rsid w:val="00DE0DD9"/>
    <w:rsid w:val="00DE3380"/>
    <w:rsid w:val="00DE43EE"/>
    <w:rsid w:val="00DE4809"/>
    <w:rsid w:val="00DE5C18"/>
    <w:rsid w:val="00DE7C16"/>
    <w:rsid w:val="00DF0017"/>
    <w:rsid w:val="00DF286B"/>
    <w:rsid w:val="00DF567D"/>
    <w:rsid w:val="00DF59A2"/>
    <w:rsid w:val="00DF6A66"/>
    <w:rsid w:val="00DF6B33"/>
    <w:rsid w:val="00DF6E5C"/>
    <w:rsid w:val="00DF71FB"/>
    <w:rsid w:val="00DF77FF"/>
    <w:rsid w:val="00DF7841"/>
    <w:rsid w:val="00DF7C3E"/>
    <w:rsid w:val="00E00039"/>
    <w:rsid w:val="00E01865"/>
    <w:rsid w:val="00E01A3D"/>
    <w:rsid w:val="00E01B6B"/>
    <w:rsid w:val="00E03209"/>
    <w:rsid w:val="00E03583"/>
    <w:rsid w:val="00E036C1"/>
    <w:rsid w:val="00E0539F"/>
    <w:rsid w:val="00E05B0A"/>
    <w:rsid w:val="00E05C43"/>
    <w:rsid w:val="00E07062"/>
    <w:rsid w:val="00E07CB9"/>
    <w:rsid w:val="00E07E90"/>
    <w:rsid w:val="00E10C80"/>
    <w:rsid w:val="00E10E96"/>
    <w:rsid w:val="00E10EF6"/>
    <w:rsid w:val="00E1138F"/>
    <w:rsid w:val="00E11529"/>
    <w:rsid w:val="00E12E5B"/>
    <w:rsid w:val="00E1314F"/>
    <w:rsid w:val="00E131E0"/>
    <w:rsid w:val="00E13220"/>
    <w:rsid w:val="00E132C7"/>
    <w:rsid w:val="00E1344E"/>
    <w:rsid w:val="00E138BC"/>
    <w:rsid w:val="00E13B73"/>
    <w:rsid w:val="00E155D1"/>
    <w:rsid w:val="00E1686B"/>
    <w:rsid w:val="00E17689"/>
    <w:rsid w:val="00E176BC"/>
    <w:rsid w:val="00E22A70"/>
    <w:rsid w:val="00E2305B"/>
    <w:rsid w:val="00E2360D"/>
    <w:rsid w:val="00E23EF9"/>
    <w:rsid w:val="00E24E96"/>
    <w:rsid w:val="00E255AD"/>
    <w:rsid w:val="00E25DB1"/>
    <w:rsid w:val="00E26036"/>
    <w:rsid w:val="00E26352"/>
    <w:rsid w:val="00E26EDA"/>
    <w:rsid w:val="00E27534"/>
    <w:rsid w:val="00E2787E"/>
    <w:rsid w:val="00E300EB"/>
    <w:rsid w:val="00E30522"/>
    <w:rsid w:val="00E30565"/>
    <w:rsid w:val="00E3121A"/>
    <w:rsid w:val="00E32159"/>
    <w:rsid w:val="00E3376F"/>
    <w:rsid w:val="00E338C6"/>
    <w:rsid w:val="00E3414C"/>
    <w:rsid w:val="00E35279"/>
    <w:rsid w:val="00E36B91"/>
    <w:rsid w:val="00E36FD8"/>
    <w:rsid w:val="00E37FFB"/>
    <w:rsid w:val="00E40399"/>
    <w:rsid w:val="00E409D0"/>
    <w:rsid w:val="00E41428"/>
    <w:rsid w:val="00E424D3"/>
    <w:rsid w:val="00E427AF"/>
    <w:rsid w:val="00E43C50"/>
    <w:rsid w:val="00E43EA9"/>
    <w:rsid w:val="00E442CC"/>
    <w:rsid w:val="00E453D1"/>
    <w:rsid w:val="00E45F57"/>
    <w:rsid w:val="00E46220"/>
    <w:rsid w:val="00E476F7"/>
    <w:rsid w:val="00E505EE"/>
    <w:rsid w:val="00E51A4F"/>
    <w:rsid w:val="00E527A9"/>
    <w:rsid w:val="00E52E74"/>
    <w:rsid w:val="00E53419"/>
    <w:rsid w:val="00E554FE"/>
    <w:rsid w:val="00E56D6A"/>
    <w:rsid w:val="00E5709B"/>
    <w:rsid w:val="00E579B3"/>
    <w:rsid w:val="00E61209"/>
    <w:rsid w:val="00E6179A"/>
    <w:rsid w:val="00E63E38"/>
    <w:rsid w:val="00E64570"/>
    <w:rsid w:val="00E66C20"/>
    <w:rsid w:val="00E66CB2"/>
    <w:rsid w:val="00E70474"/>
    <w:rsid w:val="00E705EF"/>
    <w:rsid w:val="00E7080B"/>
    <w:rsid w:val="00E70FC7"/>
    <w:rsid w:val="00E724DE"/>
    <w:rsid w:val="00E72E92"/>
    <w:rsid w:val="00E73D3C"/>
    <w:rsid w:val="00E73DEF"/>
    <w:rsid w:val="00E74EEC"/>
    <w:rsid w:val="00E80C76"/>
    <w:rsid w:val="00E810A1"/>
    <w:rsid w:val="00E8262A"/>
    <w:rsid w:val="00E82E78"/>
    <w:rsid w:val="00E82F89"/>
    <w:rsid w:val="00E83863"/>
    <w:rsid w:val="00E83BB1"/>
    <w:rsid w:val="00E84FC7"/>
    <w:rsid w:val="00E87FBA"/>
    <w:rsid w:val="00E93859"/>
    <w:rsid w:val="00E94DF2"/>
    <w:rsid w:val="00E94F14"/>
    <w:rsid w:val="00E95969"/>
    <w:rsid w:val="00E95CE0"/>
    <w:rsid w:val="00E96447"/>
    <w:rsid w:val="00EA056C"/>
    <w:rsid w:val="00EA07BB"/>
    <w:rsid w:val="00EA07F9"/>
    <w:rsid w:val="00EA1492"/>
    <w:rsid w:val="00EA322B"/>
    <w:rsid w:val="00EA3880"/>
    <w:rsid w:val="00EA3F3C"/>
    <w:rsid w:val="00EA562C"/>
    <w:rsid w:val="00EA56DD"/>
    <w:rsid w:val="00EB1AB4"/>
    <w:rsid w:val="00EB231E"/>
    <w:rsid w:val="00EB2570"/>
    <w:rsid w:val="00EB292D"/>
    <w:rsid w:val="00EB366B"/>
    <w:rsid w:val="00EB3F38"/>
    <w:rsid w:val="00EB534D"/>
    <w:rsid w:val="00EB538A"/>
    <w:rsid w:val="00EB56AE"/>
    <w:rsid w:val="00EB5BCD"/>
    <w:rsid w:val="00EB7C82"/>
    <w:rsid w:val="00EC0AAF"/>
    <w:rsid w:val="00EC0C7C"/>
    <w:rsid w:val="00EC147C"/>
    <w:rsid w:val="00EC1585"/>
    <w:rsid w:val="00EC16E6"/>
    <w:rsid w:val="00EC2589"/>
    <w:rsid w:val="00EC3C0C"/>
    <w:rsid w:val="00EC5B95"/>
    <w:rsid w:val="00EC7081"/>
    <w:rsid w:val="00EC78CB"/>
    <w:rsid w:val="00EC7DC3"/>
    <w:rsid w:val="00ED0A44"/>
    <w:rsid w:val="00ED14BE"/>
    <w:rsid w:val="00ED21ED"/>
    <w:rsid w:val="00ED2452"/>
    <w:rsid w:val="00ED4AAA"/>
    <w:rsid w:val="00ED6140"/>
    <w:rsid w:val="00ED6D02"/>
    <w:rsid w:val="00ED70F0"/>
    <w:rsid w:val="00EE0476"/>
    <w:rsid w:val="00EE16F3"/>
    <w:rsid w:val="00EE175A"/>
    <w:rsid w:val="00EE24F4"/>
    <w:rsid w:val="00EE2891"/>
    <w:rsid w:val="00EE301E"/>
    <w:rsid w:val="00EE378F"/>
    <w:rsid w:val="00EE3A08"/>
    <w:rsid w:val="00EE4C12"/>
    <w:rsid w:val="00EE5871"/>
    <w:rsid w:val="00EE7E10"/>
    <w:rsid w:val="00EF0335"/>
    <w:rsid w:val="00EF0A7D"/>
    <w:rsid w:val="00EF0D6F"/>
    <w:rsid w:val="00EF1D0F"/>
    <w:rsid w:val="00EF1F6A"/>
    <w:rsid w:val="00EF21F7"/>
    <w:rsid w:val="00EF3AA4"/>
    <w:rsid w:val="00EF4369"/>
    <w:rsid w:val="00EF4AC2"/>
    <w:rsid w:val="00EF56BA"/>
    <w:rsid w:val="00F0192B"/>
    <w:rsid w:val="00F01EB5"/>
    <w:rsid w:val="00F0233F"/>
    <w:rsid w:val="00F02941"/>
    <w:rsid w:val="00F0380B"/>
    <w:rsid w:val="00F0412F"/>
    <w:rsid w:val="00F055C3"/>
    <w:rsid w:val="00F06B5A"/>
    <w:rsid w:val="00F06BBE"/>
    <w:rsid w:val="00F0759C"/>
    <w:rsid w:val="00F07B9A"/>
    <w:rsid w:val="00F101AD"/>
    <w:rsid w:val="00F11B71"/>
    <w:rsid w:val="00F11C7E"/>
    <w:rsid w:val="00F127B1"/>
    <w:rsid w:val="00F136DB"/>
    <w:rsid w:val="00F1460B"/>
    <w:rsid w:val="00F14748"/>
    <w:rsid w:val="00F159D9"/>
    <w:rsid w:val="00F17DF5"/>
    <w:rsid w:val="00F205FA"/>
    <w:rsid w:val="00F21273"/>
    <w:rsid w:val="00F21442"/>
    <w:rsid w:val="00F22A23"/>
    <w:rsid w:val="00F24C8E"/>
    <w:rsid w:val="00F24FBA"/>
    <w:rsid w:val="00F2781A"/>
    <w:rsid w:val="00F279B5"/>
    <w:rsid w:val="00F30B86"/>
    <w:rsid w:val="00F32AEF"/>
    <w:rsid w:val="00F3434A"/>
    <w:rsid w:val="00F343D3"/>
    <w:rsid w:val="00F37034"/>
    <w:rsid w:val="00F3724C"/>
    <w:rsid w:val="00F37339"/>
    <w:rsid w:val="00F379D4"/>
    <w:rsid w:val="00F37CA8"/>
    <w:rsid w:val="00F40753"/>
    <w:rsid w:val="00F417CF"/>
    <w:rsid w:val="00F41CD3"/>
    <w:rsid w:val="00F41DC2"/>
    <w:rsid w:val="00F41E65"/>
    <w:rsid w:val="00F4235E"/>
    <w:rsid w:val="00F423E1"/>
    <w:rsid w:val="00F4315F"/>
    <w:rsid w:val="00F44310"/>
    <w:rsid w:val="00F44FAE"/>
    <w:rsid w:val="00F45488"/>
    <w:rsid w:val="00F45F16"/>
    <w:rsid w:val="00F46337"/>
    <w:rsid w:val="00F464AF"/>
    <w:rsid w:val="00F501D2"/>
    <w:rsid w:val="00F51995"/>
    <w:rsid w:val="00F52CE8"/>
    <w:rsid w:val="00F53BB4"/>
    <w:rsid w:val="00F548C2"/>
    <w:rsid w:val="00F54DA9"/>
    <w:rsid w:val="00F54E9F"/>
    <w:rsid w:val="00F556B2"/>
    <w:rsid w:val="00F56D02"/>
    <w:rsid w:val="00F57760"/>
    <w:rsid w:val="00F57E3B"/>
    <w:rsid w:val="00F60BF8"/>
    <w:rsid w:val="00F61061"/>
    <w:rsid w:val="00F614F9"/>
    <w:rsid w:val="00F621D9"/>
    <w:rsid w:val="00F63B53"/>
    <w:rsid w:val="00F64C50"/>
    <w:rsid w:val="00F651A8"/>
    <w:rsid w:val="00F65D7D"/>
    <w:rsid w:val="00F66554"/>
    <w:rsid w:val="00F677E8"/>
    <w:rsid w:val="00F67E1E"/>
    <w:rsid w:val="00F70443"/>
    <w:rsid w:val="00F70780"/>
    <w:rsid w:val="00F70851"/>
    <w:rsid w:val="00F70EC0"/>
    <w:rsid w:val="00F71D06"/>
    <w:rsid w:val="00F71D59"/>
    <w:rsid w:val="00F72551"/>
    <w:rsid w:val="00F72FB2"/>
    <w:rsid w:val="00F739D6"/>
    <w:rsid w:val="00F745E6"/>
    <w:rsid w:val="00F746BA"/>
    <w:rsid w:val="00F76388"/>
    <w:rsid w:val="00F76FDF"/>
    <w:rsid w:val="00F777B7"/>
    <w:rsid w:val="00F7793F"/>
    <w:rsid w:val="00F77AA6"/>
    <w:rsid w:val="00F77CBB"/>
    <w:rsid w:val="00F80333"/>
    <w:rsid w:val="00F80A29"/>
    <w:rsid w:val="00F80C41"/>
    <w:rsid w:val="00F81409"/>
    <w:rsid w:val="00F81CE6"/>
    <w:rsid w:val="00F82034"/>
    <w:rsid w:val="00F822FC"/>
    <w:rsid w:val="00F82FCA"/>
    <w:rsid w:val="00F85000"/>
    <w:rsid w:val="00F85A08"/>
    <w:rsid w:val="00F85C65"/>
    <w:rsid w:val="00F85CD9"/>
    <w:rsid w:val="00F860F7"/>
    <w:rsid w:val="00F86A7F"/>
    <w:rsid w:val="00F87C64"/>
    <w:rsid w:val="00F90B9E"/>
    <w:rsid w:val="00F928BB"/>
    <w:rsid w:val="00F939F7"/>
    <w:rsid w:val="00F93B03"/>
    <w:rsid w:val="00F94086"/>
    <w:rsid w:val="00F94B2A"/>
    <w:rsid w:val="00F94EE8"/>
    <w:rsid w:val="00F953EF"/>
    <w:rsid w:val="00F9598D"/>
    <w:rsid w:val="00F97F59"/>
    <w:rsid w:val="00FA1B05"/>
    <w:rsid w:val="00FA1DD3"/>
    <w:rsid w:val="00FA5703"/>
    <w:rsid w:val="00FA58D2"/>
    <w:rsid w:val="00FA72B5"/>
    <w:rsid w:val="00FB05DF"/>
    <w:rsid w:val="00FB0C35"/>
    <w:rsid w:val="00FB0F1E"/>
    <w:rsid w:val="00FB1578"/>
    <w:rsid w:val="00FB1D0B"/>
    <w:rsid w:val="00FB2C3C"/>
    <w:rsid w:val="00FB354C"/>
    <w:rsid w:val="00FB37BF"/>
    <w:rsid w:val="00FB3B61"/>
    <w:rsid w:val="00FB714B"/>
    <w:rsid w:val="00FC01B9"/>
    <w:rsid w:val="00FC178D"/>
    <w:rsid w:val="00FC35C4"/>
    <w:rsid w:val="00FC568D"/>
    <w:rsid w:val="00FC61A1"/>
    <w:rsid w:val="00FC7D08"/>
    <w:rsid w:val="00FD1532"/>
    <w:rsid w:val="00FD1CB8"/>
    <w:rsid w:val="00FD1F26"/>
    <w:rsid w:val="00FD2624"/>
    <w:rsid w:val="00FD39CF"/>
    <w:rsid w:val="00FD3D34"/>
    <w:rsid w:val="00FD4512"/>
    <w:rsid w:val="00FD6710"/>
    <w:rsid w:val="00FD70AB"/>
    <w:rsid w:val="00FD719D"/>
    <w:rsid w:val="00FD7EB0"/>
    <w:rsid w:val="00FE116B"/>
    <w:rsid w:val="00FE16E9"/>
    <w:rsid w:val="00FE47C8"/>
    <w:rsid w:val="00FE5BC2"/>
    <w:rsid w:val="00FE6018"/>
    <w:rsid w:val="00FE64D1"/>
    <w:rsid w:val="00FF11F3"/>
    <w:rsid w:val="00FF18B2"/>
    <w:rsid w:val="00FF257B"/>
    <w:rsid w:val="00FF2BA0"/>
    <w:rsid w:val="00FF3238"/>
    <w:rsid w:val="00FF3D4E"/>
    <w:rsid w:val="00FF444C"/>
    <w:rsid w:val="00FF47A1"/>
    <w:rsid w:val="00FF4FA4"/>
    <w:rsid w:val="00FF5AAB"/>
    <w:rsid w:val="00FF7123"/>
    <w:rsid w:val="048F4A4A"/>
    <w:rsid w:val="049CF563"/>
    <w:rsid w:val="078879D0"/>
    <w:rsid w:val="09E4E8D3"/>
    <w:rsid w:val="0FBDEAB9"/>
    <w:rsid w:val="111E89B0"/>
    <w:rsid w:val="13A7F372"/>
    <w:rsid w:val="1D0B8B80"/>
    <w:rsid w:val="25C17D70"/>
    <w:rsid w:val="2758C537"/>
    <w:rsid w:val="28E83CCE"/>
    <w:rsid w:val="29053C6D"/>
    <w:rsid w:val="2AB60CFF"/>
    <w:rsid w:val="2E99DD98"/>
    <w:rsid w:val="31325C56"/>
    <w:rsid w:val="36D76E44"/>
    <w:rsid w:val="36E62B44"/>
    <w:rsid w:val="39B5DFFB"/>
    <w:rsid w:val="3A7BA59D"/>
    <w:rsid w:val="3E252908"/>
    <w:rsid w:val="41469CFE"/>
    <w:rsid w:val="45DE955F"/>
    <w:rsid w:val="45F8C5A5"/>
    <w:rsid w:val="4EBD6172"/>
    <w:rsid w:val="4FBD7C7B"/>
    <w:rsid w:val="5318B75A"/>
    <w:rsid w:val="5ACE1A85"/>
    <w:rsid w:val="5B859C7A"/>
    <w:rsid w:val="5BA4EC49"/>
    <w:rsid w:val="5E10B1C4"/>
    <w:rsid w:val="6082B7ED"/>
    <w:rsid w:val="61594188"/>
    <w:rsid w:val="689A42BB"/>
    <w:rsid w:val="741355C6"/>
    <w:rsid w:val="7520688D"/>
    <w:rsid w:val="753C1539"/>
    <w:rsid w:val="7B625384"/>
    <w:rsid w:val="7C265B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4853C24"/>
  <w15:chartTrackingRefBased/>
  <w15:docId w15:val="{EB6EB41B-C6AB-470E-A391-764178A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w:basedOn w:val="Normal"/>
    <w:next w:val="Normal"/>
    <w:link w:val="Heading1Char"/>
    <w:uiPriority w:val="9"/>
    <w:qFormat/>
    <w:rsid w:val="00A437C8"/>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IE" w:eastAsia="en-US"/>
      <w14:ligatures w14:val="standardContextual"/>
    </w:rPr>
  </w:style>
  <w:style w:type="paragraph" w:styleId="Heading2">
    <w:name w:val="heading 2"/>
    <w:basedOn w:val="Normal"/>
    <w:next w:val="Normal"/>
    <w:link w:val="Heading2Char"/>
    <w:uiPriority w:val="9"/>
    <w:unhideWhenUsed/>
    <w:qFormat/>
    <w:rsid w:val="00A437C8"/>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IE" w:eastAsia="en-US"/>
      <w14:ligatures w14:val="standardContextual"/>
    </w:rPr>
  </w:style>
  <w:style w:type="paragraph" w:styleId="Heading3">
    <w:name w:val="heading 3"/>
    <w:basedOn w:val="Normal"/>
    <w:next w:val="Normal"/>
    <w:link w:val="Heading3Char"/>
    <w:uiPriority w:val="9"/>
    <w:unhideWhenUsed/>
    <w:qFormat/>
    <w:rsid w:val="00A437C8"/>
    <w:pPr>
      <w:keepNext/>
      <w:keepLines/>
      <w:spacing w:before="160" w:after="80" w:line="259" w:lineRule="auto"/>
      <w:outlineLvl w:val="2"/>
    </w:pPr>
    <w:rPr>
      <w:rFonts w:eastAsiaTheme="majorEastAsia" w:cstheme="majorBidi"/>
      <w:color w:val="0F4761" w:themeColor="accent1" w:themeShade="BF"/>
      <w:kern w:val="2"/>
      <w:sz w:val="28"/>
      <w:szCs w:val="28"/>
      <w:lang w:val="en-IE" w:eastAsia="en-US"/>
      <w14:ligatures w14:val="standardContextual"/>
    </w:rPr>
  </w:style>
  <w:style w:type="paragraph" w:styleId="Heading4">
    <w:name w:val="heading 4"/>
    <w:basedOn w:val="Normal"/>
    <w:next w:val="Normal"/>
    <w:link w:val="Heading4Char"/>
    <w:uiPriority w:val="9"/>
    <w:unhideWhenUsed/>
    <w:qFormat/>
    <w:rsid w:val="00A437C8"/>
    <w:pPr>
      <w:keepNext/>
      <w:keepLines/>
      <w:spacing w:before="80" w:after="40" w:line="259" w:lineRule="auto"/>
      <w:outlineLvl w:val="3"/>
    </w:pPr>
    <w:rPr>
      <w:rFonts w:eastAsiaTheme="majorEastAsia" w:cstheme="majorBidi"/>
      <w:i/>
      <w:iCs/>
      <w:color w:val="0F4761" w:themeColor="accent1" w:themeShade="BF"/>
      <w:kern w:val="2"/>
      <w:sz w:val="22"/>
      <w:szCs w:val="22"/>
      <w:lang w:val="en-IE" w:eastAsia="en-US"/>
      <w14:ligatures w14:val="standardContextual"/>
    </w:rPr>
  </w:style>
  <w:style w:type="paragraph" w:styleId="Heading5">
    <w:name w:val="heading 5"/>
    <w:basedOn w:val="Normal"/>
    <w:next w:val="Normal"/>
    <w:link w:val="Heading5Char"/>
    <w:uiPriority w:val="9"/>
    <w:semiHidden/>
    <w:unhideWhenUsed/>
    <w:qFormat/>
    <w:rsid w:val="00A437C8"/>
    <w:pPr>
      <w:keepNext/>
      <w:keepLines/>
      <w:spacing w:before="80" w:after="40" w:line="259" w:lineRule="auto"/>
      <w:outlineLvl w:val="4"/>
    </w:pPr>
    <w:rPr>
      <w:rFonts w:eastAsiaTheme="majorEastAsia" w:cstheme="majorBidi"/>
      <w:color w:val="0F4761" w:themeColor="accent1" w:themeShade="BF"/>
      <w:kern w:val="2"/>
      <w:sz w:val="22"/>
      <w:szCs w:val="22"/>
      <w:lang w:val="en-IE" w:eastAsia="en-US"/>
      <w14:ligatures w14:val="standardContextual"/>
    </w:rPr>
  </w:style>
  <w:style w:type="paragraph" w:styleId="Heading6">
    <w:name w:val="heading 6"/>
    <w:basedOn w:val="Normal"/>
    <w:next w:val="Normal"/>
    <w:link w:val="Heading6Char"/>
    <w:uiPriority w:val="9"/>
    <w:semiHidden/>
    <w:unhideWhenUsed/>
    <w:qFormat/>
    <w:rsid w:val="00A437C8"/>
    <w:pPr>
      <w:keepNext/>
      <w:keepLines/>
      <w:spacing w:before="40" w:after="0" w:line="259" w:lineRule="auto"/>
      <w:outlineLvl w:val="5"/>
    </w:pPr>
    <w:rPr>
      <w:rFonts w:eastAsiaTheme="majorEastAsia" w:cstheme="majorBidi"/>
      <w:i/>
      <w:iCs/>
      <w:color w:val="595959" w:themeColor="text1" w:themeTint="A6"/>
      <w:kern w:val="2"/>
      <w:sz w:val="22"/>
      <w:szCs w:val="22"/>
      <w:lang w:val="en-IE" w:eastAsia="en-US"/>
      <w14:ligatures w14:val="standardContextual"/>
    </w:rPr>
  </w:style>
  <w:style w:type="paragraph" w:styleId="Heading7">
    <w:name w:val="heading 7"/>
    <w:basedOn w:val="Normal"/>
    <w:next w:val="Normal"/>
    <w:link w:val="Heading7Char"/>
    <w:uiPriority w:val="9"/>
    <w:semiHidden/>
    <w:unhideWhenUsed/>
    <w:qFormat/>
    <w:rsid w:val="00A437C8"/>
    <w:pPr>
      <w:keepNext/>
      <w:keepLines/>
      <w:spacing w:before="40" w:after="0" w:line="259" w:lineRule="auto"/>
      <w:outlineLvl w:val="6"/>
    </w:pPr>
    <w:rPr>
      <w:rFonts w:eastAsiaTheme="majorEastAsia" w:cstheme="majorBidi"/>
      <w:color w:val="595959" w:themeColor="text1" w:themeTint="A6"/>
      <w:kern w:val="2"/>
      <w:sz w:val="22"/>
      <w:szCs w:val="22"/>
      <w:lang w:val="en-IE" w:eastAsia="en-US"/>
      <w14:ligatures w14:val="standardContextual"/>
    </w:rPr>
  </w:style>
  <w:style w:type="paragraph" w:styleId="Heading8">
    <w:name w:val="heading 8"/>
    <w:basedOn w:val="Normal"/>
    <w:next w:val="Normal"/>
    <w:link w:val="Heading8Char"/>
    <w:uiPriority w:val="9"/>
    <w:semiHidden/>
    <w:unhideWhenUsed/>
    <w:qFormat/>
    <w:rsid w:val="00A437C8"/>
    <w:pPr>
      <w:keepNext/>
      <w:keepLines/>
      <w:spacing w:after="0" w:line="259" w:lineRule="auto"/>
      <w:outlineLvl w:val="7"/>
    </w:pPr>
    <w:rPr>
      <w:rFonts w:eastAsiaTheme="majorEastAsia" w:cstheme="majorBidi"/>
      <w:i/>
      <w:iCs/>
      <w:color w:val="272727" w:themeColor="text1" w:themeTint="D8"/>
      <w:kern w:val="2"/>
      <w:sz w:val="22"/>
      <w:szCs w:val="22"/>
      <w:lang w:val="en-IE" w:eastAsia="en-US"/>
      <w14:ligatures w14:val="standardContextual"/>
    </w:rPr>
  </w:style>
  <w:style w:type="paragraph" w:styleId="Heading9">
    <w:name w:val="heading 9"/>
    <w:basedOn w:val="Normal"/>
    <w:next w:val="Normal"/>
    <w:link w:val="Heading9Char"/>
    <w:uiPriority w:val="9"/>
    <w:semiHidden/>
    <w:unhideWhenUsed/>
    <w:qFormat/>
    <w:rsid w:val="00A437C8"/>
    <w:pPr>
      <w:keepNext/>
      <w:keepLines/>
      <w:spacing w:after="0" w:line="259" w:lineRule="auto"/>
      <w:outlineLvl w:val="8"/>
    </w:pPr>
    <w:rPr>
      <w:rFonts w:eastAsiaTheme="majorEastAsia" w:cstheme="majorBidi"/>
      <w:color w:val="272727" w:themeColor="text1" w:themeTint="D8"/>
      <w:kern w:val="2"/>
      <w:sz w:val="22"/>
      <w:szCs w:val="22"/>
      <w:lang w:val="en-IE"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A50"/>
    <w:pPr>
      <w:tabs>
        <w:tab w:val="center" w:pos="4513"/>
        <w:tab w:val="right" w:pos="9026"/>
      </w:tabs>
      <w:spacing w:after="0" w:line="240" w:lineRule="auto"/>
    </w:pPr>
    <w:rPr>
      <w:rFonts w:eastAsiaTheme="minorHAnsi"/>
      <w:kern w:val="2"/>
      <w:sz w:val="22"/>
      <w:szCs w:val="22"/>
      <w:lang w:val="en-IE" w:eastAsia="en-US"/>
      <w14:ligatures w14:val="standardContextual"/>
    </w:rPr>
  </w:style>
  <w:style w:type="character" w:customStyle="1" w:styleId="HeaderChar">
    <w:name w:val="Header Char"/>
    <w:basedOn w:val="DefaultParagraphFont"/>
    <w:link w:val="Header"/>
    <w:uiPriority w:val="99"/>
    <w:rsid w:val="00756A50"/>
    <w:rPr>
      <w:rFonts w:eastAsiaTheme="minorHAnsi"/>
      <w:kern w:val="2"/>
      <w:sz w:val="22"/>
      <w:szCs w:val="22"/>
      <w:lang w:val="en-IE" w:eastAsia="en-US"/>
      <w14:ligatures w14:val="standardContextual"/>
    </w:rPr>
  </w:style>
  <w:style w:type="paragraph" w:styleId="Footer">
    <w:name w:val="footer"/>
    <w:basedOn w:val="Normal"/>
    <w:link w:val="FooterChar"/>
    <w:uiPriority w:val="99"/>
    <w:unhideWhenUsed/>
    <w:rsid w:val="00756A50"/>
    <w:pPr>
      <w:tabs>
        <w:tab w:val="center" w:pos="4513"/>
        <w:tab w:val="right" w:pos="9026"/>
      </w:tabs>
      <w:spacing w:after="0" w:line="240" w:lineRule="auto"/>
    </w:pPr>
    <w:rPr>
      <w:rFonts w:eastAsiaTheme="minorHAnsi"/>
      <w:kern w:val="2"/>
      <w:sz w:val="22"/>
      <w:szCs w:val="22"/>
      <w:lang w:val="en-IE" w:eastAsia="en-US"/>
      <w14:ligatures w14:val="standardContextual"/>
    </w:rPr>
  </w:style>
  <w:style w:type="character" w:customStyle="1" w:styleId="FooterChar">
    <w:name w:val="Footer Char"/>
    <w:basedOn w:val="DefaultParagraphFont"/>
    <w:link w:val="Footer"/>
    <w:uiPriority w:val="99"/>
    <w:rsid w:val="00756A50"/>
    <w:rPr>
      <w:rFonts w:eastAsiaTheme="minorHAnsi"/>
      <w:kern w:val="2"/>
      <w:sz w:val="22"/>
      <w:szCs w:val="22"/>
      <w:lang w:val="en-IE" w:eastAsia="en-US"/>
      <w14:ligatures w14:val="standardContextual"/>
    </w:rPr>
  </w:style>
  <w:style w:type="paragraph" w:customStyle="1" w:styleId="FooterCoverPage">
    <w:name w:val="Footer Cover Page"/>
    <w:basedOn w:val="Normal"/>
    <w:link w:val="FooterCoverPageChar"/>
    <w:rsid w:val="00756A50"/>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756A50"/>
    <w:rPr>
      <w:rFonts w:ascii="Times New Roman" w:hAnsi="Times New Roman" w:cs="Times New Roman"/>
    </w:rPr>
  </w:style>
  <w:style w:type="paragraph" w:customStyle="1" w:styleId="FooterCouncil">
    <w:name w:val="Footer Council"/>
    <w:basedOn w:val="Normal"/>
    <w:link w:val="FooterCouncilChar"/>
    <w:rsid w:val="00756A50"/>
    <w:pPr>
      <w:spacing w:after="0" w:line="276" w:lineRule="auto"/>
    </w:pPr>
    <w:rPr>
      <w:rFonts w:ascii="Times New Roman" w:eastAsiaTheme="minorHAnsi" w:hAnsi="Times New Roman"/>
      <w:noProof/>
      <w:sz w:val="2"/>
      <w:szCs w:val="22"/>
      <w:lang w:val="de-DE" w:eastAsia="en-US"/>
      <w14:ligatures w14:val="standardContextual"/>
    </w:rPr>
  </w:style>
  <w:style w:type="character" w:customStyle="1" w:styleId="FooterCouncilChar">
    <w:name w:val="Footer Council Char"/>
    <w:basedOn w:val="DefaultParagraphFont"/>
    <w:link w:val="FooterCouncil"/>
    <w:rsid w:val="00756A50"/>
    <w:rPr>
      <w:rFonts w:ascii="Times New Roman" w:eastAsiaTheme="minorHAnsi" w:hAnsi="Times New Roman"/>
      <w:noProof/>
      <w:sz w:val="2"/>
      <w:szCs w:val="22"/>
      <w:lang w:val="de-DE" w:eastAsia="en-US"/>
      <w14:ligatures w14:val="standardContextual"/>
    </w:rPr>
  </w:style>
  <w:style w:type="paragraph" w:customStyle="1" w:styleId="FooterText">
    <w:name w:val="Footer Text"/>
    <w:basedOn w:val="Normal"/>
    <w:rsid w:val="00756A50"/>
    <w:pPr>
      <w:spacing w:after="0" w:line="240" w:lineRule="auto"/>
    </w:pPr>
    <w:rPr>
      <w:rFonts w:ascii="Times New Roman" w:eastAsia="Times New Roman" w:hAnsi="Times New Roman" w:cs="Times New Roman"/>
      <w:lang w:val="de-DE" w:eastAsia="en-US"/>
      <w14:ligatures w14:val="standardContextual"/>
    </w:rPr>
  </w:style>
  <w:style w:type="character" w:styleId="CommentReference">
    <w:name w:val="annotation reference"/>
    <w:basedOn w:val="DefaultParagraphFont"/>
    <w:uiPriority w:val="99"/>
    <w:unhideWhenUsed/>
    <w:rsid w:val="00756A50"/>
    <w:rPr>
      <w:sz w:val="16"/>
      <w:szCs w:val="16"/>
    </w:rPr>
  </w:style>
  <w:style w:type="table" w:styleId="TableGridLight">
    <w:name w:val="Grid Table Light"/>
    <w:basedOn w:val="TableNormal"/>
    <w:uiPriority w:val="40"/>
    <w:rsid w:val="004C590F"/>
    <w:pPr>
      <w:spacing w:after="0" w:line="240" w:lineRule="auto"/>
    </w:pPr>
    <w:rPr>
      <w:sz w:val="22"/>
      <w:szCs w:val="22"/>
      <w:lang w:val="de-DE" w:eastAsia="en-IE"/>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0A4598"/>
    <w:pPr>
      <w:spacing w:line="259" w:lineRule="auto"/>
      <w:ind w:left="720"/>
      <w:contextualSpacing/>
    </w:pPr>
    <w:rPr>
      <w:rFonts w:eastAsiaTheme="minorHAnsi"/>
      <w:kern w:val="2"/>
      <w:sz w:val="22"/>
      <w:szCs w:val="22"/>
      <w:lang w:val="en-IE" w:eastAsia="en-US"/>
      <w14:ligatures w14:val="standardContextual"/>
    </w:rPr>
  </w:style>
  <w:style w:type="character" w:customStyle="1" w:styleId="Heading1Char">
    <w:name w:val="Heading 1 Char"/>
    <w:aliases w:val="Heading Char"/>
    <w:basedOn w:val="DefaultParagraphFont"/>
    <w:link w:val="Heading1"/>
    <w:uiPriority w:val="9"/>
    <w:rsid w:val="00A437C8"/>
    <w:rPr>
      <w:rFonts w:asciiTheme="majorHAnsi" w:eastAsiaTheme="majorEastAsia" w:hAnsiTheme="majorHAnsi" w:cstheme="majorBidi"/>
      <w:color w:val="0F4761" w:themeColor="accent1" w:themeShade="BF"/>
      <w:kern w:val="2"/>
      <w:sz w:val="40"/>
      <w:szCs w:val="40"/>
      <w:lang w:val="en-IE" w:eastAsia="en-US"/>
      <w14:ligatures w14:val="standardContextual"/>
    </w:rPr>
  </w:style>
  <w:style w:type="character" w:customStyle="1" w:styleId="Heading2Char">
    <w:name w:val="Heading 2 Char"/>
    <w:basedOn w:val="DefaultParagraphFont"/>
    <w:link w:val="Heading2"/>
    <w:uiPriority w:val="9"/>
    <w:rsid w:val="00A437C8"/>
    <w:rPr>
      <w:rFonts w:asciiTheme="majorHAnsi" w:eastAsiaTheme="majorEastAsia" w:hAnsiTheme="majorHAnsi" w:cstheme="majorBidi"/>
      <w:color w:val="0F4761" w:themeColor="accent1" w:themeShade="BF"/>
      <w:kern w:val="2"/>
      <w:sz w:val="32"/>
      <w:szCs w:val="32"/>
      <w:lang w:val="en-IE" w:eastAsia="en-US"/>
      <w14:ligatures w14:val="standardContextual"/>
    </w:rPr>
  </w:style>
  <w:style w:type="character" w:customStyle="1" w:styleId="Heading3Char">
    <w:name w:val="Heading 3 Char"/>
    <w:basedOn w:val="DefaultParagraphFont"/>
    <w:link w:val="Heading3"/>
    <w:uiPriority w:val="9"/>
    <w:rsid w:val="00A437C8"/>
    <w:rPr>
      <w:rFonts w:eastAsiaTheme="majorEastAsia" w:cstheme="majorBidi"/>
      <w:color w:val="0F4761" w:themeColor="accent1" w:themeShade="BF"/>
      <w:kern w:val="2"/>
      <w:sz w:val="28"/>
      <w:szCs w:val="28"/>
      <w:lang w:val="en-IE" w:eastAsia="en-US"/>
      <w14:ligatures w14:val="standardContextual"/>
    </w:rPr>
  </w:style>
  <w:style w:type="character" w:customStyle="1" w:styleId="Heading4Char">
    <w:name w:val="Heading 4 Char"/>
    <w:basedOn w:val="DefaultParagraphFont"/>
    <w:link w:val="Heading4"/>
    <w:uiPriority w:val="9"/>
    <w:rsid w:val="00A437C8"/>
    <w:rPr>
      <w:rFonts w:eastAsiaTheme="majorEastAsia" w:cstheme="majorBidi"/>
      <w:i/>
      <w:iCs/>
      <w:color w:val="0F4761" w:themeColor="accent1" w:themeShade="BF"/>
      <w:kern w:val="2"/>
      <w:sz w:val="22"/>
      <w:szCs w:val="22"/>
      <w:lang w:val="en-IE" w:eastAsia="en-US"/>
      <w14:ligatures w14:val="standardContextual"/>
    </w:rPr>
  </w:style>
  <w:style w:type="character" w:customStyle="1" w:styleId="Heading5Char">
    <w:name w:val="Heading 5 Char"/>
    <w:basedOn w:val="DefaultParagraphFont"/>
    <w:link w:val="Heading5"/>
    <w:uiPriority w:val="9"/>
    <w:semiHidden/>
    <w:rsid w:val="00A437C8"/>
    <w:rPr>
      <w:rFonts w:eastAsiaTheme="majorEastAsia" w:cstheme="majorBidi"/>
      <w:color w:val="0F4761" w:themeColor="accent1" w:themeShade="BF"/>
      <w:kern w:val="2"/>
      <w:sz w:val="22"/>
      <w:szCs w:val="22"/>
      <w:lang w:val="en-IE" w:eastAsia="en-US"/>
      <w14:ligatures w14:val="standardContextual"/>
    </w:rPr>
  </w:style>
  <w:style w:type="character" w:customStyle="1" w:styleId="Heading6Char">
    <w:name w:val="Heading 6 Char"/>
    <w:basedOn w:val="DefaultParagraphFont"/>
    <w:link w:val="Heading6"/>
    <w:uiPriority w:val="9"/>
    <w:semiHidden/>
    <w:rsid w:val="00A437C8"/>
    <w:rPr>
      <w:rFonts w:eastAsiaTheme="majorEastAsia" w:cstheme="majorBidi"/>
      <w:i/>
      <w:iCs/>
      <w:color w:val="595959" w:themeColor="text1" w:themeTint="A6"/>
      <w:kern w:val="2"/>
      <w:sz w:val="22"/>
      <w:szCs w:val="22"/>
      <w:lang w:val="en-IE" w:eastAsia="en-US"/>
      <w14:ligatures w14:val="standardContextual"/>
    </w:rPr>
  </w:style>
  <w:style w:type="character" w:customStyle="1" w:styleId="Heading7Char">
    <w:name w:val="Heading 7 Char"/>
    <w:basedOn w:val="DefaultParagraphFont"/>
    <w:link w:val="Heading7"/>
    <w:uiPriority w:val="9"/>
    <w:semiHidden/>
    <w:rsid w:val="00A437C8"/>
    <w:rPr>
      <w:rFonts w:eastAsiaTheme="majorEastAsia" w:cstheme="majorBidi"/>
      <w:color w:val="595959" w:themeColor="text1" w:themeTint="A6"/>
      <w:kern w:val="2"/>
      <w:sz w:val="22"/>
      <w:szCs w:val="22"/>
      <w:lang w:val="en-IE" w:eastAsia="en-US"/>
      <w14:ligatures w14:val="standardContextual"/>
    </w:rPr>
  </w:style>
  <w:style w:type="character" w:customStyle="1" w:styleId="Heading8Char">
    <w:name w:val="Heading 8 Char"/>
    <w:basedOn w:val="DefaultParagraphFont"/>
    <w:link w:val="Heading8"/>
    <w:uiPriority w:val="9"/>
    <w:semiHidden/>
    <w:rsid w:val="00A437C8"/>
    <w:rPr>
      <w:rFonts w:eastAsiaTheme="majorEastAsia" w:cstheme="majorBidi"/>
      <w:i/>
      <w:iCs/>
      <w:color w:val="272727" w:themeColor="text1" w:themeTint="D8"/>
      <w:kern w:val="2"/>
      <w:sz w:val="22"/>
      <w:szCs w:val="22"/>
      <w:lang w:val="en-IE" w:eastAsia="en-US"/>
      <w14:ligatures w14:val="standardContextual"/>
    </w:rPr>
  </w:style>
  <w:style w:type="character" w:customStyle="1" w:styleId="Heading9Char">
    <w:name w:val="Heading 9 Char"/>
    <w:basedOn w:val="DefaultParagraphFont"/>
    <w:link w:val="Heading9"/>
    <w:uiPriority w:val="9"/>
    <w:semiHidden/>
    <w:rsid w:val="00A437C8"/>
    <w:rPr>
      <w:rFonts w:eastAsiaTheme="majorEastAsia" w:cstheme="majorBidi"/>
      <w:color w:val="272727" w:themeColor="text1" w:themeTint="D8"/>
      <w:kern w:val="2"/>
      <w:sz w:val="22"/>
      <w:szCs w:val="22"/>
      <w:lang w:val="en-IE" w:eastAsia="en-US"/>
      <w14:ligatures w14:val="standardContextual"/>
    </w:rPr>
  </w:style>
  <w:style w:type="paragraph" w:styleId="Title">
    <w:name w:val="Title"/>
    <w:basedOn w:val="Normal"/>
    <w:next w:val="Normal"/>
    <w:link w:val="TitleChar"/>
    <w:uiPriority w:val="10"/>
    <w:qFormat/>
    <w:rsid w:val="00A437C8"/>
    <w:pPr>
      <w:spacing w:after="80" w:line="240" w:lineRule="auto"/>
      <w:contextualSpacing/>
    </w:pPr>
    <w:rPr>
      <w:rFonts w:asciiTheme="majorHAnsi" w:eastAsiaTheme="majorEastAsia" w:hAnsiTheme="majorHAnsi" w:cstheme="majorBidi"/>
      <w:spacing w:val="-10"/>
      <w:kern w:val="28"/>
      <w:sz w:val="56"/>
      <w:szCs w:val="56"/>
      <w:lang w:val="en-IE" w:eastAsia="en-US"/>
      <w14:ligatures w14:val="standardContextual"/>
    </w:rPr>
  </w:style>
  <w:style w:type="character" w:customStyle="1" w:styleId="TitleChar">
    <w:name w:val="Title Char"/>
    <w:basedOn w:val="DefaultParagraphFont"/>
    <w:link w:val="Title"/>
    <w:uiPriority w:val="10"/>
    <w:rsid w:val="00A437C8"/>
    <w:rPr>
      <w:rFonts w:asciiTheme="majorHAnsi" w:eastAsiaTheme="majorEastAsia" w:hAnsiTheme="majorHAnsi" w:cstheme="majorBidi"/>
      <w:spacing w:val="-10"/>
      <w:kern w:val="28"/>
      <w:sz w:val="56"/>
      <w:szCs w:val="56"/>
      <w:lang w:val="en-IE" w:eastAsia="en-US"/>
      <w14:ligatures w14:val="standardContextual"/>
    </w:rPr>
  </w:style>
  <w:style w:type="paragraph" w:styleId="Subtitle">
    <w:name w:val="Subtitle"/>
    <w:basedOn w:val="Normal"/>
    <w:next w:val="Normal"/>
    <w:link w:val="SubtitleChar"/>
    <w:uiPriority w:val="11"/>
    <w:qFormat/>
    <w:rsid w:val="00A437C8"/>
    <w:pPr>
      <w:numPr>
        <w:ilvl w:val="1"/>
      </w:numPr>
      <w:spacing w:line="259" w:lineRule="auto"/>
    </w:pPr>
    <w:rPr>
      <w:rFonts w:eastAsiaTheme="majorEastAsia" w:cstheme="majorBidi"/>
      <w:color w:val="595959" w:themeColor="text1" w:themeTint="A6"/>
      <w:spacing w:val="15"/>
      <w:kern w:val="2"/>
      <w:sz w:val="28"/>
      <w:szCs w:val="28"/>
      <w:lang w:val="en-IE" w:eastAsia="en-US"/>
      <w14:ligatures w14:val="standardContextual"/>
    </w:rPr>
  </w:style>
  <w:style w:type="character" w:customStyle="1" w:styleId="SubtitleChar">
    <w:name w:val="Subtitle Char"/>
    <w:basedOn w:val="DefaultParagraphFont"/>
    <w:link w:val="Subtitle"/>
    <w:uiPriority w:val="11"/>
    <w:rsid w:val="00A437C8"/>
    <w:rPr>
      <w:rFonts w:eastAsiaTheme="majorEastAsia" w:cstheme="majorBidi"/>
      <w:color w:val="595959" w:themeColor="text1" w:themeTint="A6"/>
      <w:spacing w:val="15"/>
      <w:kern w:val="2"/>
      <w:sz w:val="28"/>
      <w:szCs w:val="28"/>
      <w:lang w:val="en-IE" w:eastAsia="en-US"/>
      <w14:ligatures w14:val="standardContextual"/>
    </w:rPr>
  </w:style>
  <w:style w:type="paragraph" w:styleId="Quote">
    <w:name w:val="Quote"/>
    <w:basedOn w:val="Normal"/>
    <w:next w:val="Normal"/>
    <w:link w:val="QuoteChar"/>
    <w:uiPriority w:val="29"/>
    <w:qFormat/>
    <w:rsid w:val="00A437C8"/>
    <w:pPr>
      <w:spacing w:before="160" w:line="259" w:lineRule="auto"/>
      <w:jc w:val="center"/>
    </w:pPr>
    <w:rPr>
      <w:rFonts w:eastAsiaTheme="minorHAnsi"/>
      <w:i/>
      <w:iCs/>
      <w:color w:val="404040" w:themeColor="text1" w:themeTint="BF"/>
      <w:kern w:val="2"/>
      <w:sz w:val="22"/>
      <w:szCs w:val="22"/>
      <w:lang w:val="en-IE" w:eastAsia="en-US"/>
      <w14:ligatures w14:val="standardContextual"/>
    </w:rPr>
  </w:style>
  <w:style w:type="character" w:customStyle="1" w:styleId="QuoteChar">
    <w:name w:val="Quote Char"/>
    <w:basedOn w:val="DefaultParagraphFont"/>
    <w:link w:val="Quote"/>
    <w:uiPriority w:val="29"/>
    <w:rsid w:val="00A437C8"/>
    <w:rPr>
      <w:rFonts w:eastAsiaTheme="minorHAnsi"/>
      <w:i/>
      <w:iCs/>
      <w:color w:val="404040" w:themeColor="text1" w:themeTint="BF"/>
      <w:kern w:val="2"/>
      <w:sz w:val="22"/>
      <w:szCs w:val="22"/>
      <w:lang w:val="en-IE" w:eastAsia="en-US"/>
      <w14:ligatures w14:val="standardContextual"/>
    </w:rPr>
  </w:style>
  <w:style w:type="character" w:styleId="IntenseEmphasis">
    <w:name w:val="Intense Emphasis"/>
    <w:basedOn w:val="DefaultParagraphFont"/>
    <w:uiPriority w:val="21"/>
    <w:qFormat/>
    <w:rsid w:val="00A437C8"/>
    <w:rPr>
      <w:i/>
      <w:iCs/>
      <w:color w:val="0F4761" w:themeColor="accent1" w:themeShade="BF"/>
    </w:rPr>
  </w:style>
  <w:style w:type="paragraph" w:styleId="IntenseQuote">
    <w:name w:val="Intense Quote"/>
    <w:basedOn w:val="Normal"/>
    <w:next w:val="Normal"/>
    <w:link w:val="IntenseQuoteChar"/>
    <w:uiPriority w:val="30"/>
    <w:qFormat/>
    <w:rsid w:val="00A437C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sz w:val="22"/>
      <w:szCs w:val="22"/>
      <w:lang w:val="en-IE" w:eastAsia="en-US"/>
      <w14:ligatures w14:val="standardContextual"/>
    </w:rPr>
  </w:style>
  <w:style w:type="character" w:customStyle="1" w:styleId="IntenseQuoteChar">
    <w:name w:val="Intense Quote Char"/>
    <w:basedOn w:val="DefaultParagraphFont"/>
    <w:link w:val="IntenseQuote"/>
    <w:uiPriority w:val="30"/>
    <w:rsid w:val="00A437C8"/>
    <w:rPr>
      <w:rFonts w:eastAsiaTheme="minorHAnsi"/>
      <w:i/>
      <w:iCs/>
      <w:color w:val="0F4761" w:themeColor="accent1" w:themeShade="BF"/>
      <w:kern w:val="2"/>
      <w:sz w:val="22"/>
      <w:szCs w:val="22"/>
      <w:lang w:val="en-IE" w:eastAsia="en-US"/>
      <w14:ligatures w14:val="standardContextual"/>
    </w:rPr>
  </w:style>
  <w:style w:type="character" w:styleId="IntenseReference">
    <w:name w:val="Intense Reference"/>
    <w:basedOn w:val="DefaultParagraphFont"/>
    <w:uiPriority w:val="32"/>
    <w:qFormat/>
    <w:rsid w:val="00A437C8"/>
    <w:rPr>
      <w:b/>
      <w:bCs/>
      <w:smallCaps/>
      <w:color w:val="0F4761" w:themeColor="accent1" w:themeShade="BF"/>
      <w:spacing w:val="5"/>
    </w:rPr>
  </w:style>
  <w:style w:type="paragraph" w:customStyle="1" w:styleId="TechnicalBlockBase">
    <w:name w:val="TechnicalBlockBase"/>
    <w:link w:val="TechnicalBlockBaseChar"/>
    <w:rsid w:val="00A437C8"/>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14:ligatures w14:val="standardContextual"/>
    </w:rPr>
  </w:style>
  <w:style w:type="character" w:customStyle="1" w:styleId="TechnicalBlockBaseChar">
    <w:name w:val="TechnicalBlockBase Char"/>
    <w:basedOn w:val="EntInstitChar"/>
    <w:link w:val="TechnicalBlockBase"/>
    <w:rsid w:val="00A437C8"/>
    <w:rPr>
      <w:rFonts w:ascii="Arial New Roman" w:eastAsia="Times New Roman" w:hAnsi="Arial New Roman" w:cs="Arial"/>
      <w:b/>
      <w:i/>
      <w:dstrike/>
      <w:color w:val="606060"/>
      <w:w w:val="98"/>
      <w:sz w:val="10"/>
      <w:szCs w:val="20"/>
      <w:u w:val="words" w:color="606060"/>
      <w:lang w:val="en-GB" w:eastAsia="fr-BE"/>
      <w14:ligatures w14:val="standardContextual"/>
    </w:rPr>
  </w:style>
  <w:style w:type="paragraph" w:customStyle="1" w:styleId="TBEntRefer">
    <w:name w:val="TBEntRefer"/>
    <w:basedOn w:val="TechnicalBlockBase"/>
    <w:link w:val="EntReferChar"/>
    <w:rsid w:val="00A437C8"/>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7C8"/>
    <w:rPr>
      <w:rFonts w:ascii="Arial" w:eastAsia="Times New Roman" w:hAnsi="Arial" w:cs="Arial"/>
      <w:b/>
      <w:sz w:val="23"/>
      <w:szCs w:val="20"/>
      <w:u w:color="606060"/>
      <w:lang w:val="en-GB" w:eastAsia="fr-BE"/>
      <w14:ligatures w14:val="standardContextual"/>
    </w:rPr>
  </w:style>
  <w:style w:type="paragraph" w:customStyle="1" w:styleId="TBDistrbMarkers">
    <w:name w:val="TBDistrbMarkers"/>
    <w:basedOn w:val="TBEntRefer"/>
    <w:qFormat/>
    <w:rsid w:val="00A437C8"/>
    <w:pPr>
      <w:tabs>
        <w:tab w:val="left" w:pos="2262"/>
      </w:tabs>
    </w:pPr>
    <w:rPr>
      <w:i/>
      <w:iCs/>
      <w:szCs w:val="23"/>
    </w:rPr>
  </w:style>
  <w:style w:type="paragraph" w:customStyle="1" w:styleId="TBEntACP">
    <w:name w:val="TBEntACP"/>
    <w:basedOn w:val="TechnicalBlockBase"/>
    <w:rsid w:val="00A437C8"/>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7C8"/>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A437C8"/>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A437C8"/>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A437C8"/>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A437C8"/>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A437C8"/>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A437C8"/>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A437C8"/>
    <w:rPr>
      <w:rFonts w:ascii="Arial" w:eastAsia="Times New Roman" w:hAnsi="Arial" w:cs="Arial"/>
      <w:b/>
      <w:sz w:val="23"/>
      <w:szCs w:val="20"/>
      <w:u w:color="606060"/>
      <w:lang w:val="en-GB" w:eastAsia="fr-BE"/>
      <w14:ligatures w14:val="standardContextual"/>
    </w:rPr>
  </w:style>
  <w:style w:type="paragraph" w:customStyle="1" w:styleId="TBSubjectTable">
    <w:name w:val="TBSubjectTable"/>
    <w:basedOn w:val="TechnicalBlockBase"/>
    <w:rsid w:val="00A437C8"/>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A437C8"/>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A437C8"/>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A437C8"/>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A437C8"/>
    <w:pPr>
      <w:widowControl/>
      <w:spacing w:before="40" w:after="40" w:line="240" w:lineRule="auto"/>
      <w:ind w:left="0" w:right="0"/>
    </w:pPr>
    <w:rPr>
      <w:rFonts w:ascii="Arial" w:hAnsi="Arial"/>
      <w:b w:val="0"/>
      <w:i w:val="0"/>
      <w:dstrike w:val="0"/>
      <w:color w:val="auto"/>
      <w:w w:val="100"/>
      <w:sz w:val="23"/>
      <w:u w:val="none"/>
    </w:rPr>
  </w:style>
  <w:style w:type="character" w:customStyle="1" w:styleId="Marker">
    <w:name w:val="Marker"/>
    <w:basedOn w:val="DefaultParagraphFont"/>
    <w:rsid w:val="00A437C8"/>
    <w:rPr>
      <w:color w:val="0000FF"/>
      <w:shd w:val="clear" w:color="auto" w:fill="auto"/>
    </w:rPr>
  </w:style>
  <w:style w:type="paragraph" w:customStyle="1" w:styleId="Pagedecouverture">
    <w:name w:val="Page de couverture"/>
    <w:basedOn w:val="Normal"/>
    <w:next w:val="Normal"/>
    <w:rsid w:val="00A437C8"/>
    <w:pPr>
      <w:spacing w:after="0" w:line="240" w:lineRule="auto"/>
      <w:jc w:val="both"/>
    </w:pPr>
    <w:rPr>
      <w:rFonts w:ascii="Times New Roman" w:eastAsiaTheme="minorHAnsi" w:hAnsi="Times New Roman" w:cs="Times New Roman"/>
      <w:szCs w:val="22"/>
      <w:lang w:val="en-IE" w:eastAsia="en-US"/>
      <w14:ligatures w14:val="standardContextual"/>
    </w:rPr>
  </w:style>
  <w:style w:type="paragraph" w:customStyle="1" w:styleId="FooterSensitivity">
    <w:name w:val="Footer Sensitivity"/>
    <w:basedOn w:val="Normal"/>
    <w:link w:val="FooterSensitivityChar"/>
    <w:rsid w:val="00A437C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437C8"/>
    <w:rPr>
      <w:rFonts w:ascii="Times New Roman" w:hAnsi="Times New Roman" w:cs="Times New Roman"/>
      <w:b/>
      <w:sz w:val="32"/>
    </w:rPr>
  </w:style>
  <w:style w:type="paragraph" w:customStyle="1" w:styleId="HeaderCoverPage">
    <w:name w:val="Header Cover Page"/>
    <w:basedOn w:val="Normal"/>
    <w:link w:val="HeaderCoverPageChar"/>
    <w:rsid w:val="00A437C8"/>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A437C8"/>
    <w:rPr>
      <w:rFonts w:ascii="Times New Roman" w:hAnsi="Times New Roman" w:cs="Times New Roman"/>
    </w:rPr>
  </w:style>
  <w:style w:type="paragraph" w:customStyle="1" w:styleId="HeaderSensitivity">
    <w:name w:val="Header Sensitivity"/>
    <w:basedOn w:val="Normal"/>
    <w:link w:val="HeaderSensitivityChar"/>
    <w:rsid w:val="00A437C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437C8"/>
    <w:rPr>
      <w:rFonts w:ascii="Times New Roman" w:hAnsi="Times New Roman" w:cs="Times New Roman"/>
      <w:b/>
      <w:sz w:val="32"/>
    </w:rPr>
  </w:style>
  <w:style w:type="paragraph" w:customStyle="1" w:styleId="HeaderSensitivityRight">
    <w:name w:val="Header Sensitivity Right"/>
    <w:basedOn w:val="Normal"/>
    <w:link w:val="HeaderSensitivityRightChar"/>
    <w:rsid w:val="00A437C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437C8"/>
    <w:rPr>
      <w:rFonts w:ascii="Times New Roman" w:hAnsi="Times New Roman" w:cs="Times New Roman"/>
      <w:sz w:val="28"/>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A437C8"/>
    <w:rPr>
      <w:rFonts w:eastAsiaTheme="minorHAnsi"/>
      <w:kern w:val="2"/>
      <w:sz w:val="22"/>
      <w:szCs w:val="22"/>
      <w:lang w:val="en-IE" w:eastAsia="en-US"/>
      <w14:ligatures w14:val="standardContextual"/>
    </w:rPr>
  </w:style>
  <w:style w:type="paragraph" w:customStyle="1" w:styleId="Standard">
    <w:name w:val="Standard"/>
    <w:qFormat/>
    <w:rsid w:val="00A437C8"/>
    <w:pPr>
      <w:suppressAutoHyphens/>
      <w:autoSpaceDN w:val="0"/>
      <w:spacing w:after="0" w:line="240" w:lineRule="auto"/>
      <w:textAlignment w:val="baseline"/>
    </w:pPr>
    <w:rPr>
      <w:rFonts w:ascii="Liberation Serif" w:eastAsia="NSimSun" w:hAnsi="Liberation Serif" w:cs="Arial"/>
      <w:kern w:val="3"/>
      <w:lang w:val="de-DE" w:eastAsia="en-US"/>
      <w14:ligatures w14:val="standardContextual"/>
    </w:rPr>
  </w:style>
  <w:style w:type="paragraph" w:styleId="CommentText">
    <w:name w:val="annotation text"/>
    <w:basedOn w:val="Normal"/>
    <w:link w:val="CommentTextChar"/>
    <w:uiPriority w:val="99"/>
    <w:unhideWhenUsed/>
    <w:rsid w:val="00A437C8"/>
    <w:pPr>
      <w:spacing w:line="240" w:lineRule="auto"/>
    </w:pPr>
    <w:rPr>
      <w:sz w:val="20"/>
      <w:szCs w:val="20"/>
      <w:lang w:val="de-DE" w:eastAsia="en-IE"/>
      <w14:ligatures w14:val="standardContextual"/>
    </w:rPr>
  </w:style>
  <w:style w:type="character" w:customStyle="1" w:styleId="CommentTextChar">
    <w:name w:val="Comment Text Char"/>
    <w:basedOn w:val="DefaultParagraphFont"/>
    <w:link w:val="CommentText"/>
    <w:uiPriority w:val="99"/>
    <w:rsid w:val="00A437C8"/>
    <w:rPr>
      <w:sz w:val="20"/>
      <w:szCs w:val="20"/>
      <w:lang w:val="de-DE" w:eastAsia="en-IE"/>
      <w14:ligatures w14:val="standardContextual"/>
    </w:rPr>
  </w:style>
  <w:style w:type="paragraph" w:customStyle="1" w:styleId="TechnicalBlock">
    <w:name w:val="Technical Block"/>
    <w:basedOn w:val="Normal"/>
    <w:link w:val="TechnicalBlockChar"/>
    <w:rsid w:val="00A437C8"/>
    <w:pPr>
      <w:spacing w:after="240" w:line="240" w:lineRule="auto"/>
      <w:jc w:val="center"/>
    </w:pPr>
    <w:rPr>
      <w:rFonts w:eastAsiaTheme="minorHAnsi"/>
      <w:sz w:val="22"/>
      <w:szCs w:val="22"/>
      <w:lang w:val="de-DE" w:eastAsia="en-US"/>
      <w14:ligatures w14:val="standardContextual"/>
    </w:rPr>
  </w:style>
  <w:style w:type="character" w:customStyle="1" w:styleId="TechnicalBlockChar">
    <w:name w:val="Technical Block Char"/>
    <w:basedOn w:val="DefaultParagraphFont"/>
    <w:link w:val="TechnicalBlock"/>
    <w:rsid w:val="00A437C8"/>
    <w:rPr>
      <w:rFonts w:eastAsiaTheme="minorHAnsi"/>
      <w:sz w:val="22"/>
      <w:szCs w:val="22"/>
      <w:lang w:val="de-DE" w:eastAsia="en-US"/>
      <w14:ligatures w14:val="standardContextual"/>
    </w:rPr>
  </w:style>
  <w:style w:type="paragraph" w:customStyle="1" w:styleId="Lignefinal">
    <w:name w:val="Ligne final"/>
    <w:basedOn w:val="Normal"/>
    <w:next w:val="Normal"/>
    <w:rsid w:val="00A437C8"/>
    <w:pPr>
      <w:pBdr>
        <w:bottom w:val="single" w:sz="4" w:space="0" w:color="000000"/>
      </w:pBdr>
      <w:spacing w:before="360" w:after="120" w:line="360" w:lineRule="auto"/>
      <w:ind w:left="3400" w:right="3400"/>
      <w:jc w:val="center"/>
    </w:pPr>
    <w:rPr>
      <w:rFonts w:ascii="Times New Roman" w:eastAsiaTheme="minorHAnsi" w:hAnsi="Times New Roman" w:cs="Times New Roman"/>
      <w:b/>
      <w:szCs w:val="22"/>
      <w:lang w:val="de-DE" w:eastAsia="en-US"/>
      <w14:ligatures w14:val="standardContextual"/>
    </w:rPr>
  </w:style>
  <w:style w:type="paragraph" w:customStyle="1" w:styleId="pj">
    <w:name w:val="p.j."/>
    <w:basedOn w:val="Normal"/>
    <w:link w:val="pjChar"/>
    <w:rsid w:val="00A437C8"/>
    <w:pPr>
      <w:spacing w:before="1200" w:after="120" w:line="240" w:lineRule="auto"/>
      <w:ind w:left="1440" w:hanging="1440"/>
    </w:pPr>
    <w:rPr>
      <w:rFonts w:ascii="Times New Roman" w:eastAsiaTheme="minorHAnsi" w:hAnsi="Times New Roman" w:cs="Times New Roman"/>
      <w:sz w:val="22"/>
      <w:szCs w:val="22"/>
      <w:lang w:val="de-DE" w:eastAsia="en-IE"/>
      <w14:ligatures w14:val="standardContextual"/>
    </w:rPr>
  </w:style>
  <w:style w:type="character" w:customStyle="1" w:styleId="pjChar">
    <w:name w:val="p.j. Char"/>
    <w:basedOn w:val="TechnicalBlockChar"/>
    <w:link w:val="pj"/>
    <w:rsid w:val="00A437C8"/>
    <w:rPr>
      <w:rFonts w:ascii="Times New Roman" w:eastAsiaTheme="minorHAnsi" w:hAnsi="Times New Roman" w:cs="Times New Roman"/>
      <w:sz w:val="22"/>
      <w:szCs w:val="22"/>
      <w:lang w:val="de-DE" w:eastAsia="en-IE"/>
      <w14:ligatures w14:val="standardContextual"/>
    </w:rPr>
  </w:style>
  <w:style w:type="paragraph" w:customStyle="1" w:styleId="HeaderCouncil">
    <w:name w:val="Header Council"/>
    <w:basedOn w:val="Normal"/>
    <w:link w:val="HeaderCouncilChar"/>
    <w:rsid w:val="00A437C8"/>
    <w:pPr>
      <w:spacing w:after="0" w:line="276" w:lineRule="auto"/>
    </w:pPr>
    <w:rPr>
      <w:rFonts w:ascii="Times New Roman" w:eastAsiaTheme="minorHAnsi" w:hAnsi="Times New Roman"/>
      <w:noProof/>
      <w:sz w:val="2"/>
      <w:szCs w:val="22"/>
      <w:lang w:val="de-DE" w:eastAsia="en-US"/>
      <w14:ligatures w14:val="standardContextual"/>
    </w:rPr>
  </w:style>
  <w:style w:type="character" w:customStyle="1" w:styleId="HeaderCouncilChar">
    <w:name w:val="Header Council Char"/>
    <w:basedOn w:val="DefaultParagraphFont"/>
    <w:link w:val="HeaderCouncil"/>
    <w:rsid w:val="00A437C8"/>
    <w:rPr>
      <w:rFonts w:ascii="Times New Roman" w:eastAsiaTheme="minorHAnsi" w:hAnsi="Times New Roman"/>
      <w:noProof/>
      <w:sz w:val="2"/>
      <w:szCs w:val="22"/>
      <w:lang w:val="de-DE" w:eastAsia="en-US"/>
      <w14:ligatures w14:val="standardContextual"/>
    </w:rPr>
  </w:style>
  <w:style w:type="paragraph" w:customStyle="1" w:styleId="HeaderCouncilLarge">
    <w:name w:val="Header Council Large"/>
    <w:basedOn w:val="Normal"/>
    <w:link w:val="HeaderCouncilLargeChar"/>
    <w:rsid w:val="00A437C8"/>
    <w:pPr>
      <w:spacing w:after="440" w:line="276" w:lineRule="auto"/>
    </w:pPr>
    <w:rPr>
      <w:rFonts w:ascii="Times New Roman" w:eastAsiaTheme="minorHAnsi" w:hAnsi="Times New Roman"/>
      <w:noProof/>
      <w:sz w:val="2"/>
      <w:szCs w:val="22"/>
      <w:lang w:val="de-DE" w:eastAsia="en-US"/>
      <w14:ligatures w14:val="standardContextual"/>
    </w:rPr>
  </w:style>
  <w:style w:type="character" w:customStyle="1" w:styleId="HeaderCouncilLargeChar">
    <w:name w:val="Header Council Large Char"/>
    <w:basedOn w:val="DefaultParagraphFont"/>
    <w:link w:val="HeaderCouncilLarge"/>
    <w:rsid w:val="00A437C8"/>
    <w:rPr>
      <w:rFonts w:ascii="Times New Roman" w:eastAsiaTheme="minorHAnsi" w:hAnsi="Times New Roman"/>
      <w:noProof/>
      <w:sz w:val="2"/>
      <w:szCs w:val="22"/>
      <w:lang w:val="de-DE" w:eastAsia="en-US"/>
      <w14:ligatures w14:val="standardContextual"/>
    </w:rPr>
  </w:style>
  <w:style w:type="character" w:customStyle="1" w:styleId="normaltextrun">
    <w:name w:val="normaltextrun"/>
    <w:basedOn w:val="DefaultParagraphFont"/>
    <w:rsid w:val="00A437C8"/>
  </w:style>
  <w:style w:type="character" w:customStyle="1" w:styleId="Mention1">
    <w:name w:val="Mention1"/>
    <w:basedOn w:val="DefaultParagraphFont"/>
    <w:uiPriority w:val="99"/>
    <w:unhideWhenUsed/>
    <w:rsid w:val="00A437C8"/>
    <w:rPr>
      <w:color w:val="2B579A"/>
      <w:shd w:val="clear" w:color="auto" w:fill="E6E6E6"/>
    </w:rPr>
  </w:style>
  <w:style w:type="paragraph" w:styleId="Revision">
    <w:name w:val="Revision"/>
    <w:hidden/>
    <w:uiPriority w:val="99"/>
    <w:semiHidden/>
    <w:rsid w:val="00A437C8"/>
    <w:pPr>
      <w:spacing w:after="0" w:line="240" w:lineRule="auto"/>
    </w:pPr>
    <w:rPr>
      <w:sz w:val="22"/>
      <w:szCs w:val="22"/>
      <w:lang w:val="de-DE" w:eastAsia="en-IE"/>
      <w14:ligatures w14:val="standardContextual"/>
    </w:rPr>
  </w:style>
  <w:style w:type="paragraph" w:customStyle="1" w:styleId="HeaderLandscape">
    <w:name w:val="HeaderLandscape"/>
    <w:basedOn w:val="Normal"/>
    <w:rsid w:val="00A437C8"/>
    <w:pPr>
      <w:tabs>
        <w:tab w:val="center" w:pos="7285"/>
        <w:tab w:val="right" w:pos="14003"/>
      </w:tabs>
      <w:spacing w:after="120" w:line="240" w:lineRule="auto"/>
      <w:jc w:val="both"/>
    </w:pPr>
    <w:rPr>
      <w:rFonts w:ascii="Times New Roman" w:eastAsiaTheme="minorHAnsi" w:hAnsi="Times New Roman" w:cs="Times New Roman"/>
      <w:szCs w:val="22"/>
      <w:lang w:val="de-DE" w:eastAsia="en-US"/>
      <w14:ligatures w14:val="standardContextual"/>
    </w:rPr>
  </w:style>
  <w:style w:type="paragraph" w:customStyle="1" w:styleId="FooterLandscape">
    <w:name w:val="FooterLandscape"/>
    <w:basedOn w:val="Normal"/>
    <w:rsid w:val="00A437C8"/>
    <w:pPr>
      <w:tabs>
        <w:tab w:val="center" w:pos="7285"/>
        <w:tab w:val="center" w:pos="10913"/>
        <w:tab w:val="right" w:pos="15137"/>
      </w:tabs>
      <w:spacing w:before="360" w:after="0" w:line="240" w:lineRule="auto"/>
      <w:ind w:left="-567" w:right="-567"/>
    </w:pPr>
    <w:rPr>
      <w:rFonts w:ascii="Times New Roman" w:eastAsiaTheme="minorHAnsi" w:hAnsi="Times New Roman" w:cs="Times New Roman"/>
      <w:szCs w:val="22"/>
      <w:lang w:val="de-DE" w:eastAsia="en-US"/>
      <w14:ligatures w14:val="standardContextual"/>
    </w:rPr>
  </w:style>
  <w:style w:type="numbering" w:customStyle="1" w:styleId="NoList1">
    <w:name w:val="No List1"/>
    <w:next w:val="NoList"/>
    <w:uiPriority w:val="99"/>
    <w:semiHidden/>
    <w:unhideWhenUsed/>
    <w:rsid w:val="00A437C8"/>
  </w:style>
  <w:style w:type="paragraph" w:styleId="BalloonText">
    <w:name w:val="Balloon Text"/>
    <w:basedOn w:val="Normal"/>
    <w:link w:val="BalloonTextChar"/>
    <w:uiPriority w:val="99"/>
    <w:semiHidden/>
    <w:unhideWhenUsed/>
    <w:rsid w:val="00A437C8"/>
    <w:pPr>
      <w:spacing w:after="0" w:line="240" w:lineRule="auto"/>
      <w:jc w:val="both"/>
    </w:pPr>
    <w:rPr>
      <w:rFonts w:ascii="Segoe UI" w:eastAsiaTheme="minorHAnsi" w:hAnsi="Segoe UI" w:cs="Segoe UI"/>
      <w:sz w:val="18"/>
      <w:szCs w:val="18"/>
      <w:lang w:val="de-DE" w:eastAsia="en-US"/>
      <w14:ligatures w14:val="standardContextual"/>
    </w:rPr>
  </w:style>
  <w:style w:type="character" w:customStyle="1" w:styleId="BalloonTextChar">
    <w:name w:val="Balloon Text Char"/>
    <w:basedOn w:val="DefaultParagraphFont"/>
    <w:link w:val="BalloonText"/>
    <w:uiPriority w:val="99"/>
    <w:semiHidden/>
    <w:rsid w:val="00A437C8"/>
    <w:rPr>
      <w:rFonts w:ascii="Segoe UI" w:eastAsiaTheme="minorHAnsi" w:hAnsi="Segoe UI" w:cs="Segoe UI"/>
      <w:sz w:val="18"/>
      <w:szCs w:val="18"/>
      <w:lang w:val="de-DE" w:eastAsia="en-US"/>
      <w14:ligatures w14:val="standardContextual"/>
    </w:rPr>
  </w:style>
  <w:style w:type="paragraph" w:styleId="ListBullet">
    <w:name w:val="List Bullet"/>
    <w:basedOn w:val="Normal"/>
    <w:uiPriority w:val="99"/>
    <w:unhideWhenUsed/>
    <w:rsid w:val="00A437C8"/>
    <w:pPr>
      <w:numPr>
        <w:numId w:val="19"/>
      </w:numPr>
      <w:tabs>
        <w:tab w:val="clear" w:pos="360"/>
        <w:tab w:val="num" w:pos="850"/>
      </w:tabs>
      <w:spacing w:before="120" w:after="120" w:line="240" w:lineRule="auto"/>
      <w:ind w:left="0" w:firstLine="0"/>
      <w:contextualSpacing/>
      <w:jc w:val="both"/>
    </w:pPr>
    <w:rPr>
      <w:rFonts w:ascii="Times New Roman" w:eastAsiaTheme="minorHAnsi" w:hAnsi="Times New Roman" w:cs="Times New Roman"/>
      <w:szCs w:val="22"/>
      <w:lang w:val="de-DE" w:eastAsia="en-US"/>
      <w14:ligatures w14:val="standardContextual"/>
    </w:rPr>
  </w:style>
  <w:style w:type="paragraph" w:styleId="ListBullet2">
    <w:name w:val="List Bullet 2"/>
    <w:basedOn w:val="Normal"/>
    <w:uiPriority w:val="99"/>
    <w:semiHidden/>
    <w:unhideWhenUsed/>
    <w:rsid w:val="00A437C8"/>
    <w:pPr>
      <w:numPr>
        <w:numId w:val="20"/>
      </w:numPr>
      <w:tabs>
        <w:tab w:val="clear" w:pos="643"/>
        <w:tab w:val="num" w:pos="1417"/>
      </w:tabs>
      <w:spacing w:before="120" w:after="120" w:line="240" w:lineRule="auto"/>
      <w:ind w:left="0" w:firstLine="0"/>
      <w:contextualSpacing/>
      <w:jc w:val="both"/>
    </w:pPr>
    <w:rPr>
      <w:rFonts w:ascii="Times New Roman" w:eastAsiaTheme="minorHAnsi" w:hAnsi="Times New Roman" w:cs="Times New Roman"/>
      <w:szCs w:val="22"/>
      <w:lang w:val="de-DE" w:eastAsia="en-US"/>
      <w14:ligatures w14:val="standardContextual"/>
    </w:rPr>
  </w:style>
  <w:style w:type="paragraph" w:styleId="ListBullet3">
    <w:name w:val="List Bullet 3"/>
    <w:basedOn w:val="Normal"/>
    <w:uiPriority w:val="99"/>
    <w:semiHidden/>
    <w:unhideWhenUsed/>
    <w:rsid w:val="00A437C8"/>
    <w:pPr>
      <w:numPr>
        <w:numId w:val="21"/>
      </w:numPr>
      <w:tabs>
        <w:tab w:val="clear" w:pos="926"/>
        <w:tab w:val="num" w:pos="1984"/>
      </w:tabs>
      <w:spacing w:before="120" w:after="120" w:line="240" w:lineRule="auto"/>
      <w:ind w:left="0" w:firstLine="0"/>
      <w:contextualSpacing/>
      <w:jc w:val="both"/>
    </w:pPr>
    <w:rPr>
      <w:rFonts w:ascii="Times New Roman" w:eastAsiaTheme="minorHAnsi" w:hAnsi="Times New Roman" w:cs="Times New Roman"/>
      <w:szCs w:val="22"/>
      <w:lang w:val="de-DE" w:eastAsia="en-US"/>
      <w14:ligatures w14:val="standardContextual"/>
    </w:rPr>
  </w:style>
  <w:style w:type="paragraph" w:styleId="ListBullet4">
    <w:name w:val="List Bullet 4"/>
    <w:basedOn w:val="Normal"/>
    <w:uiPriority w:val="99"/>
    <w:semiHidden/>
    <w:unhideWhenUsed/>
    <w:rsid w:val="00A437C8"/>
    <w:pPr>
      <w:numPr>
        <w:numId w:val="22"/>
      </w:numPr>
      <w:tabs>
        <w:tab w:val="clear" w:pos="1209"/>
      </w:tabs>
      <w:spacing w:before="120" w:after="120" w:line="240" w:lineRule="auto"/>
      <w:ind w:left="0" w:firstLine="0"/>
      <w:contextualSpacing/>
      <w:jc w:val="both"/>
    </w:pPr>
    <w:rPr>
      <w:rFonts w:ascii="Times New Roman" w:eastAsiaTheme="minorHAnsi" w:hAnsi="Times New Roman" w:cs="Times New Roman"/>
      <w:szCs w:val="22"/>
      <w:lang w:val="de-DE" w:eastAsia="en-US"/>
      <w14:ligatures w14:val="standardContextual"/>
    </w:rPr>
  </w:style>
  <w:style w:type="paragraph" w:styleId="CommentSubject">
    <w:name w:val="annotation subject"/>
    <w:basedOn w:val="CommentText"/>
    <w:next w:val="CommentText"/>
    <w:link w:val="CommentSubjectChar"/>
    <w:uiPriority w:val="99"/>
    <w:semiHidden/>
    <w:unhideWhenUsed/>
    <w:rsid w:val="00A437C8"/>
    <w:pPr>
      <w:spacing w:before="120" w:after="120"/>
      <w:jc w:val="both"/>
    </w:pPr>
    <w:rPr>
      <w:rFonts w:ascii="Times New Roman" w:eastAsiaTheme="minorHAnsi" w:hAnsi="Times New Roman" w:cs="Times New Roman"/>
      <w:b/>
      <w:bCs/>
      <w:lang w:eastAsia="en-US"/>
    </w:rPr>
  </w:style>
  <w:style w:type="character" w:customStyle="1" w:styleId="CommentSubjectChar">
    <w:name w:val="Comment Subject Char"/>
    <w:basedOn w:val="CommentTextChar"/>
    <w:link w:val="CommentSubject"/>
    <w:uiPriority w:val="99"/>
    <w:semiHidden/>
    <w:rsid w:val="00A437C8"/>
    <w:rPr>
      <w:rFonts w:ascii="Times New Roman" w:eastAsiaTheme="minorHAnsi" w:hAnsi="Times New Roman" w:cs="Times New Roman"/>
      <w:b/>
      <w:bCs/>
      <w:sz w:val="20"/>
      <w:szCs w:val="20"/>
      <w:lang w:val="de-DE" w:eastAsia="en-US"/>
      <w14:ligatures w14:val="standardContextual"/>
    </w:rPr>
  </w:style>
  <w:style w:type="paragraph" w:styleId="Caption">
    <w:name w:val="caption"/>
    <w:basedOn w:val="Normal"/>
    <w:next w:val="Normal"/>
    <w:uiPriority w:val="35"/>
    <w:semiHidden/>
    <w:unhideWhenUsed/>
    <w:qFormat/>
    <w:rsid w:val="00A437C8"/>
    <w:pPr>
      <w:spacing w:after="200" w:line="240" w:lineRule="auto"/>
      <w:jc w:val="both"/>
    </w:pPr>
    <w:rPr>
      <w:rFonts w:ascii="Times New Roman" w:eastAsiaTheme="minorHAnsi" w:hAnsi="Times New Roman" w:cs="Times New Roman"/>
      <w:i/>
      <w:iCs/>
      <w:color w:val="0E2841" w:themeColor="text2"/>
      <w:sz w:val="18"/>
      <w:szCs w:val="18"/>
      <w:lang w:val="de-DE" w:eastAsia="en-US"/>
      <w14:ligatures w14:val="standardContextual"/>
    </w:rPr>
  </w:style>
  <w:style w:type="paragraph" w:styleId="TableofFigures">
    <w:name w:val="table of figures"/>
    <w:basedOn w:val="Normal"/>
    <w:next w:val="Normal"/>
    <w:uiPriority w:val="99"/>
    <w:semiHidden/>
    <w:unhideWhenUsed/>
    <w:rsid w:val="00A437C8"/>
    <w:pPr>
      <w:spacing w:before="120" w:after="0" w:line="240" w:lineRule="auto"/>
      <w:jc w:val="both"/>
    </w:pPr>
    <w:rPr>
      <w:rFonts w:ascii="Times New Roman" w:eastAsiaTheme="minorHAnsi" w:hAnsi="Times New Roman" w:cs="Times New Roman"/>
      <w:szCs w:val="22"/>
      <w:lang w:val="de-DE" w:eastAsia="en-US"/>
      <w14:ligatures w14:val="standardContextual"/>
    </w:rPr>
  </w:style>
  <w:style w:type="paragraph" w:styleId="ListNumber">
    <w:name w:val="List Number"/>
    <w:basedOn w:val="Normal"/>
    <w:uiPriority w:val="99"/>
    <w:semiHidden/>
    <w:unhideWhenUsed/>
    <w:rsid w:val="00A437C8"/>
    <w:pPr>
      <w:numPr>
        <w:numId w:val="23"/>
      </w:numPr>
      <w:tabs>
        <w:tab w:val="clear" w:pos="360"/>
        <w:tab w:val="num" w:pos="3118"/>
      </w:tabs>
      <w:spacing w:before="120" w:after="120" w:line="240" w:lineRule="auto"/>
      <w:ind w:left="0" w:firstLine="0"/>
      <w:contextualSpacing/>
      <w:jc w:val="both"/>
    </w:pPr>
    <w:rPr>
      <w:rFonts w:ascii="Times New Roman" w:eastAsiaTheme="minorHAnsi" w:hAnsi="Times New Roman" w:cs="Times New Roman"/>
      <w:szCs w:val="22"/>
      <w:lang w:val="de-DE" w:eastAsia="en-US"/>
      <w14:ligatures w14:val="standardContextual"/>
    </w:rPr>
  </w:style>
  <w:style w:type="paragraph" w:styleId="ListNumber2">
    <w:name w:val="List Number 2"/>
    <w:basedOn w:val="Normal"/>
    <w:uiPriority w:val="99"/>
    <w:semiHidden/>
    <w:unhideWhenUsed/>
    <w:rsid w:val="00A437C8"/>
    <w:pPr>
      <w:numPr>
        <w:numId w:val="24"/>
      </w:numPr>
      <w:tabs>
        <w:tab w:val="clear" w:pos="643"/>
        <w:tab w:val="num" w:pos="850"/>
      </w:tabs>
      <w:spacing w:before="120" w:after="120" w:line="240" w:lineRule="auto"/>
      <w:ind w:left="0" w:firstLine="0"/>
      <w:contextualSpacing/>
      <w:jc w:val="both"/>
    </w:pPr>
    <w:rPr>
      <w:rFonts w:ascii="Times New Roman" w:eastAsiaTheme="minorHAnsi" w:hAnsi="Times New Roman" w:cs="Times New Roman"/>
      <w:szCs w:val="22"/>
      <w:lang w:val="de-DE" w:eastAsia="en-US"/>
      <w14:ligatures w14:val="standardContextual"/>
    </w:rPr>
  </w:style>
  <w:style w:type="paragraph" w:styleId="ListNumber3">
    <w:name w:val="List Number 3"/>
    <w:basedOn w:val="Normal"/>
    <w:uiPriority w:val="99"/>
    <w:semiHidden/>
    <w:unhideWhenUsed/>
    <w:rsid w:val="00A437C8"/>
    <w:pPr>
      <w:numPr>
        <w:numId w:val="25"/>
      </w:numPr>
      <w:tabs>
        <w:tab w:val="clear" w:pos="926"/>
        <w:tab w:val="num" w:pos="850"/>
      </w:tabs>
      <w:spacing w:before="120" w:after="120" w:line="240" w:lineRule="auto"/>
      <w:ind w:left="0" w:firstLine="0"/>
      <w:contextualSpacing/>
      <w:jc w:val="both"/>
    </w:pPr>
    <w:rPr>
      <w:rFonts w:ascii="Times New Roman" w:eastAsiaTheme="minorHAnsi" w:hAnsi="Times New Roman" w:cs="Times New Roman"/>
      <w:szCs w:val="22"/>
      <w:lang w:val="de-DE" w:eastAsia="en-US"/>
      <w14:ligatures w14:val="standardContextual"/>
    </w:rPr>
  </w:style>
  <w:style w:type="paragraph" w:styleId="ListNumber4">
    <w:name w:val="List Number 4"/>
    <w:basedOn w:val="Normal"/>
    <w:uiPriority w:val="99"/>
    <w:semiHidden/>
    <w:unhideWhenUsed/>
    <w:rsid w:val="00A437C8"/>
    <w:pPr>
      <w:numPr>
        <w:numId w:val="26"/>
      </w:numPr>
      <w:tabs>
        <w:tab w:val="clear" w:pos="5888"/>
        <w:tab w:val="num" w:pos="850"/>
      </w:tabs>
      <w:spacing w:before="120" w:after="120" w:line="240" w:lineRule="auto"/>
      <w:ind w:left="0" w:firstLine="0"/>
      <w:contextualSpacing/>
      <w:jc w:val="both"/>
    </w:pPr>
    <w:rPr>
      <w:rFonts w:ascii="Times New Roman" w:eastAsiaTheme="minorHAnsi" w:hAnsi="Times New Roman" w:cs="Times New Roman"/>
      <w:szCs w:val="22"/>
      <w:lang w:val="de-DE" w:eastAsia="en-US"/>
      <w14:ligatures w14:val="standardContextual"/>
    </w:rPr>
  </w:style>
  <w:style w:type="character" w:styleId="Hyperlink">
    <w:name w:val="Hyperlink"/>
    <w:basedOn w:val="DefaultParagraphFont"/>
    <w:uiPriority w:val="99"/>
    <w:unhideWhenUsed/>
    <w:rsid w:val="00A437C8"/>
    <w:rPr>
      <w:color w:val="467886" w:themeColor="hyperlink"/>
      <w:u w:val="single"/>
    </w:rPr>
  </w:style>
  <w:style w:type="paragraph" w:styleId="FootnoteText">
    <w:name w:val="footnote text"/>
    <w:aliases w:val="Char1,Footnote Text Char3 Char,Footnote Text Char1 Char1 Char,Footnote Text Char2 Char Char Char,Footnote Text Char1 Char1 Char Char Char,Footnote Text Char2 Char Char Char Char Char,Footnote Text Char3,fn,Plonk,o,f,Ch,single space,ft,Plo"/>
    <w:basedOn w:val="Normal"/>
    <w:link w:val="FootnoteTextChar"/>
    <w:uiPriority w:val="99"/>
    <w:unhideWhenUsed/>
    <w:qFormat/>
    <w:rsid w:val="00A437C8"/>
    <w:pPr>
      <w:spacing w:after="0" w:line="240" w:lineRule="auto"/>
      <w:ind w:left="720" w:hanging="720"/>
      <w:jc w:val="both"/>
    </w:pPr>
    <w:rPr>
      <w:rFonts w:ascii="Times New Roman" w:eastAsiaTheme="minorHAnsi" w:hAnsi="Times New Roman" w:cs="Times New Roman"/>
      <w:sz w:val="20"/>
      <w:szCs w:val="20"/>
      <w:lang w:val="de-DE" w:eastAsia="en-US"/>
      <w14:ligatures w14:val="standardContextual"/>
    </w:rPr>
  </w:style>
  <w:style w:type="character" w:customStyle="1" w:styleId="FootnoteTextChar">
    <w:name w:val="Footnote Text Char"/>
    <w:aliases w:val="Char1 Char,Footnote Text Char3 Char Char,Footnote Text Char1 Char1 Char Char,Footnote Text Char2 Char Char Char Char,Footnote Text Char1 Char1 Char Char Char Char,Footnote Text Char2 Char Char Char Char Char Char,fn Char,Plonk Char"/>
    <w:basedOn w:val="DefaultParagraphFont"/>
    <w:link w:val="FootnoteText"/>
    <w:uiPriority w:val="99"/>
    <w:rsid w:val="00A437C8"/>
    <w:rPr>
      <w:rFonts w:ascii="Times New Roman" w:eastAsiaTheme="minorHAnsi" w:hAnsi="Times New Roman" w:cs="Times New Roman"/>
      <w:sz w:val="20"/>
      <w:szCs w:val="20"/>
      <w:lang w:val="de-DE" w:eastAsia="en-US"/>
      <w14:ligatures w14:val="standardContextual"/>
    </w:rPr>
  </w:style>
  <w:style w:type="paragraph" w:styleId="TOCHeading">
    <w:name w:val="TOC Heading"/>
    <w:basedOn w:val="Normal"/>
    <w:next w:val="Normal"/>
    <w:uiPriority w:val="39"/>
    <w:semiHidden/>
    <w:unhideWhenUsed/>
    <w:qFormat/>
    <w:rsid w:val="00A437C8"/>
    <w:pPr>
      <w:spacing w:before="120" w:after="240" w:line="240" w:lineRule="auto"/>
      <w:jc w:val="center"/>
    </w:pPr>
    <w:rPr>
      <w:rFonts w:ascii="Times New Roman" w:eastAsiaTheme="minorHAnsi" w:hAnsi="Times New Roman" w:cs="Times New Roman"/>
      <w:b/>
      <w:sz w:val="28"/>
      <w:szCs w:val="22"/>
      <w:lang w:val="de-DE" w:eastAsia="en-US"/>
      <w14:ligatures w14:val="standardContextual"/>
    </w:rPr>
  </w:style>
  <w:style w:type="paragraph" w:styleId="TOC1">
    <w:name w:val="toc 1"/>
    <w:basedOn w:val="Normal"/>
    <w:next w:val="Normal"/>
    <w:uiPriority w:val="39"/>
    <w:semiHidden/>
    <w:unhideWhenUsed/>
    <w:rsid w:val="00A437C8"/>
    <w:pPr>
      <w:tabs>
        <w:tab w:val="right" w:leader="dot" w:pos="9071"/>
      </w:tabs>
      <w:spacing w:before="60" w:after="120" w:line="240" w:lineRule="auto"/>
      <w:ind w:left="850" w:hanging="850"/>
    </w:pPr>
    <w:rPr>
      <w:rFonts w:ascii="Times New Roman" w:eastAsiaTheme="minorHAnsi" w:hAnsi="Times New Roman" w:cs="Times New Roman"/>
      <w:szCs w:val="22"/>
      <w:lang w:val="de-DE" w:eastAsia="en-US"/>
      <w14:ligatures w14:val="standardContextual"/>
    </w:rPr>
  </w:style>
  <w:style w:type="paragraph" w:styleId="TOC2">
    <w:name w:val="toc 2"/>
    <w:basedOn w:val="Normal"/>
    <w:next w:val="Normal"/>
    <w:uiPriority w:val="39"/>
    <w:semiHidden/>
    <w:unhideWhenUsed/>
    <w:rsid w:val="00A437C8"/>
    <w:pPr>
      <w:tabs>
        <w:tab w:val="right" w:leader="dot" w:pos="9071"/>
      </w:tabs>
      <w:spacing w:before="60" w:after="120" w:line="240" w:lineRule="auto"/>
      <w:ind w:left="850" w:hanging="850"/>
    </w:pPr>
    <w:rPr>
      <w:rFonts w:ascii="Times New Roman" w:eastAsiaTheme="minorHAnsi" w:hAnsi="Times New Roman" w:cs="Times New Roman"/>
      <w:szCs w:val="22"/>
      <w:lang w:val="de-DE" w:eastAsia="en-US"/>
      <w14:ligatures w14:val="standardContextual"/>
    </w:rPr>
  </w:style>
  <w:style w:type="paragraph" w:styleId="TOC3">
    <w:name w:val="toc 3"/>
    <w:basedOn w:val="Normal"/>
    <w:next w:val="Normal"/>
    <w:uiPriority w:val="39"/>
    <w:semiHidden/>
    <w:unhideWhenUsed/>
    <w:rsid w:val="00A437C8"/>
    <w:pPr>
      <w:tabs>
        <w:tab w:val="right" w:leader="dot" w:pos="9071"/>
      </w:tabs>
      <w:spacing w:before="60" w:after="120" w:line="240" w:lineRule="auto"/>
      <w:ind w:left="850" w:hanging="850"/>
    </w:pPr>
    <w:rPr>
      <w:rFonts w:ascii="Times New Roman" w:eastAsiaTheme="minorHAnsi" w:hAnsi="Times New Roman" w:cs="Times New Roman"/>
      <w:szCs w:val="22"/>
      <w:lang w:val="de-DE" w:eastAsia="en-US"/>
      <w14:ligatures w14:val="standardContextual"/>
    </w:rPr>
  </w:style>
  <w:style w:type="paragraph" w:styleId="TOC4">
    <w:name w:val="toc 4"/>
    <w:basedOn w:val="Normal"/>
    <w:next w:val="Normal"/>
    <w:uiPriority w:val="39"/>
    <w:semiHidden/>
    <w:unhideWhenUsed/>
    <w:rsid w:val="00A437C8"/>
    <w:pPr>
      <w:tabs>
        <w:tab w:val="right" w:leader="dot" w:pos="9071"/>
      </w:tabs>
      <w:spacing w:before="60" w:after="120" w:line="240" w:lineRule="auto"/>
      <w:ind w:left="850" w:hanging="850"/>
    </w:pPr>
    <w:rPr>
      <w:rFonts w:ascii="Times New Roman" w:eastAsiaTheme="minorHAnsi" w:hAnsi="Times New Roman" w:cs="Times New Roman"/>
      <w:szCs w:val="22"/>
      <w:lang w:val="de-DE" w:eastAsia="en-US"/>
      <w14:ligatures w14:val="standardContextual"/>
    </w:rPr>
  </w:style>
  <w:style w:type="paragraph" w:styleId="TOC5">
    <w:name w:val="toc 5"/>
    <w:basedOn w:val="Normal"/>
    <w:next w:val="Normal"/>
    <w:uiPriority w:val="39"/>
    <w:semiHidden/>
    <w:unhideWhenUsed/>
    <w:rsid w:val="00A437C8"/>
    <w:pPr>
      <w:tabs>
        <w:tab w:val="right" w:leader="dot" w:pos="9071"/>
      </w:tabs>
      <w:spacing w:before="300" w:after="120" w:line="240" w:lineRule="auto"/>
    </w:pPr>
    <w:rPr>
      <w:rFonts w:ascii="Times New Roman" w:eastAsiaTheme="minorHAnsi" w:hAnsi="Times New Roman" w:cs="Times New Roman"/>
      <w:szCs w:val="22"/>
      <w:lang w:val="de-DE" w:eastAsia="en-US"/>
      <w14:ligatures w14:val="standardContextual"/>
    </w:rPr>
  </w:style>
  <w:style w:type="paragraph" w:styleId="TOC6">
    <w:name w:val="toc 6"/>
    <w:basedOn w:val="Normal"/>
    <w:next w:val="Normal"/>
    <w:uiPriority w:val="39"/>
    <w:semiHidden/>
    <w:unhideWhenUsed/>
    <w:rsid w:val="00A437C8"/>
    <w:pPr>
      <w:tabs>
        <w:tab w:val="right" w:leader="dot" w:pos="9071"/>
      </w:tabs>
      <w:spacing w:before="240" w:after="120" w:line="240" w:lineRule="auto"/>
    </w:pPr>
    <w:rPr>
      <w:rFonts w:ascii="Times New Roman" w:eastAsiaTheme="minorHAnsi" w:hAnsi="Times New Roman" w:cs="Times New Roman"/>
      <w:szCs w:val="22"/>
      <w:lang w:val="de-DE" w:eastAsia="en-US"/>
      <w14:ligatures w14:val="standardContextual"/>
    </w:rPr>
  </w:style>
  <w:style w:type="paragraph" w:styleId="TOC7">
    <w:name w:val="toc 7"/>
    <w:basedOn w:val="Normal"/>
    <w:next w:val="Normal"/>
    <w:uiPriority w:val="39"/>
    <w:semiHidden/>
    <w:unhideWhenUsed/>
    <w:rsid w:val="00A437C8"/>
    <w:pPr>
      <w:tabs>
        <w:tab w:val="right" w:leader="dot" w:pos="9071"/>
      </w:tabs>
      <w:spacing w:before="180" w:after="120" w:line="240" w:lineRule="auto"/>
    </w:pPr>
    <w:rPr>
      <w:rFonts w:ascii="Times New Roman" w:eastAsiaTheme="minorHAnsi" w:hAnsi="Times New Roman" w:cs="Times New Roman"/>
      <w:szCs w:val="22"/>
      <w:lang w:val="de-DE" w:eastAsia="en-US"/>
      <w14:ligatures w14:val="standardContextual"/>
    </w:rPr>
  </w:style>
  <w:style w:type="paragraph" w:styleId="TOC8">
    <w:name w:val="toc 8"/>
    <w:basedOn w:val="Normal"/>
    <w:next w:val="Normal"/>
    <w:uiPriority w:val="39"/>
    <w:semiHidden/>
    <w:unhideWhenUsed/>
    <w:rsid w:val="00A437C8"/>
    <w:pPr>
      <w:tabs>
        <w:tab w:val="right" w:leader="dot" w:pos="9071"/>
      </w:tabs>
      <w:spacing w:before="120" w:after="120" w:line="240" w:lineRule="auto"/>
    </w:pPr>
    <w:rPr>
      <w:rFonts w:ascii="Times New Roman" w:eastAsiaTheme="minorHAnsi" w:hAnsi="Times New Roman" w:cs="Times New Roman"/>
      <w:szCs w:val="22"/>
      <w:lang w:val="de-DE" w:eastAsia="en-US"/>
      <w14:ligatures w14:val="standardContextual"/>
    </w:rPr>
  </w:style>
  <w:style w:type="paragraph" w:styleId="TOC9">
    <w:name w:val="toc 9"/>
    <w:basedOn w:val="Normal"/>
    <w:next w:val="Normal"/>
    <w:uiPriority w:val="39"/>
    <w:semiHidden/>
    <w:unhideWhenUsed/>
    <w:rsid w:val="00A437C8"/>
    <w:pPr>
      <w:tabs>
        <w:tab w:val="right" w:leader="dot" w:pos="9071"/>
      </w:tabs>
      <w:spacing w:before="120" w:after="120" w:line="240" w:lineRule="auto"/>
      <w:jc w:val="both"/>
    </w:pPr>
    <w:rPr>
      <w:rFonts w:ascii="Times New Roman" w:eastAsiaTheme="minorHAnsi" w:hAnsi="Times New Roman" w:cs="Times New Roman"/>
      <w:szCs w:val="22"/>
      <w:lang w:val="de-DE" w:eastAsia="en-US"/>
      <w14:ligatures w14:val="standardContextual"/>
    </w:rPr>
  </w:style>
  <w:style w:type="character" w:styleId="FootnoteReference">
    <w:name w:val="footnote reference"/>
    <w:basedOn w:val="DefaultParagraphFont"/>
    <w:uiPriority w:val="99"/>
    <w:unhideWhenUsed/>
    <w:rsid w:val="00A437C8"/>
    <w:rPr>
      <w:shd w:val="clear" w:color="auto" w:fill="auto"/>
      <w:vertAlign w:val="superscript"/>
    </w:rPr>
  </w:style>
  <w:style w:type="paragraph" w:customStyle="1" w:styleId="Text1">
    <w:name w:val="Text 1"/>
    <w:basedOn w:val="Normal"/>
    <w:rsid w:val="00A437C8"/>
    <w:pPr>
      <w:spacing w:before="120" w:after="120" w:line="240" w:lineRule="auto"/>
      <w:ind w:left="850"/>
      <w:jc w:val="both"/>
    </w:pPr>
    <w:rPr>
      <w:rFonts w:ascii="Times New Roman" w:eastAsiaTheme="minorHAnsi" w:hAnsi="Times New Roman" w:cs="Times New Roman"/>
      <w:szCs w:val="22"/>
      <w:lang w:val="de-DE" w:eastAsia="en-US"/>
      <w14:ligatures w14:val="standardContextual"/>
    </w:rPr>
  </w:style>
  <w:style w:type="paragraph" w:customStyle="1" w:styleId="Text2">
    <w:name w:val="Text 2"/>
    <w:basedOn w:val="Normal"/>
    <w:rsid w:val="00A437C8"/>
    <w:pPr>
      <w:spacing w:before="120" w:after="120" w:line="240" w:lineRule="auto"/>
      <w:ind w:left="1417"/>
      <w:jc w:val="both"/>
    </w:pPr>
    <w:rPr>
      <w:rFonts w:ascii="Times New Roman" w:eastAsiaTheme="minorHAnsi" w:hAnsi="Times New Roman" w:cs="Times New Roman"/>
      <w:szCs w:val="22"/>
      <w:lang w:val="de-DE" w:eastAsia="en-US"/>
      <w14:ligatures w14:val="standardContextual"/>
    </w:rPr>
  </w:style>
  <w:style w:type="paragraph" w:customStyle="1" w:styleId="Text3">
    <w:name w:val="Text 3"/>
    <w:basedOn w:val="Normal"/>
    <w:rsid w:val="00A437C8"/>
    <w:pPr>
      <w:spacing w:before="120" w:after="120" w:line="240" w:lineRule="auto"/>
      <w:ind w:left="1984"/>
      <w:jc w:val="both"/>
    </w:pPr>
    <w:rPr>
      <w:rFonts w:ascii="Times New Roman" w:eastAsiaTheme="minorHAnsi" w:hAnsi="Times New Roman" w:cs="Times New Roman"/>
      <w:szCs w:val="22"/>
      <w:lang w:val="de-DE" w:eastAsia="en-US"/>
      <w14:ligatures w14:val="standardContextual"/>
    </w:rPr>
  </w:style>
  <w:style w:type="paragraph" w:customStyle="1" w:styleId="Text4">
    <w:name w:val="Text 4"/>
    <w:basedOn w:val="Normal"/>
    <w:rsid w:val="00A437C8"/>
    <w:pPr>
      <w:spacing w:before="120" w:after="120" w:line="240" w:lineRule="auto"/>
      <w:ind w:left="2551"/>
      <w:jc w:val="both"/>
    </w:pPr>
    <w:rPr>
      <w:rFonts w:ascii="Times New Roman" w:eastAsiaTheme="minorHAnsi" w:hAnsi="Times New Roman" w:cs="Times New Roman"/>
      <w:szCs w:val="22"/>
      <w:lang w:val="de-DE" w:eastAsia="en-US"/>
      <w14:ligatures w14:val="standardContextual"/>
    </w:rPr>
  </w:style>
  <w:style w:type="paragraph" w:customStyle="1" w:styleId="NormalCentered">
    <w:name w:val="Normal Centered"/>
    <w:basedOn w:val="Normal"/>
    <w:rsid w:val="00A437C8"/>
    <w:pPr>
      <w:spacing w:before="120" w:after="120" w:line="240" w:lineRule="auto"/>
      <w:jc w:val="center"/>
    </w:pPr>
    <w:rPr>
      <w:rFonts w:ascii="Times New Roman" w:eastAsiaTheme="minorHAnsi" w:hAnsi="Times New Roman" w:cs="Times New Roman"/>
      <w:szCs w:val="22"/>
      <w:lang w:val="de-DE" w:eastAsia="en-US"/>
      <w14:ligatures w14:val="standardContextual"/>
    </w:rPr>
  </w:style>
  <w:style w:type="paragraph" w:customStyle="1" w:styleId="NormalLeft">
    <w:name w:val="Normal Left"/>
    <w:basedOn w:val="Normal"/>
    <w:rsid w:val="00A437C8"/>
    <w:pPr>
      <w:spacing w:before="120" w:after="120" w:line="240" w:lineRule="auto"/>
    </w:pPr>
    <w:rPr>
      <w:rFonts w:ascii="Times New Roman" w:eastAsiaTheme="minorHAnsi" w:hAnsi="Times New Roman" w:cs="Times New Roman"/>
      <w:szCs w:val="22"/>
      <w:lang w:val="de-DE" w:eastAsia="en-US"/>
      <w14:ligatures w14:val="standardContextual"/>
    </w:rPr>
  </w:style>
  <w:style w:type="paragraph" w:customStyle="1" w:styleId="NormalRight">
    <w:name w:val="Normal Right"/>
    <w:basedOn w:val="Normal"/>
    <w:rsid w:val="00A437C8"/>
    <w:pPr>
      <w:spacing w:before="120" w:after="120" w:line="240" w:lineRule="auto"/>
      <w:jc w:val="right"/>
    </w:pPr>
    <w:rPr>
      <w:rFonts w:ascii="Times New Roman" w:eastAsiaTheme="minorHAnsi" w:hAnsi="Times New Roman" w:cs="Times New Roman"/>
      <w:szCs w:val="22"/>
      <w:lang w:val="de-DE" w:eastAsia="en-US"/>
      <w14:ligatures w14:val="standardContextual"/>
    </w:rPr>
  </w:style>
  <w:style w:type="paragraph" w:customStyle="1" w:styleId="QuotedText">
    <w:name w:val="Quoted Text"/>
    <w:basedOn w:val="Normal"/>
    <w:rsid w:val="00A437C8"/>
    <w:pPr>
      <w:spacing w:before="120" w:after="120" w:line="240" w:lineRule="auto"/>
      <w:ind w:left="1417"/>
      <w:jc w:val="both"/>
    </w:pPr>
    <w:rPr>
      <w:rFonts w:ascii="Times New Roman" w:eastAsiaTheme="minorHAnsi" w:hAnsi="Times New Roman" w:cs="Times New Roman"/>
      <w:szCs w:val="22"/>
      <w:lang w:val="de-DE" w:eastAsia="en-US"/>
      <w14:ligatures w14:val="standardContextual"/>
    </w:rPr>
  </w:style>
  <w:style w:type="paragraph" w:customStyle="1" w:styleId="Point0">
    <w:name w:val="Point 0"/>
    <w:basedOn w:val="Normal"/>
    <w:rsid w:val="00A437C8"/>
    <w:pPr>
      <w:spacing w:before="120" w:after="120" w:line="240" w:lineRule="auto"/>
      <w:ind w:left="850" w:hanging="850"/>
      <w:jc w:val="both"/>
    </w:pPr>
    <w:rPr>
      <w:rFonts w:ascii="Times New Roman" w:eastAsiaTheme="minorHAnsi" w:hAnsi="Times New Roman" w:cs="Times New Roman"/>
      <w:szCs w:val="22"/>
      <w:lang w:val="de-DE" w:eastAsia="en-US"/>
      <w14:ligatures w14:val="standardContextual"/>
    </w:rPr>
  </w:style>
  <w:style w:type="paragraph" w:customStyle="1" w:styleId="Point1">
    <w:name w:val="Point 1"/>
    <w:basedOn w:val="Normal"/>
    <w:rsid w:val="00A437C8"/>
    <w:pPr>
      <w:spacing w:before="120" w:after="120" w:line="240" w:lineRule="auto"/>
      <w:ind w:left="1417" w:hanging="567"/>
      <w:jc w:val="both"/>
    </w:pPr>
    <w:rPr>
      <w:rFonts w:ascii="Times New Roman" w:eastAsiaTheme="minorHAnsi" w:hAnsi="Times New Roman" w:cs="Times New Roman"/>
      <w:szCs w:val="22"/>
      <w:lang w:val="de-DE" w:eastAsia="en-US"/>
      <w14:ligatures w14:val="standardContextual"/>
    </w:rPr>
  </w:style>
  <w:style w:type="paragraph" w:customStyle="1" w:styleId="Point2">
    <w:name w:val="Point 2"/>
    <w:basedOn w:val="Normal"/>
    <w:rsid w:val="00A437C8"/>
    <w:pPr>
      <w:spacing w:before="120" w:after="120" w:line="240" w:lineRule="auto"/>
      <w:ind w:left="1984" w:hanging="567"/>
      <w:jc w:val="both"/>
    </w:pPr>
    <w:rPr>
      <w:rFonts w:ascii="Times New Roman" w:eastAsiaTheme="minorHAnsi" w:hAnsi="Times New Roman" w:cs="Times New Roman"/>
      <w:szCs w:val="22"/>
      <w:lang w:val="de-DE" w:eastAsia="en-US"/>
      <w14:ligatures w14:val="standardContextual"/>
    </w:rPr>
  </w:style>
  <w:style w:type="paragraph" w:customStyle="1" w:styleId="Point3">
    <w:name w:val="Point 3"/>
    <w:basedOn w:val="Normal"/>
    <w:rsid w:val="00A437C8"/>
    <w:pPr>
      <w:spacing w:before="120" w:after="120" w:line="240" w:lineRule="auto"/>
      <w:ind w:left="2551" w:hanging="567"/>
      <w:jc w:val="both"/>
    </w:pPr>
    <w:rPr>
      <w:rFonts w:ascii="Times New Roman" w:eastAsiaTheme="minorHAnsi" w:hAnsi="Times New Roman" w:cs="Times New Roman"/>
      <w:szCs w:val="22"/>
      <w:lang w:val="de-DE" w:eastAsia="en-US"/>
      <w14:ligatures w14:val="standardContextual"/>
    </w:rPr>
  </w:style>
  <w:style w:type="paragraph" w:customStyle="1" w:styleId="Point4">
    <w:name w:val="Point 4"/>
    <w:basedOn w:val="Normal"/>
    <w:rsid w:val="00A437C8"/>
    <w:pPr>
      <w:spacing w:before="120" w:after="120" w:line="240" w:lineRule="auto"/>
      <w:ind w:left="3118" w:hanging="567"/>
      <w:jc w:val="both"/>
    </w:pPr>
    <w:rPr>
      <w:rFonts w:ascii="Times New Roman" w:eastAsiaTheme="minorHAnsi" w:hAnsi="Times New Roman" w:cs="Times New Roman"/>
      <w:szCs w:val="22"/>
      <w:lang w:val="de-DE" w:eastAsia="en-US"/>
      <w14:ligatures w14:val="standardContextual"/>
    </w:rPr>
  </w:style>
  <w:style w:type="paragraph" w:customStyle="1" w:styleId="Tiret0">
    <w:name w:val="Tiret 0"/>
    <w:basedOn w:val="Point0"/>
    <w:rsid w:val="00A437C8"/>
    <w:pPr>
      <w:numPr>
        <w:numId w:val="27"/>
      </w:numPr>
      <w:tabs>
        <w:tab w:val="clear" w:pos="850"/>
        <w:tab w:val="num" w:pos="1417"/>
      </w:tabs>
      <w:ind w:left="0" w:firstLine="0"/>
    </w:pPr>
  </w:style>
  <w:style w:type="paragraph" w:customStyle="1" w:styleId="Tiret1">
    <w:name w:val="Tiret 1"/>
    <w:basedOn w:val="Point1"/>
    <w:rsid w:val="00A437C8"/>
    <w:pPr>
      <w:numPr>
        <w:numId w:val="28"/>
      </w:numPr>
      <w:tabs>
        <w:tab w:val="clear" w:pos="1417"/>
        <w:tab w:val="num" w:pos="1984"/>
      </w:tabs>
      <w:ind w:left="0" w:firstLine="0"/>
    </w:pPr>
  </w:style>
  <w:style w:type="paragraph" w:customStyle="1" w:styleId="Tiret2">
    <w:name w:val="Tiret 2"/>
    <w:basedOn w:val="Point2"/>
    <w:rsid w:val="00A437C8"/>
    <w:pPr>
      <w:numPr>
        <w:numId w:val="29"/>
      </w:numPr>
      <w:tabs>
        <w:tab w:val="clear" w:pos="1984"/>
        <w:tab w:val="num" w:pos="2551"/>
      </w:tabs>
      <w:ind w:left="0" w:firstLine="0"/>
    </w:pPr>
  </w:style>
  <w:style w:type="paragraph" w:customStyle="1" w:styleId="Tiret3">
    <w:name w:val="Tiret 3"/>
    <w:basedOn w:val="Point3"/>
    <w:rsid w:val="00A437C8"/>
    <w:pPr>
      <w:numPr>
        <w:numId w:val="30"/>
      </w:numPr>
      <w:tabs>
        <w:tab w:val="clear" w:pos="2551"/>
        <w:tab w:val="num" w:pos="3118"/>
      </w:tabs>
      <w:ind w:left="0" w:firstLine="0"/>
    </w:pPr>
  </w:style>
  <w:style w:type="paragraph" w:customStyle="1" w:styleId="Tiret4">
    <w:name w:val="Tiret 4"/>
    <w:basedOn w:val="Point4"/>
    <w:rsid w:val="00A437C8"/>
    <w:pPr>
      <w:numPr>
        <w:numId w:val="31"/>
      </w:numPr>
      <w:tabs>
        <w:tab w:val="clear" w:pos="3118"/>
        <w:tab w:val="num" w:pos="709"/>
      </w:tabs>
      <w:ind w:left="0" w:firstLine="0"/>
    </w:pPr>
  </w:style>
  <w:style w:type="paragraph" w:customStyle="1" w:styleId="PointDouble0">
    <w:name w:val="PointDouble 0"/>
    <w:basedOn w:val="Normal"/>
    <w:rsid w:val="00A437C8"/>
    <w:pPr>
      <w:tabs>
        <w:tab w:val="left" w:pos="850"/>
      </w:tabs>
      <w:spacing w:before="120" w:after="120" w:line="240" w:lineRule="auto"/>
      <w:ind w:left="1417" w:hanging="1417"/>
      <w:jc w:val="both"/>
    </w:pPr>
    <w:rPr>
      <w:rFonts w:ascii="Times New Roman" w:eastAsiaTheme="minorHAnsi" w:hAnsi="Times New Roman" w:cs="Times New Roman"/>
      <w:szCs w:val="22"/>
      <w:lang w:val="de-DE" w:eastAsia="en-US"/>
      <w14:ligatures w14:val="standardContextual"/>
    </w:rPr>
  </w:style>
  <w:style w:type="paragraph" w:customStyle="1" w:styleId="PointDouble1">
    <w:name w:val="PointDouble 1"/>
    <w:basedOn w:val="Normal"/>
    <w:rsid w:val="00A437C8"/>
    <w:pPr>
      <w:tabs>
        <w:tab w:val="left" w:pos="1417"/>
      </w:tabs>
      <w:spacing w:before="120" w:after="120" w:line="240" w:lineRule="auto"/>
      <w:ind w:left="1984" w:hanging="1134"/>
      <w:jc w:val="both"/>
    </w:pPr>
    <w:rPr>
      <w:rFonts w:ascii="Times New Roman" w:eastAsiaTheme="minorHAnsi" w:hAnsi="Times New Roman" w:cs="Times New Roman"/>
      <w:szCs w:val="22"/>
      <w:lang w:val="de-DE" w:eastAsia="en-US"/>
      <w14:ligatures w14:val="standardContextual"/>
    </w:rPr>
  </w:style>
  <w:style w:type="paragraph" w:customStyle="1" w:styleId="PointDouble2">
    <w:name w:val="PointDouble 2"/>
    <w:basedOn w:val="Normal"/>
    <w:rsid w:val="00A437C8"/>
    <w:pPr>
      <w:tabs>
        <w:tab w:val="left" w:pos="1984"/>
      </w:tabs>
      <w:spacing w:before="120" w:after="120" w:line="240" w:lineRule="auto"/>
      <w:ind w:left="2551" w:hanging="1134"/>
      <w:jc w:val="both"/>
    </w:pPr>
    <w:rPr>
      <w:rFonts w:ascii="Times New Roman" w:eastAsiaTheme="minorHAnsi" w:hAnsi="Times New Roman" w:cs="Times New Roman"/>
      <w:szCs w:val="22"/>
      <w:lang w:val="de-DE" w:eastAsia="en-US"/>
      <w14:ligatures w14:val="standardContextual"/>
    </w:rPr>
  </w:style>
  <w:style w:type="paragraph" w:customStyle="1" w:styleId="PointDouble3">
    <w:name w:val="PointDouble 3"/>
    <w:basedOn w:val="Normal"/>
    <w:rsid w:val="00A437C8"/>
    <w:pPr>
      <w:tabs>
        <w:tab w:val="left" w:pos="2551"/>
      </w:tabs>
      <w:spacing w:before="120" w:after="120" w:line="240" w:lineRule="auto"/>
      <w:ind w:left="3118" w:hanging="1134"/>
      <w:jc w:val="both"/>
    </w:pPr>
    <w:rPr>
      <w:rFonts w:ascii="Times New Roman" w:eastAsiaTheme="minorHAnsi" w:hAnsi="Times New Roman" w:cs="Times New Roman"/>
      <w:szCs w:val="22"/>
      <w:lang w:val="de-DE" w:eastAsia="en-US"/>
      <w14:ligatures w14:val="standardContextual"/>
    </w:rPr>
  </w:style>
  <w:style w:type="paragraph" w:customStyle="1" w:styleId="PointDouble4">
    <w:name w:val="PointDouble 4"/>
    <w:basedOn w:val="Normal"/>
    <w:rsid w:val="00A437C8"/>
    <w:pPr>
      <w:tabs>
        <w:tab w:val="left" w:pos="3118"/>
      </w:tabs>
      <w:spacing w:before="120" w:after="120" w:line="240" w:lineRule="auto"/>
      <w:ind w:left="3685" w:hanging="1134"/>
      <w:jc w:val="both"/>
    </w:pPr>
    <w:rPr>
      <w:rFonts w:ascii="Times New Roman" w:eastAsiaTheme="minorHAnsi" w:hAnsi="Times New Roman" w:cs="Times New Roman"/>
      <w:szCs w:val="22"/>
      <w:lang w:val="de-DE" w:eastAsia="en-US"/>
      <w14:ligatures w14:val="standardContextual"/>
    </w:rPr>
  </w:style>
  <w:style w:type="paragraph" w:customStyle="1" w:styleId="PointTriple0">
    <w:name w:val="PointTriple 0"/>
    <w:basedOn w:val="Normal"/>
    <w:rsid w:val="00A437C8"/>
    <w:pPr>
      <w:tabs>
        <w:tab w:val="left" w:pos="850"/>
        <w:tab w:val="left" w:pos="1417"/>
      </w:tabs>
      <w:spacing w:before="120" w:after="120" w:line="240" w:lineRule="auto"/>
      <w:ind w:left="1984" w:hanging="1984"/>
      <w:jc w:val="both"/>
    </w:pPr>
    <w:rPr>
      <w:rFonts w:ascii="Times New Roman" w:eastAsiaTheme="minorHAnsi" w:hAnsi="Times New Roman" w:cs="Times New Roman"/>
      <w:szCs w:val="22"/>
      <w:lang w:val="de-DE" w:eastAsia="en-US"/>
      <w14:ligatures w14:val="standardContextual"/>
    </w:rPr>
  </w:style>
  <w:style w:type="paragraph" w:customStyle="1" w:styleId="PointTriple1">
    <w:name w:val="PointTriple 1"/>
    <w:basedOn w:val="Normal"/>
    <w:rsid w:val="00A437C8"/>
    <w:pPr>
      <w:tabs>
        <w:tab w:val="left" w:pos="1417"/>
        <w:tab w:val="left" w:pos="1984"/>
      </w:tabs>
      <w:spacing w:before="120" w:after="120" w:line="240" w:lineRule="auto"/>
      <w:ind w:left="2551" w:hanging="1701"/>
      <w:jc w:val="both"/>
    </w:pPr>
    <w:rPr>
      <w:rFonts w:ascii="Times New Roman" w:eastAsiaTheme="minorHAnsi" w:hAnsi="Times New Roman" w:cs="Times New Roman"/>
      <w:szCs w:val="22"/>
      <w:lang w:val="de-DE" w:eastAsia="en-US"/>
      <w14:ligatures w14:val="standardContextual"/>
    </w:rPr>
  </w:style>
  <w:style w:type="paragraph" w:customStyle="1" w:styleId="PointTriple2">
    <w:name w:val="PointTriple 2"/>
    <w:basedOn w:val="Normal"/>
    <w:rsid w:val="00A437C8"/>
    <w:pPr>
      <w:tabs>
        <w:tab w:val="left" w:pos="1984"/>
        <w:tab w:val="left" w:pos="2551"/>
      </w:tabs>
      <w:spacing w:before="120" w:after="120" w:line="240" w:lineRule="auto"/>
      <w:ind w:left="3118" w:hanging="1701"/>
      <w:jc w:val="both"/>
    </w:pPr>
    <w:rPr>
      <w:rFonts w:ascii="Times New Roman" w:eastAsiaTheme="minorHAnsi" w:hAnsi="Times New Roman" w:cs="Times New Roman"/>
      <w:szCs w:val="22"/>
      <w:lang w:val="de-DE" w:eastAsia="en-US"/>
      <w14:ligatures w14:val="standardContextual"/>
    </w:rPr>
  </w:style>
  <w:style w:type="paragraph" w:customStyle="1" w:styleId="PointTriple3">
    <w:name w:val="PointTriple 3"/>
    <w:basedOn w:val="Normal"/>
    <w:rsid w:val="00A437C8"/>
    <w:pPr>
      <w:tabs>
        <w:tab w:val="left" w:pos="2551"/>
        <w:tab w:val="left" w:pos="3118"/>
      </w:tabs>
      <w:spacing w:before="120" w:after="120" w:line="240" w:lineRule="auto"/>
      <w:ind w:left="3685" w:hanging="1701"/>
      <w:jc w:val="both"/>
    </w:pPr>
    <w:rPr>
      <w:rFonts w:ascii="Times New Roman" w:eastAsiaTheme="minorHAnsi" w:hAnsi="Times New Roman" w:cs="Times New Roman"/>
      <w:szCs w:val="22"/>
      <w:lang w:val="de-DE" w:eastAsia="en-US"/>
      <w14:ligatures w14:val="standardContextual"/>
    </w:rPr>
  </w:style>
  <w:style w:type="paragraph" w:customStyle="1" w:styleId="PointTriple4">
    <w:name w:val="PointTriple 4"/>
    <w:basedOn w:val="Normal"/>
    <w:rsid w:val="00A437C8"/>
    <w:pPr>
      <w:tabs>
        <w:tab w:val="left" w:pos="3118"/>
        <w:tab w:val="left" w:pos="3685"/>
      </w:tabs>
      <w:spacing w:before="120" w:after="120" w:line="240" w:lineRule="auto"/>
      <w:ind w:left="4252" w:hanging="1701"/>
      <w:jc w:val="both"/>
    </w:pPr>
    <w:rPr>
      <w:rFonts w:ascii="Times New Roman" w:eastAsiaTheme="minorHAnsi" w:hAnsi="Times New Roman" w:cs="Times New Roman"/>
      <w:szCs w:val="22"/>
      <w:lang w:val="de-DE" w:eastAsia="en-US"/>
      <w14:ligatures w14:val="standardContextual"/>
    </w:rPr>
  </w:style>
  <w:style w:type="paragraph" w:customStyle="1" w:styleId="NumPar1">
    <w:name w:val="NumPar 1"/>
    <w:basedOn w:val="Normal"/>
    <w:next w:val="Text1"/>
    <w:rsid w:val="00A437C8"/>
    <w:pPr>
      <w:tabs>
        <w:tab w:val="num" w:pos="850"/>
      </w:tabs>
      <w:spacing w:before="120" w:after="120" w:line="240" w:lineRule="auto"/>
      <w:ind w:left="850" w:hanging="850"/>
      <w:jc w:val="both"/>
    </w:pPr>
    <w:rPr>
      <w:rFonts w:ascii="Times New Roman" w:eastAsiaTheme="minorHAnsi" w:hAnsi="Times New Roman" w:cs="Times New Roman"/>
      <w:szCs w:val="22"/>
      <w:lang w:val="de-DE" w:eastAsia="en-US"/>
      <w14:ligatures w14:val="standardContextual"/>
    </w:rPr>
  </w:style>
  <w:style w:type="paragraph" w:customStyle="1" w:styleId="NumPar2">
    <w:name w:val="NumPar 2"/>
    <w:basedOn w:val="Normal"/>
    <w:next w:val="Text1"/>
    <w:rsid w:val="00A437C8"/>
    <w:pPr>
      <w:tabs>
        <w:tab w:val="num" w:pos="850"/>
      </w:tabs>
      <w:spacing w:before="120" w:after="120" w:line="240" w:lineRule="auto"/>
      <w:ind w:left="850" w:hanging="850"/>
      <w:jc w:val="both"/>
    </w:pPr>
    <w:rPr>
      <w:rFonts w:ascii="Times New Roman" w:eastAsiaTheme="minorHAnsi" w:hAnsi="Times New Roman" w:cs="Times New Roman"/>
      <w:szCs w:val="22"/>
      <w:lang w:val="de-DE" w:eastAsia="en-US"/>
      <w14:ligatures w14:val="standardContextual"/>
    </w:rPr>
  </w:style>
  <w:style w:type="paragraph" w:customStyle="1" w:styleId="NumPar3">
    <w:name w:val="NumPar 3"/>
    <w:basedOn w:val="Normal"/>
    <w:next w:val="Text1"/>
    <w:rsid w:val="00A437C8"/>
    <w:pPr>
      <w:tabs>
        <w:tab w:val="num" w:pos="850"/>
      </w:tabs>
      <w:spacing w:before="120" w:after="120" w:line="240" w:lineRule="auto"/>
      <w:ind w:left="850" w:hanging="850"/>
      <w:jc w:val="both"/>
    </w:pPr>
    <w:rPr>
      <w:rFonts w:ascii="Times New Roman" w:eastAsiaTheme="minorHAnsi" w:hAnsi="Times New Roman" w:cs="Times New Roman"/>
      <w:szCs w:val="22"/>
      <w:lang w:val="de-DE" w:eastAsia="en-US"/>
      <w14:ligatures w14:val="standardContextual"/>
    </w:rPr>
  </w:style>
  <w:style w:type="paragraph" w:customStyle="1" w:styleId="NumPar4">
    <w:name w:val="NumPar 4"/>
    <w:basedOn w:val="Normal"/>
    <w:next w:val="Text1"/>
    <w:rsid w:val="00A437C8"/>
    <w:pPr>
      <w:tabs>
        <w:tab w:val="num" w:pos="850"/>
      </w:tabs>
      <w:spacing w:before="120" w:after="120" w:line="240" w:lineRule="auto"/>
      <w:ind w:left="850" w:hanging="850"/>
      <w:jc w:val="both"/>
    </w:pPr>
    <w:rPr>
      <w:rFonts w:ascii="Times New Roman" w:eastAsiaTheme="minorHAnsi" w:hAnsi="Times New Roman" w:cs="Times New Roman"/>
      <w:szCs w:val="22"/>
      <w:lang w:val="de-DE" w:eastAsia="en-US"/>
      <w14:ligatures w14:val="standardContextual"/>
    </w:rPr>
  </w:style>
  <w:style w:type="paragraph" w:customStyle="1" w:styleId="ManualNumPar1">
    <w:name w:val="Manual NumPar 1"/>
    <w:basedOn w:val="Normal"/>
    <w:next w:val="Text1"/>
    <w:rsid w:val="00A437C8"/>
    <w:pPr>
      <w:spacing w:before="120" w:after="120" w:line="240" w:lineRule="auto"/>
      <w:ind w:left="850" w:hanging="850"/>
      <w:jc w:val="both"/>
    </w:pPr>
    <w:rPr>
      <w:rFonts w:ascii="Times New Roman" w:eastAsiaTheme="minorHAnsi" w:hAnsi="Times New Roman" w:cs="Times New Roman"/>
      <w:szCs w:val="22"/>
      <w:lang w:val="de-DE" w:eastAsia="en-US"/>
      <w14:ligatures w14:val="standardContextual"/>
    </w:rPr>
  </w:style>
  <w:style w:type="paragraph" w:customStyle="1" w:styleId="ManualNumPar2">
    <w:name w:val="Manual NumPar 2"/>
    <w:basedOn w:val="Normal"/>
    <w:next w:val="Text1"/>
    <w:rsid w:val="00A437C8"/>
    <w:pPr>
      <w:spacing w:before="120" w:after="120" w:line="240" w:lineRule="auto"/>
      <w:ind w:left="850" w:hanging="850"/>
      <w:jc w:val="both"/>
    </w:pPr>
    <w:rPr>
      <w:rFonts w:ascii="Times New Roman" w:eastAsiaTheme="minorHAnsi" w:hAnsi="Times New Roman" w:cs="Times New Roman"/>
      <w:szCs w:val="22"/>
      <w:lang w:val="de-DE" w:eastAsia="en-US"/>
      <w14:ligatures w14:val="standardContextual"/>
    </w:rPr>
  </w:style>
  <w:style w:type="paragraph" w:customStyle="1" w:styleId="ManualNumPar3">
    <w:name w:val="Manual NumPar 3"/>
    <w:basedOn w:val="Normal"/>
    <w:next w:val="Text1"/>
    <w:rsid w:val="00A437C8"/>
    <w:pPr>
      <w:spacing w:before="120" w:after="120" w:line="240" w:lineRule="auto"/>
      <w:ind w:left="850" w:hanging="850"/>
      <w:jc w:val="both"/>
    </w:pPr>
    <w:rPr>
      <w:rFonts w:ascii="Times New Roman" w:eastAsiaTheme="minorHAnsi" w:hAnsi="Times New Roman" w:cs="Times New Roman"/>
      <w:szCs w:val="22"/>
      <w:lang w:val="de-DE" w:eastAsia="en-US"/>
      <w14:ligatures w14:val="standardContextual"/>
    </w:rPr>
  </w:style>
  <w:style w:type="paragraph" w:customStyle="1" w:styleId="ManualNumPar4">
    <w:name w:val="Manual NumPar 4"/>
    <w:basedOn w:val="Normal"/>
    <w:next w:val="Text1"/>
    <w:rsid w:val="00A437C8"/>
    <w:pPr>
      <w:spacing w:before="120" w:after="120" w:line="240" w:lineRule="auto"/>
      <w:ind w:left="850" w:hanging="850"/>
      <w:jc w:val="both"/>
    </w:pPr>
    <w:rPr>
      <w:rFonts w:ascii="Times New Roman" w:eastAsiaTheme="minorHAnsi" w:hAnsi="Times New Roman" w:cs="Times New Roman"/>
      <w:szCs w:val="22"/>
      <w:lang w:val="de-DE" w:eastAsia="en-US"/>
      <w14:ligatures w14:val="standardContextual"/>
    </w:rPr>
  </w:style>
  <w:style w:type="paragraph" w:customStyle="1" w:styleId="QuotedNumPar">
    <w:name w:val="Quoted NumPar"/>
    <w:basedOn w:val="Normal"/>
    <w:rsid w:val="00A437C8"/>
    <w:pPr>
      <w:spacing w:before="120" w:after="120" w:line="240" w:lineRule="auto"/>
      <w:ind w:left="1417" w:hanging="567"/>
      <w:jc w:val="both"/>
    </w:pPr>
    <w:rPr>
      <w:rFonts w:ascii="Times New Roman" w:eastAsiaTheme="minorHAnsi" w:hAnsi="Times New Roman" w:cs="Times New Roman"/>
      <w:szCs w:val="22"/>
      <w:lang w:val="de-DE" w:eastAsia="en-US"/>
      <w14:ligatures w14:val="standardContextual"/>
    </w:rPr>
  </w:style>
  <w:style w:type="paragraph" w:customStyle="1" w:styleId="ManualHeading1">
    <w:name w:val="Manual Heading 1"/>
    <w:basedOn w:val="Normal"/>
    <w:next w:val="Text1"/>
    <w:rsid w:val="00A437C8"/>
    <w:pPr>
      <w:keepNext/>
      <w:tabs>
        <w:tab w:val="left" w:pos="850"/>
      </w:tabs>
      <w:spacing w:before="360" w:after="120" w:line="240" w:lineRule="auto"/>
      <w:ind w:left="850" w:hanging="850"/>
      <w:jc w:val="both"/>
      <w:outlineLvl w:val="0"/>
    </w:pPr>
    <w:rPr>
      <w:rFonts w:ascii="Times New Roman" w:eastAsiaTheme="minorHAnsi" w:hAnsi="Times New Roman" w:cs="Times New Roman"/>
      <w:b/>
      <w:smallCaps/>
      <w:szCs w:val="22"/>
      <w:lang w:val="de-DE" w:eastAsia="en-US"/>
      <w14:ligatures w14:val="standardContextual"/>
    </w:rPr>
  </w:style>
  <w:style w:type="paragraph" w:customStyle="1" w:styleId="ManualHeading2">
    <w:name w:val="Manual Heading 2"/>
    <w:basedOn w:val="Normal"/>
    <w:next w:val="Text1"/>
    <w:rsid w:val="00A437C8"/>
    <w:pPr>
      <w:keepNext/>
      <w:tabs>
        <w:tab w:val="left" w:pos="850"/>
      </w:tabs>
      <w:spacing w:before="120" w:after="120" w:line="240" w:lineRule="auto"/>
      <w:ind w:left="850" w:hanging="850"/>
      <w:jc w:val="both"/>
      <w:outlineLvl w:val="1"/>
    </w:pPr>
    <w:rPr>
      <w:rFonts w:ascii="Times New Roman" w:eastAsiaTheme="minorHAnsi" w:hAnsi="Times New Roman" w:cs="Times New Roman"/>
      <w:b/>
      <w:szCs w:val="22"/>
      <w:lang w:val="de-DE" w:eastAsia="en-US"/>
      <w14:ligatures w14:val="standardContextual"/>
    </w:rPr>
  </w:style>
  <w:style w:type="paragraph" w:customStyle="1" w:styleId="ManualHeading3">
    <w:name w:val="Manual Heading 3"/>
    <w:basedOn w:val="Normal"/>
    <w:next w:val="Text1"/>
    <w:rsid w:val="00A437C8"/>
    <w:pPr>
      <w:keepNext/>
      <w:tabs>
        <w:tab w:val="left" w:pos="850"/>
      </w:tabs>
      <w:spacing w:before="120" w:after="120" w:line="240" w:lineRule="auto"/>
      <w:ind w:left="850" w:hanging="850"/>
      <w:jc w:val="both"/>
      <w:outlineLvl w:val="2"/>
    </w:pPr>
    <w:rPr>
      <w:rFonts w:ascii="Times New Roman" w:eastAsiaTheme="minorHAnsi" w:hAnsi="Times New Roman" w:cs="Times New Roman"/>
      <w:i/>
      <w:szCs w:val="22"/>
      <w:lang w:val="de-DE" w:eastAsia="en-US"/>
      <w14:ligatures w14:val="standardContextual"/>
    </w:rPr>
  </w:style>
  <w:style w:type="paragraph" w:customStyle="1" w:styleId="ManualHeading4">
    <w:name w:val="Manual Heading 4"/>
    <w:basedOn w:val="Normal"/>
    <w:next w:val="Text1"/>
    <w:rsid w:val="00A437C8"/>
    <w:pPr>
      <w:keepNext/>
      <w:tabs>
        <w:tab w:val="left" w:pos="850"/>
      </w:tabs>
      <w:spacing w:before="120" w:after="120" w:line="240" w:lineRule="auto"/>
      <w:ind w:left="850" w:hanging="850"/>
      <w:jc w:val="both"/>
      <w:outlineLvl w:val="3"/>
    </w:pPr>
    <w:rPr>
      <w:rFonts w:ascii="Times New Roman" w:eastAsiaTheme="minorHAnsi" w:hAnsi="Times New Roman" w:cs="Times New Roman"/>
      <w:szCs w:val="22"/>
      <w:lang w:val="de-DE" w:eastAsia="en-US"/>
      <w14:ligatures w14:val="standardContextual"/>
    </w:rPr>
  </w:style>
  <w:style w:type="paragraph" w:customStyle="1" w:styleId="ChapterTitle">
    <w:name w:val="ChapterTitle"/>
    <w:basedOn w:val="Normal"/>
    <w:next w:val="Normal"/>
    <w:rsid w:val="00A437C8"/>
    <w:pPr>
      <w:keepNext/>
      <w:spacing w:before="120" w:after="360" w:line="240" w:lineRule="auto"/>
      <w:jc w:val="center"/>
    </w:pPr>
    <w:rPr>
      <w:rFonts w:ascii="Times New Roman" w:eastAsiaTheme="minorHAnsi" w:hAnsi="Times New Roman" w:cs="Times New Roman"/>
      <w:b/>
      <w:sz w:val="32"/>
      <w:szCs w:val="22"/>
      <w:lang w:val="de-DE" w:eastAsia="en-US"/>
      <w14:ligatures w14:val="standardContextual"/>
    </w:rPr>
  </w:style>
  <w:style w:type="paragraph" w:customStyle="1" w:styleId="PartTitle">
    <w:name w:val="PartTitle"/>
    <w:basedOn w:val="Normal"/>
    <w:next w:val="ChapterTitle"/>
    <w:rsid w:val="00A437C8"/>
    <w:pPr>
      <w:keepNext/>
      <w:pageBreakBefore/>
      <w:spacing w:before="120" w:after="360" w:line="240" w:lineRule="auto"/>
      <w:jc w:val="center"/>
    </w:pPr>
    <w:rPr>
      <w:rFonts w:ascii="Times New Roman" w:eastAsiaTheme="minorHAnsi" w:hAnsi="Times New Roman" w:cs="Times New Roman"/>
      <w:b/>
      <w:sz w:val="36"/>
      <w:szCs w:val="22"/>
      <w:lang w:val="de-DE" w:eastAsia="en-US"/>
      <w14:ligatures w14:val="standardContextual"/>
    </w:rPr>
  </w:style>
  <w:style w:type="paragraph" w:customStyle="1" w:styleId="SectionTitle">
    <w:name w:val="SectionTitle"/>
    <w:basedOn w:val="Normal"/>
    <w:next w:val="Heading1"/>
    <w:rsid w:val="00A437C8"/>
    <w:pPr>
      <w:keepNext/>
      <w:spacing w:before="120" w:after="360" w:line="240" w:lineRule="auto"/>
      <w:jc w:val="center"/>
    </w:pPr>
    <w:rPr>
      <w:rFonts w:ascii="Times New Roman" w:eastAsiaTheme="minorHAnsi" w:hAnsi="Times New Roman" w:cs="Times New Roman"/>
      <w:b/>
      <w:smallCaps/>
      <w:sz w:val="28"/>
      <w:szCs w:val="22"/>
      <w:lang w:val="de-DE" w:eastAsia="en-US"/>
      <w14:ligatures w14:val="standardContextual"/>
    </w:rPr>
  </w:style>
  <w:style w:type="paragraph" w:customStyle="1" w:styleId="TableTitle">
    <w:name w:val="Table Title"/>
    <w:basedOn w:val="Normal"/>
    <w:next w:val="Normal"/>
    <w:rsid w:val="00A437C8"/>
    <w:pPr>
      <w:spacing w:before="120" w:after="120" w:line="240" w:lineRule="auto"/>
      <w:jc w:val="center"/>
    </w:pPr>
    <w:rPr>
      <w:rFonts w:ascii="Times New Roman" w:eastAsiaTheme="minorHAnsi" w:hAnsi="Times New Roman" w:cs="Times New Roman"/>
      <w:b/>
      <w:szCs w:val="22"/>
      <w:lang w:val="de-DE" w:eastAsia="en-US"/>
      <w14:ligatures w14:val="standardContextual"/>
    </w:rPr>
  </w:style>
  <w:style w:type="character" w:customStyle="1" w:styleId="Marker1">
    <w:name w:val="Marker1"/>
    <w:basedOn w:val="DefaultParagraphFont"/>
    <w:rsid w:val="00A437C8"/>
    <w:rPr>
      <w:color w:val="008000"/>
      <w:shd w:val="clear" w:color="auto" w:fill="auto"/>
    </w:rPr>
  </w:style>
  <w:style w:type="character" w:customStyle="1" w:styleId="Marker2">
    <w:name w:val="Marker2"/>
    <w:basedOn w:val="DefaultParagraphFont"/>
    <w:rsid w:val="00A437C8"/>
    <w:rPr>
      <w:color w:val="FF0000"/>
      <w:shd w:val="clear" w:color="auto" w:fill="auto"/>
    </w:rPr>
  </w:style>
  <w:style w:type="paragraph" w:customStyle="1" w:styleId="Point0number">
    <w:name w:val="Point 0 (number)"/>
    <w:basedOn w:val="Normal"/>
    <w:rsid w:val="00A437C8"/>
    <w:pPr>
      <w:numPr>
        <w:numId w:val="32"/>
      </w:numPr>
      <w:tabs>
        <w:tab w:val="clear" w:pos="850"/>
      </w:tabs>
      <w:spacing w:before="120" w:after="120" w:line="240" w:lineRule="auto"/>
      <w:ind w:left="0" w:firstLine="0"/>
      <w:jc w:val="both"/>
    </w:pPr>
    <w:rPr>
      <w:rFonts w:ascii="Times New Roman" w:eastAsiaTheme="minorHAnsi" w:hAnsi="Times New Roman" w:cs="Times New Roman"/>
      <w:szCs w:val="22"/>
      <w:lang w:val="de-DE" w:eastAsia="en-US"/>
      <w14:ligatures w14:val="standardContextual"/>
    </w:rPr>
  </w:style>
  <w:style w:type="paragraph" w:customStyle="1" w:styleId="Point1number">
    <w:name w:val="Point 1 (number)"/>
    <w:basedOn w:val="Normal"/>
    <w:rsid w:val="00A437C8"/>
    <w:pPr>
      <w:numPr>
        <w:ilvl w:val="2"/>
        <w:numId w:val="32"/>
      </w:numPr>
      <w:tabs>
        <w:tab w:val="clear" w:pos="1417"/>
      </w:tabs>
      <w:spacing w:before="120" w:after="120" w:line="240" w:lineRule="auto"/>
      <w:ind w:left="0" w:firstLine="0"/>
      <w:jc w:val="both"/>
    </w:pPr>
    <w:rPr>
      <w:rFonts w:ascii="Times New Roman" w:eastAsiaTheme="minorHAnsi" w:hAnsi="Times New Roman" w:cs="Times New Roman"/>
      <w:szCs w:val="22"/>
      <w:lang w:val="de-DE" w:eastAsia="en-US"/>
      <w14:ligatures w14:val="standardContextual"/>
    </w:rPr>
  </w:style>
  <w:style w:type="paragraph" w:customStyle="1" w:styleId="Point2number">
    <w:name w:val="Point 2 (number)"/>
    <w:basedOn w:val="Normal"/>
    <w:rsid w:val="00A437C8"/>
    <w:pPr>
      <w:numPr>
        <w:ilvl w:val="4"/>
        <w:numId w:val="32"/>
      </w:numPr>
      <w:tabs>
        <w:tab w:val="clear" w:pos="1984"/>
      </w:tabs>
      <w:spacing w:before="120" w:after="120" w:line="240" w:lineRule="auto"/>
      <w:ind w:left="0" w:firstLine="0"/>
      <w:jc w:val="both"/>
    </w:pPr>
    <w:rPr>
      <w:rFonts w:ascii="Times New Roman" w:eastAsiaTheme="minorHAnsi" w:hAnsi="Times New Roman" w:cs="Times New Roman"/>
      <w:szCs w:val="22"/>
      <w:lang w:val="de-DE" w:eastAsia="en-US"/>
      <w14:ligatures w14:val="standardContextual"/>
    </w:rPr>
  </w:style>
  <w:style w:type="paragraph" w:customStyle="1" w:styleId="Point3number">
    <w:name w:val="Point 3 (number)"/>
    <w:basedOn w:val="Normal"/>
    <w:rsid w:val="00A437C8"/>
    <w:pPr>
      <w:numPr>
        <w:ilvl w:val="6"/>
        <w:numId w:val="32"/>
      </w:numPr>
      <w:tabs>
        <w:tab w:val="clear" w:pos="2551"/>
      </w:tabs>
      <w:spacing w:before="120" w:after="120" w:line="240" w:lineRule="auto"/>
      <w:ind w:left="0" w:firstLine="0"/>
      <w:jc w:val="both"/>
    </w:pPr>
    <w:rPr>
      <w:rFonts w:ascii="Times New Roman" w:eastAsiaTheme="minorHAnsi" w:hAnsi="Times New Roman" w:cs="Times New Roman"/>
      <w:szCs w:val="22"/>
      <w:lang w:val="de-DE" w:eastAsia="en-US"/>
      <w14:ligatures w14:val="standardContextual"/>
    </w:rPr>
  </w:style>
  <w:style w:type="paragraph" w:customStyle="1" w:styleId="Point0letter">
    <w:name w:val="Point 0 (letter)"/>
    <w:basedOn w:val="Normal"/>
    <w:rsid w:val="00A437C8"/>
    <w:pPr>
      <w:numPr>
        <w:ilvl w:val="1"/>
        <w:numId w:val="32"/>
      </w:numPr>
      <w:tabs>
        <w:tab w:val="clear" w:pos="850"/>
      </w:tabs>
      <w:spacing w:before="120" w:after="120" w:line="240" w:lineRule="auto"/>
      <w:ind w:left="0" w:firstLine="0"/>
      <w:jc w:val="both"/>
    </w:pPr>
    <w:rPr>
      <w:rFonts w:ascii="Times New Roman" w:eastAsiaTheme="minorHAnsi" w:hAnsi="Times New Roman" w:cs="Times New Roman"/>
      <w:szCs w:val="22"/>
      <w:lang w:val="de-DE" w:eastAsia="en-US"/>
      <w14:ligatures w14:val="standardContextual"/>
    </w:rPr>
  </w:style>
  <w:style w:type="paragraph" w:customStyle="1" w:styleId="Point1letter">
    <w:name w:val="Point 1 (letter)"/>
    <w:basedOn w:val="Normal"/>
    <w:rsid w:val="00A437C8"/>
    <w:pPr>
      <w:numPr>
        <w:ilvl w:val="3"/>
        <w:numId w:val="32"/>
      </w:numPr>
      <w:tabs>
        <w:tab w:val="clear" w:pos="1417"/>
      </w:tabs>
      <w:spacing w:before="120" w:after="120" w:line="240" w:lineRule="auto"/>
      <w:ind w:left="0" w:firstLine="0"/>
      <w:jc w:val="both"/>
    </w:pPr>
    <w:rPr>
      <w:rFonts w:ascii="Times New Roman" w:eastAsiaTheme="minorHAnsi" w:hAnsi="Times New Roman" w:cs="Times New Roman"/>
      <w:szCs w:val="22"/>
      <w:lang w:val="de-DE" w:eastAsia="en-US"/>
      <w14:ligatures w14:val="standardContextual"/>
    </w:rPr>
  </w:style>
  <w:style w:type="paragraph" w:customStyle="1" w:styleId="Point2letter">
    <w:name w:val="Point 2 (letter)"/>
    <w:basedOn w:val="Normal"/>
    <w:rsid w:val="00A437C8"/>
    <w:pPr>
      <w:numPr>
        <w:ilvl w:val="5"/>
        <w:numId w:val="32"/>
      </w:numPr>
      <w:tabs>
        <w:tab w:val="clear" w:pos="1984"/>
      </w:tabs>
      <w:spacing w:before="120" w:after="120" w:line="240" w:lineRule="auto"/>
      <w:ind w:left="0" w:firstLine="0"/>
      <w:jc w:val="both"/>
    </w:pPr>
    <w:rPr>
      <w:rFonts w:ascii="Times New Roman" w:eastAsiaTheme="minorHAnsi" w:hAnsi="Times New Roman" w:cs="Times New Roman"/>
      <w:szCs w:val="22"/>
      <w:lang w:val="de-DE" w:eastAsia="en-US"/>
      <w14:ligatures w14:val="standardContextual"/>
    </w:rPr>
  </w:style>
  <w:style w:type="paragraph" w:customStyle="1" w:styleId="Point3letter">
    <w:name w:val="Point 3 (letter)"/>
    <w:basedOn w:val="Normal"/>
    <w:rsid w:val="00A437C8"/>
    <w:pPr>
      <w:numPr>
        <w:ilvl w:val="7"/>
        <w:numId w:val="32"/>
      </w:numPr>
      <w:tabs>
        <w:tab w:val="clear" w:pos="2551"/>
      </w:tabs>
      <w:spacing w:before="120" w:after="120" w:line="240" w:lineRule="auto"/>
      <w:ind w:left="0" w:firstLine="0"/>
      <w:jc w:val="both"/>
    </w:pPr>
    <w:rPr>
      <w:rFonts w:ascii="Times New Roman" w:eastAsiaTheme="minorHAnsi" w:hAnsi="Times New Roman" w:cs="Times New Roman"/>
      <w:szCs w:val="22"/>
      <w:lang w:val="de-DE" w:eastAsia="en-US"/>
      <w14:ligatures w14:val="standardContextual"/>
    </w:rPr>
  </w:style>
  <w:style w:type="paragraph" w:customStyle="1" w:styleId="Point4letter">
    <w:name w:val="Point 4 (letter)"/>
    <w:basedOn w:val="Normal"/>
    <w:rsid w:val="00A437C8"/>
    <w:pPr>
      <w:numPr>
        <w:ilvl w:val="8"/>
        <w:numId w:val="32"/>
      </w:numPr>
      <w:tabs>
        <w:tab w:val="clear" w:pos="3118"/>
      </w:tabs>
      <w:spacing w:before="120" w:after="120" w:line="240" w:lineRule="auto"/>
      <w:ind w:left="0" w:firstLine="0"/>
      <w:jc w:val="both"/>
    </w:pPr>
    <w:rPr>
      <w:rFonts w:ascii="Times New Roman" w:eastAsiaTheme="minorHAnsi" w:hAnsi="Times New Roman" w:cs="Times New Roman"/>
      <w:szCs w:val="22"/>
      <w:lang w:val="de-DE" w:eastAsia="en-US"/>
      <w14:ligatures w14:val="standardContextual"/>
    </w:rPr>
  </w:style>
  <w:style w:type="paragraph" w:customStyle="1" w:styleId="Bullet0">
    <w:name w:val="Bullet 0"/>
    <w:basedOn w:val="Normal"/>
    <w:rsid w:val="00A437C8"/>
    <w:pPr>
      <w:numPr>
        <w:numId w:val="33"/>
      </w:numPr>
      <w:tabs>
        <w:tab w:val="clear" w:pos="850"/>
      </w:tabs>
      <w:spacing w:before="120" w:after="120" w:line="240" w:lineRule="auto"/>
      <w:ind w:left="0" w:firstLine="0"/>
      <w:jc w:val="both"/>
    </w:pPr>
    <w:rPr>
      <w:rFonts w:ascii="Times New Roman" w:eastAsiaTheme="minorHAnsi" w:hAnsi="Times New Roman" w:cs="Times New Roman"/>
      <w:szCs w:val="22"/>
      <w:lang w:val="de-DE" w:eastAsia="en-US"/>
      <w14:ligatures w14:val="standardContextual"/>
    </w:rPr>
  </w:style>
  <w:style w:type="paragraph" w:customStyle="1" w:styleId="Bullet1">
    <w:name w:val="Bullet 1"/>
    <w:basedOn w:val="Normal"/>
    <w:rsid w:val="00A437C8"/>
    <w:pPr>
      <w:numPr>
        <w:numId w:val="34"/>
      </w:numPr>
      <w:tabs>
        <w:tab w:val="clear" w:pos="1417"/>
      </w:tabs>
      <w:spacing w:before="120" w:after="120" w:line="240" w:lineRule="auto"/>
      <w:ind w:left="0" w:firstLine="0"/>
      <w:jc w:val="both"/>
    </w:pPr>
    <w:rPr>
      <w:rFonts w:ascii="Times New Roman" w:eastAsiaTheme="minorHAnsi" w:hAnsi="Times New Roman" w:cs="Times New Roman"/>
      <w:szCs w:val="22"/>
      <w:lang w:val="de-DE" w:eastAsia="en-US"/>
      <w14:ligatures w14:val="standardContextual"/>
    </w:rPr>
  </w:style>
  <w:style w:type="paragraph" w:customStyle="1" w:styleId="Bullet2">
    <w:name w:val="Bullet 2"/>
    <w:basedOn w:val="Normal"/>
    <w:rsid w:val="00A437C8"/>
    <w:pPr>
      <w:numPr>
        <w:numId w:val="35"/>
      </w:numPr>
      <w:tabs>
        <w:tab w:val="clear" w:pos="1984"/>
      </w:tabs>
      <w:spacing w:before="120" w:after="120" w:line="240" w:lineRule="auto"/>
      <w:ind w:left="0" w:firstLine="0"/>
      <w:jc w:val="both"/>
    </w:pPr>
    <w:rPr>
      <w:rFonts w:ascii="Times New Roman" w:eastAsiaTheme="minorHAnsi" w:hAnsi="Times New Roman" w:cs="Times New Roman"/>
      <w:szCs w:val="22"/>
      <w:lang w:val="de-DE" w:eastAsia="en-US"/>
      <w14:ligatures w14:val="standardContextual"/>
    </w:rPr>
  </w:style>
  <w:style w:type="paragraph" w:customStyle="1" w:styleId="Bullet3">
    <w:name w:val="Bullet 3"/>
    <w:basedOn w:val="Normal"/>
    <w:rsid w:val="00A437C8"/>
    <w:pPr>
      <w:numPr>
        <w:numId w:val="36"/>
      </w:numPr>
      <w:tabs>
        <w:tab w:val="clear" w:pos="2551"/>
      </w:tabs>
      <w:spacing w:before="120" w:after="120" w:line="240" w:lineRule="auto"/>
      <w:ind w:left="0" w:firstLine="0"/>
      <w:jc w:val="both"/>
    </w:pPr>
    <w:rPr>
      <w:rFonts w:ascii="Times New Roman" w:eastAsiaTheme="minorHAnsi" w:hAnsi="Times New Roman" w:cs="Times New Roman"/>
      <w:szCs w:val="22"/>
      <w:lang w:val="de-DE" w:eastAsia="en-US"/>
      <w14:ligatures w14:val="standardContextual"/>
    </w:rPr>
  </w:style>
  <w:style w:type="paragraph" w:customStyle="1" w:styleId="Bullet4">
    <w:name w:val="Bullet 4"/>
    <w:basedOn w:val="Normal"/>
    <w:rsid w:val="00A437C8"/>
    <w:pPr>
      <w:numPr>
        <w:numId w:val="37"/>
      </w:numPr>
      <w:tabs>
        <w:tab w:val="clear" w:pos="3118"/>
      </w:tabs>
      <w:spacing w:before="120" w:after="120" w:line="240" w:lineRule="auto"/>
      <w:ind w:left="0" w:firstLine="0"/>
      <w:jc w:val="both"/>
    </w:pPr>
    <w:rPr>
      <w:rFonts w:ascii="Times New Roman" w:eastAsiaTheme="minorHAnsi" w:hAnsi="Times New Roman" w:cs="Times New Roman"/>
      <w:szCs w:val="22"/>
      <w:lang w:val="de-DE" w:eastAsia="en-US"/>
      <w14:ligatures w14:val="standardContextual"/>
    </w:rPr>
  </w:style>
  <w:style w:type="paragraph" w:customStyle="1" w:styleId="Langue">
    <w:name w:val="Langue"/>
    <w:basedOn w:val="Normal"/>
    <w:next w:val="Rfrenceinterne"/>
    <w:rsid w:val="00A437C8"/>
    <w:pPr>
      <w:framePr w:wrap="around" w:vAnchor="page" w:hAnchor="text" w:xAlign="center" w:y="14741"/>
      <w:spacing w:after="600" w:line="240" w:lineRule="auto"/>
      <w:jc w:val="center"/>
    </w:pPr>
    <w:rPr>
      <w:rFonts w:ascii="Times New Roman" w:eastAsiaTheme="minorHAnsi" w:hAnsi="Times New Roman" w:cs="Times New Roman"/>
      <w:b/>
      <w:caps/>
      <w:szCs w:val="22"/>
      <w:lang w:val="de-DE" w:eastAsia="en-US"/>
      <w14:ligatures w14:val="standardContextual"/>
    </w:rPr>
  </w:style>
  <w:style w:type="paragraph" w:customStyle="1" w:styleId="Nomdelinstitution">
    <w:name w:val="Nom de l'institution"/>
    <w:basedOn w:val="Normal"/>
    <w:next w:val="Emission"/>
    <w:rsid w:val="00A437C8"/>
    <w:pPr>
      <w:spacing w:after="0" w:line="240" w:lineRule="auto"/>
    </w:pPr>
    <w:rPr>
      <w:rFonts w:ascii="Arial" w:eastAsiaTheme="minorHAnsi" w:hAnsi="Arial" w:cs="Arial"/>
      <w:szCs w:val="22"/>
      <w:lang w:val="de-DE" w:eastAsia="en-US"/>
      <w14:ligatures w14:val="standardContextual"/>
    </w:rPr>
  </w:style>
  <w:style w:type="paragraph" w:customStyle="1" w:styleId="Emission">
    <w:name w:val="Emission"/>
    <w:basedOn w:val="Normal"/>
    <w:next w:val="Rfrenceinstitutionnelle"/>
    <w:rsid w:val="00A437C8"/>
    <w:pPr>
      <w:spacing w:after="0" w:line="240" w:lineRule="auto"/>
      <w:ind w:left="5103"/>
    </w:pPr>
    <w:rPr>
      <w:rFonts w:ascii="Times New Roman" w:eastAsiaTheme="minorHAnsi" w:hAnsi="Times New Roman" w:cs="Times New Roman"/>
      <w:szCs w:val="22"/>
      <w:lang w:val="de-DE" w:eastAsia="en-US"/>
      <w14:ligatures w14:val="standardContextual"/>
    </w:rPr>
  </w:style>
  <w:style w:type="paragraph" w:customStyle="1" w:styleId="Rfrenceinstitutionnelle">
    <w:name w:val="Référence institutionnelle"/>
    <w:basedOn w:val="Normal"/>
    <w:next w:val="Confidentialit"/>
    <w:rsid w:val="00A437C8"/>
    <w:pPr>
      <w:spacing w:after="240" w:line="240" w:lineRule="auto"/>
      <w:ind w:left="5103"/>
    </w:pPr>
    <w:rPr>
      <w:rFonts w:ascii="Times New Roman" w:eastAsiaTheme="minorHAnsi" w:hAnsi="Times New Roman" w:cs="Times New Roman"/>
      <w:szCs w:val="22"/>
      <w:lang w:val="de-DE" w:eastAsia="en-US"/>
      <w14:ligatures w14:val="standardContextual"/>
    </w:rPr>
  </w:style>
  <w:style w:type="paragraph" w:customStyle="1" w:styleId="Declassification">
    <w:name w:val="Declassification"/>
    <w:basedOn w:val="Normal"/>
    <w:next w:val="Normal"/>
    <w:rsid w:val="00A437C8"/>
    <w:pPr>
      <w:spacing w:after="0" w:line="240" w:lineRule="auto"/>
      <w:jc w:val="both"/>
    </w:pPr>
    <w:rPr>
      <w:rFonts w:ascii="Times New Roman" w:eastAsiaTheme="minorHAnsi" w:hAnsi="Times New Roman" w:cs="Times New Roman"/>
      <w:szCs w:val="22"/>
      <w:lang w:val="de-DE" w:eastAsia="en-US"/>
      <w14:ligatures w14:val="standardContextual"/>
    </w:rPr>
  </w:style>
  <w:style w:type="paragraph" w:customStyle="1" w:styleId="Disclaimer">
    <w:name w:val="Disclaimer"/>
    <w:basedOn w:val="Normal"/>
    <w:rsid w:val="00A437C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Theme="minorHAnsi" w:hAnsi="Times New Roman" w:cs="Times New Roman"/>
      <w:szCs w:val="22"/>
      <w:lang w:val="de-DE" w:eastAsia="en-US"/>
      <w14:ligatures w14:val="standardContextual"/>
    </w:rPr>
  </w:style>
  <w:style w:type="paragraph" w:customStyle="1" w:styleId="SecurityMarking">
    <w:name w:val="SecurityMarking"/>
    <w:basedOn w:val="Normal"/>
    <w:rsid w:val="00A437C8"/>
    <w:pPr>
      <w:spacing w:after="0" w:line="276" w:lineRule="auto"/>
      <w:ind w:left="5103"/>
    </w:pPr>
    <w:rPr>
      <w:rFonts w:ascii="Times New Roman" w:eastAsiaTheme="minorHAnsi" w:hAnsi="Times New Roman" w:cs="Times New Roman"/>
      <w:sz w:val="28"/>
      <w:szCs w:val="22"/>
      <w:lang w:val="de-DE" w:eastAsia="en-US"/>
      <w14:ligatures w14:val="standardContextual"/>
    </w:rPr>
  </w:style>
  <w:style w:type="paragraph" w:customStyle="1" w:styleId="DateMarking">
    <w:name w:val="DateMarking"/>
    <w:basedOn w:val="Normal"/>
    <w:rsid w:val="00A437C8"/>
    <w:pPr>
      <w:spacing w:after="0" w:line="276" w:lineRule="auto"/>
      <w:ind w:left="5103"/>
    </w:pPr>
    <w:rPr>
      <w:rFonts w:ascii="Times New Roman" w:eastAsiaTheme="minorHAnsi" w:hAnsi="Times New Roman" w:cs="Times New Roman"/>
      <w:i/>
      <w:sz w:val="28"/>
      <w:szCs w:val="22"/>
      <w:lang w:val="de-DE" w:eastAsia="en-US"/>
      <w14:ligatures w14:val="standardContextual"/>
    </w:rPr>
  </w:style>
  <w:style w:type="paragraph" w:customStyle="1" w:styleId="ReleasableTo">
    <w:name w:val="ReleasableTo"/>
    <w:basedOn w:val="Normal"/>
    <w:rsid w:val="00A437C8"/>
    <w:pPr>
      <w:spacing w:after="0" w:line="276" w:lineRule="auto"/>
      <w:ind w:left="5103"/>
    </w:pPr>
    <w:rPr>
      <w:rFonts w:ascii="Times New Roman" w:eastAsiaTheme="minorHAnsi" w:hAnsi="Times New Roman" w:cs="Times New Roman"/>
      <w:i/>
      <w:sz w:val="28"/>
      <w:szCs w:val="22"/>
      <w:lang w:val="de-DE" w:eastAsia="en-US"/>
      <w14:ligatures w14:val="standardContextual"/>
    </w:rPr>
  </w:style>
  <w:style w:type="paragraph" w:customStyle="1" w:styleId="Annexetitreexpos">
    <w:name w:val="Annexe titre (exposé)"/>
    <w:basedOn w:val="Normal"/>
    <w:next w:val="Normal"/>
    <w:rsid w:val="00A437C8"/>
    <w:pPr>
      <w:spacing w:before="120" w:after="120" w:line="240" w:lineRule="auto"/>
      <w:jc w:val="center"/>
    </w:pPr>
    <w:rPr>
      <w:rFonts w:ascii="Times New Roman" w:eastAsiaTheme="minorHAnsi" w:hAnsi="Times New Roman" w:cs="Times New Roman"/>
      <w:b/>
      <w:szCs w:val="22"/>
      <w:u w:val="single"/>
      <w:lang w:val="de-DE" w:eastAsia="en-US"/>
      <w14:ligatures w14:val="standardContextual"/>
    </w:rPr>
  </w:style>
  <w:style w:type="paragraph" w:customStyle="1" w:styleId="Annexetitre">
    <w:name w:val="Annexe titre"/>
    <w:basedOn w:val="Normal"/>
    <w:next w:val="Normal"/>
    <w:rsid w:val="00A437C8"/>
    <w:pPr>
      <w:spacing w:before="120" w:after="120" w:line="240" w:lineRule="auto"/>
      <w:jc w:val="center"/>
    </w:pPr>
    <w:rPr>
      <w:rFonts w:ascii="Times New Roman" w:eastAsiaTheme="minorHAnsi" w:hAnsi="Times New Roman" w:cs="Times New Roman"/>
      <w:b/>
      <w:szCs w:val="22"/>
      <w:u w:val="single"/>
      <w:lang w:val="de-DE" w:eastAsia="en-US"/>
      <w14:ligatures w14:val="standardContextual"/>
    </w:rPr>
  </w:style>
  <w:style w:type="paragraph" w:customStyle="1" w:styleId="Annexetitrefichefinancire">
    <w:name w:val="Annexe titre (fiche financière)"/>
    <w:basedOn w:val="Normal"/>
    <w:next w:val="Normal"/>
    <w:rsid w:val="00A437C8"/>
    <w:pPr>
      <w:spacing w:before="120" w:after="120" w:line="240" w:lineRule="auto"/>
      <w:jc w:val="center"/>
    </w:pPr>
    <w:rPr>
      <w:rFonts w:ascii="Times New Roman" w:eastAsiaTheme="minorHAnsi" w:hAnsi="Times New Roman" w:cs="Times New Roman"/>
      <w:b/>
      <w:szCs w:val="22"/>
      <w:u w:val="single"/>
      <w:lang w:val="de-DE" w:eastAsia="en-US"/>
      <w14:ligatures w14:val="standardContextual"/>
    </w:rPr>
  </w:style>
  <w:style w:type="paragraph" w:customStyle="1" w:styleId="Applicationdirecte">
    <w:name w:val="Application directe"/>
    <w:basedOn w:val="Normal"/>
    <w:next w:val="Fait"/>
    <w:rsid w:val="00A437C8"/>
    <w:pPr>
      <w:spacing w:before="480" w:after="120" w:line="240" w:lineRule="auto"/>
      <w:jc w:val="both"/>
    </w:pPr>
    <w:rPr>
      <w:rFonts w:ascii="Times New Roman" w:eastAsiaTheme="minorHAnsi" w:hAnsi="Times New Roman" w:cs="Times New Roman"/>
      <w:szCs w:val="22"/>
      <w:lang w:val="de-DE" w:eastAsia="en-US"/>
      <w14:ligatures w14:val="standardContextual"/>
    </w:rPr>
  </w:style>
  <w:style w:type="paragraph" w:customStyle="1" w:styleId="Avertissementtitre">
    <w:name w:val="Avertissement titre"/>
    <w:basedOn w:val="Normal"/>
    <w:next w:val="Normal"/>
    <w:rsid w:val="00A437C8"/>
    <w:pPr>
      <w:keepNext/>
      <w:spacing w:before="480" w:after="120" w:line="240" w:lineRule="auto"/>
      <w:jc w:val="both"/>
    </w:pPr>
    <w:rPr>
      <w:rFonts w:ascii="Times New Roman" w:eastAsiaTheme="minorHAnsi" w:hAnsi="Times New Roman" w:cs="Times New Roman"/>
      <w:szCs w:val="22"/>
      <w:u w:val="single"/>
      <w:lang w:val="de-DE" w:eastAsia="en-US"/>
      <w14:ligatures w14:val="standardContextual"/>
    </w:rPr>
  </w:style>
  <w:style w:type="paragraph" w:customStyle="1" w:styleId="Confidence">
    <w:name w:val="Confidence"/>
    <w:basedOn w:val="Normal"/>
    <w:next w:val="Normal"/>
    <w:rsid w:val="00A437C8"/>
    <w:pPr>
      <w:spacing w:before="360" w:after="120" w:line="240" w:lineRule="auto"/>
      <w:jc w:val="center"/>
    </w:pPr>
    <w:rPr>
      <w:rFonts w:ascii="Times New Roman" w:eastAsiaTheme="minorHAnsi" w:hAnsi="Times New Roman" w:cs="Times New Roman"/>
      <w:szCs w:val="22"/>
      <w:lang w:val="de-DE" w:eastAsia="en-US"/>
      <w14:ligatures w14:val="standardContextual"/>
    </w:rPr>
  </w:style>
  <w:style w:type="paragraph" w:customStyle="1" w:styleId="Confidentialit">
    <w:name w:val="Confidentialité"/>
    <w:basedOn w:val="Normal"/>
    <w:next w:val="TypedudocumentPagedecouverture"/>
    <w:rsid w:val="00A437C8"/>
    <w:pPr>
      <w:spacing w:before="240" w:after="240" w:line="240" w:lineRule="auto"/>
      <w:ind w:left="5103"/>
    </w:pPr>
    <w:rPr>
      <w:rFonts w:ascii="Times New Roman" w:eastAsiaTheme="minorHAnsi" w:hAnsi="Times New Roman" w:cs="Times New Roman"/>
      <w:i/>
      <w:sz w:val="32"/>
      <w:szCs w:val="22"/>
      <w:lang w:val="de-DE" w:eastAsia="en-US"/>
      <w14:ligatures w14:val="standardContextual"/>
    </w:rPr>
  </w:style>
  <w:style w:type="paragraph" w:customStyle="1" w:styleId="Considrant">
    <w:name w:val="Considérant"/>
    <w:basedOn w:val="Normal"/>
    <w:rsid w:val="00A437C8"/>
    <w:pPr>
      <w:numPr>
        <w:numId w:val="38"/>
      </w:numPr>
      <w:tabs>
        <w:tab w:val="clear" w:pos="709"/>
      </w:tabs>
      <w:spacing w:before="120" w:after="120" w:line="240" w:lineRule="auto"/>
      <w:ind w:left="0" w:firstLine="0"/>
      <w:jc w:val="both"/>
    </w:pPr>
    <w:rPr>
      <w:rFonts w:ascii="Times New Roman" w:eastAsiaTheme="minorHAnsi" w:hAnsi="Times New Roman" w:cs="Times New Roman"/>
      <w:szCs w:val="22"/>
      <w:lang w:val="de-DE" w:eastAsia="en-US"/>
      <w14:ligatures w14:val="standardContextual"/>
    </w:rPr>
  </w:style>
  <w:style w:type="paragraph" w:customStyle="1" w:styleId="Corrigendum">
    <w:name w:val="Corrigendum"/>
    <w:basedOn w:val="Normal"/>
    <w:next w:val="Normal"/>
    <w:rsid w:val="00A437C8"/>
    <w:pPr>
      <w:spacing w:after="240" w:line="240" w:lineRule="auto"/>
    </w:pPr>
    <w:rPr>
      <w:rFonts w:ascii="Times New Roman" w:eastAsiaTheme="minorHAnsi" w:hAnsi="Times New Roman" w:cs="Times New Roman"/>
      <w:szCs w:val="22"/>
      <w:lang w:val="de-DE" w:eastAsia="en-US"/>
      <w14:ligatures w14:val="standardContextual"/>
    </w:rPr>
  </w:style>
  <w:style w:type="paragraph" w:customStyle="1" w:styleId="Datedadoption">
    <w:name w:val="Date d'adoption"/>
    <w:basedOn w:val="Normal"/>
    <w:next w:val="IntrtEEE"/>
    <w:rsid w:val="00A437C8"/>
    <w:pPr>
      <w:spacing w:before="360" w:after="0" w:line="240" w:lineRule="auto"/>
      <w:jc w:val="center"/>
    </w:pPr>
    <w:rPr>
      <w:rFonts w:ascii="Times New Roman" w:eastAsiaTheme="minorHAnsi" w:hAnsi="Times New Roman" w:cs="Times New Roman"/>
      <w:b/>
      <w:szCs w:val="22"/>
      <w:lang w:val="de-DE" w:eastAsia="en-US"/>
      <w14:ligatures w14:val="standardContextual"/>
    </w:rPr>
  </w:style>
  <w:style w:type="paragraph" w:customStyle="1" w:styleId="Exposdesmotifstitre">
    <w:name w:val="Exposé des motifs titre"/>
    <w:basedOn w:val="Normal"/>
    <w:next w:val="Normal"/>
    <w:rsid w:val="00A437C8"/>
    <w:pPr>
      <w:spacing w:before="120" w:after="120" w:line="240" w:lineRule="auto"/>
      <w:jc w:val="center"/>
    </w:pPr>
    <w:rPr>
      <w:rFonts w:ascii="Times New Roman" w:eastAsiaTheme="minorHAnsi" w:hAnsi="Times New Roman" w:cs="Times New Roman"/>
      <w:b/>
      <w:szCs w:val="22"/>
      <w:u w:val="single"/>
      <w:lang w:val="de-DE" w:eastAsia="en-US"/>
      <w14:ligatures w14:val="standardContextual"/>
    </w:rPr>
  </w:style>
  <w:style w:type="paragraph" w:customStyle="1" w:styleId="Fait">
    <w:name w:val="Fait à"/>
    <w:basedOn w:val="Normal"/>
    <w:next w:val="Institutionquisigne"/>
    <w:rsid w:val="00A437C8"/>
    <w:pPr>
      <w:keepNext/>
      <w:spacing w:before="120" w:after="0" w:line="240" w:lineRule="auto"/>
      <w:jc w:val="both"/>
    </w:pPr>
    <w:rPr>
      <w:rFonts w:ascii="Times New Roman" w:eastAsiaTheme="minorHAnsi" w:hAnsi="Times New Roman" w:cs="Times New Roman"/>
      <w:szCs w:val="22"/>
      <w:lang w:val="de-DE" w:eastAsia="en-US"/>
      <w14:ligatures w14:val="standardContextual"/>
    </w:rPr>
  </w:style>
  <w:style w:type="paragraph" w:customStyle="1" w:styleId="Formuledadoption">
    <w:name w:val="Formule d'adoption"/>
    <w:basedOn w:val="Normal"/>
    <w:next w:val="Titrearticle"/>
    <w:rsid w:val="00A437C8"/>
    <w:pPr>
      <w:keepNext/>
      <w:spacing w:before="120" w:after="120" w:line="240" w:lineRule="auto"/>
      <w:jc w:val="both"/>
    </w:pPr>
    <w:rPr>
      <w:rFonts w:ascii="Times New Roman" w:eastAsiaTheme="minorHAnsi" w:hAnsi="Times New Roman" w:cs="Times New Roman"/>
      <w:szCs w:val="22"/>
      <w:lang w:val="de-DE" w:eastAsia="en-US"/>
      <w14:ligatures w14:val="standardContextual"/>
    </w:rPr>
  </w:style>
  <w:style w:type="paragraph" w:customStyle="1" w:styleId="Institutionquiagit">
    <w:name w:val="Institution qui agit"/>
    <w:basedOn w:val="Normal"/>
    <w:next w:val="Normal"/>
    <w:rsid w:val="00A437C8"/>
    <w:pPr>
      <w:keepNext/>
      <w:spacing w:before="600" w:after="120" w:line="240" w:lineRule="auto"/>
      <w:jc w:val="both"/>
    </w:pPr>
    <w:rPr>
      <w:rFonts w:ascii="Times New Roman" w:eastAsiaTheme="minorHAnsi" w:hAnsi="Times New Roman" w:cs="Times New Roman"/>
      <w:szCs w:val="22"/>
      <w:lang w:val="de-DE" w:eastAsia="en-US"/>
      <w14:ligatures w14:val="standardContextual"/>
    </w:rPr>
  </w:style>
  <w:style w:type="paragraph" w:customStyle="1" w:styleId="Institutionquisigne">
    <w:name w:val="Institution qui signe"/>
    <w:basedOn w:val="Normal"/>
    <w:next w:val="Personnequisigne"/>
    <w:rsid w:val="00A437C8"/>
    <w:pPr>
      <w:keepNext/>
      <w:tabs>
        <w:tab w:val="left" w:pos="4252"/>
      </w:tabs>
      <w:spacing w:before="720" w:after="0" w:line="240" w:lineRule="auto"/>
      <w:jc w:val="both"/>
    </w:pPr>
    <w:rPr>
      <w:rFonts w:ascii="Times New Roman" w:eastAsiaTheme="minorHAnsi" w:hAnsi="Times New Roman" w:cs="Times New Roman"/>
      <w:i/>
      <w:szCs w:val="22"/>
      <w:lang w:val="de-DE" w:eastAsia="en-US"/>
      <w14:ligatures w14:val="standardContextual"/>
    </w:rPr>
  </w:style>
  <w:style w:type="paragraph" w:customStyle="1" w:styleId="ManualConsidrant">
    <w:name w:val="Manual Considérant"/>
    <w:basedOn w:val="Normal"/>
    <w:rsid w:val="00A437C8"/>
    <w:pPr>
      <w:spacing w:before="120" w:after="120" w:line="240" w:lineRule="auto"/>
      <w:ind w:left="709" w:hanging="709"/>
      <w:jc w:val="both"/>
    </w:pPr>
    <w:rPr>
      <w:rFonts w:ascii="Times New Roman" w:eastAsiaTheme="minorHAnsi" w:hAnsi="Times New Roman" w:cs="Times New Roman"/>
      <w:szCs w:val="22"/>
      <w:lang w:val="de-DE" w:eastAsia="en-US"/>
      <w14:ligatures w14:val="standardContextual"/>
    </w:rPr>
  </w:style>
  <w:style w:type="paragraph" w:customStyle="1" w:styleId="Personnequisigne">
    <w:name w:val="Personne qui signe"/>
    <w:basedOn w:val="Normal"/>
    <w:next w:val="Institutionquisigne"/>
    <w:rsid w:val="00A437C8"/>
    <w:pPr>
      <w:tabs>
        <w:tab w:val="left" w:pos="4252"/>
      </w:tabs>
      <w:spacing w:after="0" w:line="240" w:lineRule="auto"/>
    </w:pPr>
    <w:rPr>
      <w:rFonts w:ascii="Times New Roman" w:eastAsiaTheme="minorHAnsi" w:hAnsi="Times New Roman" w:cs="Times New Roman"/>
      <w:i/>
      <w:szCs w:val="22"/>
      <w:lang w:val="de-DE" w:eastAsia="en-US"/>
      <w14:ligatures w14:val="standardContextual"/>
    </w:rPr>
  </w:style>
  <w:style w:type="paragraph" w:customStyle="1" w:styleId="Rfrenceinterinstitutionnelle">
    <w:name w:val="Référence interinstitutionnelle"/>
    <w:basedOn w:val="Normal"/>
    <w:next w:val="Statut"/>
    <w:rsid w:val="00A437C8"/>
    <w:pPr>
      <w:spacing w:after="0" w:line="240" w:lineRule="auto"/>
      <w:ind w:left="5103"/>
    </w:pPr>
    <w:rPr>
      <w:rFonts w:ascii="Times New Roman" w:eastAsiaTheme="minorHAnsi" w:hAnsi="Times New Roman" w:cs="Times New Roman"/>
      <w:szCs w:val="22"/>
      <w:lang w:val="de-DE" w:eastAsia="en-US"/>
      <w14:ligatures w14:val="standardContextual"/>
    </w:rPr>
  </w:style>
  <w:style w:type="paragraph" w:customStyle="1" w:styleId="Rfrenceinterne">
    <w:name w:val="Référence interne"/>
    <w:basedOn w:val="Normal"/>
    <w:next w:val="Rfrenceinterinstitutionnelle"/>
    <w:rsid w:val="00A437C8"/>
    <w:pPr>
      <w:spacing w:after="0" w:line="240" w:lineRule="auto"/>
      <w:ind w:left="5103"/>
    </w:pPr>
    <w:rPr>
      <w:rFonts w:ascii="Times New Roman" w:eastAsiaTheme="minorHAnsi" w:hAnsi="Times New Roman" w:cs="Times New Roman"/>
      <w:szCs w:val="22"/>
      <w:lang w:val="de-DE" w:eastAsia="en-US"/>
      <w14:ligatures w14:val="standardContextual"/>
    </w:rPr>
  </w:style>
  <w:style w:type="paragraph" w:customStyle="1" w:styleId="Statut">
    <w:name w:val="Statut"/>
    <w:basedOn w:val="Normal"/>
    <w:next w:val="Typedudocument"/>
    <w:rsid w:val="00A437C8"/>
    <w:pPr>
      <w:spacing w:after="240" w:line="240" w:lineRule="auto"/>
      <w:jc w:val="center"/>
    </w:pPr>
    <w:rPr>
      <w:rFonts w:ascii="Times New Roman" w:eastAsiaTheme="minorHAnsi" w:hAnsi="Times New Roman" w:cs="Times New Roman"/>
      <w:szCs w:val="22"/>
      <w:lang w:val="de-DE" w:eastAsia="en-US"/>
      <w14:ligatures w14:val="standardContextual"/>
    </w:rPr>
  </w:style>
  <w:style w:type="paragraph" w:customStyle="1" w:styleId="Titrearticle">
    <w:name w:val="Titre article"/>
    <w:basedOn w:val="Normal"/>
    <w:next w:val="Normal"/>
    <w:rsid w:val="00A437C8"/>
    <w:pPr>
      <w:keepNext/>
      <w:spacing w:before="360" w:after="120" w:line="240" w:lineRule="auto"/>
      <w:jc w:val="center"/>
    </w:pPr>
    <w:rPr>
      <w:rFonts w:ascii="Times New Roman" w:eastAsiaTheme="minorHAnsi" w:hAnsi="Times New Roman" w:cs="Times New Roman"/>
      <w:i/>
      <w:szCs w:val="22"/>
      <w:lang w:val="de-DE" w:eastAsia="en-US"/>
      <w14:ligatures w14:val="standardContextual"/>
    </w:rPr>
  </w:style>
  <w:style w:type="paragraph" w:customStyle="1" w:styleId="Typedudocument">
    <w:name w:val="Type du document"/>
    <w:basedOn w:val="Normal"/>
    <w:next w:val="Accompagnant"/>
    <w:rsid w:val="00A437C8"/>
    <w:pPr>
      <w:spacing w:before="360" w:after="180" w:line="240" w:lineRule="auto"/>
      <w:jc w:val="center"/>
    </w:pPr>
    <w:rPr>
      <w:rFonts w:ascii="Times New Roman" w:eastAsiaTheme="minorHAnsi" w:hAnsi="Times New Roman" w:cs="Times New Roman"/>
      <w:b/>
      <w:szCs w:val="22"/>
      <w:lang w:val="de-DE" w:eastAsia="en-US"/>
      <w14:ligatures w14:val="standardContextual"/>
    </w:rPr>
  </w:style>
  <w:style w:type="character" w:customStyle="1" w:styleId="Added">
    <w:name w:val="Added"/>
    <w:basedOn w:val="DefaultParagraphFont"/>
    <w:rsid w:val="00A437C8"/>
    <w:rPr>
      <w:b/>
      <w:u w:val="single"/>
      <w:shd w:val="clear" w:color="auto" w:fill="auto"/>
    </w:rPr>
  </w:style>
  <w:style w:type="character" w:customStyle="1" w:styleId="Deleted">
    <w:name w:val="Deleted"/>
    <w:basedOn w:val="DefaultParagraphFont"/>
    <w:rsid w:val="00A437C8"/>
    <w:rPr>
      <w:strike/>
      <w:dstrike w:val="0"/>
      <w:shd w:val="clear" w:color="auto" w:fill="auto"/>
    </w:rPr>
  </w:style>
  <w:style w:type="paragraph" w:customStyle="1" w:styleId="Address">
    <w:name w:val="Address"/>
    <w:basedOn w:val="Normal"/>
    <w:next w:val="Normal"/>
    <w:rsid w:val="00A437C8"/>
    <w:pPr>
      <w:keepLines/>
      <w:spacing w:before="120" w:after="120" w:line="360" w:lineRule="auto"/>
      <w:ind w:left="3402"/>
    </w:pPr>
    <w:rPr>
      <w:rFonts w:ascii="Times New Roman" w:eastAsiaTheme="minorHAnsi" w:hAnsi="Times New Roman" w:cs="Times New Roman"/>
      <w:szCs w:val="22"/>
      <w:lang w:val="de-DE" w:eastAsia="en-US"/>
      <w14:ligatures w14:val="standardContextual"/>
    </w:rPr>
  </w:style>
  <w:style w:type="paragraph" w:customStyle="1" w:styleId="Objetexterne">
    <w:name w:val="Objet externe"/>
    <w:basedOn w:val="Normal"/>
    <w:next w:val="Normal"/>
    <w:rsid w:val="00A437C8"/>
    <w:pPr>
      <w:spacing w:before="120" w:after="120" w:line="240" w:lineRule="auto"/>
      <w:jc w:val="both"/>
    </w:pPr>
    <w:rPr>
      <w:rFonts w:ascii="Times New Roman" w:eastAsiaTheme="minorHAnsi" w:hAnsi="Times New Roman" w:cs="Times New Roman"/>
      <w:i/>
      <w:caps/>
      <w:szCs w:val="22"/>
      <w:lang w:val="de-DE" w:eastAsia="en-US"/>
      <w14:ligatures w14:val="standardContextual"/>
    </w:rPr>
  </w:style>
  <w:style w:type="paragraph" w:customStyle="1" w:styleId="Supertitre">
    <w:name w:val="Supertitre"/>
    <w:basedOn w:val="Normal"/>
    <w:next w:val="Normal"/>
    <w:rsid w:val="00A437C8"/>
    <w:pPr>
      <w:spacing w:after="600" w:line="240" w:lineRule="auto"/>
      <w:jc w:val="center"/>
    </w:pPr>
    <w:rPr>
      <w:rFonts w:ascii="Times New Roman" w:eastAsiaTheme="minorHAnsi" w:hAnsi="Times New Roman" w:cs="Times New Roman"/>
      <w:b/>
      <w:szCs w:val="22"/>
      <w:lang w:val="de-DE" w:eastAsia="en-US"/>
      <w14:ligatures w14:val="standardContextual"/>
    </w:rPr>
  </w:style>
  <w:style w:type="paragraph" w:customStyle="1" w:styleId="Languesfaisantfoi">
    <w:name w:val="Langues faisant foi"/>
    <w:basedOn w:val="Normal"/>
    <w:next w:val="Normal"/>
    <w:rsid w:val="00A437C8"/>
    <w:pPr>
      <w:spacing w:before="360" w:after="0" w:line="240" w:lineRule="auto"/>
      <w:jc w:val="center"/>
    </w:pPr>
    <w:rPr>
      <w:rFonts w:ascii="Times New Roman" w:eastAsiaTheme="minorHAnsi" w:hAnsi="Times New Roman" w:cs="Times New Roman"/>
      <w:szCs w:val="22"/>
      <w:lang w:val="de-DE" w:eastAsia="en-US"/>
      <w14:ligatures w14:val="standardContextual"/>
    </w:rPr>
  </w:style>
  <w:style w:type="paragraph" w:customStyle="1" w:styleId="Rfrencecroise">
    <w:name w:val="Référence croisée"/>
    <w:basedOn w:val="Normal"/>
    <w:rsid w:val="00A437C8"/>
    <w:pPr>
      <w:spacing w:after="0" w:line="240" w:lineRule="auto"/>
      <w:jc w:val="center"/>
    </w:pPr>
    <w:rPr>
      <w:rFonts w:ascii="Times New Roman" w:eastAsiaTheme="minorHAnsi" w:hAnsi="Times New Roman" w:cs="Times New Roman"/>
      <w:szCs w:val="22"/>
      <w:lang w:val="de-DE" w:eastAsia="en-US"/>
      <w14:ligatures w14:val="standardContextual"/>
    </w:rPr>
  </w:style>
  <w:style w:type="paragraph" w:customStyle="1" w:styleId="Fichefinanciretitre">
    <w:name w:val="Fiche financière titre"/>
    <w:basedOn w:val="Normal"/>
    <w:next w:val="Normal"/>
    <w:rsid w:val="00A437C8"/>
    <w:pPr>
      <w:spacing w:before="120" w:after="120" w:line="240" w:lineRule="auto"/>
      <w:jc w:val="center"/>
    </w:pPr>
    <w:rPr>
      <w:rFonts w:ascii="Times New Roman" w:eastAsiaTheme="minorHAnsi" w:hAnsi="Times New Roman" w:cs="Times New Roman"/>
      <w:b/>
      <w:szCs w:val="22"/>
      <w:u w:val="single"/>
      <w:lang w:val="de-DE" w:eastAsia="en-US"/>
      <w14:ligatures w14:val="standardContextual"/>
    </w:rPr>
  </w:style>
  <w:style w:type="paragraph" w:customStyle="1" w:styleId="DatedadoptionPagedecouverture">
    <w:name w:val="Date d'adoption (Page de couverture)"/>
    <w:basedOn w:val="Datedadoption"/>
    <w:next w:val="IntrtEEEPagedecouverture"/>
    <w:rsid w:val="00A437C8"/>
  </w:style>
  <w:style w:type="paragraph" w:customStyle="1" w:styleId="RfrenceinterinstitutionnellePagedecouverture">
    <w:name w:val="Référence interinstitutionnelle (Page de couverture)"/>
    <w:basedOn w:val="Rfrenceinterinstitutionnelle"/>
    <w:next w:val="Confidentialit"/>
    <w:rsid w:val="00A437C8"/>
  </w:style>
  <w:style w:type="paragraph" w:customStyle="1" w:styleId="StatutPagedecouverture">
    <w:name w:val="Statut (Page de couverture)"/>
    <w:basedOn w:val="Statut"/>
    <w:next w:val="TypedudocumentPagedecouverture"/>
    <w:rsid w:val="00A437C8"/>
  </w:style>
  <w:style w:type="paragraph" w:customStyle="1" w:styleId="TypedudocumentPagedecouverture">
    <w:name w:val="Type du document (Page de couverture)"/>
    <w:basedOn w:val="Typedudocument"/>
    <w:next w:val="AccompagnantPagedecouverture"/>
    <w:rsid w:val="00A437C8"/>
  </w:style>
  <w:style w:type="paragraph" w:customStyle="1" w:styleId="Volume">
    <w:name w:val="Volume"/>
    <w:basedOn w:val="Normal"/>
    <w:next w:val="Confidentialit"/>
    <w:rsid w:val="00A437C8"/>
    <w:pPr>
      <w:spacing w:after="240" w:line="240" w:lineRule="auto"/>
      <w:ind w:left="5103"/>
    </w:pPr>
    <w:rPr>
      <w:rFonts w:ascii="Times New Roman" w:eastAsiaTheme="minorHAnsi" w:hAnsi="Times New Roman" w:cs="Times New Roman"/>
      <w:szCs w:val="22"/>
      <w:lang w:val="de-DE" w:eastAsia="en-US"/>
      <w14:ligatures w14:val="standardContextual"/>
    </w:rPr>
  </w:style>
  <w:style w:type="paragraph" w:customStyle="1" w:styleId="IntrtEEE">
    <w:name w:val="Intérêt EEE"/>
    <w:basedOn w:val="Languesfaisantfoi"/>
    <w:next w:val="Normal"/>
    <w:rsid w:val="00A437C8"/>
    <w:pPr>
      <w:spacing w:after="240"/>
    </w:pPr>
  </w:style>
  <w:style w:type="paragraph" w:customStyle="1" w:styleId="Accompagnant">
    <w:name w:val="Accompagnant"/>
    <w:basedOn w:val="Normal"/>
    <w:next w:val="Typeacteprincipal"/>
    <w:rsid w:val="00A437C8"/>
    <w:pPr>
      <w:spacing w:before="180" w:after="240" w:line="240" w:lineRule="auto"/>
      <w:jc w:val="center"/>
    </w:pPr>
    <w:rPr>
      <w:rFonts w:ascii="Times New Roman" w:eastAsiaTheme="minorHAnsi" w:hAnsi="Times New Roman" w:cs="Times New Roman"/>
      <w:b/>
      <w:szCs w:val="22"/>
      <w:lang w:val="de-DE" w:eastAsia="en-US"/>
      <w14:ligatures w14:val="standardContextual"/>
    </w:rPr>
  </w:style>
  <w:style w:type="paragraph" w:customStyle="1" w:styleId="Typeacteprincipal">
    <w:name w:val="Type acte principal"/>
    <w:basedOn w:val="Normal"/>
    <w:next w:val="Objetacteprincipal"/>
    <w:rsid w:val="00A437C8"/>
    <w:pPr>
      <w:spacing w:after="240" w:line="240" w:lineRule="auto"/>
      <w:jc w:val="center"/>
    </w:pPr>
    <w:rPr>
      <w:rFonts w:ascii="Times New Roman" w:eastAsiaTheme="minorHAnsi" w:hAnsi="Times New Roman" w:cs="Times New Roman"/>
      <w:b/>
      <w:szCs w:val="22"/>
      <w:lang w:val="de-DE" w:eastAsia="en-US"/>
      <w14:ligatures w14:val="standardContextual"/>
    </w:rPr>
  </w:style>
  <w:style w:type="paragraph" w:customStyle="1" w:styleId="Objetacteprincipal">
    <w:name w:val="Objet acte principal"/>
    <w:basedOn w:val="Normal"/>
    <w:next w:val="Titrearticle"/>
    <w:rsid w:val="00A437C8"/>
    <w:pPr>
      <w:spacing w:after="360" w:line="240" w:lineRule="auto"/>
      <w:jc w:val="center"/>
    </w:pPr>
    <w:rPr>
      <w:rFonts w:ascii="Times New Roman" w:eastAsiaTheme="minorHAnsi" w:hAnsi="Times New Roman" w:cs="Times New Roman"/>
      <w:b/>
      <w:szCs w:val="22"/>
      <w:lang w:val="de-DE" w:eastAsia="en-US"/>
      <w14:ligatures w14:val="standardContextual"/>
    </w:rPr>
  </w:style>
  <w:style w:type="paragraph" w:customStyle="1" w:styleId="IntrtEEEPagedecouverture">
    <w:name w:val="Intérêt EEE (Page de couverture)"/>
    <w:basedOn w:val="IntrtEEE"/>
    <w:next w:val="Rfrencecroise"/>
    <w:rsid w:val="00A437C8"/>
  </w:style>
  <w:style w:type="paragraph" w:customStyle="1" w:styleId="AccompagnantPagedecouverture">
    <w:name w:val="Accompagnant (Page de couverture)"/>
    <w:basedOn w:val="Accompagnant"/>
    <w:next w:val="TypeacteprincipalPagedecouverture"/>
    <w:rsid w:val="00A437C8"/>
  </w:style>
  <w:style w:type="paragraph" w:customStyle="1" w:styleId="TypeacteprincipalPagedecouverture">
    <w:name w:val="Type acte principal (Page de couverture)"/>
    <w:basedOn w:val="Typeacteprincipal"/>
    <w:next w:val="ObjetacteprincipalPagedecouverture"/>
    <w:rsid w:val="00A437C8"/>
  </w:style>
  <w:style w:type="paragraph" w:customStyle="1" w:styleId="ObjetacteprincipalPagedecouverture">
    <w:name w:val="Objet acte principal (Page de couverture)"/>
    <w:basedOn w:val="Objetacteprincipal"/>
    <w:next w:val="Rfrencecroise"/>
    <w:rsid w:val="00A437C8"/>
  </w:style>
  <w:style w:type="paragraph" w:customStyle="1" w:styleId="LanguesfaisantfoiPagedecouverture">
    <w:name w:val="Langues faisant foi (Page de couverture)"/>
    <w:basedOn w:val="Normal"/>
    <w:next w:val="Normal"/>
    <w:rsid w:val="00A437C8"/>
    <w:pPr>
      <w:spacing w:before="360" w:after="0" w:line="240" w:lineRule="auto"/>
      <w:jc w:val="center"/>
    </w:pPr>
    <w:rPr>
      <w:rFonts w:ascii="Times New Roman" w:eastAsiaTheme="minorHAnsi" w:hAnsi="Times New Roman" w:cs="Times New Roman"/>
      <w:szCs w:val="22"/>
      <w:lang w:val="de-DE" w:eastAsia="en-US"/>
      <w14:ligatures w14:val="standardContextual"/>
    </w:rPr>
  </w:style>
  <w:style w:type="character" w:styleId="FollowedHyperlink">
    <w:name w:val="FollowedHyperlink"/>
    <w:basedOn w:val="DefaultParagraphFont"/>
    <w:uiPriority w:val="99"/>
    <w:semiHidden/>
    <w:unhideWhenUsed/>
    <w:rsid w:val="00A437C8"/>
    <w:rPr>
      <w:color w:val="954F72"/>
      <w:u w:val="single"/>
    </w:rPr>
  </w:style>
  <w:style w:type="paragraph" w:customStyle="1" w:styleId="msonormal0">
    <w:name w:val="msonormal"/>
    <w:basedOn w:val="Normal"/>
    <w:rsid w:val="00A437C8"/>
    <w:pPr>
      <w:spacing w:before="100" w:beforeAutospacing="1" w:after="100" w:afterAutospacing="1" w:line="240" w:lineRule="auto"/>
    </w:pPr>
    <w:rPr>
      <w:rFonts w:ascii="Times New Roman" w:eastAsia="Times New Roman" w:hAnsi="Times New Roman" w:cs="Times New Roman"/>
      <w:lang w:val="de-DE" w:eastAsia="en-GB"/>
      <w14:ligatures w14:val="standardContextual"/>
    </w:rPr>
  </w:style>
  <w:style w:type="paragraph" w:customStyle="1" w:styleId="font5">
    <w:name w:val="font5"/>
    <w:basedOn w:val="Normal"/>
    <w:rsid w:val="00A437C8"/>
    <w:pPr>
      <w:spacing w:before="100" w:beforeAutospacing="1" w:after="100" w:afterAutospacing="1" w:line="240" w:lineRule="auto"/>
    </w:pPr>
    <w:rPr>
      <w:rFonts w:ascii="Calibri" w:eastAsia="Times New Roman" w:hAnsi="Calibri" w:cs="Calibri"/>
      <w:color w:val="006100"/>
      <w:sz w:val="22"/>
      <w:szCs w:val="22"/>
      <w:lang w:val="de-DE" w:eastAsia="en-GB"/>
      <w14:ligatures w14:val="standardContextual"/>
    </w:rPr>
  </w:style>
  <w:style w:type="paragraph" w:customStyle="1" w:styleId="font6">
    <w:name w:val="font6"/>
    <w:basedOn w:val="Normal"/>
    <w:rsid w:val="00A437C8"/>
    <w:pPr>
      <w:spacing w:before="100" w:beforeAutospacing="1" w:after="100" w:afterAutospacing="1" w:line="240" w:lineRule="auto"/>
    </w:pPr>
    <w:rPr>
      <w:rFonts w:ascii="Calibri" w:eastAsia="Times New Roman" w:hAnsi="Calibri" w:cs="Calibri"/>
      <w:b/>
      <w:bCs/>
      <w:color w:val="006100"/>
      <w:sz w:val="22"/>
      <w:szCs w:val="22"/>
      <w:lang w:val="de-DE" w:eastAsia="en-GB"/>
      <w14:ligatures w14:val="standardContextual"/>
    </w:rPr>
  </w:style>
  <w:style w:type="paragraph" w:customStyle="1" w:styleId="font7">
    <w:name w:val="font7"/>
    <w:basedOn w:val="Normal"/>
    <w:rsid w:val="00A437C8"/>
    <w:pPr>
      <w:spacing w:before="100" w:beforeAutospacing="1" w:after="100" w:afterAutospacing="1" w:line="240" w:lineRule="auto"/>
    </w:pPr>
    <w:rPr>
      <w:rFonts w:ascii="Tahoma" w:eastAsia="Times New Roman" w:hAnsi="Tahoma" w:cs="Tahoma"/>
      <w:b/>
      <w:bCs/>
      <w:color w:val="000000"/>
      <w:sz w:val="18"/>
      <w:szCs w:val="18"/>
      <w:lang w:val="de-DE" w:eastAsia="en-GB"/>
      <w14:ligatures w14:val="standardContextual"/>
    </w:rPr>
  </w:style>
  <w:style w:type="paragraph" w:customStyle="1" w:styleId="font8">
    <w:name w:val="font8"/>
    <w:basedOn w:val="Normal"/>
    <w:rsid w:val="00A437C8"/>
    <w:pPr>
      <w:spacing w:before="100" w:beforeAutospacing="1" w:after="100" w:afterAutospacing="1" w:line="240" w:lineRule="auto"/>
    </w:pPr>
    <w:rPr>
      <w:rFonts w:ascii="Tahoma" w:eastAsia="Times New Roman" w:hAnsi="Tahoma" w:cs="Tahoma"/>
      <w:color w:val="000000"/>
      <w:sz w:val="18"/>
      <w:szCs w:val="18"/>
      <w:lang w:val="de-DE" w:eastAsia="en-GB"/>
      <w14:ligatures w14:val="standardContextual"/>
    </w:rPr>
  </w:style>
  <w:style w:type="paragraph" w:customStyle="1" w:styleId="xl68">
    <w:name w:val="xl68"/>
    <w:basedOn w:val="Normal"/>
    <w:rsid w:val="00A437C8"/>
    <w:pPr>
      <w:spacing w:before="100" w:beforeAutospacing="1" w:after="100" w:afterAutospacing="1" w:line="240" w:lineRule="auto"/>
    </w:pPr>
    <w:rPr>
      <w:rFonts w:ascii="Times New Roman" w:eastAsia="Times New Roman" w:hAnsi="Times New Roman" w:cs="Times New Roman"/>
      <w:lang w:val="de-DE" w:eastAsia="en-GB"/>
      <w14:ligatures w14:val="standardContextual"/>
    </w:rPr>
  </w:style>
  <w:style w:type="paragraph" w:customStyle="1" w:styleId="xl69">
    <w:name w:val="xl69"/>
    <w:basedOn w:val="Normal"/>
    <w:rsid w:val="00A437C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lang w:val="de-DE" w:eastAsia="en-GB"/>
      <w14:ligatures w14:val="standardContextual"/>
    </w:rPr>
  </w:style>
  <w:style w:type="paragraph" w:customStyle="1" w:styleId="xl70">
    <w:name w:val="xl70"/>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val="de-DE" w:eastAsia="en-GB"/>
      <w14:ligatures w14:val="standardContextual"/>
    </w:rPr>
  </w:style>
  <w:style w:type="paragraph" w:customStyle="1" w:styleId="xl71">
    <w:name w:val="xl71"/>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val="de-DE" w:eastAsia="en-GB"/>
      <w14:ligatures w14:val="standardContextual"/>
    </w:rPr>
  </w:style>
  <w:style w:type="paragraph" w:customStyle="1" w:styleId="xl72">
    <w:name w:val="xl72"/>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val="de-DE" w:eastAsia="en-GB"/>
      <w14:ligatures w14:val="standardContextual"/>
    </w:rPr>
  </w:style>
  <w:style w:type="paragraph" w:customStyle="1" w:styleId="xl73">
    <w:name w:val="xl73"/>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lang w:val="de-DE" w:eastAsia="en-GB"/>
      <w14:ligatures w14:val="standardContextual"/>
    </w:rPr>
  </w:style>
  <w:style w:type="paragraph" w:customStyle="1" w:styleId="xl74">
    <w:name w:val="xl74"/>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lang w:val="de-DE" w:eastAsia="en-GB"/>
      <w14:ligatures w14:val="standardContextual"/>
    </w:rPr>
  </w:style>
  <w:style w:type="paragraph" w:customStyle="1" w:styleId="xl75">
    <w:name w:val="xl75"/>
    <w:basedOn w:val="Normal"/>
    <w:rsid w:val="00A437C8"/>
    <w:pPr>
      <w:spacing w:before="100" w:beforeAutospacing="1" w:after="100" w:afterAutospacing="1" w:line="240" w:lineRule="auto"/>
      <w:jc w:val="center"/>
      <w:textAlignment w:val="top"/>
    </w:pPr>
    <w:rPr>
      <w:rFonts w:ascii="Times New Roman" w:eastAsia="Times New Roman" w:hAnsi="Times New Roman" w:cs="Times New Roman"/>
      <w:lang w:val="de-DE" w:eastAsia="en-GB"/>
      <w14:ligatures w14:val="standardContextual"/>
    </w:rPr>
  </w:style>
  <w:style w:type="paragraph" w:customStyle="1" w:styleId="xl76">
    <w:name w:val="xl76"/>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val="de-DE" w:eastAsia="en-GB"/>
      <w14:ligatures w14:val="standardContextual"/>
    </w:rPr>
  </w:style>
  <w:style w:type="paragraph" w:customStyle="1" w:styleId="xl77">
    <w:name w:val="xl77"/>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3A3838"/>
      <w:lang w:val="de-DE" w:eastAsia="en-GB"/>
      <w14:ligatures w14:val="standardContextual"/>
    </w:rPr>
  </w:style>
  <w:style w:type="paragraph" w:customStyle="1" w:styleId="xl78">
    <w:name w:val="xl78"/>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val="de-DE" w:eastAsia="en-GB"/>
      <w14:ligatures w14:val="standardContextual"/>
    </w:rPr>
  </w:style>
  <w:style w:type="paragraph" w:customStyle="1" w:styleId="xl79">
    <w:name w:val="xl79"/>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val="de-DE" w:eastAsia="en-GB"/>
      <w14:ligatures w14:val="standardContextual"/>
    </w:rPr>
  </w:style>
  <w:style w:type="paragraph" w:customStyle="1" w:styleId="xl80">
    <w:name w:val="xl80"/>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3A3838"/>
      <w:lang w:val="de-DE" w:eastAsia="en-GB"/>
      <w14:ligatures w14:val="standardContextual"/>
    </w:rPr>
  </w:style>
  <w:style w:type="paragraph" w:customStyle="1" w:styleId="xl81">
    <w:name w:val="xl81"/>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val="de-DE" w:eastAsia="en-GB"/>
      <w14:ligatures w14:val="standardContextual"/>
    </w:rPr>
  </w:style>
  <w:style w:type="paragraph" w:customStyle="1" w:styleId="xl82">
    <w:name w:val="xl82"/>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val="de-DE" w:eastAsia="en-GB"/>
      <w14:ligatures w14:val="standardContextual"/>
    </w:rPr>
  </w:style>
  <w:style w:type="paragraph" w:customStyle="1" w:styleId="xl83">
    <w:name w:val="xl83"/>
    <w:basedOn w:val="Normal"/>
    <w:rsid w:val="00A437C8"/>
    <w:pPr>
      <w:pBdr>
        <w:top w:val="single" w:sz="8"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val="de-DE" w:eastAsia="en-GB"/>
      <w14:ligatures w14:val="standardContextual"/>
    </w:rPr>
  </w:style>
  <w:style w:type="paragraph" w:customStyle="1" w:styleId="xl84">
    <w:name w:val="xl84"/>
    <w:basedOn w:val="Normal"/>
    <w:rsid w:val="00A437C8"/>
    <w:pPr>
      <w:pBdr>
        <w:top w:val="single" w:sz="8"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lang w:val="de-DE" w:eastAsia="en-GB"/>
      <w14:ligatures w14:val="standardContextual"/>
    </w:rPr>
  </w:style>
  <w:style w:type="paragraph" w:customStyle="1" w:styleId="xl85">
    <w:name w:val="xl85"/>
    <w:basedOn w:val="Normal"/>
    <w:rsid w:val="00A437C8"/>
    <w:pPr>
      <w:pBdr>
        <w:top w:val="single" w:sz="4" w:space="0" w:color="auto"/>
        <w:left w:val="single" w:sz="4" w:space="0" w:color="auto"/>
        <w:bottom w:val="single" w:sz="8"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val="de-DE" w:eastAsia="en-GB"/>
      <w14:ligatures w14:val="standardContextual"/>
    </w:rPr>
  </w:style>
  <w:style w:type="paragraph" w:customStyle="1" w:styleId="xl86">
    <w:name w:val="xl86"/>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lang w:val="de-DE" w:eastAsia="en-GB"/>
      <w14:ligatures w14:val="standardContextual"/>
    </w:rPr>
  </w:style>
  <w:style w:type="paragraph" w:customStyle="1" w:styleId="xl87">
    <w:name w:val="xl87"/>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lang w:val="de-DE" w:eastAsia="en-GB"/>
      <w14:ligatures w14:val="standardContextual"/>
    </w:rPr>
  </w:style>
  <w:style w:type="paragraph" w:customStyle="1" w:styleId="xl88">
    <w:name w:val="xl88"/>
    <w:basedOn w:val="Normal"/>
    <w:rsid w:val="00A437C8"/>
    <w:pPr>
      <w:spacing w:before="100" w:beforeAutospacing="1" w:after="100" w:afterAutospacing="1" w:line="240" w:lineRule="auto"/>
      <w:jc w:val="center"/>
    </w:pPr>
    <w:rPr>
      <w:rFonts w:ascii="Times New Roman" w:eastAsia="Times New Roman" w:hAnsi="Times New Roman" w:cs="Times New Roman"/>
      <w:lang w:val="de-DE" w:eastAsia="en-GB"/>
      <w14:ligatures w14:val="standardContextual"/>
    </w:rPr>
  </w:style>
  <w:style w:type="paragraph" w:customStyle="1" w:styleId="xl89">
    <w:name w:val="xl89"/>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lang w:val="de-DE" w:eastAsia="en-GB"/>
      <w14:ligatures w14:val="standardContextual"/>
    </w:rPr>
  </w:style>
  <w:style w:type="paragraph" w:customStyle="1" w:styleId="xl90">
    <w:name w:val="xl90"/>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lang w:val="de-DE" w:eastAsia="en-GB"/>
      <w14:ligatures w14:val="standardContextual"/>
    </w:rPr>
  </w:style>
  <w:style w:type="paragraph" w:customStyle="1" w:styleId="xl91">
    <w:name w:val="xl91"/>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3A3838"/>
      <w:lang w:val="de-DE" w:eastAsia="en-GB"/>
      <w14:ligatures w14:val="standardContextual"/>
    </w:rPr>
  </w:style>
  <w:style w:type="paragraph" w:customStyle="1" w:styleId="xl92">
    <w:name w:val="xl92"/>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3A3838"/>
      <w:lang w:val="de-DE" w:eastAsia="en-GB"/>
      <w14:ligatures w14:val="standardContextual"/>
    </w:rPr>
  </w:style>
  <w:style w:type="paragraph" w:customStyle="1" w:styleId="xl93">
    <w:name w:val="xl93"/>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val="de-DE" w:eastAsia="en-GB"/>
      <w14:ligatures w14:val="standardContextual"/>
    </w:rPr>
  </w:style>
  <w:style w:type="paragraph" w:customStyle="1" w:styleId="xl94">
    <w:name w:val="xl94"/>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lang w:val="de-DE" w:eastAsia="en-GB"/>
      <w14:ligatures w14:val="standardContextual"/>
    </w:rPr>
  </w:style>
  <w:style w:type="paragraph" w:customStyle="1" w:styleId="xl95">
    <w:name w:val="xl95"/>
    <w:basedOn w:val="Normal"/>
    <w:rsid w:val="00A437C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lang w:val="de-DE" w:eastAsia="en-GB"/>
      <w14:ligatures w14:val="standardContextual"/>
    </w:rPr>
  </w:style>
  <w:style w:type="paragraph" w:customStyle="1" w:styleId="xl96">
    <w:name w:val="xl96"/>
    <w:basedOn w:val="Normal"/>
    <w:rsid w:val="00A437C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lang w:val="de-DE" w:eastAsia="en-GB"/>
      <w14:ligatures w14:val="standardContextual"/>
    </w:rPr>
  </w:style>
  <w:style w:type="paragraph" w:customStyle="1" w:styleId="xl97">
    <w:name w:val="xl97"/>
    <w:basedOn w:val="Normal"/>
    <w:rsid w:val="00A437C8"/>
    <w:pPr>
      <w:pBdr>
        <w:top w:val="single" w:sz="4" w:space="0" w:color="auto"/>
        <w:left w:val="single" w:sz="4" w:space="0" w:color="auto"/>
        <w:right w:val="single" w:sz="4" w:space="0" w:color="auto"/>
      </w:pBdr>
      <w:shd w:val="clear" w:color="000000" w:fill="BDD7EE"/>
      <w:spacing w:before="100" w:beforeAutospacing="1" w:after="100" w:afterAutospacing="1" w:line="240" w:lineRule="auto"/>
      <w:jc w:val="center"/>
      <w:textAlignment w:val="top"/>
    </w:pPr>
    <w:rPr>
      <w:rFonts w:ascii="Times New Roman" w:eastAsia="Times New Roman" w:hAnsi="Times New Roman" w:cs="Times New Roman"/>
      <w:b/>
      <w:bCs/>
      <w:lang w:val="de-DE" w:eastAsia="en-GB"/>
      <w14:ligatures w14:val="standardContextual"/>
    </w:rPr>
  </w:style>
  <w:style w:type="paragraph" w:customStyle="1" w:styleId="xl98">
    <w:name w:val="xl98"/>
    <w:basedOn w:val="Normal"/>
    <w:rsid w:val="00A437C8"/>
    <w:pPr>
      <w:pBdr>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top"/>
    </w:pPr>
    <w:rPr>
      <w:rFonts w:ascii="Times New Roman" w:eastAsia="Times New Roman" w:hAnsi="Times New Roman" w:cs="Times New Roman"/>
      <w:b/>
      <w:bCs/>
      <w:lang w:val="de-DE" w:eastAsia="en-GB"/>
      <w14:ligatures w14:val="standardContextual"/>
    </w:rPr>
  </w:style>
  <w:style w:type="paragraph" w:customStyle="1" w:styleId="xl99">
    <w:name w:val="xl99"/>
    <w:basedOn w:val="Normal"/>
    <w:rsid w:val="00A437C8"/>
    <w:pPr>
      <w:pBdr>
        <w:top w:val="single" w:sz="4" w:space="0" w:color="auto"/>
        <w:left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lang w:val="de-DE" w:eastAsia="en-GB"/>
      <w14:ligatures w14:val="standardContextual"/>
    </w:rPr>
  </w:style>
  <w:style w:type="paragraph" w:customStyle="1" w:styleId="xl100">
    <w:name w:val="xl100"/>
    <w:basedOn w:val="Normal"/>
    <w:rsid w:val="00A437C8"/>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lang w:val="de-DE" w:eastAsia="en-GB"/>
      <w14:ligatures w14:val="standardContextual"/>
    </w:rPr>
  </w:style>
  <w:style w:type="paragraph" w:customStyle="1" w:styleId="xl101">
    <w:name w:val="xl101"/>
    <w:basedOn w:val="Normal"/>
    <w:rsid w:val="00A437C8"/>
    <w:pPr>
      <w:pBdr>
        <w:top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lang w:val="de-DE" w:eastAsia="en-GB"/>
      <w14:ligatures w14:val="standardContextual"/>
    </w:rPr>
  </w:style>
  <w:style w:type="paragraph" w:customStyle="1" w:styleId="xl102">
    <w:name w:val="xl102"/>
    <w:basedOn w:val="Normal"/>
    <w:rsid w:val="00A437C8"/>
    <w:pPr>
      <w:pBdr>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lang w:val="de-DE" w:eastAsia="en-GB"/>
      <w14:ligatures w14:val="standardContextual"/>
    </w:rPr>
  </w:style>
  <w:style w:type="paragraph" w:customStyle="1" w:styleId="xl103">
    <w:name w:val="xl103"/>
    <w:basedOn w:val="Normal"/>
    <w:rsid w:val="00A437C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lang w:val="de-DE" w:eastAsia="en-GB"/>
      <w14:ligatures w14:val="standardContextual"/>
    </w:rPr>
  </w:style>
  <w:style w:type="paragraph" w:customStyle="1" w:styleId="ManualHeading">
    <w:name w:val="Manual Heading é"/>
    <w:basedOn w:val="Normal"/>
    <w:rsid w:val="00A437C8"/>
    <w:pPr>
      <w:keepNext/>
      <w:tabs>
        <w:tab w:val="left" w:pos="850"/>
      </w:tabs>
      <w:spacing w:before="360" w:after="120" w:line="240" w:lineRule="auto"/>
      <w:ind w:left="850" w:hanging="850"/>
      <w:jc w:val="both"/>
      <w:outlineLvl w:val="0"/>
    </w:pPr>
    <w:rPr>
      <w:rFonts w:ascii="Times New Roman" w:eastAsiaTheme="minorHAnsi" w:hAnsi="Times New Roman" w:cs="Times New Roman"/>
      <w:b/>
      <w:smallCaps/>
      <w:szCs w:val="22"/>
      <w:lang w:val="de-DE" w:eastAsia="en-US"/>
      <w14:ligatures w14:val="standardContextual"/>
    </w:rPr>
  </w:style>
  <w:style w:type="character" w:customStyle="1" w:styleId="findhit">
    <w:name w:val="findhit"/>
    <w:basedOn w:val="DefaultParagraphFont"/>
    <w:rsid w:val="00A437C8"/>
  </w:style>
  <w:style w:type="numbering" w:customStyle="1" w:styleId="NoList2">
    <w:name w:val="No List2"/>
    <w:next w:val="NoList"/>
    <w:uiPriority w:val="99"/>
    <w:semiHidden/>
    <w:unhideWhenUsed/>
    <w:rsid w:val="00A437C8"/>
  </w:style>
  <w:style w:type="paragraph" w:styleId="NormalWeb">
    <w:name w:val="Normal (Web)"/>
    <w:basedOn w:val="Normal"/>
    <w:uiPriority w:val="99"/>
    <w:unhideWhenUsed/>
    <w:rsid w:val="00A437C8"/>
    <w:pPr>
      <w:spacing w:before="100" w:beforeAutospacing="1" w:after="100" w:afterAutospacing="1" w:line="240" w:lineRule="auto"/>
    </w:pPr>
    <w:rPr>
      <w:rFonts w:ascii="Times New Roman" w:eastAsia="Times New Roman" w:hAnsi="Times New Roman" w:cs="Times New Roman"/>
      <w:lang w:val="de-DE" w:eastAsia="fr-BE"/>
      <w14:ligatures w14:val="standardContextual"/>
    </w:rPr>
  </w:style>
  <w:style w:type="paragraph" w:customStyle="1" w:styleId="paragraph">
    <w:name w:val="paragraph"/>
    <w:basedOn w:val="Normal"/>
    <w:rsid w:val="00A437C8"/>
    <w:pPr>
      <w:spacing w:before="100" w:beforeAutospacing="1" w:after="100" w:afterAutospacing="1" w:line="240" w:lineRule="auto"/>
    </w:pPr>
    <w:rPr>
      <w:rFonts w:ascii="Times New Roman" w:eastAsia="Calibri" w:hAnsi="Times New Roman" w:cs="Times New Roman"/>
      <w:lang w:val="de-DE" w:eastAsia="fr-BE"/>
      <w14:ligatures w14:val="standardContextual"/>
    </w:rPr>
  </w:style>
  <w:style w:type="paragraph" w:customStyle="1" w:styleId="Anonymauthor">
    <w:name w:val="Anonym author"/>
    <w:basedOn w:val="CommentText"/>
    <w:rsid w:val="00A437C8"/>
    <w:pPr>
      <w:spacing w:before="120" w:after="120"/>
      <w:jc w:val="both"/>
    </w:pPr>
    <w:rPr>
      <w:rFonts w:ascii="Times New Roman" w:eastAsiaTheme="minorHAnsi" w:hAnsi="Times New Roman" w:cs="Times New Roman"/>
      <w:lang w:eastAsia="en-US"/>
    </w:rPr>
  </w:style>
  <w:style w:type="paragraph" w:customStyle="1" w:styleId="P68B1DB1-Normal3">
    <w:name w:val="P68B1DB1-Normal3"/>
    <w:basedOn w:val="Normal"/>
    <w:uiPriority w:val="99"/>
    <w:rsid w:val="00A437C8"/>
    <w:pPr>
      <w:spacing w:line="256" w:lineRule="auto"/>
    </w:pPr>
    <w:rPr>
      <w:rFonts w:ascii="Arial" w:eastAsiaTheme="minorHAnsi" w:hAnsi="Arial" w:cs="Arial"/>
      <w:szCs w:val="20"/>
      <w:lang w:val="de-DE" w:eastAsia="en-IE"/>
      <w14:ligatures w14:val="standardContextual"/>
    </w:rPr>
  </w:style>
  <w:style w:type="character" w:customStyle="1" w:styleId="viiyi">
    <w:name w:val="viiyi"/>
    <w:basedOn w:val="DefaultParagraphFont"/>
    <w:rsid w:val="00A437C8"/>
  </w:style>
  <w:style w:type="character" w:customStyle="1" w:styleId="jlqj4b">
    <w:name w:val="jlqj4b"/>
    <w:basedOn w:val="DefaultParagraphFont"/>
    <w:rsid w:val="00A437C8"/>
  </w:style>
  <w:style w:type="paragraph" w:customStyle="1" w:styleId="P68B1DB1-Normal10">
    <w:name w:val="P68B1DB1-Normal10"/>
    <w:basedOn w:val="Normal"/>
    <w:rsid w:val="00A437C8"/>
    <w:pPr>
      <w:spacing w:line="259" w:lineRule="auto"/>
    </w:pPr>
    <w:rPr>
      <w:rFonts w:ascii="Arial" w:eastAsiaTheme="minorHAnsi" w:hAnsi="Arial" w:cs="Arial"/>
      <w:i/>
      <w:szCs w:val="20"/>
      <w:lang w:val="de-DE" w:eastAsia="en-US"/>
      <w14:ligatures w14:val="standardContextual"/>
    </w:rPr>
  </w:style>
  <w:style w:type="paragraph" w:styleId="HTMLPreformatted">
    <w:name w:val="HTML Preformatted"/>
    <w:basedOn w:val="Normal"/>
    <w:link w:val="HTMLPreformattedChar"/>
    <w:uiPriority w:val="99"/>
    <w:unhideWhenUsed/>
    <w:rsid w:val="00A4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de-DE" w:eastAsia="en-US"/>
      <w14:ligatures w14:val="standardContextual"/>
    </w:rPr>
  </w:style>
  <w:style w:type="character" w:customStyle="1" w:styleId="HTMLPreformattedChar">
    <w:name w:val="HTML Preformatted Char"/>
    <w:basedOn w:val="DefaultParagraphFont"/>
    <w:link w:val="HTMLPreformatted"/>
    <w:uiPriority w:val="99"/>
    <w:rsid w:val="00A437C8"/>
    <w:rPr>
      <w:rFonts w:ascii="Courier New" w:eastAsia="Times New Roman" w:hAnsi="Courier New" w:cs="Courier New"/>
      <w:sz w:val="20"/>
      <w:szCs w:val="20"/>
      <w:lang w:val="de-DE" w:eastAsia="en-US"/>
      <w14:ligatures w14:val="standardContextual"/>
    </w:rPr>
  </w:style>
  <w:style w:type="character" w:customStyle="1" w:styleId="y2iqfc">
    <w:name w:val="y2iqfc"/>
    <w:basedOn w:val="DefaultParagraphFont"/>
    <w:rsid w:val="00A437C8"/>
  </w:style>
  <w:style w:type="character" w:customStyle="1" w:styleId="eop">
    <w:name w:val="eop"/>
    <w:basedOn w:val="DefaultParagraphFont"/>
    <w:rsid w:val="00A437C8"/>
  </w:style>
  <w:style w:type="paragraph" w:customStyle="1" w:styleId="P68B1DB1-Normal15">
    <w:name w:val="P68B1DB1-Normal15"/>
    <w:basedOn w:val="Normal"/>
    <w:rsid w:val="00A437C8"/>
    <w:pPr>
      <w:spacing w:before="120" w:after="120" w:line="240" w:lineRule="auto"/>
      <w:jc w:val="both"/>
    </w:pPr>
    <w:rPr>
      <w:rFonts w:ascii="Times New Roman" w:eastAsiaTheme="minorHAnsi" w:hAnsi="Times New Roman" w:cs="Times New Roman"/>
      <w:sz w:val="18"/>
      <w:szCs w:val="20"/>
      <w:highlight w:val="yellow"/>
      <w:lang w:val="de-DE" w:eastAsia="en-GB"/>
      <w14:ligatures w14:val="standardContextual"/>
    </w:rPr>
  </w:style>
  <w:style w:type="character" w:styleId="Emphasis">
    <w:name w:val="Emphasis"/>
    <w:basedOn w:val="DefaultParagraphFont"/>
    <w:uiPriority w:val="20"/>
    <w:qFormat/>
    <w:rsid w:val="00A437C8"/>
    <w:rPr>
      <w:i/>
      <w:iCs/>
    </w:rPr>
  </w:style>
  <w:style w:type="character" w:customStyle="1" w:styleId="apple-converted-space">
    <w:name w:val="apple-converted-space"/>
    <w:basedOn w:val="DefaultParagraphFont"/>
    <w:rsid w:val="00A437C8"/>
  </w:style>
  <w:style w:type="character" w:customStyle="1" w:styleId="Bodytext2">
    <w:name w:val="Body text|2"/>
    <w:basedOn w:val="DefaultParagraphFont"/>
    <w:semiHidden/>
    <w:rsid w:val="00A437C8"/>
    <w:rPr>
      <w:rFonts w:ascii="Arial" w:eastAsia="Arial" w:hAnsi="Arial" w:cs="Arial" w:hint="default"/>
      <w:b w:val="0"/>
      <w:bCs w:val="0"/>
      <w:i w:val="0"/>
      <w:iCs w:val="0"/>
      <w:smallCaps w:val="0"/>
      <w:strike w:val="0"/>
      <w:dstrike w:val="0"/>
      <w:color w:val="000000"/>
      <w:position w:val="0"/>
      <w:sz w:val="16"/>
      <w:u w:val="none"/>
      <w:effect w:val="none"/>
    </w:rPr>
  </w:style>
  <w:style w:type="character" w:customStyle="1" w:styleId="spellingerror">
    <w:name w:val="spellingerror"/>
    <w:basedOn w:val="DefaultParagraphFont"/>
    <w:rsid w:val="00A437C8"/>
  </w:style>
  <w:style w:type="character" w:customStyle="1" w:styleId="UnresolvedMention1">
    <w:name w:val="Unresolved Mention1"/>
    <w:basedOn w:val="DefaultParagraphFont"/>
    <w:uiPriority w:val="99"/>
    <w:semiHidden/>
    <w:unhideWhenUsed/>
    <w:rsid w:val="00A437C8"/>
    <w:rPr>
      <w:color w:val="605E5C"/>
      <w:shd w:val="clear" w:color="auto" w:fill="E1DFDD"/>
    </w:rPr>
  </w:style>
  <w:style w:type="paragraph" w:customStyle="1" w:styleId="P68B1DB1-Normal6">
    <w:name w:val="P68B1DB1-Normal6"/>
    <w:basedOn w:val="Normal"/>
    <w:uiPriority w:val="1"/>
    <w:rsid w:val="00A437C8"/>
    <w:pPr>
      <w:spacing w:line="259" w:lineRule="auto"/>
    </w:pPr>
    <w:rPr>
      <w:rFonts w:ascii="Times New Roman" w:eastAsia="Times New Roman" w:hAnsi="Times New Roman" w:cs="Times New Roman"/>
      <w:szCs w:val="20"/>
      <w:lang w:val="de-DE" w:eastAsia="en-IE"/>
      <w14:ligatures w14:val="standardContextual"/>
    </w:rPr>
  </w:style>
  <w:style w:type="paragraph" w:customStyle="1" w:styleId="P68B1DB1-ListParagraph12">
    <w:name w:val="P68B1DB1-ListParagraph12"/>
    <w:basedOn w:val="ListParagraph"/>
    <w:rsid w:val="00A437C8"/>
    <w:rPr>
      <w:rFonts w:ascii="Times New Roman" w:eastAsia="Times New Roman" w:hAnsi="Times New Roman" w:cs="Times New Roman"/>
      <w:kern w:val="0"/>
      <w:szCs w:val="20"/>
      <w:lang w:val="de-DE" w:eastAsia="en-IE"/>
    </w:rPr>
  </w:style>
  <w:style w:type="paragraph" w:customStyle="1" w:styleId="P68B1DB1-Normal2">
    <w:name w:val="P68B1DB1-Normal2"/>
    <w:basedOn w:val="Normal"/>
    <w:rsid w:val="00A437C8"/>
    <w:pPr>
      <w:spacing w:line="259" w:lineRule="auto"/>
    </w:pPr>
    <w:rPr>
      <w:rFonts w:ascii="Times New Roman" w:eastAsia="Calibri" w:hAnsi="Times New Roman" w:cs="Times New Roman"/>
      <w:sz w:val="22"/>
      <w:szCs w:val="20"/>
      <w:lang w:val="de-DE" w:eastAsia="en-IE"/>
      <w14:ligatures w14:val="standardContextual"/>
    </w:rPr>
  </w:style>
  <w:style w:type="character" w:customStyle="1" w:styleId="ListLabel1791text">
    <w:name w:val="ListLabel 1791_text"/>
    <w:qFormat/>
    <w:rsid w:val="00A437C8"/>
    <w:rPr>
      <w:rFonts w:ascii="Times New Roman" w:hAnsi="Times New Roman"/>
      <w:sz w:val="24"/>
    </w:rPr>
  </w:style>
  <w:style w:type="table" w:styleId="TableGrid">
    <w:name w:val="Table Grid"/>
    <w:basedOn w:val="TableNormal"/>
    <w:uiPriority w:val="59"/>
    <w:rsid w:val="00A437C8"/>
    <w:pPr>
      <w:spacing w:after="0" w:line="240" w:lineRule="auto"/>
    </w:pPr>
    <w:rPr>
      <w:rFonts w:eastAsiaTheme="minorHAnsi"/>
      <w:sz w:val="22"/>
      <w:szCs w:val="22"/>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ducationalResources">
    <w:name w:val="Educational Resources"/>
    <w:basedOn w:val="Normal"/>
    <w:rsid w:val="00A437C8"/>
    <w:pPr>
      <w:spacing w:after="0" w:line="276" w:lineRule="auto"/>
    </w:pPr>
    <w:rPr>
      <w:rFonts w:eastAsiaTheme="minorHAnsi"/>
      <w:color w:val="000000"/>
      <w:sz w:val="22"/>
      <w:szCs w:val="22"/>
      <w:lang w:val="de-DE" w:eastAsia="en-US"/>
      <w14:ligatures w14:val="standardContextual"/>
    </w:rPr>
  </w:style>
  <w:style w:type="paragraph" w:customStyle="1" w:styleId="EntText">
    <w:name w:val="EntText"/>
    <w:basedOn w:val="Normal"/>
    <w:rsid w:val="00A437C8"/>
    <w:pPr>
      <w:spacing w:before="120" w:after="120" w:line="360" w:lineRule="auto"/>
    </w:pPr>
    <w:rPr>
      <w:rFonts w:ascii="Times New Roman" w:eastAsiaTheme="minorHAnsi" w:hAnsi="Times New Roman" w:cs="Times New Roman"/>
      <w:szCs w:val="22"/>
      <w:lang w:val="de-DE" w:eastAsia="en-US"/>
      <w14:ligatures w14:val="standardContextual"/>
    </w:rPr>
  </w:style>
  <w:style w:type="paragraph" w:customStyle="1" w:styleId="nbbordered">
    <w:name w:val="nb bordered"/>
    <w:basedOn w:val="Normal"/>
    <w:link w:val="nbborderedChar"/>
    <w:rsid w:val="00A437C8"/>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eastAsiaTheme="minorHAnsi" w:hAnsi="Times New Roman" w:cs="Times New Roman"/>
      <w:b/>
      <w:sz w:val="22"/>
      <w:szCs w:val="22"/>
      <w:lang w:val="de-DE" w:eastAsia="en-IE"/>
      <w14:ligatures w14:val="standardContextual"/>
    </w:rPr>
  </w:style>
  <w:style w:type="character" w:customStyle="1" w:styleId="nbborderedChar">
    <w:name w:val="nb bordered Char"/>
    <w:basedOn w:val="TechnicalBlockChar"/>
    <w:link w:val="nbbordered"/>
    <w:rsid w:val="00A437C8"/>
    <w:rPr>
      <w:rFonts w:ascii="Times New Roman" w:eastAsiaTheme="minorHAnsi" w:hAnsi="Times New Roman" w:cs="Times New Roman"/>
      <w:b/>
      <w:sz w:val="22"/>
      <w:szCs w:val="22"/>
      <w:lang w:val="de-DE" w:eastAsia="en-IE"/>
      <w14:ligatures w14:val="standardContextual"/>
    </w:rPr>
  </w:style>
  <w:style w:type="character" w:styleId="PlaceholderText">
    <w:name w:val="Placeholder Text"/>
    <w:basedOn w:val="DefaultParagraphFont"/>
    <w:uiPriority w:val="99"/>
    <w:semiHidden/>
    <w:rsid w:val="00A437C8"/>
    <w:rPr>
      <w:color w:val="808080"/>
    </w:rPr>
  </w:style>
  <w:style w:type="character" w:customStyle="1" w:styleId="UnresolvedMention2">
    <w:name w:val="Unresolved Mention2"/>
    <w:basedOn w:val="DefaultParagraphFont"/>
    <w:uiPriority w:val="99"/>
    <w:semiHidden/>
    <w:unhideWhenUsed/>
    <w:rsid w:val="00A437C8"/>
    <w:rPr>
      <w:color w:val="605E5C"/>
      <w:shd w:val="clear" w:color="auto" w:fill="E1DFDD"/>
    </w:rPr>
  </w:style>
  <w:style w:type="character" w:customStyle="1" w:styleId="Mention10">
    <w:name w:val="Mention10"/>
    <w:basedOn w:val="DefaultParagraphFont"/>
    <w:uiPriority w:val="99"/>
    <w:unhideWhenUsed/>
    <w:rsid w:val="00A437C8"/>
    <w:rPr>
      <w:color w:val="2B579A"/>
      <w:shd w:val="clear" w:color="auto" w:fill="E6E6E6"/>
    </w:rPr>
  </w:style>
  <w:style w:type="paragraph" w:customStyle="1" w:styleId="P68B1DB1-Normal8">
    <w:name w:val="P68B1DB1-Normal8"/>
    <w:basedOn w:val="Normal"/>
    <w:rsid w:val="00A437C8"/>
    <w:pPr>
      <w:spacing w:after="0" w:line="240" w:lineRule="auto"/>
    </w:pPr>
    <w:rPr>
      <w:rFonts w:ascii="Trebuchet MS" w:eastAsia="Trebuchet MS" w:hAnsi="Trebuchet MS" w:cs="Trebuchet MS"/>
      <w:kern w:val="2"/>
      <w:sz w:val="22"/>
      <w:szCs w:val="20"/>
      <w:lang w:val="de-DE" w:eastAsia="en-US"/>
      <w14:ligatures w14:val="standardContextual"/>
    </w:rPr>
  </w:style>
  <w:style w:type="paragraph" w:customStyle="1" w:styleId="P68B1DB1-Normal9">
    <w:name w:val="P68B1DB1-Normal9"/>
    <w:basedOn w:val="Normal"/>
    <w:rsid w:val="00A437C8"/>
    <w:pPr>
      <w:spacing w:after="0" w:line="240" w:lineRule="auto"/>
    </w:pPr>
    <w:rPr>
      <w:rFonts w:ascii="Trebuchet MS" w:eastAsia="Times New Roman" w:hAnsi="Trebuchet MS" w:cs="Times New Roman"/>
      <w:kern w:val="2"/>
      <w:sz w:val="22"/>
      <w:szCs w:val="20"/>
      <w:lang w:val="de-DE" w:eastAsia="en-US"/>
      <w14:ligatures w14:val="standardContextual"/>
    </w:rPr>
  </w:style>
  <w:style w:type="paragraph" w:customStyle="1" w:styleId="P68B1DB1-Normal7">
    <w:name w:val="P68B1DB1-Normal7"/>
    <w:basedOn w:val="Normal"/>
    <w:uiPriority w:val="1"/>
    <w:rsid w:val="00A437C8"/>
    <w:pPr>
      <w:spacing w:line="259" w:lineRule="auto"/>
    </w:pPr>
    <w:rPr>
      <w:rFonts w:ascii="Trebuchet MS" w:eastAsia="Times New Roman" w:hAnsi="Trebuchet MS" w:cs="Times New Roman"/>
      <w:b/>
      <w:bCs/>
      <w:color w:val="000000" w:themeColor="text1"/>
      <w:lang w:val="de-DE" w:eastAsia="en-US"/>
      <w14:ligatures w14:val="standardContextual"/>
    </w:rPr>
  </w:style>
  <w:style w:type="paragraph" w:customStyle="1" w:styleId="P68B1DB1-Normal11">
    <w:name w:val="P68B1DB1-Normal11"/>
    <w:basedOn w:val="Normal"/>
    <w:uiPriority w:val="1"/>
    <w:rsid w:val="00A437C8"/>
    <w:pPr>
      <w:spacing w:line="259" w:lineRule="auto"/>
    </w:pPr>
    <w:rPr>
      <w:rFonts w:ascii="Trebuchet MS" w:eastAsia="Calibri" w:hAnsi="Trebuchet MS" w:cs="Times New Roman"/>
      <w:color w:val="000000" w:themeColor="text1"/>
      <w:sz w:val="20"/>
      <w:szCs w:val="20"/>
      <w:lang w:val="de-DE" w:eastAsia="en-US"/>
      <w14:ligatures w14:val="standardContextual"/>
    </w:rPr>
  </w:style>
  <w:style w:type="character" w:customStyle="1" w:styleId="UnresolvedMention10">
    <w:name w:val="Unresolved Mention10"/>
    <w:basedOn w:val="DefaultParagraphFont"/>
    <w:uiPriority w:val="99"/>
    <w:semiHidden/>
    <w:unhideWhenUsed/>
    <w:rsid w:val="00A437C8"/>
    <w:rPr>
      <w:color w:val="605E5C"/>
      <w:shd w:val="clear" w:color="auto" w:fill="E1DFDD"/>
    </w:rPr>
  </w:style>
  <w:style w:type="character" w:customStyle="1" w:styleId="UnresolvedMention100">
    <w:name w:val="Unresolved Mention100"/>
    <w:basedOn w:val="DefaultParagraphFont"/>
    <w:uiPriority w:val="99"/>
    <w:semiHidden/>
    <w:unhideWhenUsed/>
    <w:rsid w:val="00A437C8"/>
    <w:rPr>
      <w:color w:val="605E5C"/>
      <w:shd w:val="clear" w:color="auto" w:fill="E1DFDD"/>
    </w:rPr>
  </w:style>
  <w:style w:type="character" w:customStyle="1" w:styleId="UnresolvedMention1000">
    <w:name w:val="Unresolved Mention1000"/>
    <w:basedOn w:val="DefaultParagraphFont"/>
    <w:uiPriority w:val="99"/>
    <w:semiHidden/>
    <w:unhideWhenUsed/>
    <w:rsid w:val="00A437C8"/>
    <w:rPr>
      <w:color w:val="605E5C"/>
      <w:shd w:val="clear" w:color="auto" w:fill="E1DFDD"/>
    </w:rPr>
  </w:style>
  <w:style w:type="character" w:customStyle="1" w:styleId="UnresolvedMention3">
    <w:name w:val="Unresolved Mention3"/>
    <w:basedOn w:val="DefaultParagraphFont"/>
    <w:uiPriority w:val="99"/>
    <w:semiHidden/>
    <w:unhideWhenUsed/>
    <w:rsid w:val="00A437C8"/>
    <w:rPr>
      <w:color w:val="605E5C"/>
      <w:shd w:val="clear" w:color="auto" w:fill="E1DFDD"/>
    </w:rPr>
  </w:style>
  <w:style w:type="character" w:customStyle="1" w:styleId="Mention2">
    <w:name w:val="Mention2"/>
    <w:basedOn w:val="DefaultParagraphFont"/>
    <w:uiPriority w:val="99"/>
    <w:unhideWhenUsed/>
    <w:rsid w:val="00A437C8"/>
    <w:rPr>
      <w:color w:val="2B579A"/>
      <w:shd w:val="clear" w:color="auto" w:fill="E1DFDD"/>
    </w:rPr>
  </w:style>
  <w:style w:type="character" w:customStyle="1" w:styleId="Mention100">
    <w:name w:val="Mention100"/>
    <w:basedOn w:val="DefaultParagraphFont"/>
    <w:uiPriority w:val="99"/>
    <w:unhideWhenUsed/>
    <w:rsid w:val="00A437C8"/>
    <w:rPr>
      <w:color w:val="2B579A"/>
      <w:shd w:val="clear" w:color="auto" w:fill="E6E6E6"/>
    </w:rPr>
  </w:style>
  <w:style w:type="character" w:customStyle="1" w:styleId="Mention1000">
    <w:name w:val="Mention1000"/>
    <w:basedOn w:val="DefaultParagraphFont"/>
    <w:uiPriority w:val="99"/>
    <w:unhideWhenUsed/>
    <w:rsid w:val="00A437C8"/>
    <w:rPr>
      <w:color w:val="2B579A"/>
      <w:shd w:val="clear" w:color="auto" w:fill="E6E6E6"/>
    </w:rPr>
  </w:style>
  <w:style w:type="character" w:customStyle="1" w:styleId="Mention10000">
    <w:name w:val="Mention10000"/>
    <w:basedOn w:val="DefaultParagraphFont"/>
    <w:uiPriority w:val="99"/>
    <w:unhideWhenUsed/>
    <w:rsid w:val="00A437C8"/>
    <w:rPr>
      <w:color w:val="2B579A"/>
      <w:shd w:val="clear" w:color="auto" w:fill="E6E6E6"/>
    </w:rPr>
  </w:style>
  <w:style w:type="character" w:customStyle="1" w:styleId="CommentTextChar1">
    <w:name w:val="Comment Text Char1"/>
    <w:basedOn w:val="DefaultParagraphFont"/>
    <w:uiPriority w:val="99"/>
    <w:semiHidden/>
    <w:rsid w:val="00A437C8"/>
    <w:rPr>
      <w:sz w:val="20"/>
      <w:szCs w:val="20"/>
    </w:rPr>
  </w:style>
  <w:style w:type="paragraph" w:customStyle="1" w:styleId="P68B1DB1-Normal47">
    <w:name w:val="P68B1DB1-Normal47"/>
    <w:basedOn w:val="Normal"/>
    <w:uiPriority w:val="1"/>
    <w:rsid w:val="00A437C8"/>
    <w:pPr>
      <w:spacing w:line="259" w:lineRule="auto"/>
    </w:pPr>
    <w:rPr>
      <w:sz w:val="20"/>
      <w:szCs w:val="20"/>
      <w:lang w:val="de-DE" w:eastAsia="en-IE"/>
      <w14:ligatures w14:val="standardContextual"/>
    </w:rPr>
  </w:style>
  <w:style w:type="paragraph" w:styleId="PlainText">
    <w:name w:val="Plain Text"/>
    <w:basedOn w:val="Normal"/>
    <w:link w:val="PlainTextChar"/>
    <w:uiPriority w:val="99"/>
    <w:semiHidden/>
    <w:unhideWhenUsed/>
    <w:rsid w:val="00A437C8"/>
    <w:pPr>
      <w:spacing w:after="0" w:line="240" w:lineRule="auto"/>
    </w:pPr>
    <w:rPr>
      <w:rFonts w:ascii="Calibri" w:eastAsia="Times New Roman" w:hAnsi="Calibri" w:cs="Calibri"/>
      <w:sz w:val="22"/>
      <w:szCs w:val="22"/>
      <w:lang w:eastAsia="en-US"/>
      <w14:ligatures w14:val="standardContextual"/>
    </w:rPr>
  </w:style>
  <w:style w:type="character" w:customStyle="1" w:styleId="PlainTextChar">
    <w:name w:val="Plain Text Char"/>
    <w:basedOn w:val="DefaultParagraphFont"/>
    <w:link w:val="PlainText"/>
    <w:uiPriority w:val="99"/>
    <w:semiHidden/>
    <w:rsid w:val="00A437C8"/>
    <w:rPr>
      <w:rFonts w:ascii="Calibri" w:eastAsia="Times New Roman" w:hAnsi="Calibri" w:cs="Calibri"/>
      <w:sz w:val="22"/>
      <w:szCs w:val="22"/>
      <w:lang w:eastAsia="en-US"/>
      <w14:ligatures w14:val="standardContextual"/>
    </w:rPr>
  </w:style>
  <w:style w:type="character" w:customStyle="1" w:styleId="Mention100000">
    <w:name w:val="Mention100000"/>
    <w:basedOn w:val="DefaultParagraphFont"/>
    <w:uiPriority w:val="99"/>
    <w:unhideWhenUsed/>
    <w:rsid w:val="00A437C8"/>
    <w:rPr>
      <w:color w:val="2B579A"/>
      <w:shd w:val="clear" w:color="auto" w:fill="E6E6E6"/>
    </w:rPr>
  </w:style>
  <w:style w:type="character" w:customStyle="1" w:styleId="Mention1000000">
    <w:name w:val="Mention1000000"/>
    <w:basedOn w:val="DefaultParagraphFont"/>
    <w:uiPriority w:val="99"/>
    <w:unhideWhenUsed/>
    <w:rsid w:val="00A437C8"/>
    <w:rPr>
      <w:color w:val="2B579A"/>
      <w:shd w:val="clear" w:color="auto" w:fill="E6E6E6"/>
    </w:rPr>
  </w:style>
  <w:style w:type="character" w:customStyle="1" w:styleId="Mention10000000">
    <w:name w:val="Mention10000000"/>
    <w:basedOn w:val="DefaultParagraphFont"/>
    <w:uiPriority w:val="99"/>
    <w:unhideWhenUsed/>
    <w:rsid w:val="00A437C8"/>
    <w:rPr>
      <w:color w:val="2B579A"/>
      <w:shd w:val="clear" w:color="auto" w:fill="E6E6E6"/>
    </w:rPr>
  </w:style>
  <w:style w:type="character" w:customStyle="1" w:styleId="Mention100000000">
    <w:name w:val="Mention100000000"/>
    <w:basedOn w:val="DefaultParagraphFont"/>
    <w:uiPriority w:val="99"/>
    <w:unhideWhenUsed/>
    <w:rsid w:val="00A437C8"/>
    <w:rPr>
      <w:color w:val="2B579A"/>
      <w:shd w:val="clear" w:color="auto" w:fill="E6E6E6"/>
    </w:rPr>
  </w:style>
  <w:style w:type="character" w:customStyle="1" w:styleId="Mention1000000000">
    <w:name w:val="Mention1000000000"/>
    <w:basedOn w:val="DefaultParagraphFont"/>
    <w:uiPriority w:val="99"/>
    <w:unhideWhenUsed/>
    <w:rsid w:val="00A437C8"/>
    <w:rPr>
      <w:color w:val="2B579A"/>
      <w:shd w:val="clear" w:color="auto" w:fill="E6E6E6"/>
    </w:rPr>
  </w:style>
  <w:style w:type="character" w:customStyle="1" w:styleId="Mention10000000000">
    <w:name w:val="Mention10000000000"/>
    <w:basedOn w:val="DefaultParagraphFont"/>
    <w:uiPriority w:val="99"/>
    <w:unhideWhenUsed/>
    <w:rsid w:val="00A437C8"/>
    <w:rPr>
      <w:color w:val="2B579A"/>
      <w:shd w:val="clear" w:color="auto" w:fill="E6E6E6"/>
    </w:rPr>
  </w:style>
  <w:style w:type="character" w:customStyle="1" w:styleId="Mention100000000000">
    <w:name w:val="Mention100000000000"/>
    <w:basedOn w:val="DefaultParagraphFont"/>
    <w:uiPriority w:val="99"/>
    <w:unhideWhenUsed/>
    <w:rsid w:val="00A437C8"/>
    <w:rPr>
      <w:color w:val="2B579A"/>
      <w:shd w:val="clear" w:color="auto" w:fill="E6E6E6"/>
    </w:rPr>
  </w:style>
  <w:style w:type="character" w:customStyle="1" w:styleId="Mention1000000000000">
    <w:name w:val="Mention1000000000000"/>
    <w:basedOn w:val="DefaultParagraphFont"/>
    <w:uiPriority w:val="99"/>
    <w:unhideWhenUsed/>
    <w:rsid w:val="00A437C8"/>
    <w:rPr>
      <w:color w:val="2B579A"/>
      <w:shd w:val="clear" w:color="auto" w:fill="E6E6E6"/>
    </w:rPr>
  </w:style>
  <w:style w:type="character" w:customStyle="1" w:styleId="Mention10000000000000">
    <w:name w:val="Mention10000000000000"/>
    <w:basedOn w:val="DefaultParagraphFont"/>
    <w:uiPriority w:val="99"/>
    <w:unhideWhenUsed/>
    <w:rsid w:val="00A437C8"/>
    <w:rPr>
      <w:color w:val="2B579A"/>
      <w:shd w:val="clear" w:color="auto" w:fill="E6E6E6"/>
    </w:rPr>
  </w:style>
  <w:style w:type="character" w:customStyle="1" w:styleId="Mention100000000000000">
    <w:name w:val="Mention100000000000000"/>
    <w:basedOn w:val="DefaultParagraphFont"/>
    <w:uiPriority w:val="99"/>
    <w:unhideWhenUsed/>
    <w:rsid w:val="00A437C8"/>
    <w:rPr>
      <w:color w:val="2B579A"/>
      <w:shd w:val="clear" w:color="auto" w:fill="E6E6E6"/>
    </w:rPr>
  </w:style>
  <w:style w:type="character" w:customStyle="1" w:styleId="Mention1000000000000000">
    <w:name w:val="Mention1000000000000000"/>
    <w:basedOn w:val="DefaultParagraphFont"/>
    <w:uiPriority w:val="99"/>
    <w:unhideWhenUsed/>
    <w:rsid w:val="00A437C8"/>
    <w:rPr>
      <w:color w:val="2B579A"/>
      <w:shd w:val="clear" w:color="auto" w:fill="E6E6E6"/>
    </w:rPr>
  </w:style>
  <w:style w:type="character" w:customStyle="1" w:styleId="Mention10000000000000000">
    <w:name w:val="Mention10000000000000000"/>
    <w:basedOn w:val="DefaultParagraphFont"/>
    <w:uiPriority w:val="99"/>
    <w:unhideWhenUsed/>
    <w:rsid w:val="00A437C8"/>
    <w:rPr>
      <w:color w:val="2B579A"/>
      <w:shd w:val="clear" w:color="auto" w:fill="E6E6E6"/>
    </w:rPr>
  </w:style>
  <w:style w:type="character" w:customStyle="1" w:styleId="Mention100000000000000000">
    <w:name w:val="Mention100000000000000000"/>
    <w:basedOn w:val="DefaultParagraphFont"/>
    <w:uiPriority w:val="99"/>
    <w:unhideWhenUsed/>
    <w:rsid w:val="00A437C8"/>
    <w:rPr>
      <w:color w:val="2B579A"/>
      <w:shd w:val="clear" w:color="auto" w:fill="E6E6E6"/>
    </w:rPr>
  </w:style>
  <w:style w:type="character" w:customStyle="1" w:styleId="Mention1000000000000000000">
    <w:name w:val="Mention1000000000000000000"/>
    <w:basedOn w:val="DefaultParagraphFont"/>
    <w:uiPriority w:val="99"/>
    <w:unhideWhenUsed/>
    <w:rsid w:val="00A437C8"/>
    <w:rPr>
      <w:color w:val="2B579A"/>
      <w:shd w:val="clear" w:color="auto" w:fill="E6E6E6"/>
    </w:rPr>
  </w:style>
  <w:style w:type="paragraph" w:customStyle="1" w:styleId="Default">
    <w:name w:val="Default"/>
    <w:rsid w:val="00A437C8"/>
    <w:pPr>
      <w:autoSpaceDE w:val="0"/>
      <w:autoSpaceDN w:val="0"/>
      <w:adjustRightInd w:val="0"/>
      <w:spacing w:after="0" w:line="240" w:lineRule="auto"/>
    </w:pPr>
    <w:rPr>
      <w:rFonts w:ascii="Calibri" w:hAnsi="Calibri" w:cs="Calibri"/>
      <w:color w:val="000000"/>
      <w:lang w:val="fr-BE" w:eastAsia="en-IE"/>
      <w14:ligatures w14:val="standardContextual"/>
    </w:rPr>
  </w:style>
  <w:style w:type="table" w:customStyle="1" w:styleId="TableGridLight1">
    <w:name w:val="Table Grid Light1"/>
    <w:basedOn w:val="TableNormal"/>
    <w:next w:val="TableGridLight"/>
    <w:uiPriority w:val="40"/>
    <w:rsid w:val="00A437C8"/>
    <w:pPr>
      <w:spacing w:after="0" w:line="240" w:lineRule="auto"/>
    </w:pPr>
    <w:rPr>
      <w:sz w:val="22"/>
      <w:szCs w:val="22"/>
      <w:lang w:val="de-DE" w:eastAsia="en-IE"/>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59"/>
    <w:rsid w:val="00A437C8"/>
    <w:pPr>
      <w:spacing w:after="0" w:line="240" w:lineRule="auto"/>
    </w:pPr>
    <w:rPr>
      <w:rFonts w:eastAsiaTheme="minorHAnsi"/>
      <w:sz w:val="22"/>
      <w:szCs w:val="22"/>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A437C8"/>
    <w:pPr>
      <w:spacing w:after="0" w:line="240" w:lineRule="auto"/>
    </w:pPr>
    <w:rPr>
      <w:sz w:val="22"/>
      <w:szCs w:val="22"/>
      <w:lang w:val="de-DE" w:eastAsia="en-IE"/>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2">
    <w:name w:val="Table Grid2"/>
    <w:basedOn w:val="TableNormal"/>
    <w:next w:val="TableGrid"/>
    <w:uiPriority w:val="59"/>
    <w:rsid w:val="00A437C8"/>
    <w:pPr>
      <w:spacing w:after="0" w:line="240" w:lineRule="auto"/>
    </w:pPr>
    <w:rPr>
      <w:rFonts w:eastAsiaTheme="minorHAnsi"/>
      <w:sz w:val="22"/>
      <w:szCs w:val="22"/>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0">
    <w:name w:val="Table Grid Light10"/>
    <w:basedOn w:val="TableNormal"/>
    <w:next w:val="TableGridLight1"/>
    <w:uiPriority w:val="40"/>
    <w:rsid w:val="00BE1A15"/>
    <w:pPr>
      <w:spacing w:after="0" w:line="240" w:lineRule="auto"/>
    </w:pPr>
    <w:rPr>
      <w:sz w:val="22"/>
      <w:szCs w:val="22"/>
      <w:lang w:val="de-DE" w:eastAsia="en-IE"/>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isselectedend">
    <w:name w:val="isselectedend"/>
    <w:basedOn w:val="Normal"/>
    <w:rsid w:val="00BE1A15"/>
    <w:pPr>
      <w:spacing w:before="100" w:beforeAutospacing="1" w:after="100" w:afterAutospacing="1" w:line="240" w:lineRule="auto"/>
    </w:pPr>
    <w:rPr>
      <w:rFonts w:ascii="Times New Roman" w:eastAsia="Times New Roman" w:hAnsi="Times New Roman" w:cs="Times New Roman"/>
      <w:lang w:val="ro-RO" w:eastAsia="ro-RO"/>
    </w:rPr>
  </w:style>
  <w:style w:type="character" w:customStyle="1" w:styleId="UnresolvedMention">
    <w:name w:val="Unresolved Mention"/>
    <w:basedOn w:val="DefaultParagraphFont"/>
    <w:uiPriority w:val="99"/>
    <w:semiHidden/>
    <w:unhideWhenUsed/>
    <w:rsid w:val="00BE1A15"/>
    <w:rPr>
      <w:color w:val="605E5C"/>
      <w:shd w:val="clear" w:color="auto" w:fill="E1DFDD"/>
    </w:rPr>
  </w:style>
  <w:style w:type="character" w:customStyle="1" w:styleId="Mention">
    <w:name w:val="Mention"/>
    <w:basedOn w:val="DefaultParagraphFont"/>
    <w:uiPriority w:val="99"/>
    <w:unhideWhenUsed/>
    <w:rsid w:val="008D6D49"/>
    <w:rPr>
      <w:color w:val="2B579A"/>
      <w:shd w:val="clear" w:color="auto" w:fill="E1DFDD"/>
    </w:rPr>
  </w:style>
  <w:style w:type="numbering" w:customStyle="1" w:styleId="NoList3">
    <w:name w:val="No List3"/>
    <w:next w:val="NoList"/>
    <w:uiPriority w:val="99"/>
    <w:semiHidden/>
    <w:unhideWhenUsed/>
    <w:rsid w:val="00137D7A"/>
  </w:style>
  <w:style w:type="numbering" w:customStyle="1" w:styleId="NoList11">
    <w:name w:val="No List11"/>
    <w:next w:val="NoList"/>
    <w:uiPriority w:val="99"/>
    <w:semiHidden/>
    <w:unhideWhenUsed/>
    <w:rsid w:val="00137D7A"/>
  </w:style>
  <w:style w:type="numbering" w:customStyle="1" w:styleId="NoList21">
    <w:name w:val="No List21"/>
    <w:next w:val="NoList"/>
    <w:uiPriority w:val="99"/>
    <w:semiHidden/>
    <w:unhideWhenUsed/>
    <w:rsid w:val="00137D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24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header" Target="header145.xml"/><Relationship Id="rId21" Type="http://schemas.openxmlformats.org/officeDocument/2006/relationships/footer" Target="footer5.xml"/><Relationship Id="rId63" Type="http://schemas.openxmlformats.org/officeDocument/2006/relationships/footer" Target="footer26.xml"/><Relationship Id="rId159" Type="http://schemas.openxmlformats.org/officeDocument/2006/relationships/footer" Target="footer74.xml"/><Relationship Id="rId324" Type="http://schemas.openxmlformats.org/officeDocument/2006/relationships/footer" Target="footer156.xml"/><Relationship Id="rId366" Type="http://schemas.openxmlformats.org/officeDocument/2006/relationships/header" Target="header178.xml"/><Relationship Id="rId170" Type="http://schemas.openxmlformats.org/officeDocument/2006/relationships/footer" Target="footer79.xml"/><Relationship Id="rId226" Type="http://schemas.openxmlformats.org/officeDocument/2006/relationships/header" Target="header108.xml"/><Relationship Id="rId107" Type="http://schemas.openxmlformats.org/officeDocument/2006/relationships/footer" Target="footer48.xml"/><Relationship Id="rId268" Type="http://schemas.openxmlformats.org/officeDocument/2006/relationships/header" Target="header129.xml"/><Relationship Id="rId289" Type="http://schemas.openxmlformats.org/officeDocument/2006/relationships/header" Target="header140.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footer" Target="footer21.xml"/><Relationship Id="rId74" Type="http://schemas.openxmlformats.org/officeDocument/2006/relationships/footer" Target="footer31.xml"/><Relationship Id="rId128" Type="http://schemas.openxmlformats.org/officeDocument/2006/relationships/footer" Target="footer58.xml"/><Relationship Id="rId149" Type="http://schemas.openxmlformats.org/officeDocument/2006/relationships/footer" Target="footer69.xml"/><Relationship Id="rId314" Type="http://schemas.openxmlformats.org/officeDocument/2006/relationships/header" Target="header152.xml"/><Relationship Id="rId335" Type="http://schemas.openxmlformats.org/officeDocument/2006/relationships/header" Target="header162.xml"/><Relationship Id="rId356" Type="http://schemas.openxmlformats.org/officeDocument/2006/relationships/footer" Target="footer172.xml"/><Relationship Id="rId377" Type="http://schemas.openxmlformats.org/officeDocument/2006/relationships/header" Target="header183.xml"/><Relationship Id="rId398" Type="http://schemas.openxmlformats.org/officeDocument/2006/relationships/footer" Target="footer193.xml"/><Relationship Id="rId5" Type="http://schemas.openxmlformats.org/officeDocument/2006/relationships/numbering" Target="numbering.xml"/><Relationship Id="rId95" Type="http://schemas.openxmlformats.org/officeDocument/2006/relationships/footer" Target="footer42.xml"/><Relationship Id="rId160" Type="http://schemas.openxmlformats.org/officeDocument/2006/relationships/header" Target="header75.xml"/><Relationship Id="rId181" Type="http://schemas.openxmlformats.org/officeDocument/2006/relationships/header" Target="header86.xml"/><Relationship Id="rId216" Type="http://schemas.openxmlformats.org/officeDocument/2006/relationships/header" Target="header103.xml"/><Relationship Id="rId237" Type="http://schemas.openxmlformats.org/officeDocument/2006/relationships/footer" Target="footer113.xml"/><Relationship Id="rId402" Type="http://schemas.openxmlformats.org/officeDocument/2006/relationships/theme" Target="theme/theme1.xml"/><Relationship Id="rId258" Type="http://schemas.openxmlformats.org/officeDocument/2006/relationships/header" Target="header124.xml"/><Relationship Id="rId279" Type="http://schemas.openxmlformats.org/officeDocument/2006/relationships/footer" Target="footer13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290" Type="http://schemas.openxmlformats.org/officeDocument/2006/relationships/footer" Target="footer139.xml"/><Relationship Id="rId304" Type="http://schemas.openxmlformats.org/officeDocument/2006/relationships/header" Target="header147.xml"/><Relationship Id="rId325" Type="http://schemas.openxmlformats.org/officeDocument/2006/relationships/footer" Target="footer157.xml"/><Relationship Id="rId346" Type="http://schemas.openxmlformats.org/officeDocument/2006/relationships/footer" Target="footer167.xml"/><Relationship Id="rId367" Type="http://schemas.openxmlformats.org/officeDocument/2006/relationships/footer" Target="footer177.xml"/><Relationship Id="rId388" Type="http://schemas.openxmlformats.org/officeDocument/2006/relationships/footer" Target="footer188.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footer" Target="footer80.xml"/><Relationship Id="rId192" Type="http://schemas.openxmlformats.org/officeDocument/2006/relationships/header" Target="header91.xml"/><Relationship Id="rId206" Type="http://schemas.openxmlformats.org/officeDocument/2006/relationships/footer" Target="footer97.xml"/><Relationship Id="rId227" Type="http://schemas.openxmlformats.org/officeDocument/2006/relationships/footer" Target="footer108.xml"/><Relationship Id="rId248" Type="http://schemas.openxmlformats.org/officeDocument/2006/relationships/footer" Target="footer118.xml"/><Relationship Id="rId269" Type="http://schemas.openxmlformats.org/officeDocument/2006/relationships/footer" Target="footer129.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280" Type="http://schemas.openxmlformats.org/officeDocument/2006/relationships/header" Target="header135.xml"/><Relationship Id="rId315" Type="http://schemas.openxmlformats.org/officeDocument/2006/relationships/footer" Target="footer152.xml"/><Relationship Id="rId336" Type="http://schemas.openxmlformats.org/officeDocument/2006/relationships/header" Target="header163.xml"/><Relationship Id="rId357" Type="http://schemas.openxmlformats.org/officeDocument/2006/relationships/header" Target="header173.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footer" Target="footer85.xml"/><Relationship Id="rId217" Type="http://schemas.openxmlformats.org/officeDocument/2006/relationships/header" Target="header104.xml"/><Relationship Id="rId378" Type="http://schemas.openxmlformats.org/officeDocument/2006/relationships/header" Target="header184.xml"/><Relationship Id="rId399" Type="http://schemas.openxmlformats.org/officeDocument/2006/relationships/header" Target="header194.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header" Target="header125.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291" Type="http://schemas.openxmlformats.org/officeDocument/2006/relationships/footer" Target="footer140.xml"/><Relationship Id="rId305" Type="http://schemas.openxmlformats.org/officeDocument/2006/relationships/header" Target="header148.xml"/><Relationship Id="rId326" Type="http://schemas.openxmlformats.org/officeDocument/2006/relationships/header" Target="header158.xml"/><Relationship Id="rId347" Type="http://schemas.openxmlformats.org/officeDocument/2006/relationships/header" Target="header168.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368" Type="http://schemas.openxmlformats.org/officeDocument/2006/relationships/footer" Target="footer178.xml"/><Relationship Id="rId389" Type="http://schemas.openxmlformats.org/officeDocument/2006/relationships/header" Target="header189.xml"/><Relationship Id="rId172" Type="http://schemas.openxmlformats.org/officeDocument/2006/relationships/header" Target="head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header" Target="header109.xml"/><Relationship Id="rId249" Type="http://schemas.openxmlformats.org/officeDocument/2006/relationships/footer" Target="footer119.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footer" Target="footer124.xml"/><Relationship Id="rId281" Type="http://schemas.openxmlformats.org/officeDocument/2006/relationships/footer" Target="footer135.xml"/><Relationship Id="rId316" Type="http://schemas.openxmlformats.org/officeDocument/2006/relationships/header" Target="header153.xml"/><Relationship Id="rId337" Type="http://schemas.openxmlformats.org/officeDocument/2006/relationships/footer" Target="footer162.xml"/><Relationship Id="rId34" Type="http://schemas.openxmlformats.org/officeDocument/2006/relationships/header" Target="header12.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20" Type="http://schemas.openxmlformats.org/officeDocument/2006/relationships/header" Target="header55.xml"/><Relationship Id="rId141" Type="http://schemas.openxmlformats.org/officeDocument/2006/relationships/footer" Target="footer65.xml"/><Relationship Id="rId358" Type="http://schemas.openxmlformats.org/officeDocument/2006/relationships/footer" Target="footer173.xml"/><Relationship Id="rId379" Type="http://schemas.openxmlformats.org/officeDocument/2006/relationships/footer" Target="footer183.xml"/><Relationship Id="rId7" Type="http://schemas.openxmlformats.org/officeDocument/2006/relationships/settings" Target="settings.xml"/><Relationship Id="rId162" Type="http://schemas.openxmlformats.org/officeDocument/2006/relationships/header" Target="header76.xml"/><Relationship Id="rId183" Type="http://schemas.openxmlformats.org/officeDocument/2006/relationships/footer" Target="footer86.xml"/><Relationship Id="rId218" Type="http://schemas.openxmlformats.org/officeDocument/2006/relationships/footer" Target="footer103.xml"/><Relationship Id="rId239" Type="http://schemas.openxmlformats.org/officeDocument/2006/relationships/footer" Target="footer114.xml"/><Relationship Id="rId390" Type="http://schemas.openxmlformats.org/officeDocument/2006/relationships/header" Target="header190.xml"/><Relationship Id="rId250" Type="http://schemas.openxmlformats.org/officeDocument/2006/relationships/header" Target="header120.xml"/><Relationship Id="rId271" Type="http://schemas.openxmlformats.org/officeDocument/2006/relationships/header" Target="header131.xml"/><Relationship Id="rId292" Type="http://schemas.openxmlformats.org/officeDocument/2006/relationships/header" Target="header141.xml"/><Relationship Id="rId306" Type="http://schemas.openxmlformats.org/officeDocument/2006/relationships/footer" Target="footer147.xml"/><Relationship Id="rId24" Type="http://schemas.openxmlformats.org/officeDocument/2006/relationships/header" Target="header7.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31" Type="http://schemas.openxmlformats.org/officeDocument/2006/relationships/footer" Target="footer60.xml"/><Relationship Id="rId327" Type="http://schemas.openxmlformats.org/officeDocument/2006/relationships/footer" Target="footer158.xml"/><Relationship Id="rId348" Type="http://schemas.openxmlformats.org/officeDocument/2006/relationships/header" Target="header169.xml"/><Relationship Id="rId369" Type="http://schemas.openxmlformats.org/officeDocument/2006/relationships/header" Target="header179.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208" Type="http://schemas.openxmlformats.org/officeDocument/2006/relationships/header" Target="header99.xml"/><Relationship Id="rId229" Type="http://schemas.openxmlformats.org/officeDocument/2006/relationships/header" Target="header110.xml"/><Relationship Id="rId380" Type="http://schemas.openxmlformats.org/officeDocument/2006/relationships/footer" Target="footer184.xml"/><Relationship Id="rId240" Type="http://schemas.openxmlformats.org/officeDocument/2006/relationships/header" Target="header115.xml"/><Relationship Id="rId261" Type="http://schemas.openxmlformats.org/officeDocument/2006/relationships/footer" Target="footer125.xml"/><Relationship Id="rId14" Type="http://schemas.openxmlformats.org/officeDocument/2006/relationships/footer" Target="footer1.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282" Type="http://schemas.openxmlformats.org/officeDocument/2006/relationships/header" Target="header136.xml"/><Relationship Id="rId317" Type="http://schemas.openxmlformats.org/officeDocument/2006/relationships/header" Target="header154.xml"/><Relationship Id="rId338" Type="http://schemas.openxmlformats.org/officeDocument/2006/relationships/footer" Target="footer163.xml"/><Relationship Id="rId359" Type="http://schemas.openxmlformats.org/officeDocument/2006/relationships/header" Target="header174.xml"/><Relationship Id="rId8" Type="http://schemas.openxmlformats.org/officeDocument/2006/relationships/webSettings" Target="webSettings.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219" Type="http://schemas.openxmlformats.org/officeDocument/2006/relationships/footer" Target="footer104.xml"/><Relationship Id="rId370" Type="http://schemas.openxmlformats.org/officeDocument/2006/relationships/footer" Target="footer179.xml"/><Relationship Id="rId391" Type="http://schemas.openxmlformats.org/officeDocument/2006/relationships/footer" Target="footer189.xml"/><Relationship Id="rId230" Type="http://schemas.openxmlformats.org/officeDocument/2006/relationships/footer" Target="footer109.xml"/><Relationship Id="rId251" Type="http://schemas.openxmlformats.org/officeDocument/2006/relationships/footer" Target="footer120.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272" Type="http://schemas.openxmlformats.org/officeDocument/2006/relationships/footer" Target="footer130.xml"/><Relationship Id="rId293" Type="http://schemas.openxmlformats.org/officeDocument/2006/relationships/footer" Target="footer141.xml"/><Relationship Id="rId307" Type="http://schemas.openxmlformats.org/officeDocument/2006/relationships/footer" Target="footer148.xml"/><Relationship Id="rId328" Type="http://schemas.openxmlformats.org/officeDocument/2006/relationships/hyperlink" Target="http://www.e-consultare.gov.ro/" TargetMode="External"/><Relationship Id="rId349" Type="http://schemas.openxmlformats.org/officeDocument/2006/relationships/footer" Target="footer168.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95" Type="http://schemas.openxmlformats.org/officeDocument/2006/relationships/footer" Target="footer92.xml"/><Relationship Id="rId209" Type="http://schemas.openxmlformats.org/officeDocument/2006/relationships/footer" Target="footer99.xml"/><Relationship Id="rId360" Type="http://schemas.openxmlformats.org/officeDocument/2006/relationships/header" Target="header175.xml"/><Relationship Id="rId381" Type="http://schemas.openxmlformats.org/officeDocument/2006/relationships/header" Target="header185.xml"/><Relationship Id="rId220" Type="http://schemas.openxmlformats.org/officeDocument/2006/relationships/header" Target="header105.xml"/><Relationship Id="rId241" Type="http://schemas.openxmlformats.org/officeDocument/2006/relationships/header" Target="header116.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262" Type="http://schemas.openxmlformats.org/officeDocument/2006/relationships/header" Target="header126.xml"/><Relationship Id="rId283" Type="http://schemas.openxmlformats.org/officeDocument/2006/relationships/header" Target="header137.xml"/><Relationship Id="rId318" Type="http://schemas.openxmlformats.org/officeDocument/2006/relationships/footer" Target="footer153.xml"/><Relationship Id="rId339" Type="http://schemas.openxmlformats.org/officeDocument/2006/relationships/header" Target="header164.xml"/><Relationship Id="rId78" Type="http://schemas.openxmlformats.org/officeDocument/2006/relationships/header" Target="header34.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64" Type="http://schemas.openxmlformats.org/officeDocument/2006/relationships/footer" Target="footer76.xml"/><Relationship Id="rId185" Type="http://schemas.openxmlformats.org/officeDocument/2006/relationships/footer" Target="footer87.xml"/><Relationship Id="rId350" Type="http://schemas.openxmlformats.org/officeDocument/2006/relationships/footer" Target="footer169.xml"/><Relationship Id="rId371" Type="http://schemas.openxmlformats.org/officeDocument/2006/relationships/header" Target="header180.xml"/><Relationship Id="rId9" Type="http://schemas.openxmlformats.org/officeDocument/2006/relationships/footnotes" Target="footnotes.xml"/><Relationship Id="rId210" Type="http://schemas.openxmlformats.org/officeDocument/2006/relationships/header" Target="header100.xml"/><Relationship Id="rId392" Type="http://schemas.openxmlformats.org/officeDocument/2006/relationships/footer" Target="footer190.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header" Target="header142.xml"/><Relationship Id="rId308" Type="http://schemas.openxmlformats.org/officeDocument/2006/relationships/header" Target="header149.xml"/><Relationship Id="rId329" Type="http://schemas.openxmlformats.org/officeDocument/2006/relationships/header" Target="header159.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340" Type="http://schemas.openxmlformats.org/officeDocument/2006/relationships/footer" Target="footer164.xml"/><Relationship Id="rId361" Type="http://schemas.openxmlformats.org/officeDocument/2006/relationships/footer" Target="footer174.xml"/><Relationship Id="rId196" Type="http://schemas.openxmlformats.org/officeDocument/2006/relationships/header" Target="header93.xml"/><Relationship Id="rId200" Type="http://schemas.openxmlformats.org/officeDocument/2006/relationships/footer" Target="footer94.xml"/><Relationship Id="rId382" Type="http://schemas.openxmlformats.org/officeDocument/2006/relationships/footer" Target="footer185.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284" Type="http://schemas.openxmlformats.org/officeDocument/2006/relationships/footer" Target="footer136.xml"/><Relationship Id="rId319" Type="http://schemas.openxmlformats.org/officeDocument/2006/relationships/footer" Target="footer154.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330" Type="http://schemas.openxmlformats.org/officeDocument/2006/relationships/header" Target="header160.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351" Type="http://schemas.openxmlformats.org/officeDocument/2006/relationships/header" Target="header170.xml"/><Relationship Id="rId372" Type="http://schemas.openxmlformats.org/officeDocument/2006/relationships/header" Target="header181.xml"/><Relationship Id="rId393" Type="http://schemas.openxmlformats.org/officeDocument/2006/relationships/header" Target="header191.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95" Type="http://schemas.openxmlformats.org/officeDocument/2006/relationships/footer" Target="footer142.xml"/><Relationship Id="rId309" Type="http://schemas.openxmlformats.org/officeDocument/2006/relationships/footer" Target="footer149.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320" Type="http://schemas.openxmlformats.org/officeDocument/2006/relationships/header" Target="header155.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341" Type="http://schemas.openxmlformats.org/officeDocument/2006/relationships/header" Target="header165.xml"/><Relationship Id="rId362" Type="http://schemas.openxmlformats.org/officeDocument/2006/relationships/footer" Target="footer175.xml"/><Relationship Id="rId383" Type="http://schemas.openxmlformats.org/officeDocument/2006/relationships/header" Target="header186.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285" Type="http://schemas.openxmlformats.org/officeDocument/2006/relationships/footer" Target="footer13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310" Type="http://schemas.openxmlformats.org/officeDocument/2006/relationships/header" Target="header150.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331" Type="http://schemas.openxmlformats.org/officeDocument/2006/relationships/footer" Target="footer159.xml"/><Relationship Id="rId352" Type="http://schemas.openxmlformats.org/officeDocument/2006/relationships/footer" Target="footer170.xml"/><Relationship Id="rId373" Type="http://schemas.openxmlformats.org/officeDocument/2006/relationships/footer" Target="footer180.xml"/><Relationship Id="rId394" Type="http://schemas.openxmlformats.org/officeDocument/2006/relationships/footer" Target="footer191.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header" Target="header143.xml"/><Relationship Id="rId300" Type="http://schemas.openxmlformats.org/officeDocument/2006/relationships/footer" Target="footer144.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321" Type="http://schemas.openxmlformats.org/officeDocument/2006/relationships/footer" Target="footer155.xml"/><Relationship Id="rId342" Type="http://schemas.openxmlformats.org/officeDocument/2006/relationships/header" Target="header166.xml"/><Relationship Id="rId363" Type="http://schemas.openxmlformats.org/officeDocument/2006/relationships/header" Target="header176.xml"/><Relationship Id="rId384" Type="http://schemas.openxmlformats.org/officeDocument/2006/relationships/header" Target="header187.xml"/><Relationship Id="rId202" Type="http://schemas.openxmlformats.org/officeDocument/2006/relationships/header" Target="header96.xml"/><Relationship Id="rId223" Type="http://schemas.openxmlformats.org/officeDocument/2006/relationships/header" Target="header107.xml"/><Relationship Id="rId244" Type="http://schemas.openxmlformats.org/officeDocument/2006/relationships/header" Target="header117.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header" Target="header128.xml"/><Relationship Id="rId286" Type="http://schemas.openxmlformats.org/officeDocument/2006/relationships/header" Target="header138.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311" Type="http://schemas.openxmlformats.org/officeDocument/2006/relationships/header" Target="header151.xml"/><Relationship Id="rId332" Type="http://schemas.openxmlformats.org/officeDocument/2006/relationships/footer" Target="footer160.xml"/><Relationship Id="rId353" Type="http://schemas.openxmlformats.org/officeDocument/2006/relationships/header" Target="header171.xml"/><Relationship Id="rId374" Type="http://schemas.openxmlformats.org/officeDocument/2006/relationships/footer" Target="footer181.xml"/><Relationship Id="rId395" Type="http://schemas.openxmlformats.org/officeDocument/2006/relationships/header" Target="header192.xml"/><Relationship Id="rId71" Type="http://schemas.openxmlformats.org/officeDocument/2006/relationships/footer" Target="footer30.xml"/><Relationship Id="rId92" Type="http://schemas.openxmlformats.org/officeDocument/2006/relationships/footer" Target="footer40.xml"/><Relationship Id="rId213" Type="http://schemas.openxmlformats.org/officeDocument/2006/relationships/footer" Target="footer101.xml"/><Relationship Id="rId234" Type="http://schemas.openxmlformats.org/officeDocument/2006/relationships/header" Target="header112.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header" Target="header133.xml"/><Relationship Id="rId297" Type="http://schemas.openxmlformats.org/officeDocument/2006/relationships/footer" Target="footer143.xml"/><Relationship Id="rId40" Type="http://schemas.openxmlformats.org/officeDocument/2006/relationships/header" Target="header15.xml"/><Relationship Id="rId115" Type="http://schemas.openxmlformats.org/officeDocument/2006/relationships/header" Target="header53.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301" Type="http://schemas.openxmlformats.org/officeDocument/2006/relationships/footer" Target="footer145.xml"/><Relationship Id="rId322" Type="http://schemas.openxmlformats.org/officeDocument/2006/relationships/header" Target="header156.xml"/><Relationship Id="rId343" Type="http://schemas.openxmlformats.org/officeDocument/2006/relationships/footer" Target="footer165.xml"/><Relationship Id="rId364" Type="http://schemas.openxmlformats.org/officeDocument/2006/relationships/footer" Target="footer176.xml"/><Relationship Id="rId61" Type="http://schemas.openxmlformats.org/officeDocument/2006/relationships/header" Target="header26.xml"/><Relationship Id="rId82" Type="http://schemas.openxmlformats.org/officeDocument/2006/relationships/header" Target="header36.xml"/><Relationship Id="rId199" Type="http://schemas.openxmlformats.org/officeDocument/2006/relationships/header" Target="header95.xml"/><Relationship Id="rId203" Type="http://schemas.openxmlformats.org/officeDocument/2006/relationships/footer" Target="footer96.xml"/><Relationship Id="rId385" Type="http://schemas.openxmlformats.org/officeDocument/2006/relationships/footer" Target="footer186.xml"/><Relationship Id="rId19" Type="http://schemas.openxmlformats.org/officeDocument/2006/relationships/header" Target="header5.xml"/><Relationship Id="rId224" Type="http://schemas.openxmlformats.org/officeDocument/2006/relationships/footer" Target="footer106.xml"/><Relationship Id="rId245" Type="http://schemas.openxmlformats.org/officeDocument/2006/relationships/footer" Target="footer117.xml"/><Relationship Id="rId266" Type="http://schemas.openxmlformats.org/officeDocument/2006/relationships/footer" Target="footer127.xml"/><Relationship Id="rId287" Type="http://schemas.openxmlformats.org/officeDocument/2006/relationships/footer" Target="footer138.xml"/><Relationship Id="rId30" Type="http://schemas.openxmlformats.org/officeDocument/2006/relationships/header" Target="header10.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312" Type="http://schemas.openxmlformats.org/officeDocument/2006/relationships/footer" Target="footer150.xml"/><Relationship Id="rId333" Type="http://schemas.openxmlformats.org/officeDocument/2006/relationships/header" Target="header161.xml"/><Relationship Id="rId354" Type="http://schemas.openxmlformats.org/officeDocument/2006/relationships/header" Target="header172.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189" Type="http://schemas.openxmlformats.org/officeDocument/2006/relationships/footer" Target="footer89.xml"/><Relationship Id="rId375" Type="http://schemas.openxmlformats.org/officeDocument/2006/relationships/header" Target="header182.xml"/><Relationship Id="rId396" Type="http://schemas.openxmlformats.org/officeDocument/2006/relationships/header" Target="header193.xml"/><Relationship Id="rId3" Type="http://schemas.openxmlformats.org/officeDocument/2006/relationships/customXml" Target="../customXml/item3.xml"/><Relationship Id="rId214" Type="http://schemas.openxmlformats.org/officeDocument/2006/relationships/header" Target="header102.xml"/><Relationship Id="rId235" Type="http://schemas.openxmlformats.org/officeDocument/2006/relationships/header" Target="header113.xml"/><Relationship Id="rId256" Type="http://schemas.openxmlformats.org/officeDocument/2006/relationships/header" Target="header123.xml"/><Relationship Id="rId277" Type="http://schemas.openxmlformats.org/officeDocument/2006/relationships/header" Target="header134.xml"/><Relationship Id="rId298" Type="http://schemas.openxmlformats.org/officeDocument/2006/relationships/header" Target="header144.xml"/><Relationship Id="rId400" Type="http://schemas.openxmlformats.org/officeDocument/2006/relationships/footer" Target="footer194.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302" Type="http://schemas.openxmlformats.org/officeDocument/2006/relationships/header" Target="header146.xml"/><Relationship Id="rId323" Type="http://schemas.openxmlformats.org/officeDocument/2006/relationships/header" Target="header157.xml"/><Relationship Id="rId344" Type="http://schemas.openxmlformats.org/officeDocument/2006/relationships/footer" Target="footer166.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179" Type="http://schemas.openxmlformats.org/officeDocument/2006/relationships/footer" Target="footer84.xml"/><Relationship Id="rId365" Type="http://schemas.openxmlformats.org/officeDocument/2006/relationships/header" Target="header177.xml"/><Relationship Id="rId386" Type="http://schemas.openxmlformats.org/officeDocument/2006/relationships/footer" Target="footer187.xml"/><Relationship Id="rId190" Type="http://schemas.openxmlformats.org/officeDocument/2006/relationships/header" Target="header90.xml"/><Relationship Id="rId204" Type="http://schemas.openxmlformats.org/officeDocument/2006/relationships/header" Target="header97.xml"/><Relationship Id="rId225" Type="http://schemas.openxmlformats.org/officeDocument/2006/relationships/footer" Target="footer107.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header" Target="header139.xml"/><Relationship Id="rId106" Type="http://schemas.openxmlformats.org/officeDocument/2006/relationships/header" Target="header48.xml"/><Relationship Id="rId127" Type="http://schemas.openxmlformats.org/officeDocument/2006/relationships/header" Target="header59.xml"/><Relationship Id="rId313" Type="http://schemas.openxmlformats.org/officeDocument/2006/relationships/footer" Target="footer151.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94" Type="http://schemas.openxmlformats.org/officeDocument/2006/relationships/header" Target="header42.xml"/><Relationship Id="rId148" Type="http://schemas.openxmlformats.org/officeDocument/2006/relationships/header" Target="header69.xml"/><Relationship Id="rId169" Type="http://schemas.openxmlformats.org/officeDocument/2006/relationships/header" Target="header80.xml"/><Relationship Id="rId334" Type="http://schemas.openxmlformats.org/officeDocument/2006/relationships/footer" Target="footer161.xml"/><Relationship Id="rId355" Type="http://schemas.openxmlformats.org/officeDocument/2006/relationships/footer" Target="footer171.xml"/><Relationship Id="rId376" Type="http://schemas.openxmlformats.org/officeDocument/2006/relationships/footer" Target="footer182.xml"/><Relationship Id="rId397" Type="http://schemas.openxmlformats.org/officeDocument/2006/relationships/footer" Target="footer192.xml"/><Relationship Id="rId4" Type="http://schemas.openxmlformats.org/officeDocument/2006/relationships/customXml" Target="../customXml/item4.xml"/><Relationship Id="rId180" Type="http://schemas.openxmlformats.org/officeDocument/2006/relationships/header" Target="header85.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78" Type="http://schemas.openxmlformats.org/officeDocument/2006/relationships/footer" Target="footer133.xml"/><Relationship Id="rId401" Type="http://schemas.openxmlformats.org/officeDocument/2006/relationships/fontTable" Target="fontTable.xml"/><Relationship Id="rId303" Type="http://schemas.openxmlformats.org/officeDocument/2006/relationships/footer" Target="footer146.xml"/><Relationship Id="rId42" Type="http://schemas.openxmlformats.org/officeDocument/2006/relationships/header" Target="header16.xml"/><Relationship Id="rId84" Type="http://schemas.openxmlformats.org/officeDocument/2006/relationships/header" Target="header37.xml"/><Relationship Id="rId138" Type="http://schemas.openxmlformats.org/officeDocument/2006/relationships/header" Target="header64.xml"/><Relationship Id="rId345" Type="http://schemas.openxmlformats.org/officeDocument/2006/relationships/header" Target="header167.xml"/><Relationship Id="rId387" Type="http://schemas.openxmlformats.org/officeDocument/2006/relationships/header" Target="header188.xml"/><Relationship Id="rId191" Type="http://schemas.openxmlformats.org/officeDocument/2006/relationships/footer" Target="footer90.xml"/><Relationship Id="rId205" Type="http://schemas.openxmlformats.org/officeDocument/2006/relationships/header" Target="header98.xml"/><Relationship Id="rId247" Type="http://schemas.openxmlformats.org/officeDocument/2006/relationships/header" Target="header119.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sa2/sites/default/files/eif_brochure_final.pdf" TargetMode="External"/><Relationship Id="rId2" Type="http://schemas.openxmlformats.org/officeDocument/2006/relationships/hyperlink" Target="https://e3p.jrc.ec.europa.eu/publications/2021-best-practice-guidelines-eu-code-conduct-data-centre-energy-efficiency" TargetMode="External"/><Relationship Id="rId1" Type="http://schemas.openxmlformats.org/officeDocument/2006/relationships/hyperlink" Target="https://ec.europa.eu/newsroom/dae/document.cfm?doc_id=75185" TargetMode="External"/><Relationship Id="rId6" Type="http://schemas.openxmlformats.org/officeDocument/2006/relationships/hyperlink" Target="https://publications.jrc.ec.europa.eu/repository/handle/JRC106281" TargetMode="External"/><Relationship Id="rId5" Type="http://schemas.openxmlformats.org/officeDocument/2006/relationships/hyperlink" Target="https://publications.jrc.ec.europa.eu/repository/handle/JRC107466" TargetMode="External"/><Relationship Id="rId4" Type="http://schemas.openxmlformats.org/officeDocument/2006/relationships/hyperlink" Target="https://ec.europa.eu/newsroom/dae/document.cfm?doc_id=751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1198b08-d09d-409c-a169-ca1eb44fa897" xsi:nil="true"/>
    <lcf76f155ced4ddcb4097134ff3c332f xmlns="69540217-dd4d-4552-b080-f316f8754f84">
      <Terms xmlns="http://schemas.microsoft.com/office/infopath/2007/PartnerControls"/>
    </lcf76f155ced4ddcb4097134ff3c332f>
    <_ip_UnifiedCompliancePolicyProperties xmlns="http://schemas.microsoft.com/sharepoint/v3" xsi:nil="true"/>
    <Comment xmlns="69540217-dd4d-4552-b080-f316f8754f8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2" ma:contentTypeDescription="Create a new document." ma:contentTypeScope="" ma:versionID="f991c7892a125f526ae27b27d7e2b578">
  <xsd:schema xmlns:xsd="http://www.w3.org/2001/XMLSchema" xmlns:xs="http://www.w3.org/2001/XMLSchema" xmlns:p="http://schemas.microsoft.com/office/2006/metadata/properties" xmlns:ns1="http://schemas.microsoft.com/sharepoint/v3" xmlns:ns2="69540217-dd4d-4552-b080-f316f8754f84" xmlns:ns3="41198b08-d09d-409c-a169-ca1eb44fa897" targetNamespace="http://schemas.microsoft.com/office/2006/metadata/properties" ma:root="true" ma:fieldsID="ff56261ea41eb6d3ec830f0c39df2d81" ns1:_="" ns2:_="" ns3:_="">
    <xsd:import namespace="http://schemas.microsoft.com/sharepoint/v3"/>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Comment" minOccurs="0"/>
                <xsd:element ref="ns2:lcf76f155ced4ddcb4097134ff3c332f" minOccurs="0"/>
                <xsd:element ref="ns3:TaxCatchAll" minOccurs="0"/>
                <xsd:element ref="ns2:MediaLengthInSeconds"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Comment" ma:index="19" nillable="true" ma:displayName="Comment" ma:format="Dropdown" ma:internalName="Comment">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f2effd8-73b0-4c61-aa55-fe88c588bc3c}"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AC718-5FA2-40FE-9791-EF6269328145}">
  <ds:schemaRefs>
    <ds:schemaRef ds:uri="http://schemas.microsoft.com/office/2006/metadata/properties"/>
    <ds:schemaRef ds:uri="http://schemas.microsoft.com/office/infopath/2007/PartnerControls"/>
    <ds:schemaRef ds:uri="http://schemas.microsoft.com/sharepoint/v3"/>
    <ds:schemaRef ds:uri="41198b08-d09d-409c-a169-ca1eb44fa897"/>
    <ds:schemaRef ds:uri="69540217-dd4d-4552-b080-f316f8754f84"/>
  </ds:schemaRefs>
</ds:datastoreItem>
</file>

<file path=customXml/itemProps2.xml><?xml version="1.0" encoding="utf-8"?>
<ds:datastoreItem xmlns:ds="http://schemas.openxmlformats.org/officeDocument/2006/customXml" ds:itemID="{DC50582B-29C7-44AF-ACF5-16EBEC3C6C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F3D932-E712-4947-A5E6-501A77F4AC52}">
  <ds:schemaRefs>
    <ds:schemaRef ds:uri="http://schemas.microsoft.com/sharepoint/v3/contenttype/forms"/>
  </ds:schemaRefs>
</ds:datastoreItem>
</file>

<file path=customXml/itemProps4.xml><?xml version="1.0" encoding="utf-8"?>
<ds:datastoreItem xmlns:ds="http://schemas.openxmlformats.org/officeDocument/2006/customXml" ds:itemID="{C79D6AF1-EE01-4B27-B5DA-4664FAD12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1477</TotalTime>
  <Pages>6</Pages>
  <Words>82388</Words>
  <Characters>469613</Characters>
  <Application>Microsoft Office Word</Application>
  <DocSecurity>0</DocSecurity>
  <Lines>3913</Lines>
  <Paragraphs>1101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550900</CharactersWithSpaces>
  <SharedDoc>false</SharedDoc>
  <HLinks>
    <vt:vector size="42" baseType="variant">
      <vt:variant>
        <vt:i4>3145834</vt:i4>
      </vt:variant>
      <vt:variant>
        <vt:i4>0</vt:i4>
      </vt:variant>
      <vt:variant>
        <vt:i4>0</vt:i4>
      </vt:variant>
      <vt:variant>
        <vt:i4>5</vt:i4>
      </vt:variant>
      <vt:variant>
        <vt:lpwstr>http://www.e-consultare.gov.ro/</vt:lpwstr>
      </vt:variant>
      <vt:variant>
        <vt:lpwstr/>
      </vt:variant>
      <vt:variant>
        <vt:i4>852035</vt:i4>
      </vt:variant>
      <vt:variant>
        <vt:i4>15</vt:i4>
      </vt:variant>
      <vt:variant>
        <vt:i4>0</vt:i4>
      </vt:variant>
      <vt:variant>
        <vt:i4>5</vt:i4>
      </vt:variant>
      <vt:variant>
        <vt:lpwstr>https://publications.jrc.ec.europa.eu/repository/handle/JRC106281</vt:lpwstr>
      </vt:variant>
      <vt:variant>
        <vt:lpwstr/>
      </vt:variant>
      <vt:variant>
        <vt:i4>131141</vt:i4>
      </vt:variant>
      <vt:variant>
        <vt:i4>12</vt:i4>
      </vt:variant>
      <vt:variant>
        <vt:i4>0</vt:i4>
      </vt:variant>
      <vt:variant>
        <vt:i4>5</vt:i4>
      </vt:variant>
      <vt:variant>
        <vt:lpwstr>https://publications.jrc.ec.europa.eu/repository/handle/JRC107466</vt:lpwstr>
      </vt:variant>
      <vt:variant>
        <vt:lpwstr/>
      </vt:variant>
      <vt:variant>
        <vt:i4>7340046</vt:i4>
      </vt:variant>
      <vt:variant>
        <vt:i4>9</vt:i4>
      </vt:variant>
      <vt:variant>
        <vt:i4>0</vt:i4>
      </vt:variant>
      <vt:variant>
        <vt:i4>5</vt:i4>
      </vt:variant>
      <vt:variant>
        <vt:lpwstr>https://ec.europa.eu/newsroom/dae/document.cfm?doc_id=75185</vt:lpwstr>
      </vt:variant>
      <vt:variant>
        <vt:lpwstr/>
      </vt:variant>
      <vt:variant>
        <vt:i4>7012476</vt:i4>
      </vt:variant>
      <vt:variant>
        <vt:i4>6</vt:i4>
      </vt:variant>
      <vt:variant>
        <vt:i4>0</vt:i4>
      </vt:variant>
      <vt:variant>
        <vt:i4>5</vt:i4>
      </vt:variant>
      <vt:variant>
        <vt:lpwstr>https://ec.europa.eu/isa2/sites/default/files/eif_brochure_final.pdf</vt:lpwstr>
      </vt:variant>
      <vt:variant>
        <vt:lpwstr/>
      </vt:variant>
      <vt:variant>
        <vt:i4>1835014</vt:i4>
      </vt:variant>
      <vt:variant>
        <vt:i4>3</vt:i4>
      </vt:variant>
      <vt:variant>
        <vt:i4>0</vt:i4>
      </vt:variant>
      <vt:variant>
        <vt:i4>5</vt:i4>
      </vt:variant>
      <vt:variant>
        <vt:lpwstr>https://e3p.jrc.ec.europa.eu/publications/2021-best-practice-guidelines-eu-code-conduct-data-centre-energy-efficiency</vt:lpwstr>
      </vt:variant>
      <vt:variant>
        <vt:lpwstr/>
      </vt:variant>
      <vt:variant>
        <vt:i4>7340046</vt:i4>
      </vt:variant>
      <vt:variant>
        <vt:i4>0</vt:i4>
      </vt:variant>
      <vt:variant>
        <vt:i4>0</vt:i4>
      </vt:variant>
      <vt:variant>
        <vt:i4>5</vt:i4>
      </vt:variant>
      <vt:variant>
        <vt:lpwstr>https://ec.europa.eu/newsroom/dae/document.cfm?doc_id=75185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1306</cp:revision>
  <dcterms:created xsi:type="dcterms:W3CDTF">2026-07-06T16:28:00Z</dcterms:created>
  <dcterms:modified xsi:type="dcterms:W3CDTF">2026-07-10T08:24:00Z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0x0101001904E1EBFBC69D4E9F6EFDF5C754386E</vt:lpwstr>
  </property>
  <property fmtid="{D5CDD505-2E9C-101B-9397-08002B2CF9AE}" pid="3" name="MSIP_Label_6bd9ddd1-4d20-43f6-abfa-fc3c07406f94_Enabled">
    <vt:lpwstr>true</vt:lpwstr>
  </property>
  <property fmtid="{D5CDD505-2E9C-101B-9397-08002B2CF9AE}" pid="4" name="MSIP_Label_6bd9ddd1-4d20-43f6-abfa-fc3c07406f94_SetDate">
    <vt:lpwstr>2026-07-03T14:30:48Z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d8df142e-b2dd-4612-8b2c-26b6238f02ab</vt:lpwstr>
  </property>
  <property fmtid="{D5CDD505-2E9C-101B-9397-08002B2CF9AE}" pid="9" name="MSIP_Label_6bd9ddd1-4d20-43f6-abfa-fc3c07406f94_ContentBits">
    <vt:lpwstr>0</vt:lpwstr>
  </property>
  <property fmtid="{D5CDD505-2E9C-101B-9397-08002B2CF9AE}" pid="10" name="MSIP_Label_6bd9ddd1-4d20-43f6-abfa-fc3c07406f94_Tag">
    <vt:lpwstr>10, 3, 0, 2</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DocStatus">
    <vt:lpwstr>Green</vt:lpwstr>
  </property>
  <property fmtid="{D5CDD505-2E9C-101B-9397-08002B2CF9AE}" pid="19" name="CPTemplateID">
    <vt:lpwstr>CP-036</vt:lpwstr>
  </property>
  <property fmtid="{D5CDD505-2E9C-101B-9397-08002B2CF9AE}" pid="20" name="Last edited using">
    <vt:lpwstr>LW 9.2, Build 20250828</vt:lpwstr>
  </property>
  <property fmtid="{D5CDD505-2E9C-101B-9397-08002B2CF9AE}" pid="21" name="Created using">
    <vt:lpwstr>LW 9.2, Build 20250828</vt:lpwstr>
  </property>
</Properties>
</file>