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8ADF16" w14:textId="54510A72" w:rsidR="00740F0F" w:rsidRPr="0029070D" w:rsidRDefault="008E6931" w:rsidP="008E6931">
      <w:pPr>
        <w:pStyle w:val="Pagedecouverture"/>
        <w:rPr>
          <w:noProof/>
        </w:rPr>
      </w:pPr>
      <w:bookmarkStart w:id="0" w:name="LW_BM_COVERPAGE"/>
      <w:r>
        <w:rPr>
          <w:noProof/>
        </w:rPr>
        <w:pict w14:anchorId="02D75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D0E1C2F-5DD5-4012-8F14-463C588B4ECC" style="width:455.25pt;height:372.75pt">
            <v:imagedata r:id="rId11" o:title=""/>
          </v:shape>
        </w:pict>
      </w:r>
    </w:p>
    <w:bookmarkEnd w:id="0"/>
    <w:p w14:paraId="455FE493" w14:textId="77777777" w:rsidR="00173EE9" w:rsidRPr="0029070D" w:rsidRDefault="00173EE9" w:rsidP="00173EE9">
      <w:pPr>
        <w:rPr>
          <w:noProof/>
        </w:rPr>
        <w:sectPr w:rsidR="00173EE9" w:rsidRPr="0029070D" w:rsidSect="008E6931">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5A8ADF1C" w14:textId="77777777" w:rsidR="00740F0F" w:rsidRPr="0029070D" w:rsidRDefault="00100B64">
      <w:pPr>
        <w:spacing w:after="0" w:line="360" w:lineRule="auto"/>
        <w:jc w:val="center"/>
        <w:rPr>
          <w:rFonts w:ascii="Times New Roman" w:eastAsia="Calibri" w:hAnsi="Times New Roman" w:cs="Times New Roman"/>
          <w:b/>
          <w:bCs/>
          <w:noProof/>
          <w:kern w:val="0"/>
          <w14:ligatures w14:val="none"/>
        </w:rPr>
      </w:pPr>
      <w:bookmarkStart w:id="1" w:name="_GoBack"/>
      <w:bookmarkEnd w:id="1"/>
      <w:r>
        <w:rPr>
          <w:rFonts w:ascii="Times New Roman" w:hAnsi="Times New Roman"/>
          <w:b/>
          <w:noProof/>
          <w:u w:val="single"/>
        </w:rPr>
        <w:lastRenderedPageBreak/>
        <w:t>ANNEXE</w:t>
      </w:r>
    </w:p>
    <w:p w14:paraId="5A8ADF1D" w14:textId="77777777" w:rsidR="00740F0F" w:rsidRPr="0029070D" w:rsidRDefault="00740F0F">
      <w:pPr>
        <w:widowControl w:val="0"/>
        <w:autoSpaceDE w:val="0"/>
        <w:autoSpaceDN w:val="0"/>
        <w:spacing w:before="3" w:after="0" w:line="240" w:lineRule="auto"/>
        <w:rPr>
          <w:rFonts w:ascii="Times New Roman" w:eastAsia="Times New Roman" w:hAnsi="Times New Roman" w:cs="Times New Roman"/>
          <w:b/>
          <w:noProof/>
          <w:kern w:val="0"/>
          <w:sz w:val="23"/>
          <w:szCs w:val="20"/>
          <w14:ligatures w14:val="none"/>
        </w:rPr>
      </w:pPr>
    </w:p>
    <w:p w14:paraId="5A8ADF1E" w14:textId="77777777" w:rsidR="00740F0F" w:rsidRPr="0029070D" w:rsidRDefault="00100B64">
      <w:pPr>
        <w:spacing w:after="0" w:line="240" w:lineRule="auto"/>
        <w:ind w:left="221" w:right="1361"/>
        <w:jc w:val="both"/>
        <w:rPr>
          <w:rFonts w:ascii="Times New Roman" w:eastAsia="Calibri" w:hAnsi="Times New Roman" w:cs="Times New Roman"/>
          <w:b/>
          <w:noProof/>
          <w:kern w:val="0"/>
          <w:szCs w:val="22"/>
          <w14:ligatures w14:val="none"/>
        </w:rPr>
      </w:pPr>
      <w:r>
        <w:rPr>
          <w:rFonts w:ascii="Times New Roman" w:hAnsi="Times New Roman"/>
          <w:b/>
          <w:noProof/>
        </w:rPr>
        <w:t>PARTIE 1: RÉFORMES ET INVESTISSEMENTS AU TITRE DU PLAN DE RELANCE ET DE RÉSILIENCE</w:t>
      </w:r>
    </w:p>
    <w:p w14:paraId="5A8ADF1F" w14:textId="77777777" w:rsidR="00740F0F" w:rsidRPr="0029070D" w:rsidRDefault="00740F0F">
      <w:pPr>
        <w:widowControl w:val="0"/>
        <w:autoSpaceDE w:val="0"/>
        <w:autoSpaceDN w:val="0"/>
        <w:spacing w:before="6" w:after="0" w:line="240" w:lineRule="auto"/>
        <w:rPr>
          <w:rFonts w:ascii="Times New Roman" w:eastAsia="Times New Roman" w:hAnsi="Times New Roman" w:cs="Times New Roman"/>
          <w:b/>
          <w:noProof/>
          <w:kern w:val="0"/>
          <w:sz w:val="45"/>
          <w:szCs w:val="20"/>
          <w14:ligatures w14:val="none"/>
        </w:rPr>
      </w:pPr>
    </w:p>
    <w:p w14:paraId="5A8ADF20" w14:textId="77777777" w:rsidR="00740F0F" w:rsidRPr="0029070D" w:rsidRDefault="00100B64">
      <w:pPr>
        <w:widowControl w:val="0"/>
        <w:numPr>
          <w:ilvl w:val="0"/>
          <w:numId w:val="1"/>
        </w:numPr>
        <w:tabs>
          <w:tab w:val="left" w:pos="671"/>
          <w:tab w:val="left" w:pos="672"/>
        </w:tabs>
        <w:autoSpaceDE w:val="0"/>
        <w:autoSpaceDN w:val="0"/>
        <w:spacing w:before="120" w:after="0" w:line="240" w:lineRule="auto"/>
        <w:jc w:val="both"/>
        <w:outlineLvl w:val="1"/>
        <w:rPr>
          <w:rFonts w:ascii="Times New Roman" w:eastAsia="Times New Roman" w:hAnsi="Times New Roman" w:cs="Times New Roman"/>
          <w:b/>
          <w:noProof/>
          <w:kern w:val="0"/>
          <w:szCs w:val="20"/>
          <w:u w:color="000000"/>
          <w14:ligatures w14:val="none"/>
        </w:rPr>
      </w:pPr>
      <w:r>
        <w:rPr>
          <w:rFonts w:ascii="Times New Roman" w:hAnsi="Times New Roman"/>
          <w:b/>
          <w:noProof/>
          <w:u w:color="000000"/>
        </w:rPr>
        <w:t>Description des réformes et des investissements</w:t>
      </w:r>
    </w:p>
    <w:p w14:paraId="5A8ADF21" w14:textId="77777777" w:rsidR="00740F0F" w:rsidRPr="0029070D" w:rsidRDefault="00740F0F">
      <w:pPr>
        <w:widowControl w:val="0"/>
        <w:autoSpaceDE w:val="0"/>
        <w:autoSpaceDN w:val="0"/>
        <w:spacing w:before="6" w:after="0" w:line="240" w:lineRule="auto"/>
        <w:rPr>
          <w:rFonts w:ascii="Times New Roman" w:eastAsia="Times New Roman" w:hAnsi="Times New Roman" w:cs="Times New Roman"/>
          <w:b/>
          <w:noProof/>
          <w:kern w:val="0"/>
          <w:sz w:val="31"/>
          <w:szCs w:val="20"/>
          <w14:ligatures w14:val="none"/>
        </w:rPr>
      </w:pPr>
    </w:p>
    <w:p w14:paraId="5A8ADF22" w14:textId="77777777" w:rsidR="00740F0F" w:rsidRPr="0029070D" w:rsidRDefault="00100B64">
      <w:pPr>
        <w:widowControl w:val="0"/>
        <w:numPr>
          <w:ilvl w:val="1"/>
          <w:numId w:val="1"/>
        </w:numPr>
        <w:tabs>
          <w:tab w:val="left" w:pos="502"/>
        </w:tabs>
        <w:autoSpaceDE w:val="0"/>
        <w:autoSpaceDN w:val="0"/>
        <w:spacing w:before="120" w:after="0" w:line="240" w:lineRule="auto"/>
        <w:ind w:hanging="302"/>
        <w:jc w:val="left"/>
        <w:rPr>
          <w:rFonts w:ascii="Times New Roman" w:eastAsia="Times New Roman" w:hAnsi="Times New Roman" w:cs="Times New Roman"/>
          <w:b/>
          <w:noProof/>
          <w:kern w:val="0"/>
          <w:szCs w:val="20"/>
          <w14:ligatures w14:val="none"/>
        </w:rPr>
      </w:pPr>
      <w:r>
        <w:rPr>
          <w:rFonts w:ascii="Times New Roman" w:hAnsi="Times New Roman"/>
          <w:b/>
          <w:noProof/>
        </w:rPr>
        <w:t>COMPOSANTE 1: Rénovation énergétique</w:t>
      </w:r>
    </w:p>
    <w:p w14:paraId="5A8ADF23" w14:textId="77777777" w:rsidR="00740F0F" w:rsidRPr="0029070D" w:rsidRDefault="00100B64">
      <w:pPr>
        <w:widowControl w:val="0"/>
        <w:autoSpaceDE w:val="0"/>
        <w:autoSpaceDN w:val="0"/>
        <w:spacing w:before="108" w:after="0" w:line="240" w:lineRule="auto"/>
        <w:ind w:left="220" w:right="190"/>
        <w:jc w:val="both"/>
        <w:rPr>
          <w:rFonts w:ascii="Times New Roman" w:eastAsia="Times New Roman" w:hAnsi="Times New Roman" w:cs="Times New Roman"/>
          <w:noProof/>
          <w:kern w:val="0"/>
          <w14:ligatures w14:val="none"/>
        </w:rPr>
      </w:pPr>
      <w:r>
        <w:rPr>
          <w:rFonts w:ascii="Times New Roman" w:hAnsi="Times New Roman"/>
          <w:noProof/>
        </w:rPr>
        <w:t>Dans le cadre de son plan national en matière d’énergie et de climat et afin de parvenir à une réduction de 20 % de la consommation d’énergie d’ici 2030 (par rapport à 2012, objectif national fixé pour 2030), la France doit investir chaque année entre 15 et 25 milliards d’EUR supplémentaires jusqu’en 2030 dans la rénovation des bâtiments, en augmentant à la fois le rythme et l’ampleur des rénovations.</w:t>
      </w:r>
    </w:p>
    <w:p w14:paraId="5A8ADF24" w14:textId="77777777" w:rsidR="00740F0F" w:rsidRPr="0029070D" w:rsidRDefault="00100B64">
      <w:pPr>
        <w:widowControl w:val="0"/>
        <w:autoSpaceDE w:val="0"/>
        <w:autoSpaceDN w:val="0"/>
        <w:spacing w:before="130" w:after="0" w:line="237" w:lineRule="auto"/>
        <w:ind w:left="220" w:right="173"/>
        <w:jc w:val="both"/>
        <w:rPr>
          <w:rFonts w:ascii="Times New Roman" w:eastAsia="Times New Roman" w:hAnsi="Times New Roman" w:cs="Times New Roman"/>
          <w:noProof/>
          <w:kern w:val="0"/>
          <w:szCs w:val="20"/>
          <w14:ligatures w14:val="none"/>
        </w:rPr>
      </w:pPr>
      <w:r>
        <w:rPr>
          <w:rFonts w:ascii="Times New Roman" w:hAnsi="Times New Roman"/>
          <w:noProof/>
        </w:rPr>
        <w:t>Cette composante du plan français de relance et de résilience concerne les investissements et les réformes visant à améliorer l’efficacité énergétique des différents types de bâtiments: publics et privés, y compris logements privés et sociaux ainsi que bâtiments appartenant à des entreprises. Les réformes soutenant les investissements consistent i) à compléter la réforme de la politique du logement engagée avec la loi ELAN adoptée en 2018 afin d’accroître l’efficience de la dépense publique par la révision de deux dispositifs existants (APL et Pinel) et ii) à adopter une réglementation thermique révisée des bâtiments neufs (RE2020).</w:t>
      </w:r>
    </w:p>
    <w:p w14:paraId="5A8ADF25" w14:textId="77777777" w:rsidR="00740F0F" w:rsidRPr="0029070D" w:rsidRDefault="00100B64">
      <w:pPr>
        <w:widowControl w:val="0"/>
        <w:autoSpaceDE w:val="0"/>
        <w:autoSpaceDN w:val="0"/>
        <w:spacing w:before="112" w:after="0" w:line="242" w:lineRule="auto"/>
        <w:ind w:left="220" w:right="168"/>
        <w:jc w:val="both"/>
        <w:rPr>
          <w:rFonts w:ascii="Times New Roman" w:eastAsia="Times New Roman" w:hAnsi="Times New Roman" w:cs="Times New Roman"/>
          <w:noProof/>
          <w:kern w:val="0"/>
          <w:szCs w:val="20"/>
          <w14:ligatures w14:val="none"/>
        </w:rPr>
      </w:pPr>
      <w:r>
        <w:rPr>
          <w:rFonts w:ascii="Times New Roman" w:hAnsi="Times New Roman"/>
          <w:noProof/>
        </w:rPr>
        <w:t>Le bâtiment représentant environ 25 % des émissions de gaz à effet de serre (GES) en France et 45 % de la consommation énergétique finale, les investissements au titre de cette composante sont essentiels pour atteindre l’objectif d’efficacité énergétique.</w:t>
      </w:r>
    </w:p>
    <w:p w14:paraId="5A8ADF26" w14:textId="77777777" w:rsidR="00740F0F" w:rsidRPr="0029070D" w:rsidRDefault="00100B64">
      <w:pPr>
        <w:widowControl w:val="0"/>
        <w:autoSpaceDE w:val="0"/>
        <w:autoSpaceDN w:val="0"/>
        <w:spacing w:before="124" w:after="0" w:line="240" w:lineRule="auto"/>
        <w:ind w:left="220" w:right="178"/>
        <w:jc w:val="both"/>
        <w:rPr>
          <w:rFonts w:ascii="Times New Roman" w:eastAsia="Times New Roman" w:hAnsi="Times New Roman" w:cs="Times New Roman"/>
          <w:noProof/>
          <w:kern w:val="0"/>
          <w:szCs w:val="20"/>
          <w14:ligatures w14:val="none"/>
        </w:rPr>
      </w:pPr>
      <w:r>
        <w:rPr>
          <w:rFonts w:ascii="Times New Roman" w:hAnsi="Times New Roman"/>
          <w:noProof/>
        </w:rPr>
        <w:t>Ces investissements et réformes contribuent à répondre aux recommandations par pays adressées à la France au cours des deux dernières années sur la nécessité d’«axer la politique économique en matière d’investissements sur […] l’efficacité énergétique» (recommandation 3 de 2019) et de «concentrer les investissements sur la transition verte […], en particulier sur […] une production et une consommation d’énergie propre et efficace» (recommandation 3 de 2020).</w:t>
      </w:r>
    </w:p>
    <w:p w14:paraId="5A8ADF27" w14:textId="77777777" w:rsidR="00740F0F" w:rsidRPr="0029070D" w:rsidRDefault="00100B64">
      <w:pPr>
        <w:widowControl w:val="0"/>
        <w:autoSpaceDE w:val="0"/>
        <w:autoSpaceDN w:val="0"/>
        <w:spacing w:before="113" w:after="0" w:line="240" w:lineRule="auto"/>
        <w:ind w:left="220" w:right="187"/>
        <w:jc w:val="both"/>
        <w:rPr>
          <w:rFonts w:ascii="Times New Roman" w:eastAsia="Times New Roman" w:hAnsi="Times New Roman" w:cs="Times New Roman"/>
          <w:noProof/>
          <w:kern w:val="0"/>
          <w:szCs w:val="20"/>
          <w14:ligatures w14:val="none"/>
        </w:rPr>
      </w:pPr>
      <w:r>
        <w:rPr>
          <w:rFonts w:ascii="Times New Roman" w:hAnsi="Times New Roman"/>
          <w:noProof/>
        </w:rPr>
        <w:t>Aucune mesure relevant de cette composante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w:t>
      </w:r>
    </w:p>
    <w:p w14:paraId="5A8ADF28" w14:textId="77777777" w:rsidR="00740F0F" w:rsidRPr="00E409C3" w:rsidRDefault="00100B64" w:rsidP="00E409C3">
      <w:pPr>
        <w:widowControl w:val="0"/>
        <w:numPr>
          <w:ilvl w:val="2"/>
          <w:numId w:val="1"/>
        </w:numPr>
        <w:autoSpaceDE w:val="0"/>
        <w:autoSpaceDN w:val="0"/>
        <w:spacing w:before="221" w:after="0" w:line="240" w:lineRule="auto"/>
        <w:ind w:left="851"/>
        <w:jc w:val="left"/>
        <w:outlineLvl w:val="1"/>
        <w:rPr>
          <w:rFonts w:ascii="Times New Roman" w:eastAsia="Times New Roman" w:hAnsi="Times New Roman" w:cs="Times New Roman"/>
          <w:b/>
          <w:noProof/>
          <w:kern w:val="0"/>
          <w:szCs w:val="20"/>
          <w:u w:val="single"/>
          <w14:ligatures w14:val="none"/>
        </w:rPr>
      </w:pPr>
      <w:r>
        <w:rPr>
          <w:rFonts w:ascii="Times New Roman" w:hAnsi="Times New Roman"/>
          <w:b/>
          <w:noProof/>
          <w:u w:val="single"/>
        </w:rPr>
        <w:t>Description des réformes et des investissements en vue du soutien financier non remboursable</w:t>
      </w:r>
    </w:p>
    <w:p w14:paraId="5A8ADF29" w14:textId="77777777" w:rsidR="00740F0F" w:rsidRPr="0029070D" w:rsidRDefault="00100B64">
      <w:pPr>
        <w:widowControl w:val="0"/>
        <w:autoSpaceDE w:val="0"/>
        <w:autoSpaceDN w:val="0"/>
        <w:spacing w:before="125" w:after="0" w:line="240" w:lineRule="auto"/>
        <w:ind w:left="220"/>
        <w:rPr>
          <w:rFonts w:ascii="Times New Roman" w:eastAsia="Times New Roman" w:hAnsi="Times New Roman" w:cs="Times New Roman"/>
          <w:noProof/>
          <w:kern w:val="0"/>
          <w:szCs w:val="20"/>
          <w14:ligatures w14:val="none"/>
        </w:rPr>
      </w:pPr>
      <w:r>
        <w:rPr>
          <w:rFonts w:ascii="Times New Roman" w:hAnsi="Times New Roman"/>
          <w:noProof/>
          <w:u w:val="single"/>
        </w:rPr>
        <w:t>Réforme 1 (C1.R1): politique du logement</w:t>
      </w:r>
    </w:p>
    <w:p w14:paraId="5A8ADF2A" w14:textId="77777777" w:rsidR="00740F0F" w:rsidRPr="0029070D" w:rsidRDefault="00100B64">
      <w:pPr>
        <w:widowControl w:val="0"/>
        <w:autoSpaceDE w:val="0"/>
        <w:autoSpaceDN w:val="0"/>
        <w:spacing w:before="115" w:after="0" w:line="240" w:lineRule="auto"/>
        <w:ind w:left="220"/>
        <w:rPr>
          <w:rFonts w:ascii="Times New Roman" w:eastAsia="Times New Roman" w:hAnsi="Times New Roman" w:cs="Times New Roman"/>
          <w:noProof/>
          <w:kern w:val="0"/>
          <w:szCs w:val="20"/>
          <w14:ligatures w14:val="none"/>
        </w:rPr>
      </w:pPr>
      <w:r>
        <w:rPr>
          <w:rFonts w:ascii="Times New Roman" w:hAnsi="Times New Roman"/>
          <w:noProof/>
        </w:rPr>
        <w:t>La mesure comprend deux objectifs distincts destinés à être mis en œuvre en deux étapes.</w:t>
      </w:r>
    </w:p>
    <w:p w14:paraId="5A8ADF2B" w14:textId="77777777" w:rsidR="00740F0F" w:rsidRPr="0029070D" w:rsidRDefault="00100B64">
      <w:pPr>
        <w:widowControl w:val="0"/>
        <w:autoSpaceDE w:val="0"/>
        <w:autoSpaceDN w:val="0"/>
        <w:spacing w:before="116" w:after="0" w:line="240" w:lineRule="auto"/>
        <w:ind w:left="220" w:right="187"/>
        <w:jc w:val="both"/>
        <w:rPr>
          <w:rFonts w:ascii="Times New Roman" w:eastAsia="Times New Roman" w:hAnsi="Times New Roman" w:cs="Times New Roman"/>
          <w:noProof/>
          <w:kern w:val="0"/>
          <w:szCs w:val="20"/>
          <w14:ligatures w14:val="none"/>
        </w:rPr>
      </w:pPr>
      <w:r>
        <w:rPr>
          <w:rFonts w:ascii="Times New Roman" w:hAnsi="Times New Roman"/>
          <w:noProof/>
        </w:rPr>
        <w:t>La révision des modalités de calcul des APL (aides personnelles au logement): le montant des aides sera calculé à partir du 1</w:t>
      </w:r>
      <w:r>
        <w:rPr>
          <w:rFonts w:ascii="Times New Roman" w:hAnsi="Times New Roman"/>
          <w:noProof/>
          <w:vertAlign w:val="superscript"/>
        </w:rPr>
        <w:t>er</w:t>
      </w:r>
      <w:r>
        <w:rPr>
          <w:rFonts w:ascii="Times New Roman" w:hAnsi="Times New Roman"/>
          <w:noProof/>
        </w:rPr>
        <w:t> janvier 2021 sur la base des revenus contemporains du ménage allocataire, et non sur les revenus de l’avant-dernière année. Il s’agit d’une réforme de justice sociale qui permettra au dispositif de s’adapter plus rapidement aux variations de revenu des allocataires. L’aide sera par ailleurs recalculée tous les trimestres, ce qui permettra une prise en compte progressive des évolutions récentes de revenus.</w:t>
      </w:r>
    </w:p>
    <w:p w14:paraId="5A8ADF2C" w14:textId="77777777" w:rsidR="00740F0F" w:rsidRPr="0029070D" w:rsidRDefault="00100B64">
      <w:pPr>
        <w:widowControl w:val="0"/>
        <w:autoSpaceDE w:val="0"/>
        <w:autoSpaceDN w:val="0"/>
        <w:spacing w:before="63" w:after="0" w:line="237" w:lineRule="auto"/>
        <w:ind w:left="220" w:right="182"/>
        <w:jc w:val="both"/>
        <w:rPr>
          <w:rFonts w:ascii="Times New Roman" w:eastAsia="Times New Roman" w:hAnsi="Times New Roman" w:cs="Times New Roman"/>
          <w:noProof/>
          <w:kern w:val="0"/>
          <w:szCs w:val="20"/>
          <w14:ligatures w14:val="none"/>
        </w:rPr>
      </w:pPr>
      <w:r>
        <w:rPr>
          <w:rFonts w:ascii="Times New Roman" w:hAnsi="Times New Roman"/>
          <w:noProof/>
        </w:rPr>
        <w:t>Le dispositif Pinel permet aux propriétaires bailleurs de bénéficier, dans les zones de tension du marché du logement, d’une réduction d’impôt pour l’achat d’un logement neuf ou la réhabilitation d’un logement ancien mis en location sous conditions de ressources du locataire et de niveau de loyer. La loi de finances 2021 prévoit une baisse progressive du taux de la réduction d’impôt en 2023 et en 2024, sauf pour les logements situés dans un quartier prioritaire de la politique de la ville ou qui respectent un niveau de qualité, en particulier en matière de performance énergétique et environnementale, supérieur à la réglementation. Cette même loi prévoit de mettre un terme au dispositif d’ici à la fin de 2024. Parallèlement, la loi de finances 2022 inclut des mesures favorables à la production de logements locatifs de milieu de gamme principalement financés par les investisseurs institutionnels, afin d’améliorer l’offre de logements abordables dans les zones où le marché est tendu, là où les besoins sont les plus importants.</w:t>
      </w:r>
    </w:p>
    <w:p w14:paraId="5A8ADF2D" w14:textId="77777777" w:rsidR="00740F0F" w:rsidRPr="0029070D" w:rsidRDefault="00100B64">
      <w:pPr>
        <w:widowControl w:val="0"/>
        <w:autoSpaceDE w:val="0"/>
        <w:autoSpaceDN w:val="0"/>
        <w:spacing w:before="222" w:after="0" w:line="240" w:lineRule="auto"/>
        <w:ind w:left="220"/>
        <w:jc w:val="both"/>
        <w:rPr>
          <w:rFonts w:ascii="Times New Roman" w:eastAsia="Times New Roman" w:hAnsi="Times New Roman" w:cs="Times New Roman"/>
          <w:noProof/>
          <w:kern w:val="0"/>
          <w14:ligatures w14:val="none"/>
        </w:rPr>
      </w:pPr>
      <w:r>
        <w:rPr>
          <w:rFonts w:ascii="Times New Roman" w:hAnsi="Times New Roman"/>
          <w:noProof/>
          <w:u w:val="single"/>
        </w:rPr>
        <w:t>Réforme 2 (C1.R2): révision de la réglementation thermique avec la RE2020</w:t>
      </w:r>
    </w:p>
    <w:p w14:paraId="5A8ADF2E" w14:textId="77777777" w:rsidR="00740F0F" w:rsidRPr="0029070D" w:rsidRDefault="00100B64">
      <w:pPr>
        <w:widowControl w:val="0"/>
        <w:autoSpaceDE w:val="0"/>
        <w:autoSpaceDN w:val="0"/>
        <w:spacing w:before="97" w:after="0" w:line="242" w:lineRule="auto"/>
        <w:ind w:left="220" w:right="176"/>
        <w:jc w:val="both"/>
        <w:rPr>
          <w:rFonts w:ascii="Times New Roman" w:eastAsia="Times New Roman" w:hAnsi="Times New Roman" w:cs="Times New Roman"/>
          <w:noProof/>
        </w:rPr>
      </w:pPr>
      <w:r>
        <w:rPr>
          <w:rFonts w:ascii="Times New Roman" w:hAnsi="Times New Roman"/>
          <w:noProof/>
        </w:rPr>
        <w:t>L’objectif de cette mesure est de remplacer la réglementation thermique des bâtiments (RT2012) par une nouvelle réglementation thermique et environnementale des bâtiments (RE2020).</w:t>
      </w:r>
    </w:p>
    <w:p w14:paraId="5A8ADF2F" w14:textId="77777777" w:rsidR="00740F0F" w:rsidRPr="0029070D" w:rsidRDefault="00100B64">
      <w:pPr>
        <w:widowControl w:val="0"/>
        <w:autoSpaceDE w:val="0"/>
        <w:autoSpaceDN w:val="0"/>
        <w:spacing w:before="97" w:after="0" w:line="242" w:lineRule="auto"/>
        <w:ind w:left="220" w:right="176"/>
        <w:jc w:val="both"/>
        <w:rPr>
          <w:rFonts w:ascii="Times New Roman" w:eastAsia="Times New Roman" w:hAnsi="Times New Roman" w:cs="Times New Roman"/>
          <w:noProof/>
        </w:rPr>
      </w:pPr>
      <w:r>
        <w:rPr>
          <w:rFonts w:ascii="Times New Roman" w:hAnsi="Times New Roman"/>
          <w:noProof/>
        </w:rPr>
        <w:t>Cette mesure consiste en l’entrée en vigueur d’exigences légales concernant i) la sobriété énergétique et la décarbonation de l’énergie consommée, ii) la diminution de l’impact carbone des bâtiments neufs et iii) l’adaptation des bâtiments neufs au changement climatique.</w:t>
      </w:r>
    </w:p>
    <w:p w14:paraId="5A8ADF30" w14:textId="77777777" w:rsidR="00740F0F" w:rsidRPr="0029070D" w:rsidRDefault="00100B64">
      <w:pPr>
        <w:widowControl w:val="0"/>
        <w:autoSpaceDE w:val="0"/>
        <w:autoSpaceDN w:val="0"/>
        <w:spacing w:before="236"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1 (C1.I1): rénovation énergétique des logements privés, y compris les passoires énergétiques</w:t>
      </w:r>
    </w:p>
    <w:p w14:paraId="5A8ADF31" w14:textId="77777777" w:rsidR="00740F0F" w:rsidRPr="0029070D" w:rsidRDefault="00100B64">
      <w:pPr>
        <w:widowControl w:val="0"/>
        <w:autoSpaceDE w:val="0"/>
        <w:autoSpaceDN w:val="0"/>
        <w:spacing w:before="130" w:after="0" w:line="240" w:lineRule="auto"/>
        <w:ind w:left="220" w:right="176"/>
        <w:jc w:val="both"/>
        <w:rPr>
          <w:rFonts w:ascii="Times New Roman" w:eastAsia="Times New Roman" w:hAnsi="Times New Roman" w:cs="Times New Roman"/>
          <w:noProof/>
          <w:kern w:val="0"/>
          <w:szCs w:val="20"/>
          <w14:ligatures w14:val="none"/>
        </w:rPr>
      </w:pPr>
      <w:r>
        <w:rPr>
          <w:rFonts w:ascii="Times New Roman" w:hAnsi="Times New Roman"/>
          <w:noProof/>
        </w:rPr>
        <w:t>Le plan français de relance et de résilience financera un dispositif d’aides (MaPrimeRénov’) allouées aux propriétaires afin de contribuer au financement de travaux d’isolation, de chauffage, de ventilation ou d’audit énergétique pour les maisons individuelles ou les appartements en habitat collectif. Tous les dossiers MaPrimeRénov’ financés par le plan seront notifiés aux propriétaires pour les projets de rénovation éligibles avant la fin de l’année 2022. Afin de garantir les normes de qualité des travaux bénéficiant d’un soutien, les travaux de rénovation sont réalisés par des entreprises portant le label RGE (reconnu garant de l’environnement).</w:t>
      </w:r>
    </w:p>
    <w:p w14:paraId="5A8ADF32" w14:textId="77777777" w:rsidR="00740F0F" w:rsidRPr="0029070D" w:rsidRDefault="00100B64">
      <w:pPr>
        <w:widowControl w:val="0"/>
        <w:autoSpaceDE w:val="0"/>
        <w:autoSpaceDN w:val="0"/>
        <w:spacing w:before="116" w:after="0" w:line="247" w:lineRule="auto"/>
        <w:ind w:left="220" w:right="209"/>
        <w:jc w:val="both"/>
        <w:rPr>
          <w:rFonts w:ascii="Times New Roman" w:eastAsia="Times New Roman" w:hAnsi="Times New Roman" w:cs="Times New Roman"/>
          <w:noProof/>
          <w:kern w:val="0"/>
          <w:szCs w:val="20"/>
          <w14:ligatures w14:val="none"/>
        </w:rPr>
      </w:pPr>
      <w:r>
        <w:rPr>
          <w:rFonts w:ascii="Times New Roman" w:hAnsi="Times New Roman"/>
          <w:noProof/>
        </w:rPr>
        <w:t>Le montant de la prime varie en fonction des matériaux, des équipements et des travaux réalisés éligibles, jusqu’à un plafond de</w:t>
      </w:r>
      <w:r>
        <w:rPr>
          <w:rFonts w:ascii="Times New Roman" w:hAnsi="Times New Roman"/>
          <w:noProof/>
          <w:sz w:val="20"/>
        </w:rPr>
        <w:t xml:space="preserve"> </w:t>
      </w:r>
      <w:r>
        <w:rPr>
          <w:rFonts w:ascii="Times New Roman" w:hAnsi="Times New Roman"/>
          <w:noProof/>
        </w:rPr>
        <w:t>20</w:t>
      </w:r>
      <w:r>
        <w:rPr>
          <w:rFonts w:ascii="Times New Roman" w:hAnsi="Times New Roman"/>
          <w:noProof/>
          <w:sz w:val="20"/>
        </w:rPr>
        <w:t> </w:t>
      </w:r>
      <w:r>
        <w:rPr>
          <w:rFonts w:ascii="Times New Roman" w:hAnsi="Times New Roman"/>
          <w:noProof/>
        </w:rPr>
        <w:t>000 EUR pour une période de 5 ans maximum.</w:t>
      </w:r>
    </w:p>
    <w:p w14:paraId="5A8ADF33" w14:textId="77777777" w:rsidR="00740F0F" w:rsidRPr="0029070D" w:rsidRDefault="00100B64">
      <w:pPr>
        <w:widowControl w:val="0"/>
        <w:autoSpaceDE w:val="0"/>
        <w:autoSpaceDN w:val="0"/>
        <w:spacing w:before="106" w:after="0" w:line="240" w:lineRule="auto"/>
        <w:ind w:left="220" w:right="187"/>
        <w:jc w:val="both"/>
        <w:rPr>
          <w:rFonts w:ascii="Times New Roman" w:eastAsia="Times New Roman" w:hAnsi="Times New Roman" w:cs="Times New Roman"/>
          <w:noProof/>
          <w:kern w:val="0"/>
          <w:szCs w:val="20"/>
          <w14:ligatures w14:val="none"/>
        </w:rPr>
      </w:pPr>
      <w:r>
        <w:rPr>
          <w:rFonts w:ascii="Times New Roman" w:hAnsi="Times New Roman"/>
          <w:noProof/>
        </w:rPr>
        <w:t>Depuis octobre 2020, MaPrimeRénov’ est ouverte à tous les propriétaires, quels que soient leurs revenus. Toutefois, l’intensité de l’aide varie en fonction des revenus des ménages (pour les ménages modestes, l’aide peut atteindre 90 % du montant estimé des travaux). En outre, les propriétaires bailleurs peuvent également bénéficier de MaPrimeRénov’.</w:t>
      </w:r>
    </w:p>
    <w:p w14:paraId="5A8ADF34" w14:textId="29D6ED81" w:rsidR="00740F0F" w:rsidRPr="0029070D" w:rsidRDefault="00100B64">
      <w:pPr>
        <w:widowControl w:val="0"/>
        <w:autoSpaceDE w:val="0"/>
        <w:autoSpaceDN w:val="0"/>
        <w:spacing w:before="130" w:after="0" w:line="242" w:lineRule="auto"/>
        <w:ind w:left="220" w:right="183"/>
        <w:jc w:val="both"/>
        <w:rPr>
          <w:rFonts w:ascii="Times New Roman" w:eastAsia="Times New Roman" w:hAnsi="Times New Roman" w:cs="Times New Roman"/>
          <w:noProof/>
          <w:kern w:val="0"/>
          <w:szCs w:val="20"/>
          <w14:ligatures w14:val="none"/>
        </w:rPr>
      </w:pPr>
      <w:r>
        <w:rPr>
          <w:rFonts w:ascii="Times New Roman" w:hAnsi="Times New Roman"/>
          <w:noProof/>
        </w:rPr>
        <w:t>MaPrimeRénov’ Copropriétés permet quant à elle de financer les travaux réalisés dans les parties communes d’une copropriété: il s’agit d’une aide ponctuelle versée au syndicat de copropriétaires pour financer des travaux de rénovation globale permettant un gain énergétique minimal de 35 %. Toutes les copropriétés composées d’au moins 75 % de résidences principales (c’est-à-dire pas d’entreprises) sont éligibles à MaPrimeRénov’ Copropriétés, avec un plafond de</w:t>
      </w:r>
      <w:r>
        <w:rPr>
          <w:rFonts w:ascii="Times New Roman" w:hAnsi="Times New Roman"/>
          <w:noProof/>
          <w:sz w:val="20"/>
        </w:rPr>
        <w:t xml:space="preserve"> </w:t>
      </w:r>
      <w:r>
        <w:rPr>
          <w:rFonts w:ascii="Times New Roman" w:hAnsi="Times New Roman"/>
          <w:noProof/>
        </w:rPr>
        <w:t>3</w:t>
      </w:r>
      <w:r>
        <w:rPr>
          <w:rFonts w:ascii="Times New Roman" w:hAnsi="Times New Roman"/>
          <w:noProof/>
          <w:sz w:val="20"/>
        </w:rPr>
        <w:t> </w:t>
      </w:r>
      <w:r>
        <w:rPr>
          <w:rFonts w:ascii="Times New Roman" w:hAnsi="Times New Roman"/>
          <w:noProof/>
        </w:rPr>
        <w:t>750 EUR par logement. Une bonification peut être accordée aux copropriétés ayant une étiquette d’énergie F ou G (jusqu’à 500</w:t>
      </w:r>
      <w:r>
        <w:rPr>
          <w:rFonts w:ascii="Times New Roman" w:hAnsi="Times New Roman"/>
          <w:noProof/>
          <w:sz w:val="20"/>
        </w:rPr>
        <w:t> </w:t>
      </w:r>
      <w:r>
        <w:rPr>
          <w:rFonts w:ascii="Times New Roman" w:hAnsi="Times New Roman"/>
          <w:noProof/>
        </w:rPr>
        <w:t>EUR par logement), ainsi qu’aux copropriétés dites «fragiles» ou situées dans un quartier en renouvellement urbain (jusqu’à</w:t>
      </w:r>
      <w:r>
        <w:rPr>
          <w:rFonts w:ascii="Times New Roman" w:hAnsi="Times New Roman"/>
          <w:noProof/>
          <w:sz w:val="20"/>
        </w:rPr>
        <w:t xml:space="preserve"> </w:t>
      </w:r>
      <w:r>
        <w:rPr>
          <w:rFonts w:ascii="Times New Roman" w:hAnsi="Times New Roman"/>
          <w:noProof/>
        </w:rPr>
        <w:t>3</w:t>
      </w:r>
      <w:r>
        <w:rPr>
          <w:rFonts w:ascii="Times New Roman" w:hAnsi="Times New Roman"/>
          <w:noProof/>
          <w:sz w:val="20"/>
        </w:rPr>
        <w:t> </w:t>
      </w:r>
      <w:r>
        <w:rPr>
          <w:rFonts w:ascii="Times New Roman" w:hAnsi="Times New Roman"/>
          <w:noProof/>
        </w:rPr>
        <w:t>000 EUR par logement).</w:t>
      </w:r>
    </w:p>
    <w:p w14:paraId="5A8ADF35" w14:textId="77777777" w:rsidR="00740F0F" w:rsidRPr="0029070D" w:rsidRDefault="00100B64">
      <w:pPr>
        <w:widowControl w:val="0"/>
        <w:autoSpaceDE w:val="0"/>
        <w:autoSpaceDN w:val="0"/>
        <w:spacing w:before="109" w:after="0" w:line="240" w:lineRule="auto"/>
        <w:ind w:left="220" w:right="181"/>
        <w:jc w:val="both"/>
        <w:rPr>
          <w:rFonts w:ascii="Times New Roman" w:eastAsia="Times New Roman" w:hAnsi="Times New Roman" w:cs="Times New Roman"/>
          <w:noProof/>
          <w:kern w:val="0"/>
          <w:szCs w:val="20"/>
          <w14:ligatures w14:val="none"/>
        </w:rPr>
      </w:pPr>
      <w:r>
        <w:rPr>
          <w:rFonts w:ascii="Times New Roman" w:hAnsi="Times New Roman"/>
          <w:noProof/>
        </w:rPr>
        <w:t>Le niveau de l’aide varie en fonction des économies d’énergie réalisées grâce aux travaux de rénovation. Afin de cibler les logements les plus énergivores pour respecter les ambitions fixées par la loi Énergie Climat adoptée en 2019, les propriétaires qui engagent des travaux de rénovation destinés à faire sortir leur logement du statut de passoire thermique (étiquettes d’énergie F et G) peuvent bénéficier d’une bonification complémentaire. Les propriétaires qui engagent des travaux de rénovation permettant à leur logement d’atteindre les meilleurs niveaux (étiquette A ou B) peuvent également prétendre à une bonification complémentaire. Ces bonus sont de</w:t>
      </w:r>
      <w:r>
        <w:rPr>
          <w:rFonts w:ascii="Times New Roman" w:hAnsi="Times New Roman"/>
          <w:noProof/>
          <w:sz w:val="20"/>
        </w:rPr>
        <w:t xml:space="preserve"> </w:t>
      </w:r>
      <w:r>
        <w:rPr>
          <w:rFonts w:ascii="Times New Roman" w:hAnsi="Times New Roman"/>
          <w:noProof/>
        </w:rPr>
        <w:t>1</w:t>
      </w:r>
      <w:r>
        <w:rPr>
          <w:rFonts w:ascii="Times New Roman" w:hAnsi="Times New Roman"/>
          <w:noProof/>
          <w:sz w:val="20"/>
        </w:rPr>
        <w:t> </w:t>
      </w:r>
      <w:r>
        <w:rPr>
          <w:rFonts w:ascii="Times New Roman" w:hAnsi="Times New Roman"/>
          <w:noProof/>
        </w:rPr>
        <w:t>500 EUR pour les ménages les plus modestes,</w:t>
      </w:r>
      <w:r>
        <w:rPr>
          <w:rFonts w:ascii="Times New Roman" w:hAnsi="Times New Roman"/>
          <w:noProof/>
          <w:sz w:val="20"/>
        </w:rPr>
        <w:t xml:space="preserve"> </w:t>
      </w:r>
      <w:r>
        <w:rPr>
          <w:rFonts w:ascii="Times New Roman" w:hAnsi="Times New Roman"/>
          <w:noProof/>
        </w:rPr>
        <w:t>1</w:t>
      </w:r>
      <w:r>
        <w:rPr>
          <w:rFonts w:ascii="Times New Roman" w:hAnsi="Times New Roman"/>
          <w:noProof/>
          <w:sz w:val="20"/>
        </w:rPr>
        <w:t> </w:t>
      </w:r>
      <w:r>
        <w:rPr>
          <w:rFonts w:ascii="Times New Roman" w:hAnsi="Times New Roman"/>
          <w:noProof/>
        </w:rPr>
        <w:t>000 EUR pour les ménages aux revenus intermédiaires et 500</w:t>
      </w:r>
      <w:r>
        <w:rPr>
          <w:rFonts w:ascii="Times New Roman" w:hAnsi="Times New Roman"/>
          <w:noProof/>
          <w:sz w:val="20"/>
        </w:rPr>
        <w:t> </w:t>
      </w:r>
      <w:r>
        <w:rPr>
          <w:rFonts w:ascii="Times New Roman" w:hAnsi="Times New Roman"/>
          <w:noProof/>
        </w:rPr>
        <w:t>EUR pour les ménages les plus aisés. Par ailleurs, afin d’inciter à une rénovation énergétique plus efficace (c’est-à-dire au-delà des «gestes» de rénovation), la mesure prévoit la création d’une aide à la rénovation globale sous condition d’atteindre un gain énergétique d’au moins 55 %: l’enveloppe varie entre</w:t>
      </w:r>
      <w:r>
        <w:rPr>
          <w:rFonts w:ascii="Times New Roman" w:hAnsi="Times New Roman"/>
          <w:noProof/>
          <w:sz w:val="20"/>
        </w:rPr>
        <w:t xml:space="preserve"> </w:t>
      </w:r>
      <w:r>
        <w:rPr>
          <w:rFonts w:ascii="Times New Roman" w:hAnsi="Times New Roman"/>
          <w:noProof/>
        </w:rPr>
        <w:t>3</w:t>
      </w:r>
      <w:r>
        <w:rPr>
          <w:rFonts w:ascii="Times New Roman" w:hAnsi="Times New Roman"/>
          <w:noProof/>
          <w:sz w:val="20"/>
        </w:rPr>
        <w:t> </w:t>
      </w:r>
      <w:r>
        <w:rPr>
          <w:rFonts w:ascii="Times New Roman" w:hAnsi="Times New Roman"/>
          <w:noProof/>
        </w:rPr>
        <w:t>500 EUR et</w:t>
      </w:r>
      <w:r>
        <w:rPr>
          <w:rFonts w:ascii="Times New Roman" w:hAnsi="Times New Roman"/>
          <w:noProof/>
          <w:sz w:val="20"/>
        </w:rPr>
        <w:t xml:space="preserve"> </w:t>
      </w:r>
      <w:r>
        <w:rPr>
          <w:rFonts w:ascii="Times New Roman" w:hAnsi="Times New Roman"/>
          <w:noProof/>
        </w:rPr>
        <w:t>7</w:t>
      </w:r>
      <w:r>
        <w:rPr>
          <w:rFonts w:ascii="Times New Roman" w:hAnsi="Times New Roman"/>
          <w:noProof/>
          <w:sz w:val="20"/>
        </w:rPr>
        <w:t> </w:t>
      </w:r>
      <w:r>
        <w:rPr>
          <w:rFonts w:ascii="Times New Roman" w:hAnsi="Times New Roman"/>
          <w:noProof/>
        </w:rPr>
        <w:t>000 EUR pour les ménages aux revenus intermédiaires et aisés.</w:t>
      </w:r>
    </w:p>
    <w:p w14:paraId="5A8ADF36" w14:textId="77777777" w:rsidR="00740F0F" w:rsidRPr="0029070D" w:rsidRDefault="00100B64">
      <w:pPr>
        <w:widowControl w:val="0"/>
        <w:autoSpaceDE w:val="0"/>
        <w:autoSpaceDN w:val="0"/>
        <w:spacing w:before="125" w:after="0" w:line="247" w:lineRule="auto"/>
        <w:ind w:left="220" w:right="212"/>
        <w:jc w:val="both"/>
        <w:rPr>
          <w:rFonts w:ascii="Times New Roman" w:eastAsia="Times New Roman" w:hAnsi="Times New Roman" w:cs="Times New Roman"/>
          <w:noProof/>
          <w:kern w:val="0"/>
          <w:szCs w:val="20"/>
          <w14:ligatures w14:val="none"/>
        </w:rPr>
      </w:pPr>
      <w:r>
        <w:rPr>
          <w:rFonts w:ascii="Times New Roman" w:hAnsi="Times New Roman"/>
          <w:noProof/>
        </w:rPr>
        <w:t>Globalement, les travaux de rénovation énergétique des logements privés visent à parvenir à au moins 30 % d’économies d’énergie en moyenne.</w:t>
      </w:r>
    </w:p>
    <w:p w14:paraId="5A8ADF37" w14:textId="77777777" w:rsidR="00740F0F" w:rsidRPr="0029070D" w:rsidRDefault="00100B64">
      <w:pPr>
        <w:widowControl w:val="0"/>
        <w:autoSpaceDE w:val="0"/>
        <w:autoSpaceDN w:val="0"/>
        <w:spacing w:before="195"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2 (C1.I2): rénovation énergétique et réhabilitation lourde des logements sociaux</w:t>
      </w:r>
    </w:p>
    <w:p w14:paraId="5A8ADF38" w14:textId="77777777" w:rsidR="00740F0F" w:rsidRPr="0029070D" w:rsidRDefault="00100B64">
      <w:pPr>
        <w:widowControl w:val="0"/>
        <w:autoSpaceDE w:val="0"/>
        <w:autoSpaceDN w:val="0"/>
        <w:spacing w:before="132" w:after="0" w:line="237" w:lineRule="auto"/>
        <w:ind w:left="220" w:right="174"/>
        <w:jc w:val="both"/>
        <w:rPr>
          <w:rFonts w:ascii="Times New Roman" w:eastAsia="Times New Roman" w:hAnsi="Times New Roman" w:cs="Times New Roman"/>
          <w:noProof/>
          <w:kern w:val="0"/>
          <w:szCs w:val="20"/>
          <w14:ligatures w14:val="none"/>
        </w:rPr>
      </w:pPr>
      <w:r>
        <w:rPr>
          <w:rFonts w:ascii="Times New Roman" w:hAnsi="Times New Roman"/>
          <w:noProof/>
        </w:rPr>
        <w:t>Cette mesure consiste à soutenir les organismes de logement social (offices HLM - habitation à loyer modéré) et les collectivités locales gérant des logements sociaux afin d’appuyer la rénovation en profondeur des bâtiments. L’ambition est d’atteindre les normes les plus élevées telles que le label de rénovation BBC</w:t>
      </w:r>
      <w:r w:rsidRPr="0029070D">
        <w:rPr>
          <w:rStyle w:val="FootnoteReference"/>
          <w:rFonts w:ascii="Times New Roman" w:eastAsia="Times New Roman" w:hAnsi="Times New Roman" w:cs="Times New Roman"/>
          <w:b w:val="0"/>
          <w:bCs/>
          <w:noProof/>
          <w:kern w:val="0"/>
          <w:sz w:val="20"/>
          <w:szCs w:val="20"/>
        </w:rPr>
        <w:footnoteReference w:id="2"/>
      </w:r>
      <w:r>
        <w:rPr>
          <w:rFonts w:ascii="Times New Roman" w:hAnsi="Times New Roman"/>
          <w:b/>
          <w:noProof/>
          <w:sz w:val="20"/>
        </w:rPr>
        <w:t xml:space="preserve"> </w:t>
      </w:r>
      <w:r>
        <w:rPr>
          <w:rFonts w:ascii="Times New Roman" w:hAnsi="Times New Roman"/>
          <w:noProof/>
        </w:rPr>
        <w:t>pour les projets concernant l’appel à projets «MassiReno», et d’éradiquer progressivement les passoires thermiques. L’aide est accordée sous réserve de justifier que les dispositifs existants (tels que écoPLS et CEE</w:t>
      </w:r>
      <w:r w:rsidRPr="0029070D">
        <w:rPr>
          <w:rStyle w:val="FootnoteReference"/>
          <w:rFonts w:ascii="Times New Roman" w:eastAsia="Times New Roman" w:hAnsi="Times New Roman" w:cs="Times New Roman"/>
          <w:b w:val="0"/>
          <w:bCs/>
          <w:noProof/>
          <w:kern w:val="0"/>
        </w:rPr>
        <w:footnoteReference w:id="3"/>
      </w:r>
      <w:r>
        <w:rPr>
          <w:rFonts w:ascii="Times New Roman" w:hAnsi="Times New Roman"/>
          <w:noProof/>
        </w:rPr>
        <w:t>), cumulables avec cette nouvelle aide, ne suffisent pas à financer les opérations de rénovation.</w:t>
      </w:r>
    </w:p>
    <w:p w14:paraId="5A8ADF39" w14:textId="77777777" w:rsidR="00740F0F" w:rsidRPr="0029070D" w:rsidRDefault="00100B64">
      <w:pPr>
        <w:widowControl w:val="0"/>
        <w:autoSpaceDE w:val="0"/>
        <w:autoSpaceDN w:val="0"/>
        <w:spacing w:before="111" w:after="0" w:line="247" w:lineRule="auto"/>
        <w:ind w:left="220" w:right="206"/>
        <w:jc w:val="both"/>
        <w:rPr>
          <w:rFonts w:ascii="Times New Roman" w:eastAsia="Times New Roman" w:hAnsi="Times New Roman" w:cs="Times New Roman"/>
          <w:noProof/>
          <w:kern w:val="0"/>
          <w:szCs w:val="20"/>
          <w14:ligatures w14:val="none"/>
        </w:rPr>
      </w:pPr>
      <w:r>
        <w:rPr>
          <w:rFonts w:ascii="Times New Roman" w:hAnsi="Times New Roman"/>
          <w:noProof/>
        </w:rPr>
        <w:t>La mesure déploie également des solutions industrielles pour la rénovation énergétique des bâtiments de logements sociaux afin de parvenir à une consommation nette d’énergie nulle ou positive.</w:t>
      </w:r>
    </w:p>
    <w:p w14:paraId="5A8ADF3A" w14:textId="77777777" w:rsidR="00740F0F" w:rsidRPr="0029070D" w:rsidRDefault="00100B64">
      <w:pPr>
        <w:widowControl w:val="0"/>
        <w:autoSpaceDE w:val="0"/>
        <w:autoSpaceDN w:val="0"/>
        <w:spacing w:before="106" w:after="0" w:line="242" w:lineRule="auto"/>
        <w:ind w:left="220" w:right="174"/>
        <w:jc w:val="both"/>
        <w:rPr>
          <w:rFonts w:ascii="Times New Roman" w:eastAsia="Times New Roman" w:hAnsi="Times New Roman" w:cs="Times New Roman"/>
          <w:noProof/>
          <w:kern w:val="0"/>
          <w:szCs w:val="20"/>
          <w14:ligatures w14:val="none"/>
        </w:rPr>
      </w:pPr>
      <w:r>
        <w:rPr>
          <w:rFonts w:ascii="Times New Roman" w:hAnsi="Times New Roman"/>
          <w:noProof/>
        </w:rPr>
        <w:t>Il est prévu que les premières opérations soient financées au deuxième trimestre 2021, les services de l’État allouant l’enveloppe financière au niveau régional et départemental à la suite d’une enquête de remontée des besoins. La sélection des projets s’effectue soit par un appel à projets lancé en 2020, soit par le biais de subventions gérées par les services déconcentrés de l’État ou les collectivités locales. Les travaux doivent être engagés en 2021 et 2022, et achevés d’ici fin 2026.</w:t>
      </w:r>
    </w:p>
    <w:p w14:paraId="5A8ADF3B" w14:textId="77777777" w:rsidR="00740F0F" w:rsidRPr="0029070D" w:rsidRDefault="00100B64">
      <w:pPr>
        <w:widowControl w:val="0"/>
        <w:autoSpaceDE w:val="0"/>
        <w:autoSpaceDN w:val="0"/>
        <w:spacing w:before="195"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3 (C1.I3): rénovation thermique des bâtiments publics</w:t>
      </w:r>
    </w:p>
    <w:p w14:paraId="5A8ADF3C" w14:textId="77777777" w:rsidR="00740F0F" w:rsidRPr="0029070D" w:rsidRDefault="00100B64">
      <w:pPr>
        <w:widowControl w:val="0"/>
        <w:autoSpaceDE w:val="0"/>
        <w:autoSpaceDN w:val="0"/>
        <w:spacing w:before="141" w:after="0" w:line="228" w:lineRule="auto"/>
        <w:ind w:left="220" w:right="167"/>
        <w:jc w:val="both"/>
        <w:rPr>
          <w:rFonts w:ascii="Times New Roman" w:eastAsia="Times New Roman" w:hAnsi="Times New Roman" w:cs="Times New Roman"/>
          <w:noProof/>
          <w:kern w:val="0"/>
          <w:szCs w:val="20"/>
          <w14:ligatures w14:val="none"/>
        </w:rPr>
      </w:pPr>
      <w:r>
        <w:rPr>
          <w:rFonts w:ascii="Times New Roman" w:hAnsi="Times New Roman"/>
          <w:noProof/>
        </w:rPr>
        <w:t>Les travaux de rénovation des bâtiments publics doivent être conformes au décret adopté en application de l’article 175 de la loi ELAN, qui impose aux bâtiments tertiaires une réduction de la consommation d’énergie de 40 % d’ici 2030 (par rapport à 2010). Deux appels à projets ont été organisés pour les bâtiments de l’État:</w:t>
      </w:r>
    </w:p>
    <w:p w14:paraId="5A8ADF3D" w14:textId="77777777" w:rsidR="00740F0F" w:rsidRPr="0029070D" w:rsidRDefault="00100B64">
      <w:pPr>
        <w:widowControl w:val="0"/>
        <w:numPr>
          <w:ilvl w:val="0"/>
          <w:numId w:val="2"/>
        </w:numPr>
        <w:tabs>
          <w:tab w:val="left" w:pos="640"/>
          <w:tab w:val="left" w:pos="641"/>
        </w:tabs>
        <w:autoSpaceDE w:val="0"/>
        <w:autoSpaceDN w:val="0"/>
        <w:spacing w:before="128" w:after="0" w:line="242" w:lineRule="auto"/>
        <w:ind w:right="200"/>
        <w:rPr>
          <w:rFonts w:ascii="Times New Roman" w:eastAsia="Times New Roman" w:hAnsi="Times New Roman" w:cs="Times New Roman"/>
          <w:noProof/>
          <w:kern w:val="0"/>
          <w:szCs w:val="20"/>
          <w14:ligatures w14:val="none"/>
        </w:rPr>
      </w:pPr>
      <w:r>
        <w:rPr>
          <w:rFonts w:ascii="Times New Roman" w:hAnsi="Times New Roman"/>
          <w:noProof/>
        </w:rPr>
        <w:t>un premier concernant les bâtiments d’enseignement supérieur et de recherche et des œuvres universitaires, lancé et supervisé par le ministère de l’enseignement supérieur, de la recherche et de l’innovation;</w:t>
      </w:r>
    </w:p>
    <w:p w14:paraId="5A8ADF3E" w14:textId="77777777" w:rsidR="00740F0F" w:rsidRPr="0029070D" w:rsidRDefault="00100B64">
      <w:pPr>
        <w:widowControl w:val="0"/>
        <w:numPr>
          <w:ilvl w:val="0"/>
          <w:numId w:val="2"/>
        </w:numPr>
        <w:tabs>
          <w:tab w:val="left" w:pos="640"/>
          <w:tab w:val="left" w:pos="641"/>
        </w:tabs>
        <w:autoSpaceDE w:val="0"/>
        <w:autoSpaceDN w:val="0"/>
        <w:spacing w:before="82" w:after="0" w:line="244" w:lineRule="auto"/>
        <w:ind w:right="193" w:hanging="346"/>
        <w:rPr>
          <w:rFonts w:ascii="Times New Roman" w:eastAsia="Times New Roman" w:hAnsi="Times New Roman" w:cs="Times New Roman"/>
          <w:noProof/>
          <w:kern w:val="0"/>
          <w:szCs w:val="20"/>
          <w14:ligatures w14:val="none"/>
        </w:rPr>
      </w:pPr>
      <w:r>
        <w:rPr>
          <w:rFonts w:ascii="Times New Roman" w:hAnsi="Times New Roman"/>
          <w:noProof/>
        </w:rPr>
        <w:t>un second pour l’ensemble des autres bâtiments de l’État ou de ses opérateurs, lancé et principalement supervisé par la Direction de l’immobilier de l’État (DIE).</w:t>
      </w:r>
    </w:p>
    <w:p w14:paraId="5A8ADF3F" w14:textId="77777777" w:rsidR="00740F0F" w:rsidRPr="0029070D" w:rsidRDefault="00100B64">
      <w:pPr>
        <w:widowControl w:val="0"/>
        <w:autoSpaceDE w:val="0"/>
        <w:autoSpaceDN w:val="0"/>
        <w:spacing w:before="170" w:after="0" w:line="247" w:lineRule="auto"/>
        <w:ind w:left="220" w:right="189"/>
        <w:jc w:val="both"/>
        <w:rPr>
          <w:rFonts w:ascii="Times New Roman" w:eastAsia="Times New Roman" w:hAnsi="Times New Roman" w:cs="Times New Roman"/>
          <w:noProof/>
          <w:kern w:val="0"/>
          <w:szCs w:val="20"/>
          <w14:ligatures w14:val="none"/>
        </w:rPr>
      </w:pPr>
      <w:r>
        <w:rPr>
          <w:rFonts w:ascii="Times New Roman" w:hAnsi="Times New Roman"/>
          <w:noProof/>
        </w:rPr>
        <w:t>Le premier des deux appels à projets a été lancé à l’automne 2020, et plus de 4</w:t>
      </w:r>
      <w:r>
        <w:rPr>
          <w:rFonts w:ascii="Times New Roman" w:hAnsi="Times New Roman"/>
          <w:noProof/>
          <w:sz w:val="20"/>
        </w:rPr>
        <w:t> </w:t>
      </w:r>
      <w:r>
        <w:rPr>
          <w:rFonts w:ascii="Times New Roman" w:hAnsi="Times New Roman"/>
          <w:noProof/>
        </w:rPr>
        <w:t>000 projets ont été sélectionnés en décembre 2020.</w:t>
      </w:r>
    </w:p>
    <w:p w14:paraId="5A8ADF40" w14:textId="77777777" w:rsidR="00740F0F" w:rsidRPr="0029070D" w:rsidRDefault="00100B64">
      <w:pPr>
        <w:widowControl w:val="0"/>
        <w:autoSpaceDE w:val="0"/>
        <w:autoSpaceDN w:val="0"/>
        <w:spacing w:before="106"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rPr>
        <w:t>Pour les bâtiments appartenant aux collectivités locales et régionales, des mécanismes spécifiques sont en place:</w:t>
      </w:r>
    </w:p>
    <w:p w14:paraId="5A8ADF41" w14:textId="77777777" w:rsidR="00740F0F" w:rsidRPr="0029070D" w:rsidRDefault="00100B64">
      <w:pPr>
        <w:widowControl w:val="0"/>
        <w:numPr>
          <w:ilvl w:val="0"/>
          <w:numId w:val="2"/>
        </w:numPr>
        <w:tabs>
          <w:tab w:val="left" w:pos="641"/>
        </w:tabs>
        <w:autoSpaceDE w:val="0"/>
        <w:autoSpaceDN w:val="0"/>
        <w:spacing w:before="126" w:after="0" w:line="254" w:lineRule="auto"/>
        <w:ind w:right="207"/>
        <w:jc w:val="both"/>
        <w:rPr>
          <w:rFonts w:ascii="Times New Roman" w:eastAsia="Times New Roman" w:hAnsi="Times New Roman" w:cs="Times New Roman"/>
          <w:noProof/>
          <w:kern w:val="0"/>
          <w:szCs w:val="20"/>
          <w14:ligatures w14:val="none"/>
        </w:rPr>
      </w:pPr>
      <w:r>
        <w:rPr>
          <w:rFonts w:ascii="Times New Roman" w:hAnsi="Times New Roman"/>
          <w:noProof/>
        </w:rPr>
        <w:t>pour les bâtiments appartenant ou exploités par les collectivités territoriales (principalement les lycées), des «délégations de crédit» sont attribuées par l’État, et les régions sont chargées de la sélection des projets;</w:t>
      </w:r>
    </w:p>
    <w:p w14:paraId="5A8ADF42" w14:textId="77777777" w:rsidR="00740F0F" w:rsidRPr="0029070D" w:rsidRDefault="00100B64">
      <w:pPr>
        <w:widowControl w:val="0"/>
        <w:numPr>
          <w:ilvl w:val="0"/>
          <w:numId w:val="2"/>
        </w:numPr>
        <w:tabs>
          <w:tab w:val="left" w:pos="641"/>
        </w:tabs>
        <w:autoSpaceDE w:val="0"/>
        <w:autoSpaceDN w:val="0"/>
        <w:spacing w:before="16" w:after="0" w:line="244" w:lineRule="auto"/>
        <w:ind w:right="197" w:hanging="346"/>
        <w:jc w:val="both"/>
        <w:rPr>
          <w:rFonts w:ascii="Times New Roman" w:eastAsia="Times New Roman" w:hAnsi="Times New Roman" w:cs="Times New Roman"/>
          <w:noProof/>
          <w:kern w:val="0"/>
          <w:szCs w:val="20"/>
          <w14:ligatures w14:val="none"/>
        </w:rPr>
      </w:pPr>
      <w:r>
        <w:rPr>
          <w:rFonts w:ascii="Times New Roman" w:hAnsi="Times New Roman"/>
          <w:noProof/>
        </w:rPr>
        <w:t>pour les bâtiments appartenant aux collectivités infrarégionales</w:t>
      </w:r>
      <w:r w:rsidRPr="0029070D">
        <w:rPr>
          <w:rStyle w:val="FootnoteReference"/>
          <w:rFonts w:ascii="Times New Roman" w:eastAsia="Times New Roman" w:hAnsi="Times New Roman" w:cs="Times New Roman"/>
          <w:b w:val="0"/>
          <w:bCs/>
          <w:noProof/>
          <w:kern w:val="0"/>
        </w:rPr>
        <w:footnoteReference w:id="4"/>
      </w:r>
      <w:r>
        <w:rPr>
          <w:rFonts w:ascii="Times New Roman" w:hAnsi="Times New Roman"/>
          <w:noProof/>
        </w:rPr>
        <w:t xml:space="preserve"> (principalement les écoles et les collèges), les subventions d’investissement sont allouées par l’État.</w:t>
      </w:r>
    </w:p>
    <w:p w14:paraId="5A8ADF43" w14:textId="356225B0" w:rsidR="00740F0F" w:rsidRPr="0029070D" w:rsidRDefault="00100B64">
      <w:pPr>
        <w:widowControl w:val="0"/>
        <w:autoSpaceDE w:val="0"/>
        <w:autoSpaceDN w:val="0"/>
        <w:spacing w:before="187" w:after="0" w:line="240" w:lineRule="auto"/>
        <w:ind w:left="220" w:right="197"/>
        <w:jc w:val="both"/>
        <w:rPr>
          <w:rFonts w:ascii="Times New Roman" w:eastAsia="Times New Roman" w:hAnsi="Times New Roman" w:cs="Times New Roman"/>
          <w:noProof/>
          <w:kern w:val="0"/>
          <w:szCs w:val="20"/>
          <w14:ligatures w14:val="none"/>
        </w:rPr>
      </w:pPr>
      <w:r>
        <w:rPr>
          <w:rFonts w:ascii="Times New Roman" w:hAnsi="Times New Roman"/>
          <w:noProof/>
        </w:rPr>
        <w:t>Les projets sont sélectionnés selon deux critères principaux: leur maturité (et mise en œuvre rapide), d’une part, et leur performance énergétique et impact sur la consommation d’énergie, d’autre part, l’objectif étant de réaliser au moins 30 % d’économies d’énergie en moyenne. Pour tous les bâtiments publics, l’objectif est la notification de tous les marchés d’ici la fin de 2021 et l’achèvement des travaux d’ici la fin de 2024.</w:t>
      </w:r>
    </w:p>
    <w:p w14:paraId="5A8ADF44" w14:textId="77777777" w:rsidR="00740F0F" w:rsidRPr="0029070D" w:rsidRDefault="00100B64">
      <w:pPr>
        <w:widowControl w:val="0"/>
        <w:autoSpaceDE w:val="0"/>
        <w:autoSpaceDN w:val="0"/>
        <w:spacing w:before="219" w:after="0" w:line="235" w:lineRule="auto"/>
        <w:ind w:left="220" w:right="183"/>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4 (C1.I4): rénovation énergétique des très petites entreprises (TPE)</w:t>
      </w:r>
      <w:r>
        <w:rPr>
          <w:rFonts w:ascii="Times New Roman" w:hAnsi="Times New Roman"/>
          <w:noProof/>
        </w:rPr>
        <w:t xml:space="preserve"> </w:t>
      </w:r>
      <w:r>
        <w:rPr>
          <w:rFonts w:ascii="Times New Roman" w:hAnsi="Times New Roman"/>
          <w:noProof/>
          <w:u w:val="single"/>
        </w:rPr>
        <w:t>et des petites et moyennes entreprises (PME)</w:t>
      </w:r>
    </w:p>
    <w:p w14:paraId="5A8ADF45" w14:textId="77777777" w:rsidR="00740F0F" w:rsidRPr="0029070D" w:rsidRDefault="00100B64">
      <w:pPr>
        <w:widowControl w:val="0"/>
        <w:autoSpaceDE w:val="0"/>
        <w:autoSpaceDN w:val="0"/>
        <w:spacing w:before="117" w:after="0" w:line="242" w:lineRule="auto"/>
        <w:ind w:left="220" w:right="189"/>
        <w:jc w:val="both"/>
        <w:rPr>
          <w:rFonts w:ascii="Times New Roman" w:eastAsia="Times New Roman" w:hAnsi="Times New Roman" w:cs="Times New Roman"/>
          <w:noProof/>
          <w:kern w:val="0"/>
          <w:szCs w:val="20"/>
          <w14:ligatures w14:val="none"/>
        </w:rPr>
      </w:pPr>
      <w:r>
        <w:rPr>
          <w:rFonts w:ascii="Times New Roman" w:hAnsi="Times New Roman"/>
          <w:noProof/>
        </w:rPr>
        <w:t>Cet investissement s’inscrit dans le cadre d’un plan lancé par le gouvernement en juin 2020 pour accompagner les TPE-PME dans la transition écologique. Pour soutenir la rénovation thermique de leurs bâtiments, deux mécanismes de soutien sont en place dans le cadre de cet investissement:</w:t>
      </w:r>
    </w:p>
    <w:p w14:paraId="5A8ADF46" w14:textId="722E3FE9" w:rsidR="00740F0F" w:rsidRPr="0029070D" w:rsidRDefault="00100B64">
      <w:pPr>
        <w:widowControl w:val="0"/>
        <w:autoSpaceDE w:val="0"/>
        <w:autoSpaceDN w:val="0"/>
        <w:spacing w:before="126" w:after="0" w:line="235" w:lineRule="auto"/>
        <w:ind w:left="220" w:right="186"/>
        <w:jc w:val="both"/>
        <w:rPr>
          <w:rFonts w:ascii="Times New Roman" w:eastAsia="Times New Roman" w:hAnsi="Times New Roman" w:cs="Times New Roman"/>
          <w:noProof/>
          <w:kern w:val="0"/>
          <w:szCs w:val="20"/>
          <w14:ligatures w14:val="none"/>
        </w:rPr>
      </w:pPr>
      <w:r>
        <w:rPr>
          <w:rFonts w:ascii="Times New Roman" w:hAnsi="Times New Roman"/>
          <w:noProof/>
        </w:rPr>
        <w:t>Le principal dispositif d’aide est un crédit d’impôt s’élevant à 30 % des dépenses des gestes éligibles (telles que l’isolation des toitures, des combles, des murs; les chauffe-eau solaires collectifs et pompes à chaleur</w:t>
      </w:r>
      <w:r w:rsidRPr="0029070D">
        <w:rPr>
          <w:rStyle w:val="FootnoteReference"/>
          <w:rFonts w:ascii="Times New Roman" w:eastAsia="Times New Roman" w:hAnsi="Times New Roman" w:cs="Times New Roman"/>
          <w:b w:val="0"/>
          <w:bCs/>
          <w:noProof/>
          <w:kern w:val="0"/>
        </w:rPr>
        <w:footnoteReference w:id="5"/>
      </w:r>
      <w:r>
        <w:rPr>
          <w:rFonts w:ascii="Times New Roman" w:hAnsi="Times New Roman"/>
          <w:noProof/>
        </w:rPr>
        <w:t>), dans la limite de 25</w:t>
      </w:r>
      <w:r>
        <w:rPr>
          <w:rFonts w:ascii="Times New Roman" w:hAnsi="Times New Roman"/>
          <w:noProof/>
          <w:sz w:val="20"/>
        </w:rPr>
        <w:t> </w:t>
      </w:r>
      <w:r>
        <w:rPr>
          <w:rFonts w:ascii="Times New Roman" w:hAnsi="Times New Roman"/>
          <w:noProof/>
        </w:rPr>
        <w:t>000</w:t>
      </w:r>
      <w:r>
        <w:rPr>
          <w:rFonts w:ascii="Times New Roman" w:hAnsi="Times New Roman"/>
          <w:noProof/>
          <w:sz w:val="20"/>
        </w:rPr>
        <w:t> </w:t>
      </w:r>
      <w:r>
        <w:rPr>
          <w:rFonts w:ascii="Times New Roman" w:hAnsi="Times New Roman"/>
          <w:noProof/>
        </w:rPr>
        <w:t>EUR par entreprise. Ce dispositif est ouvert pour les dépenses engagées à partir du 1</w:t>
      </w:r>
      <w:r>
        <w:rPr>
          <w:rFonts w:ascii="Times New Roman" w:hAnsi="Times New Roman"/>
          <w:noProof/>
          <w:vertAlign w:val="superscript"/>
        </w:rPr>
        <w:t>er</w:t>
      </w:r>
      <w:r>
        <w:rPr>
          <w:rFonts w:ascii="Times New Roman" w:hAnsi="Times New Roman"/>
          <w:noProof/>
          <w:sz w:val="20"/>
        </w:rPr>
        <w:t> </w:t>
      </w:r>
      <w:r>
        <w:rPr>
          <w:rFonts w:ascii="Times New Roman" w:hAnsi="Times New Roman"/>
          <w:noProof/>
        </w:rPr>
        <w:t>octobre 2020 jusqu’au 31</w:t>
      </w:r>
      <w:r>
        <w:rPr>
          <w:rFonts w:ascii="Times New Roman" w:hAnsi="Times New Roman"/>
          <w:noProof/>
          <w:sz w:val="20"/>
        </w:rPr>
        <w:t> </w:t>
      </w:r>
      <w:r>
        <w:rPr>
          <w:rFonts w:ascii="Times New Roman" w:hAnsi="Times New Roman"/>
          <w:noProof/>
        </w:rPr>
        <w:t>décembre 2021. Le crédit d’impôt est imputé sur l’impôt sur le revenu ou sur l’impôt sur les sociétés dû par le contribuable au titre de l’année civile au cours de laquelle les dépenses éligibles ont été engagées (c’est-à-dire 2020 ou 2021).</w:t>
      </w:r>
    </w:p>
    <w:p w14:paraId="5A8ADF47" w14:textId="77777777" w:rsidR="00740F0F" w:rsidRPr="0029070D" w:rsidRDefault="00100B64">
      <w:pPr>
        <w:widowControl w:val="0"/>
        <w:autoSpaceDE w:val="0"/>
        <w:autoSpaceDN w:val="0"/>
        <w:spacing w:before="135" w:after="0" w:line="235" w:lineRule="auto"/>
        <w:ind w:left="220" w:right="204"/>
        <w:jc w:val="both"/>
        <w:rPr>
          <w:rFonts w:ascii="Times New Roman" w:eastAsia="Times New Roman" w:hAnsi="Times New Roman" w:cs="Times New Roman"/>
          <w:noProof/>
          <w:kern w:val="0"/>
          <w:szCs w:val="20"/>
          <w14:ligatures w14:val="none"/>
        </w:rPr>
      </w:pPr>
      <w:r>
        <w:rPr>
          <w:rFonts w:ascii="Times New Roman" w:hAnsi="Times New Roman"/>
          <w:noProof/>
        </w:rPr>
        <w:t>Le deuxième dispositif d’aide finance des mesures d’accompagnement destinées à soutenir les artisans, les petits commerçants et les indépendants dans leurs travaux de rénovation. L’enveloppe est allouée par l’intermédiaire des chambres de métiers et de l’artisanat (CMA) et des chambres de commerce et d’industrie (CCI) en quatre étapes:</w:t>
      </w:r>
    </w:p>
    <w:p w14:paraId="5A8ADF48" w14:textId="77777777" w:rsidR="00740F0F" w:rsidRPr="0029070D" w:rsidRDefault="00100B64">
      <w:pPr>
        <w:widowControl w:val="0"/>
        <w:numPr>
          <w:ilvl w:val="1"/>
          <w:numId w:val="2"/>
        </w:numPr>
        <w:tabs>
          <w:tab w:val="left" w:pos="1289"/>
        </w:tabs>
        <w:autoSpaceDE w:val="0"/>
        <w:autoSpaceDN w:val="0"/>
        <w:spacing w:before="143" w:after="0" w:line="252" w:lineRule="auto"/>
        <w:ind w:right="184"/>
        <w:jc w:val="both"/>
        <w:rPr>
          <w:rFonts w:ascii="Times New Roman" w:eastAsia="Times New Roman" w:hAnsi="Times New Roman" w:cs="Times New Roman"/>
          <w:noProof/>
          <w:kern w:val="0"/>
          <w:szCs w:val="20"/>
          <w14:ligatures w14:val="none"/>
        </w:rPr>
      </w:pPr>
      <w:r>
        <w:rPr>
          <w:rFonts w:ascii="Times New Roman" w:hAnsi="Times New Roman"/>
          <w:noProof/>
        </w:rPr>
        <w:t>Sensibilisation: cette étape vise à sensibiliser les chefs d’entreprise aux enjeux de la rénovation énergétique des bâtiments dans le cadre de la transition écologique; elle se traduira par une campagne de communication nationale et des actions locales, en lien avec les collectivités territoriales et les organisations professionnelles.</w:t>
      </w:r>
    </w:p>
    <w:p w14:paraId="5A8ADF49" w14:textId="77777777" w:rsidR="00740F0F" w:rsidRPr="0029070D" w:rsidRDefault="00100B64">
      <w:pPr>
        <w:widowControl w:val="0"/>
        <w:numPr>
          <w:ilvl w:val="1"/>
          <w:numId w:val="2"/>
        </w:numPr>
        <w:tabs>
          <w:tab w:val="left" w:pos="1289"/>
        </w:tabs>
        <w:autoSpaceDE w:val="0"/>
        <w:autoSpaceDN w:val="0"/>
        <w:spacing w:before="20" w:after="0" w:line="254" w:lineRule="auto"/>
        <w:ind w:right="175"/>
        <w:jc w:val="both"/>
        <w:rPr>
          <w:rFonts w:ascii="Times New Roman" w:eastAsia="Times New Roman" w:hAnsi="Times New Roman" w:cs="Times New Roman"/>
          <w:noProof/>
          <w:kern w:val="0"/>
          <w:szCs w:val="20"/>
          <w14:ligatures w14:val="none"/>
        </w:rPr>
      </w:pPr>
      <w:r>
        <w:rPr>
          <w:rFonts w:ascii="Times New Roman" w:hAnsi="Times New Roman"/>
          <w:noProof/>
        </w:rPr>
        <w:t>Diagnostic: un audit énergétique sera réalisé par un conseiller de la CMA ou de la CCI, afin d’élaborer un plan d’action pour engager des travaux de rénovation, en fonction de la maturité écologique de chaque entreprise.</w:t>
      </w:r>
    </w:p>
    <w:p w14:paraId="5A8ADF4A" w14:textId="77777777" w:rsidR="00740F0F" w:rsidRPr="0029070D" w:rsidRDefault="00100B64">
      <w:pPr>
        <w:widowControl w:val="0"/>
        <w:numPr>
          <w:ilvl w:val="1"/>
          <w:numId w:val="2"/>
        </w:numPr>
        <w:tabs>
          <w:tab w:val="left" w:pos="1289"/>
        </w:tabs>
        <w:autoSpaceDE w:val="0"/>
        <w:autoSpaceDN w:val="0"/>
        <w:spacing w:before="18" w:after="0" w:line="244" w:lineRule="auto"/>
        <w:ind w:right="207"/>
        <w:jc w:val="both"/>
        <w:rPr>
          <w:rFonts w:ascii="Times New Roman" w:eastAsia="Times New Roman" w:hAnsi="Times New Roman" w:cs="Times New Roman"/>
          <w:noProof/>
          <w:kern w:val="0"/>
          <w:szCs w:val="20"/>
          <w14:ligatures w14:val="none"/>
        </w:rPr>
      </w:pPr>
      <w:r>
        <w:rPr>
          <w:rFonts w:ascii="Times New Roman" w:hAnsi="Times New Roman"/>
          <w:noProof/>
        </w:rPr>
        <w:t>Mise en œuvre: un expert aidera à la mise en œuvre du plan d’action en apportant une assistance technique et financière (notamment, pour monter un dossier de demandes d’aides).</w:t>
      </w:r>
    </w:p>
    <w:p w14:paraId="5A8ADF4B" w14:textId="77777777" w:rsidR="00740F0F" w:rsidRPr="0029070D" w:rsidRDefault="00100B64">
      <w:pPr>
        <w:widowControl w:val="0"/>
        <w:autoSpaceDE w:val="0"/>
        <w:autoSpaceDN w:val="0"/>
        <w:spacing w:before="104" w:after="0" w:line="240" w:lineRule="auto"/>
        <w:ind w:left="1288"/>
        <w:rPr>
          <w:rFonts w:ascii="Times New Roman" w:eastAsia="Times New Roman" w:hAnsi="Times New Roman" w:cs="Times New Roman"/>
          <w:noProof/>
          <w:kern w:val="0"/>
          <w:szCs w:val="20"/>
          <w14:ligatures w14:val="none"/>
        </w:rPr>
      </w:pPr>
      <w:r>
        <w:rPr>
          <w:rFonts w:ascii="Times New Roman" w:hAnsi="Times New Roman"/>
          <w:noProof/>
        </w:rPr>
        <w:t>Valorisation: les actions engagées par les entreprises dans le domaine de la rénovation des bâtiments seront valorisées auprès de différents publics: les consommateurs, les entreprises, les collectivités territoriales, etc.</w:t>
      </w:r>
    </w:p>
    <w:p w14:paraId="5A8ADF4C" w14:textId="77777777" w:rsidR="00740F0F" w:rsidRPr="0029070D" w:rsidRDefault="00740F0F">
      <w:pPr>
        <w:spacing w:before="120" w:after="120" w:line="232" w:lineRule="exact"/>
        <w:rPr>
          <w:rFonts w:ascii="Times New Roman" w:eastAsia="Calibri" w:hAnsi="Times New Roman" w:cs="Times New Roman"/>
          <w:noProof/>
          <w:kern w:val="0"/>
          <w:sz w:val="20"/>
          <w:szCs w:val="22"/>
          <w14:ligatures w14:val="none"/>
        </w:rPr>
        <w:sectPr w:rsidR="00740F0F" w:rsidRPr="0029070D" w:rsidSect="00100B64">
          <w:headerReference w:type="even" r:id="rId18"/>
          <w:headerReference w:type="default" r:id="rId19"/>
          <w:footerReference w:type="even" r:id="rId20"/>
          <w:footerReference w:type="default" r:id="rId21"/>
          <w:headerReference w:type="first" r:id="rId22"/>
          <w:footerReference w:type="first" r:id="rId23"/>
          <w:pgSz w:w="11920" w:h="16860"/>
          <w:pgMar w:top="1134" w:right="1134" w:bottom="1134" w:left="1134" w:header="567" w:footer="567" w:gutter="0"/>
          <w:pgNumType w:start="1"/>
          <w:cols w:space="720"/>
          <w:docGrid w:linePitch="326"/>
        </w:sectPr>
      </w:pPr>
    </w:p>
    <w:p w14:paraId="5A8ADF4D" w14:textId="77777777" w:rsidR="00740F0F" w:rsidRPr="00B46C4C" w:rsidRDefault="00100B64">
      <w:pPr>
        <w:widowControl w:val="0"/>
        <w:numPr>
          <w:ilvl w:val="2"/>
          <w:numId w:val="1"/>
        </w:numPr>
        <w:tabs>
          <w:tab w:val="left" w:pos="841"/>
          <w:tab w:val="left" w:pos="843"/>
        </w:tabs>
        <w:autoSpaceDE w:val="0"/>
        <w:autoSpaceDN w:val="0"/>
        <w:spacing w:before="109" w:after="0" w:line="240" w:lineRule="auto"/>
        <w:ind w:left="842" w:hanging="724"/>
        <w:jc w:val="center"/>
        <w:outlineLvl w:val="1"/>
        <w:rPr>
          <w:rFonts w:ascii="Times New Roman" w:eastAsia="Times New Roman" w:hAnsi="Times New Roman" w:cs="Times New Roman"/>
          <w:b/>
          <w:noProof/>
          <w:kern w:val="0"/>
          <w:szCs w:val="20"/>
          <w:u w:val="single"/>
          <w14:ligatures w14:val="none"/>
        </w:rPr>
      </w:pPr>
      <w:r>
        <w:rPr>
          <w:rFonts w:ascii="Times New Roman" w:hAnsi="Times New Roman"/>
          <w:b/>
          <w:noProof/>
          <w:u w:val="single"/>
        </w:rPr>
        <w:t>Jalons, cibles, indicateurs et calendrier de suivi et de mise en œuvre en vue du soutien financier non remboursable</w:t>
      </w:r>
    </w:p>
    <w:p w14:paraId="5A8ADF4E" w14:textId="77777777" w:rsidR="00740F0F" w:rsidRPr="0029070D" w:rsidRDefault="00740F0F">
      <w:pPr>
        <w:widowControl w:val="0"/>
        <w:autoSpaceDE w:val="0"/>
        <w:autoSpaceDN w:val="0"/>
        <w:spacing w:before="5" w:after="1" w:line="240" w:lineRule="auto"/>
        <w:rPr>
          <w:rFonts w:ascii="Times New Roman" w:eastAsia="Times New Roman" w:hAnsi="Times New Roman" w:cs="Times New Roman"/>
          <w:b/>
          <w:noProof/>
          <w:kern w:val="0"/>
          <w:sz w:val="28"/>
          <w:szCs w:val="20"/>
          <w14:ligatures w14:val="none"/>
        </w:rPr>
      </w:pPr>
    </w:p>
    <w:tbl>
      <w:tblPr>
        <w:tblStyle w:val="NormalTable0"/>
        <w:tblW w:w="155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0"/>
        <w:gridCol w:w="1427"/>
        <w:gridCol w:w="916"/>
        <w:gridCol w:w="1840"/>
        <w:gridCol w:w="1256"/>
        <w:gridCol w:w="975"/>
        <w:gridCol w:w="1033"/>
        <w:gridCol w:w="838"/>
        <w:gridCol w:w="796"/>
        <w:gridCol w:w="993"/>
        <w:gridCol w:w="4348"/>
      </w:tblGrid>
      <w:tr w:rsidR="00782477" w:rsidRPr="0029070D" w14:paraId="5A8ADF57" w14:textId="77777777" w:rsidTr="00FB041E">
        <w:trPr>
          <w:trHeight w:val="916"/>
          <w:tblHeader/>
          <w:jc w:val="center"/>
        </w:trPr>
        <w:tc>
          <w:tcPr>
            <w:tcW w:w="1120" w:type="dxa"/>
            <w:vMerge w:val="restart"/>
            <w:shd w:val="clear" w:color="auto" w:fill="C5D9EF"/>
            <w:vAlign w:val="center"/>
          </w:tcPr>
          <w:p w14:paraId="5A8ADF4F" w14:textId="77777777" w:rsidR="00740F0F" w:rsidRPr="0029070D" w:rsidRDefault="00100B64">
            <w:pPr>
              <w:spacing w:before="217" w:line="247" w:lineRule="auto"/>
              <w:ind w:left="196" w:right="67"/>
              <w:jc w:val="center"/>
              <w:rPr>
                <w:rFonts w:ascii="Times New Roman" w:eastAsia="Times New Roman" w:hAnsi="Times New Roman" w:cs="Times New Roman"/>
                <w:b/>
                <w:noProof/>
                <w:sz w:val="18"/>
                <w:szCs w:val="18"/>
              </w:rPr>
            </w:pPr>
            <w:r>
              <w:rPr>
                <w:rFonts w:ascii="Times New Roman" w:hAnsi="Times New Roman"/>
                <w:b/>
                <w:noProof/>
                <w:sz w:val="18"/>
              </w:rPr>
              <w:t>Numéro séquentiel</w:t>
            </w:r>
          </w:p>
        </w:tc>
        <w:tc>
          <w:tcPr>
            <w:tcW w:w="1427" w:type="dxa"/>
            <w:vMerge w:val="restart"/>
            <w:shd w:val="clear" w:color="auto" w:fill="C5D9EF"/>
            <w:vAlign w:val="center"/>
          </w:tcPr>
          <w:p w14:paraId="5A8ADF50" w14:textId="77777777" w:rsidR="00740F0F" w:rsidRPr="0029070D" w:rsidRDefault="00100B64">
            <w:pPr>
              <w:spacing w:before="191"/>
              <w:ind w:left="133"/>
              <w:jc w:val="center"/>
              <w:rPr>
                <w:rFonts w:ascii="Times New Roman" w:eastAsia="Times New Roman" w:hAnsi="Times New Roman" w:cs="Times New Roman"/>
                <w:b/>
                <w:noProof/>
                <w:sz w:val="18"/>
                <w:szCs w:val="18"/>
              </w:rPr>
            </w:pPr>
            <w:r>
              <w:rPr>
                <w:rFonts w:ascii="Times New Roman" w:hAnsi="Times New Roman"/>
                <w:b/>
                <w:noProof/>
                <w:sz w:val="18"/>
              </w:rPr>
              <w:t>Mesure</w:t>
            </w:r>
          </w:p>
        </w:tc>
        <w:tc>
          <w:tcPr>
            <w:tcW w:w="916" w:type="dxa"/>
            <w:vMerge w:val="restart"/>
            <w:shd w:val="clear" w:color="auto" w:fill="C5D9EF"/>
            <w:vAlign w:val="center"/>
          </w:tcPr>
          <w:p w14:paraId="5A8ADF51" w14:textId="77777777" w:rsidR="00740F0F" w:rsidRPr="0029070D" w:rsidRDefault="00100B64">
            <w:pPr>
              <w:spacing w:before="210"/>
              <w:jc w:val="center"/>
              <w:rPr>
                <w:rFonts w:ascii="Times New Roman" w:eastAsia="Times New Roman" w:hAnsi="Times New Roman" w:cs="Times New Roman"/>
                <w:b/>
                <w:noProof/>
                <w:sz w:val="18"/>
                <w:szCs w:val="18"/>
              </w:rPr>
            </w:pPr>
            <w:r>
              <w:rPr>
                <w:rFonts w:ascii="Times New Roman" w:hAnsi="Times New Roman"/>
                <w:b/>
                <w:noProof/>
                <w:sz w:val="18"/>
              </w:rPr>
              <w:t>Jalon / Cible</w:t>
            </w:r>
          </w:p>
        </w:tc>
        <w:tc>
          <w:tcPr>
            <w:tcW w:w="1840" w:type="dxa"/>
            <w:vMerge w:val="restart"/>
            <w:shd w:val="clear" w:color="auto" w:fill="C5D9EF"/>
            <w:vAlign w:val="center"/>
          </w:tcPr>
          <w:p w14:paraId="5A8ADF52" w14:textId="77777777" w:rsidR="00740F0F" w:rsidRPr="0029070D" w:rsidRDefault="00100B64">
            <w:pPr>
              <w:spacing w:before="191"/>
              <w:ind w:left="664" w:right="650"/>
              <w:jc w:val="center"/>
              <w:rPr>
                <w:rFonts w:ascii="Times New Roman" w:eastAsia="Times New Roman" w:hAnsi="Times New Roman" w:cs="Times New Roman"/>
                <w:b/>
                <w:noProof/>
                <w:sz w:val="18"/>
                <w:szCs w:val="18"/>
              </w:rPr>
            </w:pPr>
            <w:r>
              <w:rPr>
                <w:rFonts w:ascii="Times New Roman" w:hAnsi="Times New Roman"/>
                <w:b/>
                <w:noProof/>
                <w:sz w:val="18"/>
              </w:rPr>
              <w:t>Dénomination</w:t>
            </w:r>
          </w:p>
        </w:tc>
        <w:tc>
          <w:tcPr>
            <w:tcW w:w="1256" w:type="dxa"/>
            <w:vMerge w:val="restart"/>
            <w:shd w:val="clear" w:color="auto" w:fill="C5D9EF"/>
            <w:vAlign w:val="center"/>
          </w:tcPr>
          <w:p w14:paraId="5A8ADF53" w14:textId="77777777" w:rsidR="00740F0F" w:rsidRPr="0029070D" w:rsidRDefault="00100B64">
            <w:pPr>
              <w:spacing w:line="254" w:lineRule="auto"/>
              <w:ind w:left="193" w:right="154" w:hanging="11"/>
              <w:jc w:val="center"/>
              <w:rPr>
                <w:rFonts w:ascii="Times New Roman" w:eastAsia="Times New Roman" w:hAnsi="Times New Roman" w:cs="Times New Roman"/>
                <w:b/>
                <w:noProof/>
                <w:sz w:val="18"/>
                <w:szCs w:val="18"/>
              </w:rPr>
            </w:pPr>
            <w:r>
              <w:rPr>
                <w:rFonts w:ascii="Times New Roman" w:hAnsi="Times New Roman"/>
                <w:b/>
                <w:noProof/>
                <w:sz w:val="18"/>
              </w:rPr>
              <w:t>Indicateurs qualitatifs (pour les jalons)</w:t>
            </w:r>
          </w:p>
        </w:tc>
        <w:tc>
          <w:tcPr>
            <w:tcW w:w="2846" w:type="dxa"/>
            <w:gridSpan w:val="3"/>
            <w:shd w:val="clear" w:color="auto" w:fill="C5D9EF"/>
            <w:vAlign w:val="center"/>
          </w:tcPr>
          <w:p w14:paraId="5A8ADF54" w14:textId="77777777" w:rsidR="00740F0F" w:rsidRPr="0029070D" w:rsidRDefault="00100B64">
            <w:pPr>
              <w:spacing w:line="247" w:lineRule="auto"/>
              <w:ind w:left="1033" w:hanging="903"/>
              <w:rPr>
                <w:rFonts w:ascii="Times New Roman" w:eastAsia="Times New Roman" w:hAnsi="Times New Roman" w:cs="Times New Roman"/>
                <w:b/>
                <w:noProof/>
                <w:sz w:val="18"/>
                <w:szCs w:val="18"/>
              </w:rPr>
            </w:pPr>
            <w:r>
              <w:rPr>
                <w:rFonts w:ascii="Times New Roman" w:hAnsi="Times New Roman"/>
                <w:b/>
                <w:noProof/>
                <w:sz w:val="18"/>
              </w:rPr>
              <w:t>Indicateurs quantitatifs (pour les cibles)</w:t>
            </w:r>
          </w:p>
        </w:tc>
        <w:tc>
          <w:tcPr>
            <w:tcW w:w="1789" w:type="dxa"/>
            <w:gridSpan w:val="2"/>
            <w:shd w:val="clear" w:color="auto" w:fill="C5D9EF"/>
            <w:vAlign w:val="center"/>
          </w:tcPr>
          <w:p w14:paraId="5A8ADF55" w14:textId="77777777" w:rsidR="00740F0F" w:rsidRPr="0029070D" w:rsidRDefault="00100B64">
            <w:pPr>
              <w:spacing w:before="165" w:line="256" w:lineRule="auto"/>
              <w:ind w:left="378" w:right="345" w:hanging="12"/>
              <w:jc w:val="center"/>
              <w:rPr>
                <w:rFonts w:ascii="Times New Roman" w:eastAsia="Times New Roman" w:hAnsi="Times New Roman" w:cs="Times New Roman"/>
                <w:b/>
                <w:noProof/>
                <w:sz w:val="18"/>
                <w:szCs w:val="18"/>
              </w:rPr>
            </w:pPr>
            <w:r>
              <w:rPr>
                <w:rFonts w:ascii="Times New Roman" w:hAnsi="Times New Roman"/>
                <w:b/>
                <w:noProof/>
                <w:sz w:val="18"/>
              </w:rPr>
              <w:t>Calendrier indicatif de réalisation</w:t>
            </w:r>
          </w:p>
        </w:tc>
        <w:tc>
          <w:tcPr>
            <w:tcW w:w="4348" w:type="dxa"/>
            <w:vMerge w:val="restart"/>
            <w:shd w:val="clear" w:color="auto" w:fill="C5D9EF"/>
            <w:vAlign w:val="center"/>
          </w:tcPr>
          <w:p w14:paraId="5A8ADF56" w14:textId="77777777" w:rsidR="00740F0F" w:rsidRPr="0029070D" w:rsidRDefault="00100B64">
            <w:pPr>
              <w:spacing w:before="191"/>
              <w:jc w:val="center"/>
              <w:rPr>
                <w:rFonts w:ascii="Times New Roman" w:eastAsia="Times New Roman" w:hAnsi="Times New Roman" w:cs="Times New Roman"/>
                <w:b/>
                <w:noProof/>
                <w:sz w:val="18"/>
                <w:szCs w:val="18"/>
              </w:rPr>
            </w:pPr>
            <w:r>
              <w:rPr>
                <w:rFonts w:ascii="Times New Roman" w:hAnsi="Times New Roman"/>
                <w:b/>
                <w:noProof/>
                <w:sz w:val="18"/>
              </w:rPr>
              <w:t>Description de chaque jalon et cible</w:t>
            </w:r>
          </w:p>
        </w:tc>
      </w:tr>
      <w:tr w:rsidR="00782477" w:rsidRPr="0029070D" w14:paraId="5A8ADF63" w14:textId="77777777" w:rsidTr="00FB041E">
        <w:trPr>
          <w:trHeight w:val="621"/>
          <w:tblHeader/>
          <w:jc w:val="center"/>
        </w:trPr>
        <w:tc>
          <w:tcPr>
            <w:tcW w:w="1120" w:type="dxa"/>
            <w:vMerge/>
          </w:tcPr>
          <w:p w14:paraId="5A8ADF58" w14:textId="77777777" w:rsidR="00740F0F" w:rsidRPr="0029070D" w:rsidRDefault="00740F0F">
            <w:pPr>
              <w:spacing w:before="120" w:after="120" w:line="360" w:lineRule="auto"/>
              <w:rPr>
                <w:rFonts w:ascii="Times New Roman" w:eastAsia="Calibri" w:hAnsi="Times New Roman" w:cs="Times New Roman"/>
                <w:noProof/>
                <w:sz w:val="18"/>
                <w:szCs w:val="18"/>
              </w:rPr>
            </w:pPr>
          </w:p>
        </w:tc>
        <w:tc>
          <w:tcPr>
            <w:tcW w:w="1427" w:type="dxa"/>
            <w:vMerge/>
          </w:tcPr>
          <w:p w14:paraId="5A8ADF59" w14:textId="77777777" w:rsidR="00740F0F" w:rsidRPr="0029070D" w:rsidRDefault="00740F0F">
            <w:pPr>
              <w:spacing w:before="120" w:after="120" w:line="360" w:lineRule="auto"/>
              <w:rPr>
                <w:rFonts w:ascii="Times New Roman" w:eastAsia="Calibri" w:hAnsi="Times New Roman" w:cs="Times New Roman"/>
                <w:noProof/>
                <w:sz w:val="18"/>
                <w:szCs w:val="18"/>
              </w:rPr>
            </w:pPr>
          </w:p>
        </w:tc>
        <w:tc>
          <w:tcPr>
            <w:tcW w:w="916" w:type="dxa"/>
            <w:vMerge/>
          </w:tcPr>
          <w:p w14:paraId="5A8ADF5A" w14:textId="77777777" w:rsidR="00740F0F" w:rsidRPr="0029070D" w:rsidRDefault="00740F0F">
            <w:pPr>
              <w:spacing w:before="120" w:after="120" w:line="360" w:lineRule="auto"/>
              <w:rPr>
                <w:rFonts w:ascii="Times New Roman" w:eastAsia="Calibri" w:hAnsi="Times New Roman" w:cs="Times New Roman"/>
                <w:noProof/>
                <w:sz w:val="18"/>
                <w:szCs w:val="18"/>
              </w:rPr>
            </w:pPr>
          </w:p>
        </w:tc>
        <w:tc>
          <w:tcPr>
            <w:tcW w:w="1840" w:type="dxa"/>
            <w:vMerge/>
          </w:tcPr>
          <w:p w14:paraId="5A8ADF5B" w14:textId="77777777" w:rsidR="00740F0F" w:rsidRPr="0029070D" w:rsidRDefault="00740F0F">
            <w:pPr>
              <w:spacing w:before="120" w:after="120" w:line="360" w:lineRule="auto"/>
              <w:rPr>
                <w:rFonts w:ascii="Times New Roman" w:eastAsia="Calibri" w:hAnsi="Times New Roman" w:cs="Times New Roman"/>
                <w:noProof/>
                <w:sz w:val="18"/>
                <w:szCs w:val="18"/>
              </w:rPr>
            </w:pPr>
          </w:p>
        </w:tc>
        <w:tc>
          <w:tcPr>
            <w:tcW w:w="1256" w:type="dxa"/>
            <w:vMerge/>
          </w:tcPr>
          <w:p w14:paraId="5A8ADF5C" w14:textId="77777777" w:rsidR="00740F0F" w:rsidRPr="0029070D" w:rsidRDefault="00740F0F">
            <w:pPr>
              <w:spacing w:before="120" w:after="120" w:line="360" w:lineRule="auto"/>
              <w:rPr>
                <w:rFonts w:ascii="Times New Roman" w:eastAsia="Calibri" w:hAnsi="Times New Roman" w:cs="Times New Roman"/>
                <w:noProof/>
                <w:sz w:val="18"/>
                <w:szCs w:val="18"/>
              </w:rPr>
            </w:pPr>
          </w:p>
        </w:tc>
        <w:tc>
          <w:tcPr>
            <w:tcW w:w="975" w:type="dxa"/>
            <w:shd w:val="clear" w:color="auto" w:fill="C5D9EF"/>
          </w:tcPr>
          <w:p w14:paraId="5A8ADF5D" w14:textId="77777777" w:rsidR="00740F0F" w:rsidRPr="0029070D" w:rsidRDefault="00100B64">
            <w:pPr>
              <w:spacing w:line="264" w:lineRule="auto"/>
              <w:ind w:left="144" w:right="129" w:firstLine="60"/>
              <w:rPr>
                <w:rFonts w:ascii="Times New Roman" w:eastAsia="Times New Roman" w:hAnsi="Times New Roman" w:cs="Times New Roman"/>
                <w:b/>
                <w:noProof/>
                <w:sz w:val="18"/>
                <w:szCs w:val="18"/>
              </w:rPr>
            </w:pPr>
            <w:r>
              <w:rPr>
                <w:rFonts w:ascii="Times New Roman" w:hAnsi="Times New Roman"/>
                <w:b/>
                <w:noProof/>
                <w:sz w:val="18"/>
              </w:rPr>
              <w:t>Unité de mesure</w:t>
            </w:r>
          </w:p>
        </w:tc>
        <w:tc>
          <w:tcPr>
            <w:tcW w:w="1033" w:type="dxa"/>
            <w:shd w:val="clear" w:color="auto" w:fill="C5D9EF"/>
          </w:tcPr>
          <w:p w14:paraId="5A8ADF5E" w14:textId="77777777" w:rsidR="00740F0F" w:rsidRPr="0029070D" w:rsidRDefault="00100B64">
            <w:pPr>
              <w:spacing w:before="216"/>
              <w:ind w:left="190"/>
              <w:rPr>
                <w:rFonts w:ascii="Times New Roman" w:eastAsia="Times New Roman" w:hAnsi="Times New Roman" w:cs="Times New Roman"/>
                <w:b/>
                <w:noProof/>
                <w:sz w:val="18"/>
                <w:szCs w:val="18"/>
              </w:rPr>
            </w:pPr>
            <w:r>
              <w:rPr>
                <w:rFonts w:ascii="Times New Roman" w:hAnsi="Times New Roman"/>
                <w:b/>
                <w:noProof/>
                <w:sz w:val="18"/>
              </w:rPr>
              <w:t>Base de référence</w:t>
            </w:r>
          </w:p>
        </w:tc>
        <w:tc>
          <w:tcPr>
            <w:tcW w:w="838" w:type="dxa"/>
            <w:shd w:val="clear" w:color="auto" w:fill="C5D9EF"/>
          </w:tcPr>
          <w:p w14:paraId="5A8ADF5F" w14:textId="77777777" w:rsidR="00740F0F" w:rsidRPr="0029070D" w:rsidRDefault="00100B64">
            <w:pPr>
              <w:spacing w:before="197"/>
              <w:ind w:left="160"/>
              <w:rPr>
                <w:rFonts w:ascii="Times New Roman" w:eastAsia="Times New Roman" w:hAnsi="Times New Roman" w:cs="Times New Roman"/>
                <w:b/>
                <w:noProof/>
                <w:sz w:val="18"/>
                <w:szCs w:val="18"/>
              </w:rPr>
            </w:pPr>
            <w:r>
              <w:rPr>
                <w:rFonts w:ascii="Times New Roman" w:hAnsi="Times New Roman"/>
                <w:b/>
                <w:noProof/>
                <w:sz w:val="18"/>
              </w:rPr>
              <w:t>Objectif</w:t>
            </w:r>
          </w:p>
        </w:tc>
        <w:tc>
          <w:tcPr>
            <w:tcW w:w="796" w:type="dxa"/>
            <w:shd w:val="clear" w:color="auto" w:fill="C5D9EF"/>
          </w:tcPr>
          <w:p w14:paraId="5A8ADF60" w14:textId="77777777" w:rsidR="00740F0F" w:rsidRPr="0029070D" w:rsidRDefault="00100B64">
            <w:pPr>
              <w:spacing w:before="197"/>
              <w:ind w:left="44" w:right="31"/>
              <w:jc w:val="center"/>
              <w:rPr>
                <w:rFonts w:ascii="Times New Roman" w:eastAsia="Times New Roman" w:hAnsi="Times New Roman" w:cs="Times New Roman"/>
                <w:b/>
                <w:noProof/>
                <w:sz w:val="18"/>
                <w:szCs w:val="18"/>
              </w:rPr>
            </w:pPr>
            <w:r w:rsidRPr="00FB041E">
              <w:rPr>
                <w:rFonts w:ascii="Times New Roman" w:hAnsi="Times New Roman"/>
                <w:b/>
                <w:noProof/>
                <w:sz w:val="16"/>
                <w:szCs w:val="18"/>
              </w:rPr>
              <w:t>Trimestre</w:t>
            </w:r>
          </w:p>
        </w:tc>
        <w:tc>
          <w:tcPr>
            <w:tcW w:w="993" w:type="dxa"/>
            <w:shd w:val="clear" w:color="auto" w:fill="C5D9EF"/>
          </w:tcPr>
          <w:p w14:paraId="5A8ADF61" w14:textId="77777777" w:rsidR="00740F0F" w:rsidRPr="0029070D" w:rsidRDefault="00100B64">
            <w:pPr>
              <w:spacing w:before="197"/>
              <w:ind w:left="223" w:right="209"/>
              <w:jc w:val="center"/>
              <w:rPr>
                <w:rFonts w:ascii="Times New Roman" w:eastAsia="Times New Roman" w:hAnsi="Times New Roman" w:cs="Times New Roman"/>
                <w:b/>
                <w:noProof/>
                <w:sz w:val="18"/>
                <w:szCs w:val="18"/>
              </w:rPr>
            </w:pPr>
            <w:r>
              <w:rPr>
                <w:rFonts w:ascii="Times New Roman" w:hAnsi="Times New Roman"/>
                <w:b/>
                <w:noProof/>
                <w:sz w:val="18"/>
              </w:rPr>
              <w:t>Année</w:t>
            </w:r>
          </w:p>
        </w:tc>
        <w:tc>
          <w:tcPr>
            <w:tcW w:w="4348" w:type="dxa"/>
            <w:vMerge/>
          </w:tcPr>
          <w:p w14:paraId="5A8ADF62" w14:textId="77777777" w:rsidR="00740F0F" w:rsidRPr="0029070D" w:rsidRDefault="00740F0F">
            <w:pPr>
              <w:spacing w:before="120" w:after="120" w:line="360" w:lineRule="auto"/>
              <w:rPr>
                <w:rFonts w:ascii="Times New Roman" w:eastAsia="Calibri" w:hAnsi="Times New Roman" w:cs="Times New Roman"/>
                <w:noProof/>
                <w:sz w:val="18"/>
                <w:szCs w:val="18"/>
              </w:rPr>
            </w:pPr>
          </w:p>
        </w:tc>
      </w:tr>
      <w:tr w:rsidR="00782477" w:rsidRPr="0029070D" w14:paraId="5A8ADF70" w14:textId="77777777" w:rsidTr="00FB041E">
        <w:trPr>
          <w:trHeight w:val="1036"/>
          <w:jc w:val="center"/>
        </w:trPr>
        <w:tc>
          <w:tcPr>
            <w:tcW w:w="1120" w:type="dxa"/>
            <w:tcBorders>
              <w:left w:val="single" w:sz="6" w:space="0" w:color="000000" w:themeColor="text1"/>
              <w:bottom w:val="single" w:sz="6" w:space="0" w:color="000000" w:themeColor="text1"/>
              <w:right w:val="single" w:sz="6" w:space="0" w:color="000000" w:themeColor="text1"/>
            </w:tcBorders>
            <w:shd w:val="clear" w:color="auto" w:fill="C5EDCE"/>
          </w:tcPr>
          <w:p w14:paraId="5A8ADF6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1-1</w:t>
            </w:r>
          </w:p>
        </w:tc>
        <w:tc>
          <w:tcPr>
            <w:tcW w:w="1427" w:type="dxa"/>
            <w:tcBorders>
              <w:left w:val="single" w:sz="6" w:space="0" w:color="000000" w:themeColor="text1"/>
              <w:bottom w:val="single" w:sz="6" w:space="0" w:color="000000" w:themeColor="text1"/>
              <w:right w:val="single" w:sz="6" w:space="0" w:color="000000" w:themeColor="text1"/>
            </w:tcBorders>
            <w:shd w:val="clear" w:color="auto" w:fill="C5EDCE"/>
          </w:tcPr>
          <w:p w14:paraId="5A8ADF6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C1.R1</w:t>
            </w:r>
          </w:p>
          <w:p w14:paraId="5A8ADF66" w14:textId="77777777" w:rsidR="00740F0F" w:rsidRPr="0029070D" w:rsidRDefault="00100B64">
            <w:pPr>
              <w:tabs>
                <w:tab w:val="center" w:pos="638"/>
              </w:tabs>
              <w:spacing w:line="214" w:lineRule="exact"/>
              <w:ind w:left="9" w:hanging="8"/>
              <w:jc w:val="center"/>
              <w:rPr>
                <w:rFonts w:ascii="Times New Roman" w:eastAsia="Times New Roman" w:hAnsi="Times New Roman" w:cs="Times New Roman"/>
                <w:noProof/>
                <w:sz w:val="18"/>
                <w:szCs w:val="18"/>
              </w:rPr>
            </w:pPr>
            <w:r>
              <w:rPr>
                <w:rFonts w:ascii="Times New Roman" w:hAnsi="Times New Roman"/>
                <w:noProof/>
                <w:sz w:val="18"/>
              </w:rPr>
              <w:t>Politique du logement</w:t>
            </w:r>
          </w:p>
        </w:tc>
        <w:tc>
          <w:tcPr>
            <w:tcW w:w="916" w:type="dxa"/>
            <w:tcBorders>
              <w:left w:val="single" w:sz="6" w:space="0" w:color="000000" w:themeColor="text1"/>
              <w:bottom w:val="single" w:sz="6" w:space="0" w:color="000000" w:themeColor="text1"/>
              <w:right w:val="single" w:sz="6" w:space="0" w:color="000000" w:themeColor="text1"/>
            </w:tcBorders>
            <w:shd w:val="clear" w:color="auto" w:fill="C5EDCE"/>
          </w:tcPr>
          <w:p w14:paraId="5A8ADF6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40" w:type="dxa"/>
            <w:tcBorders>
              <w:left w:val="single" w:sz="6" w:space="0" w:color="000000" w:themeColor="text1"/>
              <w:bottom w:val="single" w:sz="6" w:space="0" w:color="000000" w:themeColor="text1"/>
              <w:right w:val="single" w:sz="6" w:space="0" w:color="000000" w:themeColor="text1"/>
            </w:tcBorders>
            <w:shd w:val="clear" w:color="auto" w:fill="C5EDCE"/>
          </w:tcPr>
          <w:p w14:paraId="5A8ADF68" w14:textId="2DC40A53"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 xml:space="preserve">Réforme des APL </w:t>
            </w:r>
            <w:r>
              <w:rPr>
                <w:rFonts w:ascii="Times New Roman" w:hAnsi="Times New Roman"/>
                <w:noProof/>
                <w:sz w:val="18"/>
              </w:rPr>
              <w:br/>
              <w:t>(aides personnelles au logement)</w:t>
            </w:r>
          </w:p>
        </w:tc>
        <w:tc>
          <w:tcPr>
            <w:tcW w:w="1256" w:type="dxa"/>
            <w:tcBorders>
              <w:left w:val="single" w:sz="6" w:space="0" w:color="000000" w:themeColor="text1"/>
              <w:bottom w:val="single" w:sz="6" w:space="0" w:color="000000" w:themeColor="text1"/>
              <w:right w:val="single" w:sz="6" w:space="0" w:color="000000" w:themeColor="text1"/>
            </w:tcBorders>
            <w:shd w:val="clear" w:color="auto" w:fill="C5EDCE"/>
          </w:tcPr>
          <w:p w14:paraId="5A8ADF6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Entrée en vigueur</w:t>
            </w:r>
          </w:p>
        </w:tc>
        <w:tc>
          <w:tcPr>
            <w:tcW w:w="975" w:type="dxa"/>
            <w:tcBorders>
              <w:left w:val="single" w:sz="6" w:space="0" w:color="000000" w:themeColor="text1"/>
              <w:bottom w:val="single" w:sz="6" w:space="0" w:color="000000" w:themeColor="text1"/>
              <w:right w:val="single" w:sz="6" w:space="0" w:color="000000" w:themeColor="text1"/>
            </w:tcBorders>
            <w:shd w:val="clear" w:color="auto" w:fill="C5EDCE"/>
          </w:tcPr>
          <w:p w14:paraId="5A8ADF6A"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1033" w:type="dxa"/>
            <w:tcBorders>
              <w:left w:val="single" w:sz="6" w:space="0" w:color="000000" w:themeColor="text1"/>
              <w:bottom w:val="single" w:sz="6" w:space="0" w:color="000000" w:themeColor="text1"/>
              <w:right w:val="single" w:sz="6" w:space="0" w:color="000000" w:themeColor="text1"/>
            </w:tcBorders>
            <w:shd w:val="clear" w:color="auto" w:fill="C5EDCE"/>
          </w:tcPr>
          <w:p w14:paraId="5A8ADF6B"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838" w:type="dxa"/>
            <w:tcBorders>
              <w:left w:val="single" w:sz="6" w:space="0" w:color="000000" w:themeColor="text1"/>
              <w:bottom w:val="single" w:sz="6" w:space="0" w:color="000000" w:themeColor="text1"/>
              <w:right w:val="single" w:sz="6" w:space="0" w:color="000000" w:themeColor="text1"/>
            </w:tcBorders>
            <w:shd w:val="clear" w:color="auto" w:fill="C5EDCE"/>
          </w:tcPr>
          <w:p w14:paraId="5A8ADF6C"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796" w:type="dxa"/>
            <w:tcBorders>
              <w:left w:val="single" w:sz="6" w:space="0" w:color="000000" w:themeColor="text1"/>
              <w:bottom w:val="single" w:sz="6" w:space="0" w:color="000000" w:themeColor="text1"/>
              <w:right w:val="single" w:sz="6" w:space="0" w:color="000000" w:themeColor="text1"/>
            </w:tcBorders>
            <w:shd w:val="clear" w:color="auto" w:fill="C5EDCE"/>
          </w:tcPr>
          <w:p w14:paraId="5A8ADF6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T1</w:t>
            </w:r>
          </w:p>
        </w:tc>
        <w:tc>
          <w:tcPr>
            <w:tcW w:w="993" w:type="dxa"/>
            <w:tcBorders>
              <w:left w:val="single" w:sz="6" w:space="0" w:color="000000" w:themeColor="text1"/>
              <w:bottom w:val="single" w:sz="6" w:space="0" w:color="000000" w:themeColor="text1"/>
              <w:right w:val="single" w:sz="6" w:space="0" w:color="000000" w:themeColor="text1"/>
            </w:tcBorders>
            <w:shd w:val="clear" w:color="auto" w:fill="C5EDCE"/>
          </w:tcPr>
          <w:p w14:paraId="5A8ADF6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4348" w:type="dxa"/>
            <w:tcBorders>
              <w:left w:val="single" w:sz="6" w:space="0" w:color="000000" w:themeColor="text1"/>
              <w:bottom w:val="single" w:sz="6" w:space="0" w:color="000000" w:themeColor="text1"/>
              <w:right w:val="single" w:sz="6" w:space="0" w:color="000000" w:themeColor="text1"/>
            </w:tcBorders>
            <w:shd w:val="clear" w:color="auto" w:fill="C5EDCE"/>
          </w:tcPr>
          <w:p w14:paraId="5A8ADF6F"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Entrée en vigueur des modifications législatives apportées au mode de calcul des APL afin de refléter les revenus contemporains des ménages.</w:t>
            </w:r>
          </w:p>
        </w:tc>
      </w:tr>
      <w:tr w:rsidR="00782477" w:rsidRPr="0029070D" w14:paraId="5A8ADF7D" w14:textId="77777777" w:rsidTr="00FB041E">
        <w:trPr>
          <w:trHeight w:val="1471"/>
          <w:jc w:val="center"/>
        </w:trPr>
        <w:tc>
          <w:tcPr>
            <w:tcW w:w="1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7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1-2</w:t>
            </w:r>
          </w:p>
        </w:tc>
        <w:tc>
          <w:tcPr>
            <w:tcW w:w="142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7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C1.R1</w:t>
            </w:r>
          </w:p>
          <w:p w14:paraId="5A8ADF73" w14:textId="77777777" w:rsidR="00740F0F" w:rsidRPr="0029070D" w:rsidRDefault="00100B64">
            <w:pPr>
              <w:spacing w:line="214" w:lineRule="exact"/>
              <w:ind w:left="9" w:hanging="92"/>
              <w:jc w:val="center"/>
              <w:rPr>
                <w:rFonts w:ascii="Times New Roman" w:eastAsia="Times New Roman" w:hAnsi="Times New Roman" w:cs="Times New Roman"/>
                <w:noProof/>
                <w:sz w:val="18"/>
                <w:szCs w:val="18"/>
              </w:rPr>
            </w:pPr>
            <w:r>
              <w:rPr>
                <w:rFonts w:ascii="Times New Roman" w:hAnsi="Times New Roman"/>
                <w:noProof/>
                <w:sz w:val="18"/>
              </w:rPr>
              <w:t>Politique du logement</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7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75"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Réforme du dispositif Pinel et du logement locatif milieu de gamme</w:t>
            </w:r>
          </w:p>
        </w:tc>
        <w:tc>
          <w:tcPr>
            <w:tcW w:w="12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7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Entrée en vigueur</w:t>
            </w:r>
          </w:p>
        </w:tc>
        <w:tc>
          <w:tcPr>
            <w:tcW w:w="9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77"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10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78"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8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79"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79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7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T1</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7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4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7C"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Entrée en vigueur des dispositions de la loi de finances pour 2021, y compris des modifications législatives apportées à la réduction d’impôt Pinel afin d’en améliorer l’efficience en vue d’augmenter l’offre de logements dans les zones où le marché est tendu ainsi que des dispositions de la loi de finances pour 2022 sur le logement locatif intermédiaire.</w:t>
            </w:r>
          </w:p>
        </w:tc>
      </w:tr>
      <w:tr w:rsidR="00782477" w:rsidRPr="0029070D" w14:paraId="5A8ADF95" w14:textId="77777777" w:rsidTr="00FB041E">
        <w:trPr>
          <w:trHeight w:val="2401"/>
          <w:jc w:val="center"/>
        </w:trPr>
        <w:tc>
          <w:tcPr>
            <w:tcW w:w="1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7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1-3a</w:t>
            </w:r>
          </w:p>
        </w:tc>
        <w:tc>
          <w:tcPr>
            <w:tcW w:w="142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7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C1.R2</w:t>
            </w:r>
          </w:p>
          <w:p w14:paraId="5A8ADF80" w14:textId="77777777" w:rsidR="00740F0F" w:rsidRPr="0029070D" w:rsidRDefault="00100B64">
            <w:pPr>
              <w:spacing w:line="214" w:lineRule="exact"/>
              <w:ind w:left="9" w:hanging="1"/>
              <w:jc w:val="center"/>
              <w:rPr>
                <w:rFonts w:ascii="Times New Roman" w:eastAsia="Times New Roman" w:hAnsi="Times New Roman" w:cs="Times New Roman"/>
                <w:noProof/>
                <w:sz w:val="18"/>
                <w:szCs w:val="18"/>
              </w:rPr>
            </w:pPr>
            <w:r>
              <w:rPr>
                <w:rFonts w:ascii="Times New Roman" w:hAnsi="Times New Roman"/>
                <w:noProof/>
                <w:sz w:val="18"/>
              </w:rPr>
              <w:t>révision de la réglementation thermique avec la RE2020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8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82"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Révision de la réglementation thermique avec la RE2020 pour les nouveaux bâtiments résidentiels, de bureaux et d’enseignement primaire ou secondaire</w:t>
            </w:r>
          </w:p>
        </w:tc>
        <w:tc>
          <w:tcPr>
            <w:tcW w:w="12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8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Entrée en vigueur</w:t>
            </w:r>
          </w:p>
        </w:tc>
        <w:tc>
          <w:tcPr>
            <w:tcW w:w="9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84"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10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85"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8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86"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79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8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T1</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8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89" w14:textId="77777777" w:rsidR="00740F0F" w:rsidRPr="0029070D" w:rsidRDefault="00100B64" w:rsidP="00A57058">
            <w:pPr>
              <w:ind w:left="57" w:right="57"/>
              <w:jc w:val="both"/>
              <w:rPr>
                <w:rFonts w:ascii="Times New Roman" w:eastAsia="Times New Roman" w:hAnsi="Times New Roman" w:cs="Times New Roman"/>
                <w:noProof/>
                <w:sz w:val="18"/>
                <w:szCs w:val="18"/>
              </w:rPr>
            </w:pPr>
            <w:r>
              <w:rPr>
                <w:rFonts w:ascii="Times New Roman" w:hAnsi="Times New Roman"/>
                <w:noProof/>
                <w:sz w:val="18"/>
              </w:rPr>
              <w:t>Entrée en vigueur des exigences légales de la nouvelle réglementation thermique et environnementale RE2020 pour les nouveaux bâtiments résidentiels, de bureaux et d’enseignement primaire ou secondaire</w:t>
            </w:r>
          </w:p>
          <w:p w14:paraId="5A8ADF8A" w14:textId="77777777" w:rsidR="00740F0F" w:rsidRPr="0029070D" w:rsidRDefault="00100B64" w:rsidP="00A57058">
            <w:pPr>
              <w:tabs>
                <w:tab w:val="left" w:pos="1289"/>
              </w:tabs>
              <w:ind w:left="57" w:right="57"/>
              <w:jc w:val="both"/>
              <w:rPr>
                <w:rFonts w:ascii="Times New Roman" w:eastAsia="Times New Roman" w:hAnsi="Times New Roman" w:cs="Times New Roman"/>
                <w:noProof/>
                <w:sz w:val="18"/>
                <w:szCs w:val="18"/>
              </w:rPr>
            </w:pPr>
            <w:r>
              <w:rPr>
                <w:rFonts w:ascii="Times New Roman" w:hAnsi="Times New Roman"/>
                <w:noProof/>
                <w:sz w:val="18"/>
              </w:rPr>
              <w:t>Concernant la sobriété énergétique et la décarbonation de l’énergie consommée, les exigences portent sur:</w:t>
            </w:r>
          </w:p>
          <w:p w14:paraId="5A8ADF8B" w14:textId="77777777" w:rsidR="00740F0F" w:rsidRPr="0029070D" w:rsidRDefault="00100B64" w:rsidP="00A57058">
            <w:pPr>
              <w:pStyle w:val="ListParagraph"/>
              <w:numPr>
                <w:ilvl w:val="0"/>
                <w:numId w:val="3"/>
              </w:numPr>
              <w:spacing w:line="257" w:lineRule="auto"/>
              <w:ind w:left="413" w:right="178" w:hanging="283"/>
              <w:jc w:val="both"/>
              <w:rPr>
                <w:rFonts w:ascii="Times New Roman" w:eastAsia="Times New Roman" w:hAnsi="Times New Roman" w:cs="Times New Roman"/>
                <w:noProof/>
                <w:sz w:val="18"/>
                <w:szCs w:val="18"/>
              </w:rPr>
            </w:pPr>
            <w:r>
              <w:rPr>
                <w:rFonts w:ascii="Times New Roman" w:hAnsi="Times New Roman"/>
                <w:noProof/>
                <w:sz w:val="18"/>
              </w:rPr>
              <w:t>le besoin bioclimatique du bâtiment, en abaissant le seuil maximal entre 20 et 30 % par rapport à la précédente réglementation thermique RT2012;</w:t>
            </w:r>
          </w:p>
          <w:p w14:paraId="5A8ADF8C" w14:textId="77777777" w:rsidR="00740F0F" w:rsidRPr="0029070D" w:rsidRDefault="00100B64" w:rsidP="00A57058">
            <w:pPr>
              <w:pStyle w:val="ListParagraph"/>
              <w:numPr>
                <w:ilvl w:val="0"/>
                <w:numId w:val="4"/>
              </w:numPr>
              <w:spacing w:line="257" w:lineRule="auto"/>
              <w:ind w:left="413" w:right="178" w:hanging="283"/>
              <w:jc w:val="both"/>
              <w:rPr>
                <w:rFonts w:ascii="Times New Roman" w:eastAsia="Times New Roman" w:hAnsi="Times New Roman" w:cs="Times New Roman"/>
                <w:noProof/>
                <w:sz w:val="18"/>
                <w:szCs w:val="18"/>
              </w:rPr>
            </w:pPr>
            <w:r>
              <w:rPr>
                <w:rFonts w:ascii="Times New Roman" w:hAnsi="Times New Roman"/>
                <w:noProof/>
                <w:sz w:val="18"/>
              </w:rPr>
              <w:t>la consommation d’énergie primaire non renouvelable, avec l’établissement d’un nouvel indicateur;</w:t>
            </w:r>
          </w:p>
          <w:p w14:paraId="5A8ADF8D" w14:textId="77777777" w:rsidR="00740F0F" w:rsidRPr="0029070D" w:rsidRDefault="00100B64" w:rsidP="00A57058">
            <w:pPr>
              <w:pStyle w:val="ListParagraph"/>
              <w:numPr>
                <w:ilvl w:val="0"/>
                <w:numId w:val="5"/>
              </w:numPr>
              <w:spacing w:line="257" w:lineRule="auto"/>
              <w:ind w:left="413" w:right="178" w:hanging="283"/>
              <w:jc w:val="both"/>
              <w:rPr>
                <w:rFonts w:ascii="Times New Roman" w:eastAsia="Times New Roman" w:hAnsi="Times New Roman" w:cs="Times New Roman"/>
                <w:noProof/>
                <w:sz w:val="18"/>
                <w:szCs w:val="18"/>
              </w:rPr>
            </w:pPr>
            <w:r>
              <w:rPr>
                <w:rFonts w:ascii="Times New Roman" w:hAnsi="Times New Roman"/>
                <w:noProof/>
                <w:sz w:val="18"/>
              </w:rPr>
              <w:t>les seuils d’émissions de GES provenant de la consommation d’énergie, avec l’établissement d’un nouvel indicateur mesurant les émissions de GES provenant de l’énergie consommée.</w:t>
            </w:r>
          </w:p>
          <w:p w14:paraId="5A8ADF8E" w14:textId="77777777" w:rsidR="00740F0F" w:rsidRPr="0029070D" w:rsidRDefault="00100B64">
            <w:pPr>
              <w:spacing w:before="105" w:line="256" w:lineRule="auto"/>
              <w:ind w:left="113" w:right="240"/>
              <w:rPr>
                <w:rFonts w:ascii="Times New Roman" w:eastAsia="Times New Roman" w:hAnsi="Times New Roman" w:cs="Times New Roman"/>
                <w:noProof/>
                <w:sz w:val="18"/>
                <w:szCs w:val="18"/>
              </w:rPr>
            </w:pPr>
            <w:r>
              <w:rPr>
                <w:rFonts w:ascii="Times New Roman" w:hAnsi="Times New Roman"/>
                <w:noProof/>
                <w:sz w:val="18"/>
              </w:rPr>
              <w:t>Afin de réduire l’impact carbone, les exigences portent sur:</w:t>
            </w:r>
          </w:p>
          <w:p w14:paraId="5A8ADF8F" w14:textId="77777777" w:rsidR="00740F0F" w:rsidRPr="0029070D" w:rsidRDefault="00100B64">
            <w:pPr>
              <w:pStyle w:val="ListParagraph"/>
              <w:numPr>
                <w:ilvl w:val="0"/>
                <w:numId w:val="6"/>
              </w:numPr>
              <w:spacing w:line="257" w:lineRule="auto"/>
              <w:ind w:left="413" w:right="178" w:hanging="283"/>
              <w:rPr>
                <w:rFonts w:ascii="Times New Roman" w:eastAsia="Times New Roman" w:hAnsi="Times New Roman" w:cs="Times New Roman"/>
                <w:noProof/>
                <w:sz w:val="18"/>
                <w:szCs w:val="18"/>
              </w:rPr>
            </w:pPr>
            <w:r>
              <w:rPr>
                <w:rFonts w:ascii="Times New Roman" w:hAnsi="Times New Roman"/>
                <w:noProof/>
                <w:sz w:val="18"/>
              </w:rPr>
              <w:t>un nouvel indicateur permettant de mesurer l’empreinte carbone d’un bâtiment neuf tout au long de son cycle de vie, de sa phase de construction à sa démolition;</w:t>
            </w:r>
          </w:p>
          <w:p w14:paraId="5A8ADF90" w14:textId="77777777" w:rsidR="00740F0F" w:rsidRPr="0029070D" w:rsidRDefault="00100B64">
            <w:pPr>
              <w:spacing w:before="105" w:line="256" w:lineRule="auto"/>
              <w:ind w:left="113" w:right="240"/>
              <w:rPr>
                <w:rFonts w:ascii="Times New Roman" w:eastAsia="Times New Roman" w:hAnsi="Times New Roman" w:cs="Times New Roman"/>
                <w:noProof/>
                <w:sz w:val="18"/>
                <w:szCs w:val="18"/>
              </w:rPr>
            </w:pPr>
            <w:r>
              <w:rPr>
                <w:rFonts w:ascii="Times New Roman" w:hAnsi="Times New Roman"/>
                <w:noProof/>
                <w:sz w:val="18"/>
              </w:rPr>
              <w:t>Afin d’adapter les bâtiments neufs au changement climatique, les exigences doivent:</w:t>
            </w:r>
          </w:p>
          <w:p w14:paraId="5A8ADF91" w14:textId="77777777" w:rsidR="00740F0F" w:rsidRPr="0029070D" w:rsidRDefault="00100B64">
            <w:pPr>
              <w:pStyle w:val="ListParagraph"/>
              <w:numPr>
                <w:ilvl w:val="0"/>
                <w:numId w:val="7"/>
              </w:numPr>
              <w:spacing w:line="257" w:lineRule="auto"/>
              <w:ind w:left="413" w:right="178" w:hanging="283"/>
              <w:rPr>
                <w:rFonts w:ascii="Times New Roman" w:eastAsia="Times New Roman" w:hAnsi="Times New Roman" w:cs="Times New Roman"/>
                <w:noProof/>
                <w:sz w:val="18"/>
                <w:szCs w:val="18"/>
              </w:rPr>
            </w:pPr>
            <w:r>
              <w:rPr>
                <w:rFonts w:ascii="Times New Roman" w:hAnsi="Times New Roman"/>
                <w:noProof/>
                <w:sz w:val="18"/>
              </w:rPr>
              <w:t>tenir compte du refroidissement des constructions dans le calcul des besoins énergétiques d’un bâtiment;</w:t>
            </w:r>
          </w:p>
          <w:p w14:paraId="5A8ADF92" w14:textId="77777777" w:rsidR="00740F0F" w:rsidRPr="0029070D" w:rsidRDefault="00100B64">
            <w:pPr>
              <w:pStyle w:val="ListParagraph"/>
              <w:numPr>
                <w:ilvl w:val="0"/>
                <w:numId w:val="8"/>
              </w:numPr>
              <w:spacing w:line="257" w:lineRule="auto"/>
              <w:ind w:left="413" w:right="178" w:hanging="283"/>
              <w:rPr>
                <w:rFonts w:ascii="Times New Roman" w:eastAsia="Times New Roman" w:hAnsi="Times New Roman" w:cs="Times New Roman"/>
                <w:noProof/>
                <w:sz w:val="18"/>
                <w:szCs w:val="18"/>
              </w:rPr>
            </w:pPr>
            <w:r>
              <w:rPr>
                <w:rFonts w:ascii="Times New Roman" w:hAnsi="Times New Roman"/>
                <w:noProof/>
                <w:sz w:val="18"/>
              </w:rPr>
              <w:t>fournir un indicateur de «confort d’été»;</w:t>
            </w:r>
          </w:p>
          <w:p w14:paraId="5A8ADF93" w14:textId="77777777" w:rsidR="00740F0F" w:rsidRPr="0029070D" w:rsidRDefault="00100B64">
            <w:pPr>
              <w:pStyle w:val="ListParagraph"/>
              <w:numPr>
                <w:ilvl w:val="0"/>
                <w:numId w:val="9"/>
              </w:numPr>
              <w:spacing w:line="257" w:lineRule="auto"/>
              <w:ind w:left="413" w:right="178" w:hanging="283"/>
              <w:rPr>
                <w:rFonts w:ascii="Times New Roman" w:eastAsia="Times New Roman" w:hAnsi="Times New Roman" w:cs="Times New Roman"/>
                <w:noProof/>
                <w:sz w:val="18"/>
                <w:szCs w:val="18"/>
              </w:rPr>
            </w:pPr>
            <w:r>
              <w:rPr>
                <w:rFonts w:ascii="Times New Roman" w:hAnsi="Times New Roman"/>
                <w:noProof/>
                <w:sz w:val="18"/>
              </w:rPr>
              <w:t>fixer un seuil haut maximal et un seuil bas minimal de DH (degrés-heures), qui est une valeur exprimant la durée et l’intensité des périodes d’inconfort pour les occupants d’un bâtiment au cours de l’année;</w:t>
            </w:r>
          </w:p>
          <w:p w14:paraId="5A8ADF94" w14:textId="77777777" w:rsidR="00740F0F" w:rsidRPr="0029070D" w:rsidRDefault="00100B64">
            <w:pPr>
              <w:pStyle w:val="ListParagraph"/>
              <w:numPr>
                <w:ilvl w:val="0"/>
                <w:numId w:val="9"/>
              </w:numPr>
              <w:spacing w:before="105" w:line="256" w:lineRule="auto"/>
              <w:ind w:left="413" w:right="240" w:hanging="283"/>
              <w:rPr>
                <w:rFonts w:ascii="Times New Roman" w:eastAsia="Times New Roman" w:hAnsi="Times New Roman" w:cs="Times New Roman"/>
                <w:noProof/>
                <w:sz w:val="18"/>
                <w:szCs w:val="18"/>
              </w:rPr>
            </w:pPr>
            <w:r>
              <w:rPr>
                <w:rFonts w:ascii="Times New Roman" w:hAnsi="Times New Roman"/>
                <w:noProof/>
                <w:sz w:val="18"/>
              </w:rPr>
              <w:t>introduire des pénalités forfaitaires de consommation en cas d’inconfort estival potentiel.</w:t>
            </w:r>
          </w:p>
        </w:tc>
      </w:tr>
      <w:tr w:rsidR="00782477" w:rsidRPr="0029070D" w14:paraId="5A8ADFAD" w14:textId="77777777" w:rsidTr="00FB041E">
        <w:trPr>
          <w:trHeight w:val="1550"/>
          <w:jc w:val="center"/>
        </w:trPr>
        <w:tc>
          <w:tcPr>
            <w:tcW w:w="1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96" w14:textId="77777777" w:rsidR="00740F0F" w:rsidRPr="0029070D" w:rsidRDefault="00100B64">
            <w:pPr>
              <w:ind w:left="81" w:right="63"/>
              <w:jc w:val="center"/>
              <w:rPr>
                <w:rFonts w:ascii="Times New Roman" w:eastAsia="Times New Roman" w:hAnsi="Times New Roman" w:cs="Times New Roman"/>
                <w:noProof/>
                <w:sz w:val="18"/>
                <w:szCs w:val="18"/>
              </w:rPr>
            </w:pPr>
            <w:r>
              <w:rPr>
                <w:rFonts w:ascii="Times New Roman" w:hAnsi="Times New Roman"/>
                <w:noProof/>
                <w:sz w:val="18"/>
              </w:rPr>
              <w:t>1-3b</w:t>
            </w:r>
          </w:p>
        </w:tc>
        <w:tc>
          <w:tcPr>
            <w:tcW w:w="142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97" w14:textId="77777777" w:rsidR="00740F0F" w:rsidRPr="0029070D" w:rsidRDefault="00100B64" w:rsidP="00A57058">
            <w:pPr>
              <w:ind w:left="57" w:right="57"/>
              <w:jc w:val="center"/>
              <w:rPr>
                <w:rFonts w:ascii="Times New Roman" w:eastAsia="Times New Roman" w:hAnsi="Times New Roman" w:cs="Times New Roman"/>
                <w:noProof/>
                <w:sz w:val="18"/>
                <w:szCs w:val="18"/>
              </w:rPr>
            </w:pPr>
            <w:r>
              <w:rPr>
                <w:rFonts w:ascii="Times New Roman" w:hAnsi="Times New Roman"/>
                <w:noProof/>
                <w:sz w:val="18"/>
              </w:rPr>
              <w:t>C1.R2</w:t>
            </w:r>
          </w:p>
          <w:p w14:paraId="5A8ADF98" w14:textId="77777777" w:rsidR="00740F0F" w:rsidRPr="0029070D" w:rsidRDefault="00100B64" w:rsidP="00A57058">
            <w:pPr>
              <w:spacing w:line="247" w:lineRule="auto"/>
              <w:ind w:left="57" w:right="57"/>
              <w:jc w:val="center"/>
              <w:rPr>
                <w:rFonts w:ascii="Times New Roman" w:eastAsia="Times New Roman" w:hAnsi="Times New Roman" w:cs="Times New Roman"/>
                <w:noProof/>
                <w:sz w:val="18"/>
                <w:szCs w:val="18"/>
              </w:rPr>
            </w:pPr>
            <w:r>
              <w:rPr>
                <w:rFonts w:ascii="Times New Roman" w:hAnsi="Times New Roman"/>
                <w:noProof/>
                <w:sz w:val="18"/>
              </w:rPr>
              <w:t xml:space="preserve">Révision de la réglementation thermique avec la RE2020 </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99" w14:textId="77777777" w:rsidR="00740F0F" w:rsidRPr="0029070D" w:rsidRDefault="00100B64" w:rsidP="00A57058">
            <w:pPr>
              <w:ind w:left="57" w:right="57"/>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9A" w14:textId="77777777" w:rsidR="00740F0F" w:rsidRPr="0029070D" w:rsidRDefault="00100B64" w:rsidP="00A57058">
            <w:pPr>
              <w:spacing w:line="256" w:lineRule="auto"/>
              <w:ind w:left="57" w:right="57"/>
              <w:rPr>
                <w:rFonts w:ascii="Times New Roman" w:eastAsia="Times New Roman" w:hAnsi="Times New Roman" w:cs="Times New Roman"/>
                <w:noProof/>
                <w:sz w:val="18"/>
                <w:szCs w:val="18"/>
              </w:rPr>
            </w:pPr>
            <w:r>
              <w:rPr>
                <w:rFonts w:ascii="Times New Roman" w:hAnsi="Times New Roman"/>
                <w:noProof/>
                <w:sz w:val="18"/>
              </w:rPr>
              <w:t>Révision de la réglementation thermique avec la RE2020 pour certains bâtiments tertiaires</w:t>
            </w:r>
          </w:p>
        </w:tc>
        <w:tc>
          <w:tcPr>
            <w:tcW w:w="12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9B" w14:textId="77777777" w:rsidR="00740F0F" w:rsidRPr="0029070D" w:rsidRDefault="00100B64" w:rsidP="00A57058">
            <w:pPr>
              <w:spacing w:line="264" w:lineRule="auto"/>
              <w:ind w:left="57" w:right="57"/>
              <w:rPr>
                <w:rFonts w:ascii="Times New Roman" w:eastAsia="Times New Roman" w:hAnsi="Times New Roman" w:cs="Times New Roman"/>
                <w:noProof/>
                <w:sz w:val="18"/>
                <w:szCs w:val="18"/>
              </w:rPr>
            </w:pPr>
            <w:r>
              <w:rPr>
                <w:rFonts w:ascii="Times New Roman" w:hAnsi="Times New Roman"/>
                <w:noProof/>
                <w:sz w:val="18"/>
              </w:rPr>
              <w:t>Entrée en vigueur</w:t>
            </w:r>
          </w:p>
        </w:tc>
        <w:tc>
          <w:tcPr>
            <w:tcW w:w="9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9C" w14:textId="77777777" w:rsidR="00740F0F" w:rsidRPr="0029070D" w:rsidRDefault="00740F0F" w:rsidP="00A57058">
            <w:pPr>
              <w:ind w:left="57" w:right="57"/>
              <w:rPr>
                <w:rFonts w:ascii="Times New Roman" w:eastAsia="Times New Roman" w:hAnsi="Times New Roman" w:cs="Times New Roman"/>
                <w:noProof/>
                <w:sz w:val="18"/>
                <w:szCs w:val="18"/>
              </w:rPr>
            </w:pPr>
          </w:p>
        </w:tc>
        <w:tc>
          <w:tcPr>
            <w:tcW w:w="10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9D" w14:textId="77777777" w:rsidR="00740F0F" w:rsidRPr="0029070D" w:rsidRDefault="00740F0F" w:rsidP="00A57058">
            <w:pPr>
              <w:ind w:left="57" w:right="57"/>
              <w:rPr>
                <w:rFonts w:ascii="Times New Roman" w:eastAsia="Times New Roman" w:hAnsi="Times New Roman" w:cs="Times New Roman"/>
                <w:noProof/>
                <w:sz w:val="18"/>
                <w:szCs w:val="18"/>
              </w:rPr>
            </w:pPr>
          </w:p>
        </w:tc>
        <w:tc>
          <w:tcPr>
            <w:tcW w:w="8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9E" w14:textId="77777777" w:rsidR="00740F0F" w:rsidRPr="0029070D" w:rsidRDefault="00740F0F" w:rsidP="00A57058">
            <w:pPr>
              <w:ind w:left="57" w:right="57"/>
              <w:rPr>
                <w:rFonts w:ascii="Times New Roman" w:eastAsia="Times New Roman" w:hAnsi="Times New Roman" w:cs="Times New Roman"/>
                <w:noProof/>
                <w:sz w:val="18"/>
                <w:szCs w:val="18"/>
              </w:rPr>
            </w:pPr>
          </w:p>
        </w:tc>
        <w:tc>
          <w:tcPr>
            <w:tcW w:w="79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9F" w14:textId="77777777" w:rsidR="00740F0F" w:rsidRPr="0029070D" w:rsidRDefault="00100B64" w:rsidP="00A57058">
            <w:pPr>
              <w:ind w:left="57" w:right="57"/>
              <w:jc w:val="center"/>
              <w:rPr>
                <w:rFonts w:ascii="Times New Roman" w:eastAsia="Times New Roman" w:hAnsi="Times New Roman" w:cs="Times New Roman"/>
                <w:noProof/>
                <w:sz w:val="18"/>
                <w:szCs w:val="18"/>
              </w:rPr>
            </w:pPr>
            <w:r>
              <w:rPr>
                <w:rFonts w:ascii="Times New Roman" w:hAnsi="Times New Roman"/>
                <w:noProof/>
                <w:sz w:val="18"/>
              </w:rPr>
              <w:t>T1</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A0" w14:textId="77777777" w:rsidR="00740F0F" w:rsidRPr="0029070D" w:rsidRDefault="00100B64" w:rsidP="00A57058">
            <w:pPr>
              <w:ind w:left="57" w:right="57"/>
              <w:jc w:val="center"/>
              <w:rPr>
                <w:rFonts w:ascii="Times New Roman" w:eastAsia="Times New Roman" w:hAnsi="Times New Roman" w:cs="Times New Roman"/>
                <w:noProof/>
                <w:sz w:val="18"/>
                <w:szCs w:val="18"/>
              </w:rPr>
            </w:pPr>
            <w:r>
              <w:rPr>
                <w:rFonts w:ascii="Times New Roman" w:hAnsi="Times New Roman"/>
                <w:noProof/>
                <w:sz w:val="18"/>
              </w:rPr>
              <w:t>2025</w:t>
            </w:r>
          </w:p>
        </w:tc>
        <w:tc>
          <w:tcPr>
            <w:tcW w:w="4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A1" w14:textId="77777777" w:rsidR="00740F0F" w:rsidRPr="0029070D" w:rsidRDefault="00100B64" w:rsidP="00A57058">
            <w:pPr>
              <w:spacing w:line="256" w:lineRule="auto"/>
              <w:ind w:left="57" w:right="57"/>
              <w:rPr>
                <w:rFonts w:ascii="Times New Roman" w:eastAsia="Times New Roman" w:hAnsi="Times New Roman" w:cs="Times New Roman"/>
                <w:noProof/>
                <w:sz w:val="18"/>
                <w:szCs w:val="18"/>
              </w:rPr>
            </w:pPr>
            <w:r>
              <w:rPr>
                <w:rFonts w:ascii="Times New Roman" w:hAnsi="Times New Roman"/>
                <w:noProof/>
                <w:sz w:val="18"/>
              </w:rPr>
              <w:t>Entrée en vigueur des exigences légales de la nouvelle réglementation thermique et environnementale RE2020 pour les hôtels, les restaurants, les magasins, les bibliothèques, les bâtiments universitaires, les crèches, les établissements de soins de santé, les bâtiments industriels et les installations sportives.</w:t>
            </w:r>
          </w:p>
          <w:p w14:paraId="5A8ADFA2" w14:textId="77777777" w:rsidR="00740F0F" w:rsidRPr="0029070D" w:rsidRDefault="00100B64" w:rsidP="00A57058">
            <w:pPr>
              <w:tabs>
                <w:tab w:val="left" w:pos="1289"/>
              </w:tabs>
              <w:spacing w:line="256" w:lineRule="auto"/>
              <w:ind w:left="57" w:right="57"/>
              <w:rPr>
                <w:rFonts w:ascii="Times New Roman" w:eastAsia="Times New Roman" w:hAnsi="Times New Roman" w:cs="Times New Roman"/>
                <w:noProof/>
                <w:sz w:val="18"/>
                <w:szCs w:val="18"/>
              </w:rPr>
            </w:pPr>
            <w:r>
              <w:rPr>
                <w:rFonts w:ascii="Times New Roman" w:hAnsi="Times New Roman"/>
                <w:noProof/>
                <w:sz w:val="18"/>
              </w:rPr>
              <w:t>Concernant la sobriété énergétique et la décarbonation de l’énergie consommée, les exigences portent sur:</w:t>
            </w:r>
          </w:p>
          <w:p w14:paraId="5A8ADFA3" w14:textId="77777777" w:rsidR="00740F0F" w:rsidRPr="0029070D" w:rsidRDefault="00100B64" w:rsidP="00A57058">
            <w:pPr>
              <w:pStyle w:val="ListParagraph"/>
              <w:numPr>
                <w:ilvl w:val="0"/>
                <w:numId w:val="10"/>
              </w:numPr>
              <w:spacing w:line="256" w:lineRule="auto"/>
              <w:ind w:left="57" w:right="57" w:hanging="283"/>
              <w:rPr>
                <w:rFonts w:ascii="Times New Roman" w:eastAsia="Times New Roman" w:hAnsi="Times New Roman" w:cs="Times New Roman"/>
                <w:noProof/>
                <w:sz w:val="18"/>
                <w:szCs w:val="18"/>
              </w:rPr>
            </w:pPr>
            <w:r>
              <w:rPr>
                <w:rFonts w:ascii="Times New Roman" w:hAnsi="Times New Roman"/>
                <w:noProof/>
                <w:sz w:val="18"/>
              </w:rPr>
              <w:t>le besoin bioclimatique, en abaissant le seuil maximal entre 20 et 30 % par rapport à la précédente réglementation thermique RT2012;</w:t>
            </w:r>
          </w:p>
          <w:p w14:paraId="5A8ADFA4" w14:textId="77777777" w:rsidR="00740F0F" w:rsidRPr="0029070D" w:rsidRDefault="00100B64" w:rsidP="00A57058">
            <w:pPr>
              <w:pStyle w:val="ListParagraph"/>
              <w:numPr>
                <w:ilvl w:val="0"/>
                <w:numId w:val="11"/>
              </w:numPr>
              <w:spacing w:line="256" w:lineRule="auto"/>
              <w:ind w:left="57" w:right="57" w:hanging="283"/>
              <w:rPr>
                <w:rFonts w:ascii="Times New Roman" w:eastAsia="Times New Roman" w:hAnsi="Times New Roman" w:cs="Times New Roman"/>
                <w:noProof/>
                <w:sz w:val="18"/>
                <w:szCs w:val="18"/>
              </w:rPr>
            </w:pPr>
            <w:r>
              <w:rPr>
                <w:rFonts w:ascii="Times New Roman" w:hAnsi="Times New Roman"/>
                <w:noProof/>
                <w:sz w:val="18"/>
              </w:rPr>
              <w:t>la consommation d’énergie primaire non renouvelable, avec l’établissement d’un nouvel indicateur;</w:t>
            </w:r>
          </w:p>
          <w:p w14:paraId="5A8ADFA5" w14:textId="77777777" w:rsidR="00740F0F" w:rsidRPr="0029070D" w:rsidRDefault="00100B64" w:rsidP="00A57058">
            <w:pPr>
              <w:pStyle w:val="ListParagraph"/>
              <w:numPr>
                <w:ilvl w:val="0"/>
                <w:numId w:val="12"/>
              </w:numPr>
              <w:spacing w:line="256" w:lineRule="auto"/>
              <w:ind w:left="57" w:right="57" w:hanging="283"/>
              <w:rPr>
                <w:rFonts w:ascii="Times New Roman" w:eastAsia="Times New Roman" w:hAnsi="Times New Roman" w:cs="Times New Roman"/>
                <w:noProof/>
                <w:sz w:val="18"/>
                <w:szCs w:val="18"/>
              </w:rPr>
            </w:pPr>
            <w:r>
              <w:rPr>
                <w:rFonts w:ascii="Times New Roman" w:hAnsi="Times New Roman"/>
                <w:noProof/>
                <w:sz w:val="18"/>
              </w:rPr>
              <w:t>les seuils d’émissions de GES provenant de la consommation d’énergie, avec l’établissement d’un nouvel indicateur mesurant les émissions de GES provenant de l’énergie consommée.</w:t>
            </w:r>
          </w:p>
          <w:p w14:paraId="5A8ADFA6" w14:textId="77777777" w:rsidR="00740F0F" w:rsidRPr="0029070D" w:rsidRDefault="00100B64" w:rsidP="00A57058">
            <w:pPr>
              <w:tabs>
                <w:tab w:val="left" w:pos="1289"/>
              </w:tabs>
              <w:spacing w:line="257" w:lineRule="auto"/>
              <w:ind w:left="57" w:right="57"/>
              <w:rPr>
                <w:rFonts w:ascii="Times New Roman" w:eastAsia="Times New Roman" w:hAnsi="Times New Roman" w:cs="Times New Roman"/>
                <w:noProof/>
                <w:sz w:val="18"/>
                <w:szCs w:val="18"/>
              </w:rPr>
            </w:pPr>
            <w:r>
              <w:rPr>
                <w:rFonts w:ascii="Times New Roman" w:hAnsi="Times New Roman"/>
                <w:noProof/>
                <w:sz w:val="18"/>
              </w:rPr>
              <w:t>Afin de réduire l’impact carbone, les exigences portent sur:</w:t>
            </w:r>
          </w:p>
          <w:p w14:paraId="5A8ADFA7" w14:textId="77777777" w:rsidR="00740F0F" w:rsidRPr="0029070D" w:rsidRDefault="00100B64" w:rsidP="00A57058">
            <w:pPr>
              <w:pStyle w:val="ListParagraph"/>
              <w:numPr>
                <w:ilvl w:val="0"/>
                <w:numId w:val="13"/>
              </w:numPr>
              <w:spacing w:line="257" w:lineRule="auto"/>
              <w:ind w:left="57" w:right="57" w:hanging="283"/>
              <w:rPr>
                <w:rFonts w:ascii="Times New Roman" w:eastAsia="Times New Roman" w:hAnsi="Times New Roman" w:cs="Times New Roman"/>
                <w:noProof/>
                <w:sz w:val="18"/>
                <w:szCs w:val="18"/>
              </w:rPr>
            </w:pPr>
            <w:r>
              <w:rPr>
                <w:rFonts w:ascii="Times New Roman" w:hAnsi="Times New Roman"/>
                <w:noProof/>
                <w:sz w:val="18"/>
              </w:rPr>
              <w:t>un nouvel indicateur permettant de mesurer l’empreinte carbone d’un bâtiment neuf tout au long de son cycle de vie, de sa phase de construction à sa démolition;</w:t>
            </w:r>
          </w:p>
          <w:p w14:paraId="5A8ADFA8" w14:textId="77777777" w:rsidR="00740F0F" w:rsidRPr="0029070D" w:rsidRDefault="00100B64" w:rsidP="00A57058">
            <w:pPr>
              <w:tabs>
                <w:tab w:val="left" w:pos="1289"/>
              </w:tabs>
              <w:spacing w:line="257" w:lineRule="auto"/>
              <w:ind w:left="57" w:right="57"/>
              <w:rPr>
                <w:rFonts w:ascii="Times New Roman" w:eastAsia="Times New Roman" w:hAnsi="Times New Roman" w:cs="Times New Roman"/>
                <w:noProof/>
                <w:sz w:val="18"/>
                <w:szCs w:val="18"/>
              </w:rPr>
            </w:pPr>
            <w:r>
              <w:rPr>
                <w:rFonts w:ascii="Times New Roman" w:hAnsi="Times New Roman"/>
                <w:noProof/>
                <w:sz w:val="18"/>
              </w:rPr>
              <w:t>Afin d’adapter les bâtiments neufs au changement climatique, les exigences doivent:</w:t>
            </w:r>
          </w:p>
          <w:p w14:paraId="5A8ADFA9" w14:textId="77777777" w:rsidR="00740F0F" w:rsidRPr="0029070D" w:rsidRDefault="00100B64" w:rsidP="00A57058">
            <w:pPr>
              <w:pStyle w:val="ListParagraph"/>
              <w:numPr>
                <w:ilvl w:val="0"/>
                <w:numId w:val="14"/>
              </w:numPr>
              <w:spacing w:line="257" w:lineRule="auto"/>
              <w:ind w:left="57" w:right="57" w:hanging="283"/>
              <w:rPr>
                <w:rFonts w:ascii="Times New Roman" w:eastAsia="Times New Roman" w:hAnsi="Times New Roman" w:cs="Times New Roman"/>
                <w:noProof/>
                <w:sz w:val="18"/>
                <w:szCs w:val="18"/>
              </w:rPr>
            </w:pPr>
            <w:r>
              <w:rPr>
                <w:rFonts w:ascii="Times New Roman" w:hAnsi="Times New Roman"/>
                <w:noProof/>
                <w:sz w:val="18"/>
              </w:rPr>
              <w:t>tenir compte du refroidissement des constructions dans le calcul des besoins énergétiques d’un bâtiment;</w:t>
            </w:r>
          </w:p>
          <w:p w14:paraId="5A8ADFAA" w14:textId="77777777" w:rsidR="00740F0F" w:rsidRPr="0029070D" w:rsidRDefault="00100B64" w:rsidP="00A57058">
            <w:pPr>
              <w:pStyle w:val="ListParagraph"/>
              <w:numPr>
                <w:ilvl w:val="0"/>
                <w:numId w:val="15"/>
              </w:numPr>
              <w:spacing w:line="257" w:lineRule="auto"/>
              <w:ind w:left="57" w:right="57" w:hanging="283"/>
              <w:rPr>
                <w:rFonts w:ascii="Times New Roman" w:eastAsia="Times New Roman" w:hAnsi="Times New Roman" w:cs="Times New Roman"/>
                <w:noProof/>
                <w:sz w:val="18"/>
                <w:szCs w:val="18"/>
              </w:rPr>
            </w:pPr>
            <w:r>
              <w:rPr>
                <w:rFonts w:ascii="Times New Roman" w:hAnsi="Times New Roman"/>
                <w:noProof/>
                <w:sz w:val="18"/>
              </w:rPr>
              <w:t xml:space="preserve">fournir un indicateur de «confort d’été»; </w:t>
            </w:r>
          </w:p>
          <w:p w14:paraId="5A8ADFAB" w14:textId="77777777" w:rsidR="00740F0F" w:rsidRPr="0029070D" w:rsidRDefault="00100B64" w:rsidP="00A57058">
            <w:pPr>
              <w:pStyle w:val="ListParagraph"/>
              <w:numPr>
                <w:ilvl w:val="0"/>
                <w:numId w:val="16"/>
              </w:numPr>
              <w:spacing w:line="257" w:lineRule="auto"/>
              <w:ind w:left="57" w:right="57" w:hanging="283"/>
              <w:rPr>
                <w:rFonts w:ascii="Times New Roman" w:eastAsia="Times New Roman" w:hAnsi="Times New Roman" w:cs="Times New Roman"/>
                <w:noProof/>
                <w:sz w:val="18"/>
                <w:szCs w:val="18"/>
              </w:rPr>
            </w:pPr>
            <w:r>
              <w:rPr>
                <w:rFonts w:ascii="Times New Roman" w:hAnsi="Times New Roman"/>
                <w:noProof/>
                <w:sz w:val="18"/>
              </w:rPr>
              <w:t>fixer un seuil haut maximal et un seuil bas minimal de DH (degrés-heures), qui est une valeur exprimant la durée et l’intensité des périodes d’inconfort pour les occupants d’un bâtiment au cours de l’année;</w:t>
            </w:r>
          </w:p>
          <w:p w14:paraId="5A8ADFAC" w14:textId="77777777" w:rsidR="00740F0F" w:rsidRPr="0029070D" w:rsidRDefault="00100B64" w:rsidP="00A57058">
            <w:pPr>
              <w:pStyle w:val="ListParagraph"/>
              <w:numPr>
                <w:ilvl w:val="0"/>
                <w:numId w:val="17"/>
              </w:numPr>
              <w:spacing w:line="257" w:lineRule="auto"/>
              <w:ind w:left="57" w:right="57" w:hanging="283"/>
              <w:rPr>
                <w:noProof/>
                <w:sz w:val="18"/>
                <w:szCs w:val="18"/>
              </w:rPr>
            </w:pPr>
            <w:r>
              <w:rPr>
                <w:rFonts w:ascii="Times New Roman" w:hAnsi="Times New Roman"/>
                <w:noProof/>
                <w:sz w:val="18"/>
              </w:rPr>
              <w:t xml:space="preserve">introduire des pénalités forfaitaires de consommation en cas d’inconfort estival potentiel. </w:t>
            </w:r>
          </w:p>
        </w:tc>
      </w:tr>
      <w:tr w:rsidR="00782477" w:rsidRPr="0029070D" w14:paraId="5A8ADFBA" w14:textId="77777777" w:rsidTr="00FB041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007"/>
          <w:jc w:val="center"/>
        </w:trPr>
        <w:tc>
          <w:tcPr>
            <w:tcW w:w="1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A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1-4</w:t>
            </w:r>
          </w:p>
        </w:tc>
        <w:tc>
          <w:tcPr>
            <w:tcW w:w="142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AF" w14:textId="77777777" w:rsidR="00740F0F" w:rsidRPr="0029070D" w:rsidRDefault="00100B64">
            <w:pPr>
              <w:spacing w:line="214" w:lineRule="exact"/>
              <w:ind w:left="9" w:firstLine="21"/>
              <w:jc w:val="center"/>
              <w:rPr>
                <w:rFonts w:ascii="Times New Roman" w:eastAsia="Times New Roman" w:hAnsi="Times New Roman" w:cs="Times New Roman"/>
                <w:noProof/>
                <w:sz w:val="18"/>
                <w:szCs w:val="18"/>
              </w:rPr>
            </w:pPr>
            <w:r>
              <w:rPr>
                <w:rFonts w:ascii="Times New Roman" w:hAnsi="Times New Roman"/>
                <w:noProof/>
                <w:sz w:val="18"/>
              </w:rPr>
              <w:t>C1.I1</w:t>
            </w:r>
          </w:p>
          <w:p w14:paraId="5A8ADFB0" w14:textId="77777777" w:rsidR="00740F0F" w:rsidRPr="0029070D" w:rsidRDefault="00100B64">
            <w:pPr>
              <w:spacing w:line="214" w:lineRule="exact"/>
              <w:ind w:left="9" w:firstLine="21"/>
              <w:jc w:val="center"/>
              <w:rPr>
                <w:rFonts w:ascii="Times New Roman" w:eastAsia="Times New Roman" w:hAnsi="Times New Roman" w:cs="Times New Roman"/>
                <w:noProof/>
                <w:sz w:val="18"/>
                <w:szCs w:val="18"/>
              </w:rPr>
            </w:pPr>
            <w:r>
              <w:rPr>
                <w:rFonts w:ascii="Times New Roman" w:hAnsi="Times New Roman"/>
                <w:noProof/>
                <w:sz w:val="18"/>
              </w:rPr>
              <w:t>Rénovation énergétique des bâtiments privés</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B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B2"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dossiers MaPrimeRénov’ validés</w:t>
            </w:r>
          </w:p>
        </w:tc>
        <w:tc>
          <w:tcPr>
            <w:tcW w:w="12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B3"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B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10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B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8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B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400 000</w:t>
            </w:r>
          </w:p>
        </w:tc>
        <w:tc>
          <w:tcPr>
            <w:tcW w:w="79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B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B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4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B9"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ménages ayant bénéficié de MaPrimeRénov’</w:t>
            </w:r>
          </w:p>
        </w:tc>
      </w:tr>
      <w:tr w:rsidR="00782477" w:rsidRPr="0029070D" w14:paraId="5A8ADFC7" w14:textId="77777777" w:rsidTr="00FB041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121"/>
          <w:jc w:val="center"/>
        </w:trPr>
        <w:tc>
          <w:tcPr>
            <w:tcW w:w="1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B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1-5</w:t>
            </w:r>
          </w:p>
        </w:tc>
        <w:tc>
          <w:tcPr>
            <w:tcW w:w="142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B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C1.I1</w:t>
            </w:r>
          </w:p>
          <w:p w14:paraId="5A8ADFBD" w14:textId="77777777" w:rsidR="00740F0F" w:rsidRPr="0029070D" w:rsidRDefault="00100B64">
            <w:pPr>
              <w:spacing w:line="214" w:lineRule="exact"/>
              <w:ind w:left="9" w:firstLine="21"/>
              <w:jc w:val="center"/>
              <w:rPr>
                <w:rFonts w:ascii="Times New Roman" w:eastAsia="Times New Roman" w:hAnsi="Times New Roman" w:cs="Times New Roman"/>
                <w:noProof/>
                <w:sz w:val="18"/>
                <w:szCs w:val="18"/>
              </w:rPr>
            </w:pPr>
            <w:r>
              <w:rPr>
                <w:rFonts w:ascii="Times New Roman" w:hAnsi="Times New Roman"/>
                <w:noProof/>
                <w:sz w:val="18"/>
              </w:rPr>
              <w:t>Rénovation énergétique des bâtiments privés</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B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BF"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dossiers MaPrimeRénov’ validés</w:t>
            </w:r>
          </w:p>
        </w:tc>
        <w:tc>
          <w:tcPr>
            <w:tcW w:w="12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C0"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C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10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C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400 000</w:t>
            </w:r>
          </w:p>
        </w:tc>
        <w:tc>
          <w:tcPr>
            <w:tcW w:w="8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C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700 000</w:t>
            </w:r>
          </w:p>
        </w:tc>
        <w:tc>
          <w:tcPr>
            <w:tcW w:w="79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C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C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C6"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ménages ayant bénéficié de MaPrimeRénov’</w:t>
            </w:r>
          </w:p>
        </w:tc>
      </w:tr>
      <w:tr w:rsidR="00782477" w:rsidRPr="0029070D" w14:paraId="5A8ADFD4" w14:textId="77777777" w:rsidTr="00FB041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123"/>
          <w:jc w:val="center"/>
        </w:trPr>
        <w:tc>
          <w:tcPr>
            <w:tcW w:w="1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C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1-6</w:t>
            </w:r>
          </w:p>
        </w:tc>
        <w:tc>
          <w:tcPr>
            <w:tcW w:w="142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C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C1.I2</w:t>
            </w:r>
          </w:p>
          <w:p w14:paraId="5A8ADFCA" w14:textId="77777777" w:rsidR="00740F0F" w:rsidRPr="0029070D" w:rsidRDefault="00100B64">
            <w:pPr>
              <w:spacing w:line="214" w:lineRule="exact"/>
              <w:ind w:left="9" w:firstLine="21"/>
              <w:jc w:val="center"/>
              <w:rPr>
                <w:rFonts w:ascii="Times New Roman" w:eastAsia="Times New Roman" w:hAnsi="Times New Roman" w:cs="Times New Roman"/>
                <w:noProof/>
                <w:sz w:val="18"/>
                <w:szCs w:val="18"/>
              </w:rPr>
            </w:pPr>
            <w:r>
              <w:rPr>
                <w:rFonts w:ascii="Times New Roman" w:hAnsi="Times New Roman"/>
                <w:noProof/>
                <w:sz w:val="18"/>
              </w:rPr>
              <w:t>Rénovation énergétique des logements sociaux</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C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CC"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logements sociaux bénéficiant d’une subvention pour la rénovation</w:t>
            </w:r>
          </w:p>
        </w:tc>
        <w:tc>
          <w:tcPr>
            <w:tcW w:w="12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CD"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C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10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C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8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D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20 000</w:t>
            </w:r>
          </w:p>
        </w:tc>
        <w:tc>
          <w:tcPr>
            <w:tcW w:w="79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D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D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4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D3"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logements sociaux bénéficiant d’une subvention pour la rénovation, avec un objectif d’au moins 30 % d’économies d’énergie en moyenne.</w:t>
            </w:r>
          </w:p>
        </w:tc>
      </w:tr>
      <w:tr w:rsidR="00782477" w:rsidRPr="0029070D" w14:paraId="5A8ADFE1" w14:textId="77777777" w:rsidTr="00FB041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081"/>
          <w:jc w:val="center"/>
        </w:trPr>
        <w:tc>
          <w:tcPr>
            <w:tcW w:w="1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D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1-7</w:t>
            </w:r>
          </w:p>
        </w:tc>
        <w:tc>
          <w:tcPr>
            <w:tcW w:w="142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D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C1.I2</w:t>
            </w:r>
          </w:p>
          <w:p w14:paraId="5A8ADFD7" w14:textId="77777777" w:rsidR="00740F0F" w:rsidRPr="0029070D" w:rsidRDefault="00100B64">
            <w:pPr>
              <w:spacing w:line="214" w:lineRule="exact"/>
              <w:ind w:left="9" w:firstLine="21"/>
              <w:jc w:val="center"/>
              <w:rPr>
                <w:rFonts w:ascii="Times New Roman" w:eastAsia="Times New Roman" w:hAnsi="Times New Roman" w:cs="Times New Roman"/>
                <w:noProof/>
                <w:sz w:val="18"/>
                <w:szCs w:val="18"/>
              </w:rPr>
            </w:pPr>
            <w:r>
              <w:rPr>
                <w:rFonts w:ascii="Times New Roman" w:hAnsi="Times New Roman"/>
                <w:noProof/>
                <w:sz w:val="18"/>
              </w:rPr>
              <w:t>Rénovation énergétique des logements sociaux</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D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D9"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logements sociaux bénéficiant d’une subvention pour la rénovation</w:t>
            </w:r>
          </w:p>
        </w:tc>
        <w:tc>
          <w:tcPr>
            <w:tcW w:w="12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DA"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D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10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D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20 000</w:t>
            </w:r>
          </w:p>
        </w:tc>
        <w:tc>
          <w:tcPr>
            <w:tcW w:w="8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D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40 000</w:t>
            </w:r>
          </w:p>
        </w:tc>
        <w:tc>
          <w:tcPr>
            <w:tcW w:w="79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D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D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E0"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logements sociaux bénéficiant d’une subvention pour la rénovation, avec un objectif d’au moins 30 % d’économies d’énergie en moyenne</w:t>
            </w:r>
          </w:p>
        </w:tc>
      </w:tr>
      <w:tr w:rsidR="00782477" w:rsidRPr="0029070D" w14:paraId="5A8ADFEE" w14:textId="77777777" w:rsidTr="00FB041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594"/>
          <w:jc w:val="center"/>
        </w:trPr>
        <w:tc>
          <w:tcPr>
            <w:tcW w:w="1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E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1-8</w:t>
            </w:r>
          </w:p>
        </w:tc>
        <w:tc>
          <w:tcPr>
            <w:tcW w:w="142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E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C1.I3</w:t>
            </w:r>
          </w:p>
          <w:p w14:paraId="5A8ADFE4" w14:textId="77777777" w:rsidR="00740F0F" w:rsidRPr="0029070D" w:rsidRDefault="00100B64">
            <w:pPr>
              <w:spacing w:line="214" w:lineRule="exact"/>
              <w:ind w:left="9" w:firstLine="7"/>
              <w:jc w:val="center"/>
              <w:rPr>
                <w:rFonts w:ascii="Times New Roman" w:eastAsia="Times New Roman" w:hAnsi="Times New Roman" w:cs="Times New Roman"/>
                <w:noProof/>
                <w:sz w:val="18"/>
                <w:szCs w:val="18"/>
              </w:rPr>
            </w:pPr>
            <w:r>
              <w:rPr>
                <w:rFonts w:ascii="Times New Roman" w:hAnsi="Times New Roman"/>
                <w:noProof/>
                <w:sz w:val="18"/>
              </w:rPr>
              <w:t>Rénovation énergétique des bâtiments publics</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E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E6"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projets de rénovation de sites publics appartenant à l’État pour lesquels le contrat de travaux de rénovation a été notifié</w:t>
            </w:r>
          </w:p>
        </w:tc>
        <w:tc>
          <w:tcPr>
            <w:tcW w:w="12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E7"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E8"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projets</w:t>
            </w:r>
          </w:p>
        </w:tc>
        <w:tc>
          <w:tcPr>
            <w:tcW w:w="10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E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8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E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2 900</w:t>
            </w:r>
          </w:p>
        </w:tc>
        <w:tc>
          <w:tcPr>
            <w:tcW w:w="79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E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E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4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ED"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projets de rénovation de sites publics appartenant à l’État pour lesquels au moins un marché de travaux de rénovation est notifié, avec un objectif d’au moins 30 % d’économies d’énergie en moyenne</w:t>
            </w:r>
          </w:p>
        </w:tc>
      </w:tr>
      <w:tr w:rsidR="00782477" w:rsidRPr="0029070D" w14:paraId="5A8ADFFB" w14:textId="77777777" w:rsidTr="00FB041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411"/>
          <w:jc w:val="center"/>
        </w:trPr>
        <w:tc>
          <w:tcPr>
            <w:tcW w:w="1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E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1-9</w:t>
            </w:r>
          </w:p>
        </w:tc>
        <w:tc>
          <w:tcPr>
            <w:tcW w:w="142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F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C1.I3</w:t>
            </w:r>
          </w:p>
          <w:p w14:paraId="5A8ADFF1" w14:textId="77777777" w:rsidR="00740F0F" w:rsidRPr="0029070D" w:rsidRDefault="00100B64">
            <w:pPr>
              <w:spacing w:line="214" w:lineRule="exact"/>
              <w:ind w:left="9" w:firstLine="7"/>
              <w:jc w:val="center"/>
              <w:rPr>
                <w:rFonts w:ascii="Times New Roman" w:eastAsia="Times New Roman" w:hAnsi="Times New Roman" w:cs="Times New Roman"/>
                <w:noProof/>
                <w:sz w:val="18"/>
                <w:szCs w:val="18"/>
              </w:rPr>
            </w:pPr>
            <w:r>
              <w:rPr>
                <w:rFonts w:ascii="Times New Roman" w:hAnsi="Times New Roman"/>
                <w:noProof/>
                <w:sz w:val="18"/>
              </w:rPr>
              <w:t>Rénovation énergétique des bâtiments publics</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F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F3"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 xml:space="preserve">Nombre de bâtiments publics appartenant à des collectivités locales et territoriales ayant fait l’objet d’une notification de subvention de l’État ou du Conseil régional pour des travaux de rénovation énergétique </w:t>
            </w:r>
          </w:p>
        </w:tc>
        <w:tc>
          <w:tcPr>
            <w:tcW w:w="12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F4"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F5"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bâtiments bénéficiant d’une subvention</w:t>
            </w:r>
          </w:p>
        </w:tc>
        <w:tc>
          <w:tcPr>
            <w:tcW w:w="10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F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8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F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1 954</w:t>
            </w:r>
          </w:p>
        </w:tc>
        <w:tc>
          <w:tcPr>
            <w:tcW w:w="79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F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T2</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F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FA"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bâtiments publics appartenant à des collectivités locales et territoriales (y compris les communes et les groupements de communes) ayant fait l’objet d’une notification de subvention de l’État ou du Conseil régional pour des travaux de rénovation énergétique, avec un objectif d’au moins 30 % d’économies d’énergie en moyenne</w:t>
            </w:r>
          </w:p>
        </w:tc>
      </w:tr>
      <w:tr w:rsidR="00782477" w:rsidRPr="0029070D" w14:paraId="5A8AE008" w14:textId="77777777" w:rsidTr="00FB041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276"/>
          <w:jc w:val="center"/>
        </w:trPr>
        <w:tc>
          <w:tcPr>
            <w:tcW w:w="1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F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1-10</w:t>
            </w:r>
          </w:p>
        </w:tc>
        <w:tc>
          <w:tcPr>
            <w:tcW w:w="142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F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C1.I3</w:t>
            </w:r>
          </w:p>
          <w:p w14:paraId="5A8ADFF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Rénovation énergétique des bâtiments publics</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DFF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00" w14:textId="77777777" w:rsidR="00740F0F" w:rsidRPr="0029070D" w:rsidRDefault="00100B64" w:rsidP="00154B53">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m² de planchers des sites publics appartenant à l’État sur lesquels des travaux de rénovation énergétique ont été réalisés</w:t>
            </w:r>
          </w:p>
        </w:tc>
        <w:tc>
          <w:tcPr>
            <w:tcW w:w="12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01"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02"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mètres carrés (en millions)</w:t>
            </w:r>
          </w:p>
        </w:tc>
        <w:tc>
          <w:tcPr>
            <w:tcW w:w="10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0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8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0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w:t>
            </w:r>
          </w:p>
        </w:tc>
        <w:tc>
          <w:tcPr>
            <w:tcW w:w="79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0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0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4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07"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m² de planchers des sites publics appartenant à l’État sur lesquels des travaux de rénovation énergétique ont été réalisés, avec un objectif d’au moins 30 % d’économies d’énergie en moyenne</w:t>
            </w:r>
          </w:p>
        </w:tc>
      </w:tr>
      <w:tr w:rsidR="00782477" w:rsidRPr="0029070D" w14:paraId="5A8AE015" w14:textId="77777777" w:rsidTr="00FB041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693"/>
          <w:jc w:val="center"/>
        </w:trPr>
        <w:tc>
          <w:tcPr>
            <w:tcW w:w="1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0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1-11</w:t>
            </w:r>
          </w:p>
        </w:tc>
        <w:tc>
          <w:tcPr>
            <w:tcW w:w="142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0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C1.I3</w:t>
            </w:r>
          </w:p>
          <w:p w14:paraId="5A8AE00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Rénovation énergétique des bâtiments publics</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0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0D" w14:textId="77777777" w:rsidR="00740F0F" w:rsidRPr="0029070D" w:rsidRDefault="00100B64" w:rsidP="00154B53">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m² de planchers des sites publics appartenant à l’État sur lesquels des travaux de rénovation énergétique ont été réalisés</w:t>
            </w:r>
          </w:p>
        </w:tc>
        <w:tc>
          <w:tcPr>
            <w:tcW w:w="12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0E"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0F"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mètres carrés (en millions)</w:t>
            </w:r>
          </w:p>
        </w:tc>
        <w:tc>
          <w:tcPr>
            <w:tcW w:w="10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1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w:t>
            </w:r>
          </w:p>
        </w:tc>
        <w:tc>
          <w:tcPr>
            <w:tcW w:w="8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1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28,75</w:t>
            </w:r>
          </w:p>
        </w:tc>
        <w:tc>
          <w:tcPr>
            <w:tcW w:w="79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1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1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2024</w:t>
            </w:r>
          </w:p>
        </w:tc>
        <w:tc>
          <w:tcPr>
            <w:tcW w:w="4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14"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m² de planchers des sites publics appartenant à l’État sur lesquels des travaux de rénovation énergétique ont été réalisés, avec un objectif d’au moins 30 % d’économies d’énergie en moyenne</w:t>
            </w:r>
          </w:p>
        </w:tc>
      </w:tr>
      <w:tr w:rsidR="00782477" w:rsidRPr="0029070D" w14:paraId="5A8AE022" w14:textId="77777777" w:rsidTr="00FB041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592"/>
          <w:jc w:val="center"/>
        </w:trPr>
        <w:tc>
          <w:tcPr>
            <w:tcW w:w="1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1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1-12</w:t>
            </w:r>
          </w:p>
        </w:tc>
        <w:tc>
          <w:tcPr>
            <w:tcW w:w="142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17" w14:textId="77777777" w:rsidR="00740F0F" w:rsidRPr="0029070D" w:rsidRDefault="00100B64">
            <w:pPr>
              <w:spacing w:line="214" w:lineRule="exact"/>
              <w:ind w:left="9" w:right="162"/>
              <w:jc w:val="center"/>
              <w:rPr>
                <w:rFonts w:ascii="Times New Roman" w:eastAsia="Times New Roman" w:hAnsi="Times New Roman" w:cs="Times New Roman"/>
                <w:noProof/>
                <w:sz w:val="18"/>
                <w:szCs w:val="18"/>
              </w:rPr>
            </w:pPr>
            <w:r>
              <w:rPr>
                <w:rFonts w:ascii="Times New Roman" w:hAnsi="Times New Roman"/>
                <w:noProof/>
                <w:sz w:val="18"/>
              </w:rPr>
              <w:t>C1.I3</w:t>
            </w:r>
          </w:p>
          <w:p w14:paraId="5A8AE018" w14:textId="77777777" w:rsidR="00740F0F" w:rsidRPr="0029070D" w:rsidRDefault="00100B64">
            <w:pPr>
              <w:spacing w:line="214" w:lineRule="exact"/>
              <w:ind w:left="9" w:right="165" w:firstLine="22"/>
              <w:jc w:val="center"/>
              <w:rPr>
                <w:rFonts w:ascii="Times New Roman" w:eastAsia="Times New Roman" w:hAnsi="Times New Roman" w:cs="Times New Roman"/>
                <w:noProof/>
                <w:sz w:val="18"/>
                <w:szCs w:val="18"/>
              </w:rPr>
            </w:pPr>
            <w:r>
              <w:rPr>
                <w:rFonts w:ascii="Times New Roman" w:hAnsi="Times New Roman"/>
                <w:noProof/>
                <w:sz w:val="18"/>
              </w:rPr>
              <w:t>Rénovation thermique des bâtiments publics</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19" w14:textId="77777777" w:rsidR="00740F0F" w:rsidRPr="0029070D" w:rsidRDefault="00100B64">
            <w:pPr>
              <w:spacing w:line="214" w:lineRule="exact"/>
              <w:ind w:left="9" w:right="123"/>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1A" w14:textId="77777777" w:rsidR="00740F0F" w:rsidRPr="0029070D" w:rsidRDefault="00100B64">
            <w:pPr>
              <w:spacing w:line="214" w:lineRule="exact"/>
              <w:ind w:left="9" w:right="318"/>
              <w:rPr>
                <w:rFonts w:ascii="Times New Roman" w:eastAsia="Times New Roman" w:hAnsi="Times New Roman" w:cs="Times New Roman"/>
                <w:noProof/>
                <w:sz w:val="18"/>
                <w:szCs w:val="18"/>
              </w:rPr>
            </w:pPr>
            <w:r>
              <w:rPr>
                <w:rFonts w:ascii="Times New Roman" w:hAnsi="Times New Roman"/>
                <w:noProof/>
                <w:sz w:val="18"/>
              </w:rPr>
              <w:t>Nombre d’écoles, de collèges ou de lycées ayant fait l’objet de travaux de rénovation énergétique</w:t>
            </w:r>
          </w:p>
        </w:tc>
        <w:tc>
          <w:tcPr>
            <w:tcW w:w="12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1B"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1C" w14:textId="77777777" w:rsidR="00740F0F" w:rsidRPr="0029070D" w:rsidRDefault="00100B64">
            <w:pPr>
              <w:spacing w:line="214" w:lineRule="exact"/>
              <w:ind w:left="9" w:right="46"/>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10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1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8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1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681</w:t>
            </w:r>
          </w:p>
        </w:tc>
        <w:tc>
          <w:tcPr>
            <w:tcW w:w="79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1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2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2024</w:t>
            </w:r>
          </w:p>
        </w:tc>
        <w:tc>
          <w:tcPr>
            <w:tcW w:w="4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21" w14:textId="77777777" w:rsidR="00740F0F" w:rsidRPr="0029070D" w:rsidRDefault="00100B64">
            <w:pPr>
              <w:spacing w:line="214" w:lineRule="exact"/>
              <w:ind w:left="9" w:right="240"/>
              <w:rPr>
                <w:rFonts w:ascii="Times New Roman" w:eastAsia="Times New Roman" w:hAnsi="Times New Roman" w:cs="Times New Roman"/>
                <w:noProof/>
                <w:sz w:val="18"/>
                <w:szCs w:val="18"/>
              </w:rPr>
            </w:pPr>
            <w:r>
              <w:rPr>
                <w:rFonts w:ascii="Times New Roman" w:hAnsi="Times New Roman"/>
                <w:noProof/>
                <w:sz w:val="18"/>
              </w:rPr>
              <w:t>Nombre d’écoles, de collèges ou de lycées ayant fait l’objet de travaux de rénovation énergétique, avec un objectif d’au moins 30 % d’économies d’énergie en moyenne</w:t>
            </w:r>
          </w:p>
        </w:tc>
      </w:tr>
      <w:tr w:rsidR="00782477" w:rsidRPr="0029070D" w14:paraId="5A8AE02F" w14:textId="77777777" w:rsidTr="00FB041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473"/>
          <w:jc w:val="center"/>
        </w:trPr>
        <w:tc>
          <w:tcPr>
            <w:tcW w:w="1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2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1-13</w:t>
            </w:r>
          </w:p>
        </w:tc>
        <w:tc>
          <w:tcPr>
            <w:tcW w:w="142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24" w14:textId="77777777" w:rsidR="00740F0F" w:rsidRPr="0029070D" w:rsidRDefault="00100B64">
            <w:pPr>
              <w:spacing w:line="214" w:lineRule="exact"/>
              <w:ind w:left="9" w:right="162"/>
              <w:jc w:val="center"/>
              <w:rPr>
                <w:rFonts w:ascii="Times New Roman" w:eastAsia="Times New Roman" w:hAnsi="Times New Roman" w:cs="Times New Roman"/>
                <w:noProof/>
                <w:sz w:val="18"/>
                <w:szCs w:val="18"/>
              </w:rPr>
            </w:pPr>
            <w:r>
              <w:rPr>
                <w:rFonts w:ascii="Times New Roman" w:hAnsi="Times New Roman"/>
                <w:noProof/>
                <w:sz w:val="18"/>
              </w:rPr>
              <w:t>C1.I4</w:t>
            </w:r>
          </w:p>
          <w:p w14:paraId="5A8AE025" w14:textId="77777777" w:rsidR="00740F0F" w:rsidRPr="0029070D" w:rsidRDefault="00100B64">
            <w:pPr>
              <w:spacing w:line="214" w:lineRule="exact"/>
              <w:ind w:left="9" w:right="165" w:firstLine="21"/>
              <w:jc w:val="center"/>
              <w:rPr>
                <w:rFonts w:ascii="Times New Roman" w:eastAsia="Times New Roman" w:hAnsi="Times New Roman" w:cs="Times New Roman"/>
                <w:noProof/>
                <w:sz w:val="18"/>
                <w:szCs w:val="18"/>
              </w:rPr>
            </w:pPr>
            <w:r>
              <w:rPr>
                <w:rFonts w:ascii="Times New Roman" w:hAnsi="Times New Roman"/>
                <w:noProof/>
                <w:sz w:val="18"/>
              </w:rPr>
              <w:t>Rénovation énergétique des TPE-PME</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26" w14:textId="77777777" w:rsidR="00740F0F" w:rsidRPr="0029070D" w:rsidRDefault="00100B64">
            <w:pPr>
              <w:spacing w:line="214" w:lineRule="exact"/>
              <w:ind w:left="9" w:right="123"/>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27" w14:textId="77777777" w:rsidR="00740F0F" w:rsidRPr="0029070D" w:rsidRDefault="00100B64">
            <w:pPr>
              <w:spacing w:line="214" w:lineRule="exact"/>
              <w:ind w:left="9" w:right="168"/>
              <w:rPr>
                <w:rFonts w:ascii="Times New Roman" w:eastAsia="Times New Roman" w:hAnsi="Times New Roman" w:cs="Times New Roman"/>
                <w:noProof/>
                <w:sz w:val="18"/>
                <w:szCs w:val="18"/>
              </w:rPr>
            </w:pPr>
            <w:r>
              <w:rPr>
                <w:rFonts w:ascii="Times New Roman" w:hAnsi="Times New Roman"/>
                <w:noProof/>
                <w:sz w:val="18"/>
              </w:rPr>
              <w:t>Nombre d’entreprises bénéficiaires du crédit d’impôt et/ou des mesures d’accompagnement</w:t>
            </w:r>
          </w:p>
        </w:tc>
        <w:tc>
          <w:tcPr>
            <w:tcW w:w="12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28"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29" w14:textId="77777777" w:rsidR="00740F0F" w:rsidRPr="0029070D" w:rsidRDefault="00100B64">
            <w:pPr>
              <w:spacing w:line="214" w:lineRule="exact"/>
              <w:ind w:left="9" w:right="46"/>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10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2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8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2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5 000</w:t>
            </w:r>
          </w:p>
        </w:tc>
        <w:tc>
          <w:tcPr>
            <w:tcW w:w="79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2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2D" w14:textId="77777777" w:rsidR="00740F0F" w:rsidRPr="0029070D" w:rsidRDefault="00100B64">
            <w:pPr>
              <w:spacing w:line="214" w:lineRule="exact"/>
              <w:ind w:left="9" w:right="-2"/>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4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2E" w14:textId="77777777" w:rsidR="00740F0F" w:rsidRPr="0029070D" w:rsidRDefault="00100B64">
            <w:pPr>
              <w:spacing w:line="214" w:lineRule="exact"/>
              <w:ind w:left="9" w:right="249"/>
              <w:rPr>
                <w:rFonts w:ascii="Times New Roman" w:eastAsia="Times New Roman" w:hAnsi="Times New Roman" w:cs="Times New Roman"/>
                <w:noProof/>
                <w:sz w:val="18"/>
                <w:szCs w:val="18"/>
              </w:rPr>
            </w:pPr>
            <w:r>
              <w:rPr>
                <w:rFonts w:ascii="Times New Roman" w:hAnsi="Times New Roman"/>
                <w:noProof/>
                <w:sz w:val="18"/>
              </w:rPr>
              <w:t>Nombre d’entreprises bénéficiaires du crédit d’impôt pour la rénovation énergétique des TPE-PME à usage tertiaire et/ou d’un accompagnement par les chambres de métiers et de l’artisanat (CMA) et les chambres de commerce et d’industrie (CCI)</w:t>
            </w:r>
          </w:p>
        </w:tc>
      </w:tr>
    </w:tbl>
    <w:p w14:paraId="5A8AE030" w14:textId="77777777" w:rsidR="00740F0F" w:rsidRPr="0029070D" w:rsidRDefault="00740F0F">
      <w:pPr>
        <w:spacing w:before="120" w:after="120" w:line="247" w:lineRule="auto"/>
        <w:rPr>
          <w:rFonts w:ascii="Times New Roman" w:eastAsia="Calibri" w:hAnsi="Times New Roman" w:cs="Times New Roman"/>
          <w:noProof/>
          <w:kern w:val="0"/>
          <w:sz w:val="19"/>
          <w:szCs w:val="22"/>
          <w14:ligatures w14:val="none"/>
        </w:rPr>
        <w:sectPr w:rsidR="00740F0F" w:rsidRPr="0029070D">
          <w:headerReference w:type="even" r:id="rId24"/>
          <w:headerReference w:type="default" r:id="rId25"/>
          <w:footerReference w:type="even" r:id="rId26"/>
          <w:footerReference w:type="default" r:id="rId27"/>
          <w:headerReference w:type="first" r:id="rId28"/>
          <w:footerReference w:type="first" r:id="rId29"/>
          <w:pgSz w:w="16860" w:h="11920" w:orient="landscape"/>
          <w:pgMar w:top="1134" w:right="1134" w:bottom="1134" w:left="1134" w:header="567" w:footer="567" w:gutter="0"/>
          <w:cols w:space="720"/>
          <w:docGrid w:linePitch="326"/>
        </w:sectPr>
      </w:pPr>
    </w:p>
    <w:p w14:paraId="5A8AE031" w14:textId="77777777" w:rsidR="00740F0F" w:rsidRPr="0029070D" w:rsidRDefault="00100B64">
      <w:pPr>
        <w:widowControl w:val="0"/>
        <w:numPr>
          <w:ilvl w:val="1"/>
          <w:numId w:val="1"/>
        </w:numPr>
        <w:tabs>
          <w:tab w:val="left" w:pos="521"/>
        </w:tabs>
        <w:autoSpaceDE w:val="0"/>
        <w:autoSpaceDN w:val="0"/>
        <w:spacing w:before="109" w:after="0" w:line="240" w:lineRule="auto"/>
        <w:ind w:left="520"/>
        <w:jc w:val="both"/>
        <w:rPr>
          <w:rFonts w:ascii="Times New Roman" w:eastAsia="Times New Roman" w:hAnsi="Times New Roman" w:cs="Times New Roman"/>
          <w:b/>
          <w:noProof/>
          <w:kern w:val="0"/>
          <w:szCs w:val="20"/>
          <w14:ligatures w14:val="none"/>
        </w:rPr>
      </w:pPr>
      <w:r>
        <w:rPr>
          <w:rFonts w:ascii="Times New Roman" w:hAnsi="Times New Roman"/>
          <w:b/>
          <w:noProof/>
        </w:rPr>
        <w:t>COMPOSANTE 2: Écologie et biodiversité</w:t>
      </w:r>
    </w:p>
    <w:p w14:paraId="5A8AE032" w14:textId="77777777" w:rsidR="00740F0F" w:rsidRPr="0029070D" w:rsidRDefault="00100B64">
      <w:pPr>
        <w:widowControl w:val="0"/>
        <w:autoSpaceDE w:val="0"/>
        <w:autoSpaceDN w:val="0"/>
        <w:spacing w:before="109" w:after="0" w:line="242" w:lineRule="auto"/>
        <w:ind w:left="220" w:right="255"/>
        <w:jc w:val="both"/>
        <w:rPr>
          <w:rFonts w:ascii="Times New Roman" w:eastAsia="Times New Roman" w:hAnsi="Times New Roman" w:cs="Times New Roman"/>
          <w:noProof/>
          <w:kern w:val="0"/>
          <w:szCs w:val="20"/>
          <w14:ligatures w14:val="none"/>
        </w:rPr>
      </w:pPr>
      <w:r>
        <w:rPr>
          <w:rFonts w:ascii="Times New Roman" w:hAnsi="Times New Roman"/>
          <w:noProof/>
        </w:rPr>
        <w:t>Pour atteindre les objectifs de développement durable dans les années à venir, notamment en ce qui concerne la biodiversité, la qualité de l’eau et l’économie circulaire, la France a besoin d’engager des investissements importants. Si le cadre juridique nécessaire pour assurer la transition vers une économie plus verte et plus résiliente est globalement en place, la France doit encore le mettre en œuvre, notamment en soutenant les investissements renforçant la biodiversité, en réduisant la pollution et l’artificialisation des sols ainsi qu’en améliorant le recyclage et le réemploi des matériaux et des ressources.</w:t>
      </w:r>
    </w:p>
    <w:p w14:paraId="5A8AE033" w14:textId="77777777" w:rsidR="00740F0F" w:rsidRPr="0029070D" w:rsidRDefault="00100B64">
      <w:pPr>
        <w:widowControl w:val="0"/>
        <w:autoSpaceDE w:val="0"/>
        <w:autoSpaceDN w:val="0"/>
        <w:spacing w:before="108" w:after="0" w:line="240" w:lineRule="auto"/>
        <w:ind w:left="220" w:right="237"/>
        <w:jc w:val="both"/>
        <w:rPr>
          <w:rFonts w:ascii="Times New Roman" w:eastAsia="Times New Roman" w:hAnsi="Times New Roman" w:cs="Times New Roman"/>
          <w:noProof/>
          <w:kern w:val="0"/>
          <w:szCs w:val="20"/>
          <w14:ligatures w14:val="none"/>
        </w:rPr>
      </w:pPr>
      <w:r>
        <w:rPr>
          <w:rFonts w:ascii="Times New Roman" w:hAnsi="Times New Roman"/>
          <w:noProof/>
        </w:rPr>
        <w:t>Dans ce contexte, les investissements prévus dans cette composante 2 du plan français de relance et de résilience visent à réduire l’impact écologique de nos modes de production et de consommation actuels en préservant la biodiversité, en décarbonant les processus de production industriels, en développant l’économie circulaire et en accélérant la transition agricole. Ces investissements sont soutenus par la réforme de la loi Climat et Résilience basée sur la Convention citoyenne pour le climat dont l’objectif est de contribuer à la réduction des émissions de GES à l’horizon 2030. De plus, les décrets d’application de la loi relative à l’économie circulaire promulguée en 2020 entreront en vigueur en 2022.</w:t>
      </w:r>
    </w:p>
    <w:p w14:paraId="5A8AE034" w14:textId="77777777" w:rsidR="00740F0F" w:rsidRPr="0029070D" w:rsidRDefault="00100B64">
      <w:pPr>
        <w:widowControl w:val="0"/>
        <w:autoSpaceDE w:val="0"/>
        <w:autoSpaceDN w:val="0"/>
        <w:spacing w:before="126" w:after="0" w:line="240" w:lineRule="auto"/>
        <w:ind w:left="220" w:right="237"/>
        <w:jc w:val="both"/>
        <w:rPr>
          <w:rFonts w:ascii="Times New Roman" w:eastAsia="Times New Roman" w:hAnsi="Times New Roman" w:cs="Times New Roman"/>
          <w:noProof/>
          <w:kern w:val="0"/>
          <w:szCs w:val="20"/>
          <w14:ligatures w14:val="none"/>
        </w:rPr>
      </w:pPr>
      <w:r>
        <w:rPr>
          <w:rFonts w:ascii="Times New Roman" w:hAnsi="Times New Roman"/>
          <w:noProof/>
        </w:rPr>
        <w:t>Cette composante est principalement liée à la recommandation appelant à concentrer les investissements sur la transition verte (recommandation 3 de 2020) et, dans une moindre mesure, à la recommandation sur l’efficacité énergétique (recommandation 3 de 2019). Cette composante contribue à la préservation de l’environnement et à l’adaptation au changement climatique, renforçant ainsi la résilience écologique, sociale et économique.</w:t>
      </w:r>
    </w:p>
    <w:p w14:paraId="5A8AE035" w14:textId="77777777" w:rsidR="00740F0F" w:rsidRPr="0029070D" w:rsidRDefault="00100B64">
      <w:pPr>
        <w:widowControl w:val="0"/>
        <w:autoSpaceDE w:val="0"/>
        <w:autoSpaceDN w:val="0"/>
        <w:spacing w:before="113" w:after="0" w:line="242" w:lineRule="auto"/>
        <w:ind w:left="220" w:right="253"/>
        <w:jc w:val="both"/>
        <w:rPr>
          <w:rFonts w:ascii="Times New Roman" w:eastAsia="Times New Roman" w:hAnsi="Times New Roman" w:cs="Times New Roman"/>
          <w:noProof/>
          <w:kern w:val="0"/>
          <w:szCs w:val="20"/>
          <w14:ligatures w14:val="none"/>
        </w:rPr>
      </w:pPr>
      <w:r>
        <w:rPr>
          <w:rFonts w:ascii="Times New Roman" w:hAnsi="Times New Roman"/>
          <w:noProof/>
        </w:rPr>
        <w:t>Aucune mesure relevant de cette composante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w:t>
      </w:r>
    </w:p>
    <w:p w14:paraId="5A8AE036" w14:textId="77777777" w:rsidR="00740F0F" w:rsidRPr="0029070D" w:rsidRDefault="00740F0F">
      <w:pPr>
        <w:widowControl w:val="0"/>
        <w:autoSpaceDE w:val="0"/>
        <w:autoSpaceDN w:val="0"/>
        <w:spacing w:before="10" w:after="0" w:line="240" w:lineRule="auto"/>
        <w:rPr>
          <w:rFonts w:ascii="Times New Roman" w:eastAsia="Times New Roman" w:hAnsi="Times New Roman" w:cs="Times New Roman"/>
          <w:noProof/>
          <w:kern w:val="0"/>
          <w:sz w:val="43"/>
          <w:szCs w:val="20"/>
          <w14:ligatures w14:val="none"/>
        </w:rPr>
      </w:pPr>
    </w:p>
    <w:p w14:paraId="5A8AE037" w14:textId="77777777" w:rsidR="00740F0F" w:rsidRPr="00B46C4C" w:rsidRDefault="00100B64" w:rsidP="00413061">
      <w:pPr>
        <w:widowControl w:val="0"/>
        <w:numPr>
          <w:ilvl w:val="2"/>
          <w:numId w:val="1"/>
        </w:numPr>
        <w:autoSpaceDE w:val="0"/>
        <w:autoSpaceDN w:val="0"/>
        <w:spacing w:before="120" w:after="0" w:line="240" w:lineRule="auto"/>
        <w:ind w:left="993" w:hanging="723"/>
        <w:jc w:val="both"/>
        <w:outlineLvl w:val="1"/>
        <w:rPr>
          <w:rFonts w:ascii="Times New Roman" w:eastAsia="Times New Roman" w:hAnsi="Times New Roman" w:cs="Times New Roman"/>
          <w:b/>
          <w:noProof/>
          <w:kern w:val="0"/>
          <w:szCs w:val="20"/>
          <w:u w:val="single"/>
          <w14:ligatures w14:val="none"/>
        </w:rPr>
      </w:pPr>
      <w:r>
        <w:rPr>
          <w:rFonts w:ascii="Times New Roman" w:hAnsi="Times New Roman"/>
          <w:b/>
          <w:noProof/>
          <w:u w:val="single"/>
        </w:rPr>
        <w:t>Description des réformes et des investissements en vue du soutien financier non remboursable</w:t>
      </w:r>
    </w:p>
    <w:p w14:paraId="5A8AE038" w14:textId="77777777" w:rsidR="00740F0F" w:rsidRPr="0029070D" w:rsidRDefault="00100B64">
      <w:pPr>
        <w:widowControl w:val="0"/>
        <w:autoSpaceDE w:val="0"/>
        <w:autoSpaceDN w:val="0"/>
        <w:spacing w:before="125"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Réforme 1 (C2.R1): loi Climat et Résilience</w:t>
      </w:r>
    </w:p>
    <w:p w14:paraId="5A8AE039" w14:textId="77777777" w:rsidR="00740F0F" w:rsidRPr="0029070D" w:rsidRDefault="00100B64">
      <w:pPr>
        <w:widowControl w:val="0"/>
        <w:autoSpaceDE w:val="0"/>
        <w:autoSpaceDN w:val="0"/>
        <w:spacing w:before="113" w:after="0" w:line="240" w:lineRule="auto"/>
        <w:ind w:left="220" w:right="246"/>
        <w:jc w:val="both"/>
        <w:rPr>
          <w:rFonts w:ascii="Times New Roman" w:eastAsia="Times New Roman" w:hAnsi="Times New Roman" w:cs="Times New Roman"/>
          <w:noProof/>
          <w:kern w:val="0"/>
          <w:szCs w:val="20"/>
          <w14:ligatures w14:val="none"/>
        </w:rPr>
      </w:pPr>
      <w:r>
        <w:rPr>
          <w:rFonts w:ascii="Times New Roman" w:hAnsi="Times New Roman"/>
          <w:noProof/>
        </w:rPr>
        <w:t>La loi Climat et Résilience sera promulguée début 2022. Certaines mesures directement applicables entreront en vigueur dès leur promulgation, tandis que d’autres entreront en vigueur de manière différée, dans un délai fixé par le législateur. Sur la base des propositions faites par la Convention citoyenne pour le climat, la loi prévoit des mesures en matière de climat et d’environnement contribuant à atteindre l’objectif de réduction des émissions de GES à l’horizon 2030. D’après les estimations, la loi devrait permettre d’atteindre entre la moitié et les deux tiers des objectifs fixés entre les émissions de 2019 et la cible de 2030, soit une réduction estimée totale comprise entre 56 et 74 millions de tonnes d’équivalent CO</w:t>
      </w:r>
      <w:r>
        <w:rPr>
          <w:rFonts w:ascii="Times New Roman" w:hAnsi="Times New Roman"/>
          <w:noProof/>
          <w:vertAlign w:val="subscript"/>
        </w:rPr>
        <w:t>2</w:t>
      </w:r>
      <w:r>
        <w:rPr>
          <w:rFonts w:ascii="Times New Roman" w:hAnsi="Times New Roman"/>
          <w:noProof/>
        </w:rPr>
        <w:t>. La loi s’articule autour des six thématiques suivantes, couvrant l’ensemble du champ de l’économie:</w:t>
      </w:r>
    </w:p>
    <w:p w14:paraId="5A8AE03A" w14:textId="77777777" w:rsidR="00740F0F" w:rsidRPr="0029070D" w:rsidRDefault="00100B64">
      <w:pPr>
        <w:widowControl w:val="0"/>
        <w:numPr>
          <w:ilvl w:val="3"/>
          <w:numId w:val="1"/>
        </w:numPr>
        <w:tabs>
          <w:tab w:val="left" w:pos="943"/>
        </w:tabs>
        <w:autoSpaceDE w:val="0"/>
        <w:autoSpaceDN w:val="0"/>
        <w:spacing w:before="130" w:after="0" w:line="240" w:lineRule="auto"/>
        <w:ind w:right="254" w:hanging="360"/>
        <w:jc w:val="both"/>
        <w:rPr>
          <w:rFonts w:ascii="Times New Roman" w:eastAsia="Times New Roman" w:hAnsi="Times New Roman" w:cs="Times New Roman"/>
          <w:noProof/>
          <w:kern w:val="0"/>
          <w:szCs w:val="20"/>
          <w14:ligatures w14:val="none"/>
        </w:rPr>
      </w:pPr>
      <w:r>
        <w:rPr>
          <w:rFonts w:ascii="Times New Roman" w:hAnsi="Times New Roman"/>
          <w:noProof/>
        </w:rPr>
        <w:t>«Consommer»: la loi comprend des mesures visant à faire évoluer les modes de consommation grâce à l’information et au déploiement de produits et de services à moindre intensité de carbone, et à encourager la réduction de la surconsommation via la publicité.</w:t>
      </w:r>
    </w:p>
    <w:p w14:paraId="5A8AE03B" w14:textId="77777777" w:rsidR="00740F0F" w:rsidRPr="0029070D" w:rsidRDefault="00100B64">
      <w:pPr>
        <w:widowControl w:val="0"/>
        <w:numPr>
          <w:ilvl w:val="3"/>
          <w:numId w:val="1"/>
        </w:numPr>
        <w:tabs>
          <w:tab w:val="left" w:pos="943"/>
        </w:tabs>
        <w:autoSpaceDE w:val="0"/>
        <w:autoSpaceDN w:val="0"/>
        <w:spacing w:before="112" w:after="0" w:line="240" w:lineRule="auto"/>
        <w:ind w:right="248" w:hanging="360"/>
        <w:jc w:val="both"/>
        <w:rPr>
          <w:rFonts w:ascii="Times New Roman" w:eastAsia="Times New Roman" w:hAnsi="Times New Roman" w:cs="Times New Roman"/>
          <w:noProof/>
          <w:kern w:val="0"/>
          <w:szCs w:val="20"/>
          <w14:ligatures w14:val="none"/>
        </w:rPr>
      </w:pPr>
      <w:r>
        <w:rPr>
          <w:rFonts w:ascii="Times New Roman" w:hAnsi="Times New Roman"/>
          <w:noProof/>
        </w:rPr>
        <w:t>«Produire et travailler»: la loi comprend des mesures visant à soutenir la transition des modèles de production industrielle et énergétique vers des solutions à faible émission de carbone, à renforcer la protection des écosystèmes par un meilleur encadrement des activités industrielles et à anticiper les évolutions du monde du travail.</w:t>
      </w:r>
    </w:p>
    <w:p w14:paraId="5A8AE03C" w14:textId="77777777" w:rsidR="00740F0F" w:rsidRPr="0029070D" w:rsidRDefault="00100B64">
      <w:pPr>
        <w:widowControl w:val="0"/>
        <w:numPr>
          <w:ilvl w:val="3"/>
          <w:numId w:val="1"/>
        </w:numPr>
        <w:tabs>
          <w:tab w:val="left" w:pos="943"/>
        </w:tabs>
        <w:autoSpaceDE w:val="0"/>
        <w:autoSpaceDN w:val="0"/>
        <w:spacing w:before="104" w:after="0" w:line="240" w:lineRule="auto"/>
        <w:ind w:right="247" w:hanging="360"/>
        <w:jc w:val="both"/>
        <w:rPr>
          <w:rFonts w:ascii="Times New Roman" w:eastAsia="Times New Roman" w:hAnsi="Times New Roman" w:cs="Times New Roman"/>
          <w:noProof/>
          <w:kern w:val="0"/>
          <w:szCs w:val="20"/>
          <w14:ligatures w14:val="none"/>
        </w:rPr>
      </w:pPr>
      <w:r>
        <w:rPr>
          <w:rFonts w:ascii="Times New Roman" w:hAnsi="Times New Roman"/>
          <w:noProof/>
        </w:rPr>
        <w:t>«Se déplacer»: la loi comprend des mesures visant à réduire les émissions de tous les moyens de transport, par des incitations et un soutien financier aux secteurs concernés, ainsi que par la définition d’un cadre réglementaire stable.</w:t>
      </w:r>
    </w:p>
    <w:p w14:paraId="5A8AE03D" w14:textId="77777777" w:rsidR="00740F0F" w:rsidRPr="0029070D" w:rsidRDefault="00100B64">
      <w:pPr>
        <w:widowControl w:val="0"/>
        <w:numPr>
          <w:ilvl w:val="3"/>
          <w:numId w:val="1"/>
        </w:numPr>
        <w:tabs>
          <w:tab w:val="left" w:pos="943"/>
        </w:tabs>
        <w:autoSpaceDE w:val="0"/>
        <w:autoSpaceDN w:val="0"/>
        <w:spacing w:before="82" w:after="0" w:line="242" w:lineRule="auto"/>
        <w:ind w:right="244" w:hanging="360"/>
        <w:jc w:val="both"/>
        <w:rPr>
          <w:rFonts w:ascii="Times New Roman" w:eastAsia="Times New Roman" w:hAnsi="Times New Roman" w:cs="Times New Roman"/>
          <w:noProof/>
          <w:kern w:val="0"/>
          <w:szCs w:val="20"/>
          <w14:ligatures w14:val="none"/>
        </w:rPr>
      </w:pPr>
      <w:r>
        <w:rPr>
          <w:rFonts w:ascii="Times New Roman" w:hAnsi="Times New Roman"/>
          <w:noProof/>
        </w:rPr>
        <w:t>«Se loger»: la loi comprend des mesures visant à modifier la façon de concevoir et d’habiter la ville. Elle contient des mesures pour accélérer la rénovation des passoires thermiques, ainsi que des mesures pour réduire par deux le rythme d’artificialisation des sols.</w:t>
      </w:r>
    </w:p>
    <w:p w14:paraId="5A8AE03E" w14:textId="77777777" w:rsidR="00740F0F" w:rsidRPr="0029070D" w:rsidRDefault="00100B64">
      <w:pPr>
        <w:widowControl w:val="0"/>
        <w:numPr>
          <w:ilvl w:val="3"/>
          <w:numId w:val="1"/>
        </w:numPr>
        <w:tabs>
          <w:tab w:val="left" w:pos="943"/>
        </w:tabs>
        <w:autoSpaceDE w:val="0"/>
        <w:autoSpaceDN w:val="0"/>
        <w:spacing w:before="106" w:after="0" w:line="240" w:lineRule="auto"/>
        <w:ind w:right="254" w:hanging="360"/>
        <w:jc w:val="both"/>
        <w:rPr>
          <w:rFonts w:ascii="Times New Roman" w:eastAsia="Times New Roman" w:hAnsi="Times New Roman" w:cs="Times New Roman"/>
          <w:noProof/>
          <w:kern w:val="0"/>
          <w:szCs w:val="20"/>
          <w14:ligatures w14:val="none"/>
        </w:rPr>
      </w:pPr>
      <w:r>
        <w:rPr>
          <w:rFonts w:ascii="Times New Roman" w:hAnsi="Times New Roman"/>
          <w:noProof/>
        </w:rPr>
        <w:t>«Se nourrir»: la loi comprend des mesures visant à soutenir le verdissement de l’agriculture et le développement de nouvelles habitudes alimentaires et pratiques agricoles, moins émettrices de gaz à effet de serre.</w:t>
      </w:r>
    </w:p>
    <w:p w14:paraId="5A8AE03F" w14:textId="77777777" w:rsidR="00740F0F" w:rsidRPr="0029070D" w:rsidRDefault="00100B64">
      <w:pPr>
        <w:widowControl w:val="0"/>
        <w:numPr>
          <w:ilvl w:val="3"/>
          <w:numId w:val="1"/>
        </w:numPr>
        <w:tabs>
          <w:tab w:val="left" w:pos="943"/>
        </w:tabs>
        <w:autoSpaceDE w:val="0"/>
        <w:autoSpaceDN w:val="0"/>
        <w:spacing w:before="111" w:after="0" w:line="244" w:lineRule="auto"/>
        <w:ind w:left="942" w:right="264" w:hanging="250"/>
        <w:jc w:val="both"/>
        <w:rPr>
          <w:rFonts w:ascii="Times New Roman" w:eastAsia="Times New Roman" w:hAnsi="Times New Roman" w:cs="Times New Roman"/>
          <w:noProof/>
          <w:kern w:val="0"/>
          <w:szCs w:val="20"/>
          <w14:ligatures w14:val="none"/>
        </w:rPr>
      </w:pPr>
      <w:r>
        <w:rPr>
          <w:rFonts w:ascii="Times New Roman" w:hAnsi="Times New Roman"/>
          <w:noProof/>
        </w:rPr>
        <w:t>«Renforcer la protection judiciaire de l’environnement»: la loi comprend des mesures visant à prévenir et à punir plus fermement et plus efficacement les atteintes à l’environnement.</w:t>
      </w:r>
    </w:p>
    <w:p w14:paraId="5A8AE040" w14:textId="77777777" w:rsidR="00740F0F" w:rsidRPr="0029070D" w:rsidRDefault="00100B64">
      <w:pPr>
        <w:widowControl w:val="0"/>
        <w:autoSpaceDE w:val="0"/>
        <w:autoSpaceDN w:val="0"/>
        <w:spacing w:before="214" w:after="0" w:line="240" w:lineRule="auto"/>
        <w:ind w:left="220" w:right="118"/>
        <w:jc w:val="both"/>
        <w:rPr>
          <w:rFonts w:ascii="Times New Roman" w:eastAsia="Times New Roman" w:hAnsi="Times New Roman" w:cs="Times New Roman"/>
          <w:noProof/>
          <w:kern w:val="0"/>
          <w:szCs w:val="20"/>
          <w14:ligatures w14:val="none"/>
        </w:rPr>
      </w:pPr>
      <w:r>
        <w:rPr>
          <w:rFonts w:ascii="Times New Roman" w:hAnsi="Times New Roman"/>
          <w:noProof/>
        </w:rPr>
        <w:t>En 2024, 18 agglomérations de plus de 150</w:t>
      </w:r>
      <w:r>
        <w:rPr>
          <w:rFonts w:ascii="Times New Roman" w:hAnsi="Times New Roman"/>
          <w:noProof/>
          <w:sz w:val="20"/>
        </w:rPr>
        <w:t> </w:t>
      </w:r>
      <w:r>
        <w:rPr>
          <w:rFonts w:ascii="Times New Roman" w:hAnsi="Times New Roman"/>
          <w:noProof/>
        </w:rPr>
        <w:t>000 habitants devraient avoir terminé l’étude réglementaire visant à créer des zones à faibles émissions de GES, améliorant ainsi la qualité de l’air dans les villes et contribuant à la réduction des émissions de GES.</w:t>
      </w:r>
    </w:p>
    <w:p w14:paraId="5A8AE041" w14:textId="77777777" w:rsidR="00740F0F" w:rsidRPr="0029070D" w:rsidRDefault="00100B64">
      <w:pPr>
        <w:widowControl w:val="0"/>
        <w:autoSpaceDE w:val="0"/>
        <w:autoSpaceDN w:val="0"/>
        <w:spacing w:before="219"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Réforme 2 (C2.R2): loi relative à l’économie circulaire</w:t>
      </w:r>
    </w:p>
    <w:p w14:paraId="5A8AE042" w14:textId="77777777" w:rsidR="00740F0F" w:rsidRPr="0029070D" w:rsidRDefault="00100B64">
      <w:pPr>
        <w:widowControl w:val="0"/>
        <w:spacing w:before="134" w:after="0" w:line="235" w:lineRule="auto"/>
        <w:ind w:left="220" w:right="254"/>
        <w:jc w:val="both"/>
        <w:rPr>
          <w:rFonts w:ascii="Times New Roman" w:eastAsia="Times New Roman" w:hAnsi="Times New Roman" w:cs="Times New Roman"/>
          <w:noProof/>
        </w:rPr>
      </w:pPr>
      <w:r>
        <w:rPr>
          <w:rFonts w:ascii="Times New Roman" w:hAnsi="Times New Roman"/>
          <w:noProof/>
        </w:rPr>
        <w:t xml:space="preserve">L’objectif de cette mesure est de lutter contre le gaspillage et de soutenir l’économie circulaire. </w:t>
      </w:r>
    </w:p>
    <w:p w14:paraId="5A8AE043" w14:textId="3E3115FA" w:rsidR="00740F0F" w:rsidRPr="0029070D" w:rsidRDefault="00100B64">
      <w:pPr>
        <w:widowControl w:val="0"/>
        <w:spacing w:before="134" w:after="0" w:line="235" w:lineRule="auto"/>
        <w:ind w:left="220" w:right="254"/>
        <w:jc w:val="both"/>
        <w:rPr>
          <w:noProof/>
        </w:rPr>
      </w:pPr>
      <w:r>
        <w:rPr>
          <w:rFonts w:ascii="Times New Roman" w:hAnsi="Times New Roman"/>
          <w:noProof/>
        </w:rPr>
        <w:t>Cette mesure consiste en l’adoption de textes réglementaires («décrets») découlant de la loi relative à l’économie circulaire adoptée le 10</w:t>
      </w:r>
      <w:r>
        <w:rPr>
          <w:rFonts w:ascii="Times New Roman" w:hAnsi="Times New Roman"/>
          <w:noProof/>
          <w:sz w:val="20"/>
        </w:rPr>
        <w:t> </w:t>
      </w:r>
      <w:r>
        <w:rPr>
          <w:rFonts w:ascii="Times New Roman" w:hAnsi="Times New Roman"/>
          <w:noProof/>
        </w:rPr>
        <w:t>février 2020.</w:t>
      </w:r>
    </w:p>
    <w:p w14:paraId="5A8AE044" w14:textId="77777777" w:rsidR="00740F0F" w:rsidRPr="0029070D" w:rsidRDefault="00100B64">
      <w:pPr>
        <w:widowControl w:val="0"/>
        <w:autoSpaceDE w:val="0"/>
        <w:autoSpaceDN w:val="0"/>
        <w:spacing w:before="214"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1 (C2.I1): décarbonation de l’industrie</w:t>
      </w:r>
    </w:p>
    <w:p w14:paraId="5A8AE045" w14:textId="77777777" w:rsidR="00740F0F" w:rsidRPr="0029070D" w:rsidRDefault="00100B64">
      <w:pPr>
        <w:widowControl w:val="0"/>
        <w:autoSpaceDE w:val="0"/>
        <w:autoSpaceDN w:val="0"/>
        <w:spacing w:before="113" w:after="0" w:line="240" w:lineRule="auto"/>
        <w:ind w:left="220" w:right="247"/>
        <w:jc w:val="both"/>
        <w:rPr>
          <w:rFonts w:ascii="Times New Roman" w:eastAsia="Times New Roman" w:hAnsi="Times New Roman" w:cs="Times New Roman"/>
          <w:noProof/>
          <w:kern w:val="0"/>
          <w:szCs w:val="20"/>
          <w14:ligatures w14:val="none"/>
        </w:rPr>
      </w:pPr>
      <w:r>
        <w:rPr>
          <w:rFonts w:ascii="Times New Roman" w:hAnsi="Times New Roman"/>
          <w:noProof/>
        </w:rPr>
        <w:t>Cet investissement vise à contribuer à la décarbonation du secteur industriel, responsable d’environ 21 % des émissions de GES en France. La facilité pour la reprise et la résilience sera utilisée pour réduire la consommation d’énergie des entreprises industrielles (y compris les industries à forte intensité énergétique) et/ou pour réaliser des investissements visant à réduire les émissions de GES.</w:t>
      </w:r>
    </w:p>
    <w:p w14:paraId="5A8AE046" w14:textId="77777777" w:rsidR="00740F0F" w:rsidRPr="0029070D" w:rsidRDefault="00100B64">
      <w:pPr>
        <w:widowControl w:val="0"/>
        <w:autoSpaceDE w:val="0"/>
        <w:autoSpaceDN w:val="0"/>
        <w:spacing w:before="127"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rPr>
        <w:t>Les fonds sont alloués de deux façons:</w:t>
      </w:r>
    </w:p>
    <w:p w14:paraId="5A8AE047" w14:textId="16F8B590" w:rsidR="00740F0F" w:rsidRPr="0029070D" w:rsidRDefault="00100B64">
      <w:pPr>
        <w:pStyle w:val="ListParagraph"/>
        <w:widowControl w:val="0"/>
        <w:numPr>
          <w:ilvl w:val="0"/>
          <w:numId w:val="18"/>
        </w:numPr>
        <w:autoSpaceDE w:val="0"/>
        <w:autoSpaceDN w:val="0"/>
        <w:spacing w:before="127" w:after="0" w:line="256" w:lineRule="auto"/>
        <w:ind w:right="250"/>
        <w:jc w:val="both"/>
        <w:rPr>
          <w:rFonts w:ascii="Times New Roman" w:eastAsia="Times New Roman" w:hAnsi="Times New Roman" w:cs="Times New Roman"/>
          <w:noProof/>
          <w:kern w:val="0"/>
          <w:szCs w:val="20"/>
          <w14:ligatures w14:val="none"/>
        </w:rPr>
      </w:pPr>
      <w:r>
        <w:rPr>
          <w:rFonts w:ascii="Times New Roman" w:hAnsi="Times New Roman"/>
          <w:noProof/>
        </w:rPr>
        <w:t>des subventions sont accordées à la suite d’appels à projets conduits par l’ADEME (Agence de la transition écologique), pour les projets représentant un investissement supérieur à 3 000 000 EUR. Sont concernés les investissements d’efficacité énergétique ainsi que les investissements d’amélioration des procédés industriels en vue de réduire les émissions de GES. Il n’y a pas d’enveloppe prédéfinie entre ces deux types de projets, la sélection se faisant en fonction de différents critères dont la performance en termes d’émissions de GES par rapport au soutien demandé;</w:t>
      </w:r>
    </w:p>
    <w:p w14:paraId="5A8AE048" w14:textId="418B4279" w:rsidR="00740F0F" w:rsidRPr="0029070D" w:rsidRDefault="00100B64">
      <w:pPr>
        <w:pStyle w:val="ListParagraph"/>
        <w:widowControl w:val="0"/>
        <w:numPr>
          <w:ilvl w:val="0"/>
          <w:numId w:val="18"/>
        </w:numPr>
        <w:autoSpaceDE w:val="0"/>
        <w:autoSpaceDN w:val="0"/>
        <w:spacing w:before="127" w:after="0" w:line="256" w:lineRule="auto"/>
        <w:ind w:right="250"/>
        <w:jc w:val="both"/>
        <w:rPr>
          <w:rFonts w:ascii="Times New Roman" w:eastAsia="Times New Roman" w:hAnsi="Times New Roman" w:cs="Times New Roman"/>
          <w:noProof/>
          <w:kern w:val="0"/>
          <w:szCs w:val="20"/>
          <w14:ligatures w14:val="none"/>
        </w:rPr>
      </w:pPr>
      <w:r>
        <w:rPr>
          <w:rFonts w:ascii="Times New Roman" w:hAnsi="Times New Roman"/>
          <w:noProof/>
        </w:rPr>
        <w:t>ces appels à projets sont complétés par un soutien en guichet distribué par l’Agence de services et de paiement (ASP) pour des projets d’amélioration de l’efficacité énergétique de moindre ampleur (d’un montant d’investissement inférieur à 3 000 000 EUR) et plus standardisés, basé sur une liste d’équipements éligibles définie par arrêté.</w:t>
      </w:r>
    </w:p>
    <w:p w14:paraId="5A8AE049" w14:textId="77777777" w:rsidR="00740F0F" w:rsidRPr="0029070D" w:rsidRDefault="00100B64">
      <w:pPr>
        <w:widowControl w:val="0"/>
        <w:autoSpaceDE w:val="0"/>
        <w:autoSpaceDN w:val="0"/>
        <w:spacing w:before="175" w:after="0" w:line="235" w:lineRule="auto"/>
        <w:ind w:left="220" w:right="231"/>
        <w:jc w:val="both"/>
        <w:rPr>
          <w:rFonts w:ascii="Times New Roman" w:eastAsia="Times New Roman" w:hAnsi="Times New Roman" w:cs="Times New Roman"/>
          <w:noProof/>
          <w:kern w:val="0"/>
          <w:szCs w:val="20"/>
          <w14:ligatures w14:val="none"/>
        </w:rPr>
      </w:pPr>
      <w:r>
        <w:rPr>
          <w:rFonts w:ascii="Times New Roman" w:hAnsi="Times New Roman"/>
          <w:noProof/>
        </w:rPr>
        <w:t>Les cahiers des charges des futurs appels à projets imposent que les investissements réalisés dans les installations relevant du système d’échange de quotas d’émission (SEQE) de l’UE permettent de réduire les émissions de CO</w:t>
      </w:r>
      <w:r>
        <w:rPr>
          <w:rFonts w:ascii="Times New Roman" w:hAnsi="Times New Roman"/>
          <w:noProof/>
          <w:vertAlign w:val="subscript"/>
        </w:rPr>
        <w:t>2</w:t>
      </w:r>
      <w:r>
        <w:rPr>
          <w:rFonts w:ascii="Times New Roman" w:hAnsi="Times New Roman"/>
          <w:noProof/>
        </w:rPr>
        <w:t xml:space="preserve"> en dessous du référentiel visé dans la directive SEQE</w:t>
      </w:r>
      <w:r w:rsidRPr="0029070D">
        <w:rPr>
          <w:rStyle w:val="FootnoteReference"/>
          <w:rFonts w:ascii="Times New Roman" w:eastAsia="Times New Roman" w:hAnsi="Times New Roman" w:cs="Times New Roman"/>
          <w:b w:val="0"/>
          <w:bCs/>
          <w:noProof/>
          <w:kern w:val="0"/>
          <w:szCs w:val="20"/>
        </w:rPr>
        <w:footnoteReference w:id="6"/>
      </w:r>
      <w:r>
        <w:rPr>
          <w:rFonts w:ascii="Times New Roman" w:hAnsi="Times New Roman"/>
          <w:noProof/>
        </w:rPr>
        <w:t>, d’une manière qui garantisse que la mesure est conforme au principe consistant «à ne pas causer de préjudice important» du règlement (UE) 2021/241.</w:t>
      </w:r>
    </w:p>
    <w:p w14:paraId="5A8AE04A" w14:textId="77777777" w:rsidR="00740F0F" w:rsidRPr="0029070D" w:rsidRDefault="00100B64">
      <w:pPr>
        <w:widowControl w:val="0"/>
        <w:autoSpaceDE w:val="0"/>
        <w:autoSpaceDN w:val="0"/>
        <w:spacing w:before="245"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2 (C2.I2): densification urbaine: construction durable</w:t>
      </w:r>
    </w:p>
    <w:p w14:paraId="5A8AE04B" w14:textId="77777777" w:rsidR="00740F0F" w:rsidRPr="0029070D" w:rsidRDefault="00100B64">
      <w:pPr>
        <w:widowControl w:val="0"/>
        <w:autoSpaceDE w:val="0"/>
        <w:autoSpaceDN w:val="0"/>
        <w:spacing w:before="129" w:after="0" w:line="237" w:lineRule="auto"/>
        <w:ind w:left="220" w:right="247"/>
        <w:jc w:val="both"/>
        <w:rPr>
          <w:rFonts w:ascii="Times New Roman" w:eastAsia="Times New Roman" w:hAnsi="Times New Roman" w:cs="Times New Roman"/>
          <w:noProof/>
          <w:kern w:val="0"/>
          <w:szCs w:val="20"/>
          <w14:ligatures w14:val="none"/>
        </w:rPr>
      </w:pPr>
      <w:r>
        <w:rPr>
          <w:rFonts w:ascii="Times New Roman" w:hAnsi="Times New Roman"/>
          <w:noProof/>
        </w:rPr>
        <w:t>Cette mesure vise à aider les communes à augmenter leur densité de logements, dans les zones touchées par la pénurie de logements. Le soutien aux opérations de construction dense permet de limiter l’étalement urbain et de préserver la biodiversité et les terres agricoles. Par ailleurs, la nouvelle réglementation thermique RE2020 (cf. réforme 2 de la présente composante), dont l’objectif est de réduire l’impact carbone des bâtiments neufs et d’augmenter leur performance énergétique, s’applique à ces opérations.</w:t>
      </w:r>
    </w:p>
    <w:p w14:paraId="5A8AE04C" w14:textId="77777777" w:rsidR="00740F0F" w:rsidRPr="0029070D" w:rsidRDefault="00100B64">
      <w:pPr>
        <w:widowControl w:val="0"/>
        <w:autoSpaceDE w:val="0"/>
        <w:autoSpaceDN w:val="0"/>
        <w:spacing w:before="135" w:after="0" w:line="274" w:lineRule="exact"/>
        <w:ind w:left="220"/>
        <w:jc w:val="both"/>
        <w:rPr>
          <w:rFonts w:ascii="Times New Roman" w:eastAsia="Times New Roman" w:hAnsi="Times New Roman" w:cs="Times New Roman"/>
          <w:noProof/>
          <w:kern w:val="0"/>
          <w:szCs w:val="20"/>
          <w14:ligatures w14:val="none"/>
        </w:rPr>
      </w:pPr>
      <w:r>
        <w:rPr>
          <w:rFonts w:ascii="Times New Roman" w:hAnsi="Times New Roman"/>
          <w:noProof/>
        </w:rPr>
        <w:t>Une aide forfaitaire est allouée aux autorités municipales, sous réserve que plusieurs conditions soient remplies:</w:t>
      </w:r>
    </w:p>
    <w:p w14:paraId="5A8AE04D" w14:textId="77777777" w:rsidR="00740F0F" w:rsidRPr="0029070D" w:rsidRDefault="00100B64">
      <w:pPr>
        <w:pStyle w:val="ListParagraph"/>
        <w:widowControl w:val="0"/>
        <w:numPr>
          <w:ilvl w:val="0"/>
          <w:numId w:val="19"/>
        </w:numPr>
        <w:autoSpaceDE w:val="0"/>
        <w:autoSpaceDN w:val="0"/>
        <w:spacing w:before="135" w:after="0" w:line="274" w:lineRule="exact"/>
        <w:jc w:val="both"/>
        <w:rPr>
          <w:rFonts w:ascii="Times New Roman" w:eastAsia="Times New Roman" w:hAnsi="Times New Roman" w:cs="Times New Roman"/>
          <w:noProof/>
          <w:kern w:val="0"/>
          <w:szCs w:val="20"/>
          <w14:ligatures w14:val="none"/>
        </w:rPr>
      </w:pPr>
      <w:r>
        <w:rPr>
          <w:rFonts w:ascii="Times New Roman" w:hAnsi="Times New Roman"/>
          <w:noProof/>
        </w:rPr>
        <w:t>les obligations imposées par la loi relative à la solidarité et au renouvellement urbain de 2000, en vertu de laquelle les logements sociaux doivent représenter 20 % du parc résidentiel, sont respectées; ii) le programme de construction doit comprendre au moins deux logements dépassant un certain seuil de densité et faisant l’objet d’une autorisation d’urbanisme préalable.</w:t>
      </w:r>
    </w:p>
    <w:p w14:paraId="5A8AE04E" w14:textId="77777777" w:rsidR="00740F0F" w:rsidRPr="0029070D" w:rsidRDefault="00100B64">
      <w:pPr>
        <w:widowControl w:val="0"/>
        <w:autoSpaceDE w:val="0"/>
        <w:autoSpaceDN w:val="0"/>
        <w:spacing w:before="120" w:after="0" w:line="240" w:lineRule="auto"/>
        <w:ind w:left="220" w:right="250"/>
        <w:jc w:val="both"/>
        <w:rPr>
          <w:rFonts w:ascii="Times New Roman" w:eastAsia="Times New Roman" w:hAnsi="Times New Roman" w:cs="Times New Roman"/>
          <w:noProof/>
          <w:kern w:val="0"/>
          <w:szCs w:val="20"/>
          <w14:ligatures w14:val="none"/>
        </w:rPr>
      </w:pPr>
      <w:r>
        <w:rPr>
          <w:rFonts w:ascii="Times New Roman" w:hAnsi="Times New Roman"/>
          <w:noProof/>
        </w:rPr>
        <w:t>Les seuils de densité, exprimés en mètres carrés de surfaces de plancher construits par mètre carré de surface de terrain, résultent d’une analyse croisée combinant des critères de population (taille et densité à la commune ou au groupement de communes) et de typologie du parc de logement (densité bâtie, vacance, part de logements sociaux et de résidences secondaires, taille moyenne des ménages, etc.).</w:t>
      </w:r>
    </w:p>
    <w:p w14:paraId="5A8AE04F" w14:textId="77777777" w:rsidR="00740F0F" w:rsidRPr="0029070D" w:rsidRDefault="00100B64">
      <w:pPr>
        <w:widowControl w:val="0"/>
        <w:autoSpaceDE w:val="0"/>
        <w:autoSpaceDN w:val="0"/>
        <w:spacing w:before="219"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3 (C2.I3): densification urbaine: friches</w:t>
      </w:r>
    </w:p>
    <w:p w14:paraId="5A8AE050" w14:textId="77777777" w:rsidR="00740F0F" w:rsidRPr="0029070D" w:rsidRDefault="00100B64">
      <w:pPr>
        <w:widowControl w:val="0"/>
        <w:autoSpaceDE w:val="0"/>
        <w:autoSpaceDN w:val="0"/>
        <w:spacing w:before="115" w:after="0" w:line="240" w:lineRule="auto"/>
        <w:ind w:left="220" w:right="255"/>
        <w:jc w:val="both"/>
        <w:rPr>
          <w:rFonts w:ascii="Times New Roman" w:eastAsia="Times New Roman" w:hAnsi="Times New Roman" w:cs="Times New Roman"/>
          <w:noProof/>
          <w:kern w:val="0"/>
          <w:szCs w:val="20"/>
          <w14:ligatures w14:val="none"/>
        </w:rPr>
      </w:pPr>
      <w:r>
        <w:rPr>
          <w:rFonts w:ascii="Times New Roman" w:hAnsi="Times New Roman"/>
          <w:noProof/>
        </w:rPr>
        <w:t>Cette mesure vise à réhabiliter et recycler les friches et les terres inutilisables qui représentent un important gisement foncier, afin de contribuer à l’atteinte de la priorité du «zéro artificialisation nette» d’ici 2050 fixée par le gouvernement français, avec pour objectifs de maîtriser l’étalement urbain et de soutenir la revitalisation urbaine et ainsi, de limiter la consommation d’espaces naturels.</w:t>
      </w:r>
    </w:p>
    <w:p w14:paraId="5A8AE051" w14:textId="77777777" w:rsidR="00740F0F" w:rsidRPr="0029070D" w:rsidRDefault="00100B64">
      <w:pPr>
        <w:widowControl w:val="0"/>
        <w:autoSpaceDE w:val="0"/>
        <w:autoSpaceDN w:val="0"/>
        <w:spacing w:before="127" w:after="0" w:line="240" w:lineRule="auto"/>
        <w:ind w:left="220" w:right="262"/>
        <w:jc w:val="both"/>
        <w:rPr>
          <w:rFonts w:ascii="Times New Roman" w:eastAsia="Times New Roman" w:hAnsi="Times New Roman" w:cs="Times New Roman"/>
          <w:noProof/>
          <w:kern w:val="0"/>
          <w:szCs w:val="20"/>
          <w14:ligatures w14:val="none"/>
        </w:rPr>
      </w:pPr>
      <w:r>
        <w:rPr>
          <w:rFonts w:ascii="Times New Roman" w:hAnsi="Times New Roman"/>
          <w:noProof/>
        </w:rPr>
        <w:t>Les bénéficiaires du fonds friches doivent être les propriétaires du site: il peut s’agir de communes, d’établissements publics locaux désignés par les collectivités locales, d’opérateurs publics de l’État, de sociétés publiques locales telles que les SEM (sociétés d’économie mixte), de bailleurs sociaux, ou de sociétés privées avec l’accord de l’autorité compétente en matière d’urbanisme.</w:t>
      </w:r>
    </w:p>
    <w:p w14:paraId="5A8AE052" w14:textId="77777777" w:rsidR="00740F0F" w:rsidRPr="0029070D" w:rsidRDefault="00100B64">
      <w:pPr>
        <w:widowControl w:val="0"/>
        <w:autoSpaceDE w:val="0"/>
        <w:autoSpaceDN w:val="0"/>
        <w:spacing w:before="113" w:after="0" w:line="242" w:lineRule="auto"/>
        <w:ind w:left="220" w:right="240"/>
        <w:jc w:val="both"/>
        <w:rPr>
          <w:rFonts w:ascii="Times New Roman" w:eastAsia="Times New Roman" w:hAnsi="Times New Roman" w:cs="Times New Roman"/>
          <w:noProof/>
          <w:kern w:val="0"/>
          <w:szCs w:val="20"/>
          <w14:ligatures w14:val="none"/>
        </w:rPr>
      </w:pPr>
      <w:r>
        <w:rPr>
          <w:rFonts w:ascii="Times New Roman" w:hAnsi="Times New Roman"/>
          <w:noProof/>
        </w:rPr>
        <w:t>Les projets sont sélectionnés par l’État dans le cadre d’appels d’offres régionaux, avec l’aide des services techniques (tant au niveau national que régional). Une fois la sélection effectuée, une convention de subvention est signée entre l’État et le bénéficiaire.</w:t>
      </w:r>
    </w:p>
    <w:p w14:paraId="5A8AE053" w14:textId="77777777" w:rsidR="00740F0F" w:rsidRPr="0029070D" w:rsidRDefault="00100B64">
      <w:pPr>
        <w:widowControl w:val="0"/>
        <w:autoSpaceDE w:val="0"/>
        <w:autoSpaceDN w:val="0"/>
        <w:spacing w:before="108"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rPr>
        <w:t>Deux catégories de projets peuvent être soutenues par le fonds friches:</w:t>
      </w:r>
    </w:p>
    <w:p w14:paraId="5A8AE054" w14:textId="77777777" w:rsidR="00740F0F" w:rsidRPr="0029070D" w:rsidRDefault="00100B64">
      <w:pPr>
        <w:pStyle w:val="ListParagraph"/>
        <w:widowControl w:val="0"/>
        <w:numPr>
          <w:ilvl w:val="0"/>
          <w:numId w:val="20"/>
        </w:numPr>
        <w:autoSpaceDE w:val="0"/>
        <w:autoSpaceDN w:val="0"/>
        <w:spacing w:before="108" w:after="0" w:line="240" w:lineRule="auto"/>
        <w:jc w:val="both"/>
        <w:rPr>
          <w:rFonts w:ascii="Times New Roman" w:eastAsia="Times New Roman" w:hAnsi="Times New Roman" w:cs="Times New Roman"/>
          <w:noProof/>
          <w:kern w:val="0"/>
          <w:szCs w:val="20"/>
          <w14:ligatures w14:val="none"/>
        </w:rPr>
      </w:pPr>
      <w:r>
        <w:rPr>
          <w:rFonts w:ascii="Times New Roman" w:hAnsi="Times New Roman"/>
          <w:noProof/>
        </w:rPr>
        <w:t>recyclage de friches: friches industrielles (sans opération de dépollution), commerciales, administratives, îlots anciens dégradés, s’inscrivant dans des projets de renouvellement urbain ou de relocalisation d’activités à vocation productive;</w:t>
      </w:r>
    </w:p>
    <w:p w14:paraId="5A8AE055" w14:textId="77777777" w:rsidR="00740F0F" w:rsidRPr="0029070D" w:rsidRDefault="00100B64">
      <w:pPr>
        <w:pStyle w:val="ListParagraph"/>
        <w:widowControl w:val="0"/>
        <w:numPr>
          <w:ilvl w:val="0"/>
          <w:numId w:val="20"/>
        </w:numPr>
        <w:autoSpaceDE w:val="0"/>
        <w:autoSpaceDN w:val="0"/>
        <w:spacing w:before="108" w:after="0" w:line="240" w:lineRule="auto"/>
        <w:jc w:val="both"/>
        <w:rPr>
          <w:rFonts w:ascii="Times New Roman" w:eastAsia="Times New Roman" w:hAnsi="Times New Roman" w:cs="Times New Roman"/>
          <w:noProof/>
          <w:kern w:val="0"/>
          <w:szCs w:val="20"/>
          <w14:ligatures w14:val="none"/>
        </w:rPr>
      </w:pPr>
      <w:r>
        <w:rPr>
          <w:rFonts w:ascii="Times New Roman" w:hAnsi="Times New Roman"/>
          <w:noProof/>
        </w:rPr>
        <w:t>recyclage de foncier urbanisé: requalification d’îlots anciens pour du logement et commerce, redynamisation ou transformation des zones économiques d’entrée de ville, réhabilitation et diversification des zones pavillonnaires, rénovation de commerces.</w:t>
      </w:r>
    </w:p>
    <w:p w14:paraId="5A8AE056" w14:textId="77777777" w:rsidR="00740F0F" w:rsidRPr="0029070D" w:rsidRDefault="00100B64">
      <w:pPr>
        <w:widowControl w:val="0"/>
        <w:autoSpaceDE w:val="0"/>
        <w:autoSpaceDN w:val="0"/>
        <w:spacing w:before="153" w:after="0" w:line="242" w:lineRule="auto"/>
        <w:ind w:left="220" w:right="248"/>
        <w:jc w:val="both"/>
        <w:rPr>
          <w:rFonts w:ascii="Times New Roman" w:eastAsia="Times New Roman" w:hAnsi="Times New Roman" w:cs="Times New Roman"/>
          <w:noProof/>
          <w:kern w:val="0"/>
          <w:szCs w:val="20"/>
          <w14:ligatures w14:val="none"/>
        </w:rPr>
      </w:pPr>
      <w:r>
        <w:rPr>
          <w:rFonts w:ascii="Times New Roman" w:hAnsi="Times New Roman"/>
          <w:noProof/>
        </w:rPr>
        <w:t>De plus, une enveloppe est consacrée au développement d’outils de connaissance du foncier afin d’appuyer les collectivités locales dans l’inventaire des friches et dans la mise en œuvre opérationnelle des opérations de recyclage.</w:t>
      </w:r>
    </w:p>
    <w:p w14:paraId="5A8AE057" w14:textId="77777777" w:rsidR="00740F0F" w:rsidRPr="0029070D" w:rsidRDefault="00100B64">
      <w:pPr>
        <w:widowControl w:val="0"/>
        <w:autoSpaceDE w:val="0"/>
        <w:autoSpaceDN w:val="0"/>
        <w:spacing w:before="215"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4 (C2.I4): biodiversité</w:t>
      </w:r>
    </w:p>
    <w:p w14:paraId="5A8AE058" w14:textId="77777777" w:rsidR="00740F0F" w:rsidRPr="0029070D" w:rsidRDefault="00100B64">
      <w:pPr>
        <w:widowControl w:val="0"/>
        <w:autoSpaceDE w:val="0"/>
        <w:autoSpaceDN w:val="0"/>
        <w:spacing w:before="115" w:after="0" w:line="242" w:lineRule="auto"/>
        <w:ind w:left="220" w:right="248"/>
        <w:jc w:val="both"/>
        <w:rPr>
          <w:rFonts w:ascii="Times New Roman" w:eastAsia="Times New Roman" w:hAnsi="Times New Roman" w:cs="Times New Roman"/>
          <w:noProof/>
          <w:kern w:val="0"/>
          <w:szCs w:val="20"/>
          <w14:ligatures w14:val="none"/>
        </w:rPr>
      </w:pPr>
      <w:r>
        <w:rPr>
          <w:rFonts w:ascii="Times New Roman" w:hAnsi="Times New Roman"/>
          <w:noProof/>
        </w:rPr>
        <w:t>Cette mesure vise à aider les collectivités locales, les associations et autres autorités de gestion des espaces naturels à investir dans des projets de protection et de restauration de la biodiversité, lorsque les écosystèmes sont menacés. Deux types de mesures sont financés au titre du plan français de relance et de résilience:</w:t>
      </w:r>
    </w:p>
    <w:p w14:paraId="5A8AE059" w14:textId="77777777" w:rsidR="00740F0F" w:rsidRPr="0029070D" w:rsidRDefault="00100B64">
      <w:pPr>
        <w:widowControl w:val="0"/>
        <w:numPr>
          <w:ilvl w:val="0"/>
          <w:numId w:val="21"/>
        </w:numPr>
        <w:tabs>
          <w:tab w:val="left" w:pos="943"/>
        </w:tabs>
        <w:autoSpaceDE w:val="0"/>
        <w:autoSpaceDN w:val="0"/>
        <w:spacing w:before="122" w:after="0" w:line="240" w:lineRule="auto"/>
        <w:ind w:left="942" w:hanging="250"/>
        <w:jc w:val="both"/>
        <w:rPr>
          <w:rFonts w:ascii="Times New Roman" w:eastAsia="Times New Roman" w:hAnsi="Times New Roman" w:cs="Times New Roman"/>
          <w:noProof/>
          <w:kern w:val="0"/>
          <w:szCs w:val="20"/>
          <w14:ligatures w14:val="none"/>
        </w:rPr>
      </w:pPr>
      <w:r>
        <w:rPr>
          <w:rFonts w:ascii="Times New Roman" w:hAnsi="Times New Roman"/>
          <w:noProof/>
        </w:rPr>
        <w:t>la restauration écologique, soutenue par quatre types d’investissements:</w:t>
      </w:r>
    </w:p>
    <w:p w14:paraId="5A8AE05A" w14:textId="77777777" w:rsidR="00740F0F" w:rsidRPr="0029070D" w:rsidRDefault="00100B64">
      <w:pPr>
        <w:pStyle w:val="ListParagraph"/>
        <w:widowControl w:val="0"/>
        <w:numPr>
          <w:ilvl w:val="0"/>
          <w:numId w:val="22"/>
        </w:numPr>
        <w:autoSpaceDE w:val="0"/>
        <w:autoSpaceDN w:val="0"/>
        <w:spacing w:before="113" w:after="0" w:line="235" w:lineRule="auto"/>
        <w:ind w:left="1701" w:right="240"/>
        <w:jc w:val="both"/>
        <w:rPr>
          <w:rFonts w:ascii="Times New Roman" w:eastAsia="Times New Roman" w:hAnsi="Times New Roman" w:cs="Times New Roman"/>
          <w:noProof/>
          <w:kern w:val="0"/>
          <w:szCs w:val="20"/>
          <w14:ligatures w14:val="none"/>
        </w:rPr>
      </w:pPr>
      <w:r>
        <w:rPr>
          <w:rFonts w:ascii="Times New Roman" w:hAnsi="Times New Roman"/>
          <w:noProof/>
        </w:rPr>
        <w:t>Les six agences de l’eau mettent en œuvre des projets visant à préserver les ressources en eau, à restaurer la biodiversité et la continuité écologique des milieux aquatiques et à préserver les écosystèmes; les fonds sont alloués soit par appels à projets soit par dossiers déposés au fil de l’eau, dans un cadre validé par le conseil d’administration de l’agence et en application de la convention signée avec le ministère de la transition écologique.</w:t>
      </w:r>
    </w:p>
    <w:p w14:paraId="5A8AE05B" w14:textId="77777777" w:rsidR="00740F0F" w:rsidRPr="0029070D" w:rsidRDefault="00100B64">
      <w:pPr>
        <w:pStyle w:val="ListParagraph"/>
        <w:widowControl w:val="0"/>
        <w:numPr>
          <w:ilvl w:val="0"/>
          <w:numId w:val="22"/>
        </w:numPr>
        <w:autoSpaceDE w:val="0"/>
        <w:autoSpaceDN w:val="0"/>
        <w:spacing w:before="113" w:after="0" w:line="235" w:lineRule="auto"/>
        <w:ind w:left="1701" w:right="240"/>
        <w:jc w:val="both"/>
        <w:rPr>
          <w:rFonts w:ascii="Times New Roman" w:eastAsia="Times New Roman" w:hAnsi="Times New Roman" w:cs="Times New Roman"/>
          <w:noProof/>
          <w:kern w:val="0"/>
          <w:szCs w:val="20"/>
          <w14:ligatures w14:val="none"/>
        </w:rPr>
      </w:pPr>
      <w:r>
        <w:rPr>
          <w:rFonts w:ascii="Times New Roman" w:hAnsi="Times New Roman"/>
          <w:noProof/>
        </w:rPr>
        <w:t>Continuité écologique pour les poissons (échelles à poissons) aux barrages de Rhinau et Marckolsheim sur le Rhin. Cet investissement est un projet d’ingénierie et d’infrastructure mis en œuvre en partenariat avec EDF (Électricité de France, l’opérateur historique français de l’électricité), les collectivités locales, les experts nationaux, l’agence de l’eau Rhin-Meuse et l’Office français de la biodiversité. Il constitue un projet de coopération avec les pays riverains du Rhin.</w:t>
      </w:r>
    </w:p>
    <w:p w14:paraId="5A8AE05C" w14:textId="77777777" w:rsidR="00740F0F" w:rsidRPr="0029070D" w:rsidRDefault="00100B64">
      <w:pPr>
        <w:pStyle w:val="ListParagraph"/>
        <w:widowControl w:val="0"/>
        <w:numPr>
          <w:ilvl w:val="0"/>
          <w:numId w:val="22"/>
        </w:numPr>
        <w:autoSpaceDE w:val="0"/>
        <w:autoSpaceDN w:val="0"/>
        <w:spacing w:before="113" w:after="0" w:line="235" w:lineRule="auto"/>
        <w:ind w:left="1701" w:right="240"/>
        <w:jc w:val="both"/>
        <w:rPr>
          <w:rFonts w:ascii="Times New Roman" w:eastAsia="Times New Roman" w:hAnsi="Times New Roman" w:cs="Times New Roman"/>
          <w:noProof/>
          <w:kern w:val="0"/>
          <w:szCs w:val="20"/>
          <w14:ligatures w14:val="none"/>
        </w:rPr>
      </w:pPr>
      <w:r>
        <w:rPr>
          <w:rFonts w:ascii="Times New Roman" w:hAnsi="Times New Roman"/>
          <w:noProof/>
        </w:rPr>
        <w:t>L’Office français de la biodiversité (OFB) gère plusieurs types de projets: atlas de la biodiversité à l’échelle communale, actions en faveur de la préservation et de la restauration de la biodiversité mises en œuvre par des «porteurs de projets» sélectionnés après appels à projets.</w:t>
      </w:r>
    </w:p>
    <w:p w14:paraId="5A8AE05D" w14:textId="77777777" w:rsidR="00740F0F" w:rsidRPr="0029070D" w:rsidRDefault="00100B64">
      <w:pPr>
        <w:pStyle w:val="ListParagraph"/>
        <w:widowControl w:val="0"/>
        <w:numPr>
          <w:ilvl w:val="0"/>
          <w:numId w:val="22"/>
        </w:numPr>
        <w:autoSpaceDE w:val="0"/>
        <w:autoSpaceDN w:val="0"/>
        <w:spacing w:before="113" w:after="0" w:line="235" w:lineRule="auto"/>
        <w:ind w:left="1701" w:right="240"/>
        <w:jc w:val="both"/>
        <w:rPr>
          <w:rFonts w:ascii="Times New Roman" w:eastAsia="Times New Roman" w:hAnsi="Times New Roman" w:cs="Times New Roman"/>
          <w:noProof/>
          <w:kern w:val="0"/>
          <w:szCs w:val="20"/>
          <w14:ligatures w14:val="none"/>
        </w:rPr>
      </w:pPr>
      <w:r>
        <w:rPr>
          <w:rFonts w:ascii="Times New Roman" w:hAnsi="Times New Roman"/>
          <w:noProof/>
        </w:rPr>
        <w:t>L’État pilote des actions de restauration écologique en France métropolitaine et dans les départements d’outre-mer (DOM). Les projets sont sélectionnés soit par appels à projets, soit par dossiers déposés au fil de l’eau dans le cadre établi par le ministère de la transition écologique.</w:t>
      </w:r>
    </w:p>
    <w:p w14:paraId="5A8AE05E" w14:textId="77777777" w:rsidR="00740F0F" w:rsidRPr="0029070D" w:rsidRDefault="00100B64">
      <w:pPr>
        <w:widowControl w:val="0"/>
        <w:numPr>
          <w:ilvl w:val="0"/>
          <w:numId w:val="21"/>
        </w:numPr>
        <w:tabs>
          <w:tab w:val="left" w:pos="943"/>
        </w:tabs>
        <w:autoSpaceDE w:val="0"/>
        <w:autoSpaceDN w:val="0"/>
        <w:spacing w:before="119" w:after="0" w:line="240" w:lineRule="auto"/>
        <w:ind w:left="942" w:hanging="250"/>
        <w:jc w:val="both"/>
        <w:rPr>
          <w:rFonts w:ascii="Times New Roman" w:eastAsia="Times New Roman" w:hAnsi="Times New Roman" w:cs="Times New Roman"/>
          <w:noProof/>
          <w:kern w:val="0"/>
          <w:szCs w:val="20"/>
          <w14:ligatures w14:val="none"/>
        </w:rPr>
      </w:pPr>
      <w:r>
        <w:rPr>
          <w:rFonts w:ascii="Times New Roman" w:hAnsi="Times New Roman"/>
          <w:noProof/>
        </w:rPr>
        <w:t>Le soutien aux aires protégées:</w:t>
      </w:r>
    </w:p>
    <w:p w14:paraId="5A8AE05F" w14:textId="77777777" w:rsidR="00740F0F" w:rsidRPr="0029070D" w:rsidRDefault="00100B64">
      <w:pPr>
        <w:pStyle w:val="ListParagraph"/>
        <w:widowControl w:val="0"/>
        <w:numPr>
          <w:ilvl w:val="0"/>
          <w:numId w:val="23"/>
        </w:numPr>
        <w:tabs>
          <w:tab w:val="left" w:pos="1663"/>
        </w:tabs>
        <w:autoSpaceDE w:val="0"/>
        <w:autoSpaceDN w:val="0"/>
        <w:spacing w:before="136" w:after="0" w:line="228" w:lineRule="auto"/>
        <w:ind w:left="1701" w:right="234"/>
        <w:jc w:val="both"/>
        <w:rPr>
          <w:rFonts w:ascii="Times New Roman" w:eastAsia="Times New Roman" w:hAnsi="Times New Roman" w:cs="Times New Roman"/>
          <w:noProof/>
          <w:kern w:val="0"/>
          <w:szCs w:val="20"/>
          <w14:ligatures w14:val="none"/>
        </w:rPr>
      </w:pPr>
      <w:r>
        <w:rPr>
          <w:rFonts w:ascii="Times New Roman" w:hAnsi="Times New Roman"/>
          <w:noProof/>
        </w:rPr>
        <w:t>l’État pilote des actions en faveur des aires protégées en France métropolitaine et dans les DOM. Les projets sont sélectionnés soit par appels à projets, soit par dossiers déposés au fil de l’eau dans le cadre établi par le ministère de la transition écologique.</w:t>
      </w:r>
    </w:p>
    <w:p w14:paraId="5A8AE060" w14:textId="77777777" w:rsidR="00740F0F" w:rsidRPr="0029070D" w:rsidRDefault="00100B64">
      <w:pPr>
        <w:pStyle w:val="ListParagraph"/>
        <w:widowControl w:val="0"/>
        <w:numPr>
          <w:ilvl w:val="0"/>
          <w:numId w:val="23"/>
        </w:numPr>
        <w:tabs>
          <w:tab w:val="left" w:pos="1663"/>
        </w:tabs>
        <w:autoSpaceDE w:val="0"/>
        <w:autoSpaceDN w:val="0"/>
        <w:spacing w:before="136" w:after="0" w:line="228" w:lineRule="auto"/>
        <w:ind w:left="1701" w:right="234"/>
        <w:jc w:val="both"/>
        <w:rPr>
          <w:rFonts w:ascii="Times New Roman" w:eastAsia="Times New Roman" w:hAnsi="Times New Roman" w:cs="Times New Roman"/>
          <w:noProof/>
          <w:kern w:val="0"/>
          <w:szCs w:val="20"/>
          <w14:ligatures w14:val="none"/>
        </w:rPr>
      </w:pPr>
      <w:r>
        <w:rPr>
          <w:rFonts w:ascii="Times New Roman" w:hAnsi="Times New Roman"/>
          <w:noProof/>
        </w:rPr>
        <w:t>L’Office français de la biodiversité (OFB) soutient les aires protégées au sein des parcs naturels marins et d’autres aires protégées gérées par l’OFB.</w:t>
      </w:r>
    </w:p>
    <w:p w14:paraId="5A8AE061" w14:textId="77777777" w:rsidR="00740F0F" w:rsidRPr="0029070D" w:rsidRDefault="00100B64">
      <w:pPr>
        <w:pStyle w:val="ListParagraph"/>
        <w:widowControl w:val="0"/>
        <w:numPr>
          <w:ilvl w:val="0"/>
          <w:numId w:val="23"/>
        </w:numPr>
        <w:tabs>
          <w:tab w:val="left" w:pos="1663"/>
        </w:tabs>
        <w:autoSpaceDE w:val="0"/>
        <w:autoSpaceDN w:val="0"/>
        <w:spacing w:before="136" w:after="0" w:line="228" w:lineRule="auto"/>
        <w:ind w:left="1701" w:right="234"/>
        <w:jc w:val="both"/>
        <w:rPr>
          <w:rFonts w:ascii="Times New Roman" w:eastAsia="Times New Roman" w:hAnsi="Times New Roman" w:cs="Times New Roman"/>
          <w:noProof/>
          <w:kern w:val="0"/>
          <w:szCs w:val="20"/>
          <w14:ligatures w14:val="none"/>
        </w:rPr>
      </w:pPr>
      <w:r>
        <w:rPr>
          <w:rFonts w:ascii="Times New Roman" w:hAnsi="Times New Roman"/>
          <w:noProof/>
        </w:rPr>
        <w:t>Les 11 parcs nationaux de France investissent dans la préservation du patrimoine naturel, culturel et paysager, le développement des connaissances sur la biodiversité et l’éducation à l’environnement et au développement durable.</w:t>
      </w:r>
    </w:p>
    <w:p w14:paraId="5A8AE062" w14:textId="77777777" w:rsidR="00740F0F" w:rsidRPr="0029070D" w:rsidRDefault="00100B64">
      <w:pPr>
        <w:widowControl w:val="0"/>
        <w:autoSpaceDE w:val="0"/>
        <w:autoSpaceDN w:val="0"/>
        <w:spacing w:before="135" w:after="0" w:line="240" w:lineRule="auto"/>
        <w:ind w:left="220" w:right="245"/>
        <w:jc w:val="both"/>
        <w:rPr>
          <w:rFonts w:ascii="Times New Roman" w:eastAsia="Times New Roman" w:hAnsi="Times New Roman" w:cs="Times New Roman"/>
          <w:noProof/>
          <w:kern w:val="0"/>
          <w:szCs w:val="20"/>
          <w14:ligatures w14:val="none"/>
        </w:rPr>
      </w:pPr>
      <w:r>
        <w:rPr>
          <w:rFonts w:ascii="Times New Roman" w:hAnsi="Times New Roman"/>
          <w:noProof/>
        </w:rPr>
        <w:t>En 2021 et 2022, les projets dans les domaines de la restauration écologique et des aires protégées sont identifiés, soit par des appels à projets organisés par les différents opérateurs (agences de l’eau, OFB, etc.), soit par des dossiers déposés au fil de l’eau</w:t>
      </w:r>
      <w:r>
        <w:rPr>
          <w:rFonts w:ascii="Times New Roman" w:hAnsi="Times New Roman"/>
          <w:noProof/>
          <w:color w:val="2B569A"/>
        </w:rPr>
        <w:t xml:space="preserve">. </w:t>
      </w:r>
      <w:r>
        <w:rPr>
          <w:rFonts w:ascii="Times New Roman" w:hAnsi="Times New Roman"/>
          <w:noProof/>
        </w:rPr>
        <w:t>Les premiers engagements commencent avant le 31 décembre 2021. Au moins 700 projets au titre de cette composante seront soutenus au 31 décembre 2023.</w:t>
      </w:r>
    </w:p>
    <w:p w14:paraId="5A8AE063" w14:textId="77777777" w:rsidR="00740F0F" w:rsidRPr="0029070D" w:rsidRDefault="00100B64">
      <w:pPr>
        <w:widowControl w:val="0"/>
        <w:autoSpaceDE w:val="0"/>
        <w:autoSpaceDN w:val="0"/>
        <w:spacing w:before="218"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5 (C2.I5): prévention du risque sismique dans les outre-mer (Antilles)</w:t>
      </w:r>
    </w:p>
    <w:p w14:paraId="5A8AE064" w14:textId="77777777" w:rsidR="00740F0F" w:rsidRPr="0029070D" w:rsidRDefault="00100B64">
      <w:pPr>
        <w:widowControl w:val="0"/>
        <w:autoSpaceDE w:val="0"/>
        <w:autoSpaceDN w:val="0"/>
        <w:spacing w:before="116" w:after="0" w:line="242" w:lineRule="auto"/>
        <w:ind w:left="220" w:right="258"/>
        <w:jc w:val="both"/>
        <w:rPr>
          <w:rFonts w:ascii="Times New Roman" w:eastAsia="Times New Roman" w:hAnsi="Times New Roman" w:cs="Times New Roman"/>
          <w:noProof/>
          <w:kern w:val="0"/>
          <w:szCs w:val="20"/>
          <w14:ligatures w14:val="none"/>
        </w:rPr>
      </w:pPr>
      <w:r>
        <w:rPr>
          <w:rFonts w:ascii="Times New Roman" w:hAnsi="Times New Roman"/>
          <w:noProof/>
        </w:rPr>
        <w:t>Cette mesure vise la réalisation de travaux de confortement parasismique de bâtiments publics prioritaires dans les Antilles (par exemple en Martinique et en Guadeloupe), en tenant également compte de la résilience aux cyclones. Plusieurs types de bâtiments publics sont visés, tels que:</w:t>
      </w:r>
    </w:p>
    <w:p w14:paraId="5A8AE065" w14:textId="77777777" w:rsidR="00740F0F" w:rsidRPr="0029070D" w:rsidRDefault="00100B64">
      <w:pPr>
        <w:widowControl w:val="0"/>
        <w:numPr>
          <w:ilvl w:val="0"/>
          <w:numId w:val="21"/>
        </w:numPr>
        <w:tabs>
          <w:tab w:val="left" w:pos="943"/>
        </w:tabs>
        <w:autoSpaceDE w:val="0"/>
        <w:autoSpaceDN w:val="0"/>
        <w:spacing w:before="107" w:after="0" w:line="240" w:lineRule="auto"/>
        <w:ind w:left="942" w:hanging="250"/>
        <w:rPr>
          <w:rFonts w:ascii="Times New Roman" w:eastAsia="Times New Roman" w:hAnsi="Times New Roman" w:cs="Times New Roman"/>
          <w:noProof/>
          <w:kern w:val="0"/>
          <w:szCs w:val="20"/>
          <w14:ligatures w14:val="none"/>
        </w:rPr>
      </w:pPr>
      <w:r>
        <w:rPr>
          <w:rFonts w:ascii="Times New Roman" w:hAnsi="Times New Roman"/>
          <w:noProof/>
        </w:rPr>
        <w:t>les bâtiments dédiés à la gestion de crise, les préfectures et sous-préfectures;</w:t>
      </w:r>
    </w:p>
    <w:p w14:paraId="5A8AE066" w14:textId="77777777" w:rsidR="00740F0F" w:rsidRPr="0029070D" w:rsidRDefault="00100B64">
      <w:pPr>
        <w:widowControl w:val="0"/>
        <w:numPr>
          <w:ilvl w:val="0"/>
          <w:numId w:val="21"/>
        </w:numPr>
        <w:tabs>
          <w:tab w:val="left" w:pos="943"/>
        </w:tabs>
        <w:autoSpaceDE w:val="0"/>
        <w:autoSpaceDN w:val="0"/>
        <w:spacing w:before="126" w:after="0" w:line="240" w:lineRule="auto"/>
        <w:ind w:left="942" w:hanging="250"/>
        <w:rPr>
          <w:rFonts w:ascii="Times New Roman" w:eastAsia="Times New Roman" w:hAnsi="Times New Roman" w:cs="Times New Roman"/>
          <w:noProof/>
          <w:kern w:val="0"/>
          <w:szCs w:val="20"/>
          <w14:ligatures w14:val="none"/>
        </w:rPr>
      </w:pPr>
      <w:r>
        <w:rPr>
          <w:rFonts w:ascii="Times New Roman" w:hAnsi="Times New Roman"/>
          <w:noProof/>
        </w:rPr>
        <w:t>les hôpitaux prioritaires;</w:t>
      </w:r>
    </w:p>
    <w:p w14:paraId="5A8AE067" w14:textId="77777777" w:rsidR="00740F0F" w:rsidRPr="0029070D" w:rsidRDefault="00100B64">
      <w:pPr>
        <w:widowControl w:val="0"/>
        <w:numPr>
          <w:ilvl w:val="0"/>
          <w:numId w:val="21"/>
        </w:numPr>
        <w:tabs>
          <w:tab w:val="left" w:pos="943"/>
        </w:tabs>
        <w:autoSpaceDE w:val="0"/>
        <w:autoSpaceDN w:val="0"/>
        <w:spacing w:before="109" w:after="0" w:line="240" w:lineRule="auto"/>
        <w:ind w:left="942" w:hanging="250"/>
        <w:rPr>
          <w:rFonts w:ascii="Times New Roman" w:eastAsia="Times New Roman" w:hAnsi="Times New Roman" w:cs="Times New Roman"/>
          <w:noProof/>
          <w:kern w:val="0"/>
          <w:szCs w:val="20"/>
          <w14:ligatures w14:val="none"/>
        </w:rPr>
      </w:pPr>
      <w:r>
        <w:rPr>
          <w:rFonts w:ascii="Times New Roman" w:hAnsi="Times New Roman"/>
          <w:noProof/>
        </w:rPr>
        <w:t>les écoles, lycées et collèges.</w:t>
      </w:r>
    </w:p>
    <w:p w14:paraId="5A8AE068" w14:textId="18BE3257" w:rsidR="00740F0F" w:rsidRPr="0029070D" w:rsidRDefault="00100B64">
      <w:pPr>
        <w:widowControl w:val="0"/>
        <w:autoSpaceDE w:val="0"/>
        <w:autoSpaceDN w:val="0"/>
        <w:spacing w:before="129" w:after="0" w:line="242" w:lineRule="auto"/>
        <w:ind w:left="220" w:right="233"/>
        <w:jc w:val="both"/>
        <w:rPr>
          <w:rFonts w:ascii="Times New Roman" w:eastAsia="Times New Roman" w:hAnsi="Times New Roman" w:cs="Times New Roman"/>
          <w:noProof/>
          <w:kern w:val="0"/>
          <w:szCs w:val="20"/>
          <w14:ligatures w14:val="none"/>
        </w:rPr>
      </w:pPr>
      <w:r>
        <w:rPr>
          <w:rFonts w:ascii="Times New Roman" w:hAnsi="Times New Roman"/>
          <w:noProof/>
        </w:rPr>
        <w:t>La sélection des bâtiments est effectuée par l’État après dépôt des dossiers de candidature avant le 31 décembre 2020. L’engagement juridique sera finalisé avant le 31 décembre 2022, et les travaux commenceront avant le 31 décembre 2023, pour au moins 15 bâtiments.</w:t>
      </w:r>
    </w:p>
    <w:p w14:paraId="5A8AE069" w14:textId="77777777" w:rsidR="00740F0F" w:rsidRPr="0029070D" w:rsidRDefault="00100B64">
      <w:pPr>
        <w:widowControl w:val="0"/>
        <w:autoSpaceDE w:val="0"/>
        <w:autoSpaceDN w:val="0"/>
        <w:spacing w:before="215"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6 (C2.I6): sécurisation des réseaux d’eau</w:t>
      </w:r>
    </w:p>
    <w:p w14:paraId="5A8AE06A" w14:textId="77777777" w:rsidR="00740F0F" w:rsidRPr="0029070D" w:rsidRDefault="00100B64">
      <w:pPr>
        <w:widowControl w:val="0"/>
        <w:autoSpaceDE w:val="0"/>
        <w:autoSpaceDN w:val="0"/>
        <w:spacing w:before="115" w:after="0" w:line="235" w:lineRule="auto"/>
        <w:ind w:left="220" w:right="256"/>
        <w:jc w:val="both"/>
        <w:rPr>
          <w:rFonts w:ascii="Times New Roman" w:eastAsia="Times New Roman" w:hAnsi="Times New Roman" w:cs="Times New Roman"/>
          <w:noProof/>
          <w:kern w:val="0"/>
          <w:szCs w:val="20"/>
          <w14:ligatures w14:val="none"/>
        </w:rPr>
      </w:pPr>
      <w:r>
        <w:rPr>
          <w:rFonts w:ascii="Times New Roman" w:hAnsi="Times New Roman"/>
          <w:noProof/>
        </w:rPr>
        <w:t>Cette mesure vise à rénover et réhabiliter 450 kilomètres de réseaux en France, y compris dans les DOM, d’ici le 31 décembre 2022.</w:t>
      </w:r>
    </w:p>
    <w:p w14:paraId="5A8AE06B" w14:textId="77777777" w:rsidR="00740F0F" w:rsidRPr="0029070D" w:rsidRDefault="00100B64">
      <w:pPr>
        <w:widowControl w:val="0"/>
        <w:autoSpaceDE w:val="0"/>
        <w:autoSpaceDN w:val="0"/>
        <w:spacing w:before="136" w:after="0" w:line="235" w:lineRule="auto"/>
        <w:ind w:left="220" w:right="242"/>
        <w:jc w:val="both"/>
        <w:rPr>
          <w:rFonts w:ascii="Times New Roman" w:eastAsia="Times New Roman" w:hAnsi="Times New Roman" w:cs="Times New Roman"/>
          <w:noProof/>
          <w:kern w:val="0"/>
          <w:szCs w:val="20"/>
          <w14:ligatures w14:val="none"/>
        </w:rPr>
      </w:pPr>
      <w:r>
        <w:rPr>
          <w:rFonts w:ascii="Times New Roman" w:hAnsi="Times New Roman"/>
          <w:noProof/>
        </w:rPr>
        <w:t>La mesure finance les trois sous-mesures suivantes (les deux premières concernant la France métropolitaine, et la dernière uniquement les DOM):</w:t>
      </w:r>
    </w:p>
    <w:p w14:paraId="5A8AE06C" w14:textId="77777777" w:rsidR="00740F0F" w:rsidRPr="0029070D" w:rsidRDefault="00100B64">
      <w:pPr>
        <w:pStyle w:val="ListParagraph"/>
        <w:widowControl w:val="0"/>
        <w:numPr>
          <w:ilvl w:val="0"/>
          <w:numId w:val="24"/>
        </w:numPr>
        <w:autoSpaceDE w:val="0"/>
        <w:autoSpaceDN w:val="0"/>
        <w:spacing w:before="136" w:after="0" w:line="235" w:lineRule="auto"/>
        <w:ind w:right="242"/>
        <w:jc w:val="both"/>
        <w:rPr>
          <w:rFonts w:ascii="Times New Roman" w:eastAsia="Times New Roman" w:hAnsi="Times New Roman" w:cs="Times New Roman"/>
          <w:noProof/>
          <w:kern w:val="0"/>
          <w:szCs w:val="20"/>
          <w14:ligatures w14:val="none"/>
        </w:rPr>
      </w:pPr>
      <w:r>
        <w:rPr>
          <w:rFonts w:ascii="Times New Roman" w:hAnsi="Times New Roman"/>
          <w:noProof/>
        </w:rPr>
        <w:t>les agences de l’eau soutiennent les investissements dans la modernisation des réseaux de distribution d’eau potable et d’assainissement. Elles investissent également dans la mise à niveau des stations de traitement des eaux usées et le déraccordement des rejets d’eaux pluviales des réseaux.</w:t>
      </w:r>
    </w:p>
    <w:p w14:paraId="5A8AE06D" w14:textId="77777777" w:rsidR="00740F0F" w:rsidRPr="0029070D" w:rsidRDefault="00100B64">
      <w:pPr>
        <w:pStyle w:val="ListParagraph"/>
        <w:widowControl w:val="0"/>
        <w:numPr>
          <w:ilvl w:val="0"/>
          <w:numId w:val="24"/>
        </w:numPr>
        <w:autoSpaceDE w:val="0"/>
        <w:autoSpaceDN w:val="0"/>
        <w:spacing w:before="136" w:after="0" w:line="235" w:lineRule="auto"/>
        <w:ind w:right="242"/>
        <w:jc w:val="both"/>
        <w:rPr>
          <w:rFonts w:ascii="Times New Roman" w:eastAsia="Times New Roman" w:hAnsi="Times New Roman" w:cs="Times New Roman"/>
          <w:noProof/>
          <w:kern w:val="0"/>
          <w:szCs w:val="20"/>
          <w14:ligatures w14:val="none"/>
        </w:rPr>
      </w:pPr>
      <w:r>
        <w:rPr>
          <w:rFonts w:ascii="Times New Roman" w:hAnsi="Times New Roman"/>
          <w:noProof/>
        </w:rPr>
        <w:t>investissements dans l’assainissement de plus de 6 500 tonnes de boues en matière sèche, afin de permettre leur épandage.</w:t>
      </w:r>
    </w:p>
    <w:p w14:paraId="5A8AE06E" w14:textId="77777777" w:rsidR="00740F0F" w:rsidRPr="0029070D" w:rsidRDefault="00100B64">
      <w:pPr>
        <w:pStyle w:val="ListParagraph"/>
        <w:widowControl w:val="0"/>
        <w:numPr>
          <w:ilvl w:val="0"/>
          <w:numId w:val="24"/>
        </w:numPr>
        <w:autoSpaceDE w:val="0"/>
        <w:autoSpaceDN w:val="0"/>
        <w:spacing w:before="136" w:after="0" w:line="235" w:lineRule="auto"/>
        <w:ind w:right="242"/>
        <w:jc w:val="both"/>
        <w:rPr>
          <w:rFonts w:ascii="Times New Roman" w:eastAsia="Times New Roman" w:hAnsi="Times New Roman" w:cs="Times New Roman"/>
          <w:noProof/>
          <w:kern w:val="0"/>
          <w:szCs w:val="20"/>
          <w14:ligatures w14:val="none"/>
        </w:rPr>
      </w:pPr>
      <w:r>
        <w:rPr>
          <w:rFonts w:ascii="Times New Roman" w:hAnsi="Times New Roman"/>
          <w:noProof/>
        </w:rPr>
        <w:t>investissements prioritaires pour la mise à niveau des réseaux d’eau et d’assainissement, dans le cadre du plan d’action Eau DOM.</w:t>
      </w:r>
    </w:p>
    <w:p w14:paraId="5A8AE06F" w14:textId="77777777" w:rsidR="00740F0F" w:rsidRPr="0029070D" w:rsidRDefault="00100B64">
      <w:pPr>
        <w:widowControl w:val="0"/>
        <w:autoSpaceDE w:val="0"/>
        <w:autoSpaceDN w:val="0"/>
        <w:spacing w:before="132" w:after="0" w:line="240" w:lineRule="auto"/>
        <w:ind w:left="220" w:right="244"/>
        <w:jc w:val="both"/>
        <w:rPr>
          <w:rFonts w:ascii="Times New Roman" w:eastAsia="Times New Roman" w:hAnsi="Times New Roman" w:cs="Times New Roman"/>
          <w:noProof/>
          <w:kern w:val="0"/>
          <w:szCs w:val="20"/>
          <w14:ligatures w14:val="none"/>
        </w:rPr>
      </w:pPr>
      <w:r>
        <w:rPr>
          <w:rFonts w:ascii="Times New Roman" w:hAnsi="Times New Roman"/>
          <w:noProof/>
        </w:rPr>
        <w:t>Pour les deux premières sous-mesures, les projets sont sélectionnés par les six agences de l’eau, soit par appels à projets dédiés soit par dossiers déposés au fil de l’eau dans un cadre validé par le conseil d’administration de l’agence. Les agences sont également responsables de la mise en œuvre opérationnelle des projets. Les collectivités locales confrontées à l’impossibilité d’épandre leurs boues des stations d’épuration doivent s’adresser à l’agence dont elles dépendent pour bénéficier d’une aide et d’un soutien financier.</w:t>
      </w:r>
    </w:p>
    <w:p w14:paraId="5A8AE070" w14:textId="77777777" w:rsidR="00740F0F" w:rsidRPr="0029070D" w:rsidRDefault="00100B64">
      <w:pPr>
        <w:widowControl w:val="0"/>
        <w:autoSpaceDE w:val="0"/>
        <w:autoSpaceDN w:val="0"/>
        <w:spacing w:before="116" w:after="0" w:line="240" w:lineRule="auto"/>
        <w:ind w:left="220" w:right="246"/>
        <w:jc w:val="both"/>
        <w:rPr>
          <w:rFonts w:ascii="Times New Roman" w:eastAsia="Times New Roman" w:hAnsi="Times New Roman" w:cs="Times New Roman"/>
          <w:noProof/>
          <w:kern w:val="0"/>
          <w:szCs w:val="20"/>
          <w14:ligatures w14:val="none"/>
        </w:rPr>
      </w:pPr>
      <w:r>
        <w:rPr>
          <w:rFonts w:ascii="Times New Roman" w:hAnsi="Times New Roman"/>
          <w:noProof/>
        </w:rPr>
        <w:t>Dans les DOM, la dotation est répartie entre les Directions de l’environnement, de l’aménagement et du logement (DEAL) (notamment pour des études préalables et de l’assistance à maîtrise d’ouvrage en Guadeloupe et Martinique) et l’Office français de la biodiversité qui finance le plan d’action Eau DOM. Les projets sont sélectionnés conformément à ce plan.</w:t>
      </w:r>
    </w:p>
    <w:p w14:paraId="5A8AE071" w14:textId="77777777" w:rsidR="00740F0F" w:rsidRPr="0029070D" w:rsidRDefault="00100B64">
      <w:pPr>
        <w:widowControl w:val="0"/>
        <w:autoSpaceDE w:val="0"/>
        <w:autoSpaceDN w:val="0"/>
        <w:spacing w:before="116" w:after="0" w:line="240" w:lineRule="auto"/>
        <w:ind w:left="220" w:right="246"/>
        <w:jc w:val="both"/>
        <w:rPr>
          <w:rFonts w:ascii="Times New Roman" w:eastAsia="Times New Roman" w:hAnsi="Times New Roman" w:cs="Times New Roman"/>
          <w:noProof/>
          <w:spacing w:val="-2"/>
          <w:kern w:val="0"/>
          <w:szCs w:val="20"/>
          <w:u w:val="single"/>
          <w14:ligatures w14:val="none"/>
        </w:rPr>
      </w:pPr>
      <w:r>
        <w:rPr>
          <w:rFonts w:ascii="Times New Roman" w:hAnsi="Times New Roman"/>
          <w:noProof/>
          <w:u w:val="single"/>
        </w:rPr>
        <w:t>Investissement 7 (C2.I7): modernisation des centres de tri, des systèmes de recyclage et des systèmes de gestion des déchets</w:t>
      </w:r>
    </w:p>
    <w:p w14:paraId="5A8AE072" w14:textId="77777777" w:rsidR="00740F0F" w:rsidRPr="0029070D" w:rsidRDefault="00100B64">
      <w:pPr>
        <w:widowControl w:val="0"/>
        <w:autoSpaceDE w:val="0"/>
        <w:autoSpaceDN w:val="0"/>
        <w:spacing w:before="118" w:after="0" w:line="235" w:lineRule="auto"/>
        <w:ind w:left="220"/>
        <w:rPr>
          <w:rFonts w:ascii="Times New Roman" w:eastAsia="Times New Roman" w:hAnsi="Times New Roman" w:cs="Times New Roman"/>
          <w:noProof/>
          <w:kern w:val="0"/>
          <w:szCs w:val="20"/>
          <w14:ligatures w14:val="none"/>
        </w:rPr>
      </w:pPr>
      <w:r>
        <w:rPr>
          <w:rFonts w:ascii="Times New Roman" w:hAnsi="Times New Roman"/>
          <w:noProof/>
        </w:rPr>
        <w:t xml:space="preserve">L’objectif de cette mesure est de relever les défis du tri et du recyclage de tous les types de déchets, en particulier les déchets ménagers ainsi que les déchets hospitaliers. </w:t>
      </w:r>
    </w:p>
    <w:p w14:paraId="5A8AE073" w14:textId="77777777" w:rsidR="00740F0F" w:rsidRPr="0029070D" w:rsidRDefault="00100B64">
      <w:pPr>
        <w:widowControl w:val="0"/>
        <w:autoSpaceDE w:val="0"/>
        <w:autoSpaceDN w:val="0"/>
        <w:spacing w:before="118" w:after="0" w:line="235" w:lineRule="auto"/>
        <w:ind w:left="220"/>
        <w:rPr>
          <w:rFonts w:ascii="Times New Roman" w:eastAsia="Times New Roman" w:hAnsi="Times New Roman" w:cs="Times New Roman"/>
          <w:noProof/>
          <w:kern w:val="0"/>
          <w:szCs w:val="20"/>
          <w14:ligatures w14:val="none"/>
        </w:rPr>
      </w:pPr>
      <w:r>
        <w:rPr>
          <w:rFonts w:ascii="Times New Roman" w:hAnsi="Times New Roman"/>
          <w:noProof/>
        </w:rPr>
        <w:t>Cette mesure consiste à investir dans des projets dans le domaine du tri et du recyclage des déchets, du tri, de la collecte et de la récupération des biodéchets, ainsi que du traitement des déchets à risque infectieux dans les hôpitaux.</w:t>
      </w:r>
    </w:p>
    <w:p w14:paraId="5A8AE074" w14:textId="77777777" w:rsidR="00740F0F" w:rsidRPr="0029070D" w:rsidRDefault="00100B64">
      <w:pPr>
        <w:widowControl w:val="0"/>
        <w:autoSpaceDE w:val="0"/>
        <w:autoSpaceDN w:val="0"/>
        <w:spacing w:before="248"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8 (C2.I8): recyclage et réemploi</w:t>
      </w:r>
    </w:p>
    <w:p w14:paraId="5A8AE075" w14:textId="77777777" w:rsidR="00740F0F" w:rsidRPr="0029070D" w:rsidRDefault="00100B64">
      <w:pPr>
        <w:widowControl w:val="0"/>
        <w:autoSpaceDE w:val="0"/>
        <w:autoSpaceDN w:val="0"/>
        <w:spacing w:before="113" w:after="0" w:line="240" w:lineRule="auto"/>
        <w:ind w:left="220" w:right="235"/>
        <w:jc w:val="both"/>
        <w:rPr>
          <w:rFonts w:ascii="Times New Roman" w:eastAsia="Times New Roman" w:hAnsi="Times New Roman" w:cs="Times New Roman"/>
          <w:noProof/>
        </w:rPr>
      </w:pPr>
      <w:r>
        <w:rPr>
          <w:rFonts w:ascii="Times New Roman" w:hAnsi="Times New Roman"/>
          <w:noProof/>
        </w:rPr>
        <w:t xml:space="preserve">Les objectifs de cette mesure sont de soutenir: i) la réduction de l’utilisation du plastique (notamment à usage unique), ii) la production et l’incorporation de plastique recyclé et iii) la réparation et le réemploi (dont des produits en plastiques). </w:t>
      </w:r>
    </w:p>
    <w:p w14:paraId="5A8AE076" w14:textId="77777777" w:rsidR="00740F0F" w:rsidRPr="0029070D" w:rsidRDefault="00100B64">
      <w:pPr>
        <w:widowControl w:val="0"/>
        <w:autoSpaceDE w:val="0"/>
        <w:autoSpaceDN w:val="0"/>
        <w:spacing w:before="113" w:after="0" w:line="240" w:lineRule="auto"/>
        <w:ind w:left="220" w:right="235"/>
        <w:jc w:val="both"/>
        <w:rPr>
          <w:rFonts w:ascii="Times New Roman" w:eastAsia="Times New Roman" w:hAnsi="Times New Roman" w:cs="Times New Roman"/>
          <w:noProof/>
        </w:rPr>
      </w:pPr>
      <w:r>
        <w:rPr>
          <w:rFonts w:ascii="Times New Roman" w:hAnsi="Times New Roman"/>
          <w:noProof/>
        </w:rPr>
        <w:t xml:space="preserve">La mesure couvre deux types d’intervention: </w:t>
      </w:r>
    </w:p>
    <w:p w14:paraId="5A8AE077" w14:textId="77777777" w:rsidR="00740F0F" w:rsidRPr="0029070D" w:rsidRDefault="00100B64">
      <w:pPr>
        <w:widowControl w:val="0"/>
        <w:numPr>
          <w:ilvl w:val="2"/>
          <w:numId w:val="25"/>
        </w:numPr>
        <w:tabs>
          <w:tab w:val="left" w:pos="943"/>
        </w:tabs>
        <w:autoSpaceDE w:val="0"/>
        <w:autoSpaceDN w:val="0"/>
        <w:spacing w:before="115" w:after="0" w:line="244" w:lineRule="auto"/>
        <w:ind w:right="259" w:hanging="360"/>
        <w:jc w:val="both"/>
        <w:rPr>
          <w:rFonts w:ascii="Times New Roman" w:eastAsia="Times New Roman" w:hAnsi="Times New Roman" w:cs="Times New Roman"/>
          <w:noProof/>
          <w:kern w:val="0"/>
          <w14:ligatures w14:val="none"/>
        </w:rPr>
      </w:pPr>
      <w:r>
        <w:rPr>
          <w:rFonts w:ascii="Times New Roman" w:hAnsi="Times New Roman"/>
          <w:noProof/>
        </w:rPr>
        <w:t>le soutien:</w:t>
      </w:r>
    </w:p>
    <w:p w14:paraId="5A8AE078" w14:textId="77777777" w:rsidR="00740F0F" w:rsidRPr="0029070D" w:rsidRDefault="00100B64">
      <w:pPr>
        <w:widowControl w:val="0"/>
        <w:numPr>
          <w:ilvl w:val="3"/>
          <w:numId w:val="25"/>
        </w:numPr>
        <w:tabs>
          <w:tab w:val="left" w:pos="1663"/>
        </w:tabs>
        <w:autoSpaceDE w:val="0"/>
        <w:autoSpaceDN w:val="0"/>
        <w:spacing w:before="108" w:after="0" w:line="240" w:lineRule="auto"/>
        <w:ind w:left="1662"/>
        <w:jc w:val="both"/>
        <w:rPr>
          <w:rFonts w:ascii="Times New Roman" w:eastAsia="Times New Roman" w:hAnsi="Times New Roman" w:cs="Times New Roman"/>
          <w:noProof/>
          <w:kern w:val="0"/>
          <w14:ligatures w14:val="none"/>
        </w:rPr>
      </w:pPr>
      <w:r>
        <w:rPr>
          <w:rFonts w:ascii="Times New Roman" w:hAnsi="Times New Roman"/>
          <w:noProof/>
        </w:rPr>
        <w:t>aux recycleries;</w:t>
      </w:r>
    </w:p>
    <w:p w14:paraId="5A8AE079" w14:textId="77777777" w:rsidR="00740F0F" w:rsidRPr="0029070D" w:rsidRDefault="00100B64">
      <w:pPr>
        <w:widowControl w:val="0"/>
        <w:numPr>
          <w:ilvl w:val="3"/>
          <w:numId w:val="25"/>
        </w:numPr>
        <w:tabs>
          <w:tab w:val="left" w:pos="1663"/>
        </w:tabs>
        <w:autoSpaceDE w:val="0"/>
        <w:autoSpaceDN w:val="0"/>
        <w:spacing w:before="108" w:after="0" w:line="240" w:lineRule="auto"/>
        <w:ind w:left="1662"/>
        <w:jc w:val="both"/>
        <w:rPr>
          <w:rFonts w:ascii="Times New Roman" w:eastAsia="Times New Roman" w:hAnsi="Times New Roman" w:cs="Times New Roman"/>
          <w:noProof/>
          <w:kern w:val="0"/>
          <w14:ligatures w14:val="none"/>
        </w:rPr>
      </w:pPr>
      <w:r>
        <w:rPr>
          <w:rFonts w:ascii="Times New Roman" w:hAnsi="Times New Roman"/>
          <w:noProof/>
        </w:rPr>
        <w:t>aux entreprises, pour la substitution du plastique;</w:t>
      </w:r>
    </w:p>
    <w:p w14:paraId="5A8AE07A" w14:textId="77777777" w:rsidR="00740F0F" w:rsidRPr="0029070D" w:rsidRDefault="00100B64">
      <w:pPr>
        <w:widowControl w:val="0"/>
        <w:numPr>
          <w:ilvl w:val="3"/>
          <w:numId w:val="25"/>
        </w:numPr>
        <w:tabs>
          <w:tab w:val="left" w:pos="1663"/>
        </w:tabs>
        <w:autoSpaceDE w:val="0"/>
        <w:autoSpaceDN w:val="0"/>
        <w:spacing w:before="122" w:after="0" w:line="240" w:lineRule="auto"/>
        <w:ind w:left="1662"/>
        <w:jc w:val="both"/>
        <w:rPr>
          <w:rFonts w:ascii="Times New Roman" w:eastAsia="Times New Roman" w:hAnsi="Times New Roman" w:cs="Times New Roman"/>
          <w:noProof/>
          <w:kern w:val="0"/>
          <w14:ligatures w14:val="none"/>
        </w:rPr>
      </w:pPr>
      <w:r>
        <w:rPr>
          <w:rFonts w:ascii="Times New Roman" w:hAnsi="Times New Roman"/>
          <w:noProof/>
        </w:rPr>
        <w:t>à des solutions d’emballage réemployables et recyclables;</w:t>
      </w:r>
    </w:p>
    <w:p w14:paraId="5A8AE07B" w14:textId="77777777" w:rsidR="00740F0F" w:rsidRPr="0029070D" w:rsidRDefault="00100B64">
      <w:pPr>
        <w:widowControl w:val="0"/>
        <w:numPr>
          <w:ilvl w:val="3"/>
          <w:numId w:val="25"/>
        </w:numPr>
        <w:tabs>
          <w:tab w:val="left" w:pos="1663"/>
        </w:tabs>
        <w:autoSpaceDE w:val="0"/>
        <w:autoSpaceDN w:val="0"/>
        <w:spacing w:before="122" w:after="0" w:line="240" w:lineRule="auto"/>
        <w:ind w:left="1662"/>
        <w:jc w:val="both"/>
        <w:rPr>
          <w:rFonts w:ascii="Times New Roman" w:eastAsia="Times New Roman" w:hAnsi="Times New Roman" w:cs="Times New Roman"/>
          <w:noProof/>
          <w:kern w:val="0"/>
          <w14:ligatures w14:val="none"/>
        </w:rPr>
      </w:pPr>
      <w:r>
        <w:rPr>
          <w:rFonts w:ascii="Times New Roman" w:hAnsi="Times New Roman"/>
          <w:noProof/>
        </w:rPr>
        <w:t>à des solutions alternatives à l’utilisation de plastique (notamment à usage unique) ou à l’adaptation à l’usage de ces solutions, par exemple dans la restauration collective;</w:t>
      </w:r>
    </w:p>
    <w:p w14:paraId="5A8AE07C" w14:textId="77777777" w:rsidR="00740F0F" w:rsidRPr="0029070D" w:rsidRDefault="00100B64">
      <w:pPr>
        <w:widowControl w:val="0"/>
        <w:numPr>
          <w:ilvl w:val="3"/>
          <w:numId w:val="25"/>
        </w:numPr>
        <w:tabs>
          <w:tab w:val="left" w:pos="1663"/>
        </w:tabs>
        <w:autoSpaceDE w:val="0"/>
        <w:autoSpaceDN w:val="0"/>
        <w:spacing w:before="118" w:after="0" w:line="240" w:lineRule="auto"/>
        <w:ind w:left="1662"/>
        <w:jc w:val="both"/>
        <w:rPr>
          <w:rFonts w:ascii="Times New Roman" w:eastAsia="Times New Roman" w:hAnsi="Times New Roman" w:cs="Times New Roman"/>
          <w:noProof/>
          <w:kern w:val="0"/>
          <w14:ligatures w14:val="none"/>
        </w:rPr>
      </w:pPr>
      <w:r>
        <w:rPr>
          <w:rFonts w:ascii="Times New Roman" w:hAnsi="Times New Roman"/>
          <w:noProof/>
        </w:rPr>
        <w:t>à des expérimentations de projets pilotes dans des équipements alternatifs à l’utilisation de plastiques à usage unique.</w:t>
      </w:r>
    </w:p>
    <w:p w14:paraId="5A8AE07D" w14:textId="77777777" w:rsidR="00740F0F" w:rsidRPr="0029070D" w:rsidRDefault="00100B64">
      <w:pPr>
        <w:widowControl w:val="0"/>
        <w:numPr>
          <w:ilvl w:val="2"/>
          <w:numId w:val="25"/>
        </w:numPr>
        <w:tabs>
          <w:tab w:val="left" w:pos="943"/>
        </w:tabs>
        <w:autoSpaceDE w:val="0"/>
        <w:autoSpaceDN w:val="0"/>
        <w:spacing w:before="75" w:after="0" w:line="240" w:lineRule="auto"/>
        <w:ind w:left="942" w:hanging="250"/>
        <w:jc w:val="both"/>
        <w:rPr>
          <w:rFonts w:ascii="Times New Roman" w:eastAsia="Times New Roman" w:hAnsi="Times New Roman" w:cs="Times New Roman"/>
          <w:noProof/>
          <w:kern w:val="0"/>
          <w14:ligatures w14:val="none"/>
        </w:rPr>
      </w:pPr>
      <w:r>
        <w:rPr>
          <w:rFonts w:ascii="Times New Roman" w:hAnsi="Times New Roman"/>
          <w:noProof/>
        </w:rPr>
        <w:t>Le soutien à la production et l’incorporation de plastique recyclé.</w:t>
      </w:r>
    </w:p>
    <w:p w14:paraId="5A8AE07E" w14:textId="77777777" w:rsidR="00740F0F" w:rsidRPr="0029070D" w:rsidRDefault="00100B64">
      <w:pPr>
        <w:widowControl w:val="0"/>
        <w:autoSpaceDE w:val="0"/>
        <w:autoSpaceDN w:val="0"/>
        <w:spacing w:before="224"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9 (C2.I9): plan en faveur des protéines végétales</w:t>
      </w:r>
    </w:p>
    <w:p w14:paraId="5A8AE07F" w14:textId="77777777" w:rsidR="00740F0F" w:rsidRPr="0029070D" w:rsidRDefault="00100B64">
      <w:pPr>
        <w:widowControl w:val="0"/>
        <w:autoSpaceDE w:val="0"/>
        <w:autoSpaceDN w:val="0"/>
        <w:spacing w:before="118" w:after="0" w:line="240" w:lineRule="auto"/>
        <w:ind w:left="220" w:right="251"/>
        <w:jc w:val="both"/>
        <w:rPr>
          <w:rFonts w:ascii="Times New Roman" w:eastAsia="Times New Roman" w:hAnsi="Times New Roman" w:cs="Times New Roman"/>
          <w:noProof/>
          <w:kern w:val="0"/>
          <w:szCs w:val="20"/>
          <w14:ligatures w14:val="none"/>
        </w:rPr>
      </w:pPr>
      <w:r>
        <w:rPr>
          <w:rFonts w:ascii="Times New Roman" w:hAnsi="Times New Roman"/>
          <w:noProof/>
        </w:rPr>
        <w:t>Cette mesure fait partie d’un plan global sur les protéines végétales, qui vise à réduire la dépendance de l’agriculture vis-à-vis d’intrants tels que l’alimentation animale et les engrais azotés. Elle apporte une aide à l’investissement aux exploitations agricoles et aux structures en aval afin notamment de renforcer et de favoriser de nouvelles filières agricoles dédiées aux protéines végétales.</w:t>
      </w:r>
    </w:p>
    <w:p w14:paraId="5A8AE080" w14:textId="77777777" w:rsidR="00740F0F" w:rsidRPr="0029070D" w:rsidRDefault="00100B64">
      <w:pPr>
        <w:widowControl w:val="0"/>
        <w:autoSpaceDE w:val="0"/>
        <w:autoSpaceDN w:val="0"/>
        <w:spacing w:before="124"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rPr>
        <w:t>La mesure prévoit un soutien à l’investissement pour:</w:t>
      </w:r>
    </w:p>
    <w:p w14:paraId="5A8AE081" w14:textId="77777777" w:rsidR="00740F0F" w:rsidRPr="0029070D" w:rsidRDefault="00100B64">
      <w:pPr>
        <w:pStyle w:val="ListParagraph"/>
        <w:widowControl w:val="0"/>
        <w:numPr>
          <w:ilvl w:val="0"/>
          <w:numId w:val="26"/>
        </w:numPr>
        <w:autoSpaceDE w:val="0"/>
        <w:autoSpaceDN w:val="0"/>
        <w:spacing w:before="124" w:after="0" w:line="240" w:lineRule="auto"/>
        <w:jc w:val="both"/>
        <w:rPr>
          <w:rFonts w:ascii="Times New Roman" w:eastAsia="Times New Roman" w:hAnsi="Times New Roman" w:cs="Times New Roman"/>
          <w:noProof/>
          <w:kern w:val="0"/>
          <w:szCs w:val="20"/>
          <w14:ligatures w14:val="none"/>
        </w:rPr>
      </w:pPr>
      <w:r>
        <w:rPr>
          <w:rFonts w:ascii="Times New Roman" w:hAnsi="Times New Roman"/>
          <w:noProof/>
        </w:rPr>
        <w:t>le matériel dans les exploitations agricoles de cultures riches en protéines;</w:t>
      </w:r>
    </w:p>
    <w:p w14:paraId="5A8AE082" w14:textId="77777777" w:rsidR="00740F0F" w:rsidRPr="0029070D" w:rsidRDefault="00100B64">
      <w:pPr>
        <w:pStyle w:val="ListParagraph"/>
        <w:widowControl w:val="0"/>
        <w:numPr>
          <w:ilvl w:val="0"/>
          <w:numId w:val="26"/>
        </w:numPr>
        <w:autoSpaceDE w:val="0"/>
        <w:autoSpaceDN w:val="0"/>
        <w:spacing w:before="124" w:after="0" w:line="240" w:lineRule="auto"/>
        <w:jc w:val="both"/>
        <w:rPr>
          <w:rFonts w:ascii="Times New Roman" w:eastAsia="Times New Roman" w:hAnsi="Times New Roman" w:cs="Times New Roman"/>
          <w:noProof/>
          <w:kern w:val="0"/>
          <w:szCs w:val="20"/>
          <w14:ligatures w14:val="none"/>
        </w:rPr>
      </w:pPr>
      <w:r>
        <w:rPr>
          <w:rFonts w:ascii="Times New Roman" w:hAnsi="Times New Roman"/>
          <w:noProof/>
        </w:rPr>
        <w:t>la restructuration des filières des protéines végétales, avec notamment des investissements dans les entreprises de collecte et de transformation des protéines végétales (silos, unités de stockage, unités de trituration de graines, séchoirs à luzerne, trieurs optiques, etc.).</w:t>
      </w:r>
    </w:p>
    <w:p w14:paraId="5A8AE083" w14:textId="6B9183FB" w:rsidR="00740F0F" w:rsidRPr="0029070D" w:rsidRDefault="00100B64">
      <w:pPr>
        <w:widowControl w:val="0"/>
        <w:autoSpaceDE w:val="0"/>
        <w:autoSpaceDN w:val="0"/>
        <w:spacing w:before="132" w:after="0" w:line="242" w:lineRule="auto"/>
        <w:ind w:left="220" w:right="253"/>
        <w:jc w:val="both"/>
        <w:rPr>
          <w:rFonts w:ascii="Times New Roman" w:eastAsia="Times New Roman" w:hAnsi="Times New Roman" w:cs="Times New Roman"/>
          <w:noProof/>
          <w:kern w:val="0"/>
          <w:szCs w:val="20"/>
          <w14:ligatures w14:val="none"/>
        </w:rPr>
      </w:pPr>
      <w:r>
        <w:rPr>
          <w:rFonts w:ascii="Times New Roman" w:hAnsi="Times New Roman"/>
          <w:noProof/>
        </w:rPr>
        <w:t>En janvier 2021, FranceAgriMer, organisme public chargé des filières de l’agriculture et de la pêche, a lancé les premiers appels à projets. D’ici le 31 décembre 2022, les derniers engagements financiers seront effectués pour au moins 1 200 projets.</w:t>
      </w:r>
    </w:p>
    <w:p w14:paraId="5A8AE084" w14:textId="77777777" w:rsidR="00740F0F" w:rsidRPr="0029070D" w:rsidRDefault="00100B64">
      <w:pPr>
        <w:widowControl w:val="0"/>
        <w:autoSpaceDE w:val="0"/>
        <w:autoSpaceDN w:val="0"/>
        <w:spacing w:before="196"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10 (C2.I10): forêts</w:t>
      </w:r>
    </w:p>
    <w:p w14:paraId="5A8AE085" w14:textId="77777777" w:rsidR="00740F0F" w:rsidRPr="0029070D" w:rsidRDefault="00100B64">
      <w:pPr>
        <w:widowControl w:val="0"/>
        <w:autoSpaceDE w:val="0"/>
        <w:autoSpaceDN w:val="0"/>
        <w:spacing w:before="137" w:after="0" w:line="237" w:lineRule="auto"/>
        <w:ind w:left="220" w:right="231"/>
        <w:jc w:val="both"/>
        <w:rPr>
          <w:rFonts w:ascii="Times New Roman" w:eastAsia="Times New Roman" w:hAnsi="Times New Roman" w:cs="Times New Roman"/>
          <w:noProof/>
          <w:kern w:val="0"/>
          <w:szCs w:val="20"/>
          <w14:ligatures w14:val="none"/>
        </w:rPr>
      </w:pPr>
      <w:r>
        <w:rPr>
          <w:rFonts w:ascii="Times New Roman" w:hAnsi="Times New Roman"/>
          <w:noProof/>
        </w:rPr>
        <w:t>La filière forêt-bois française permet de compenser environ 20 % des émissions françaises de CO</w:t>
      </w:r>
      <w:r>
        <w:rPr>
          <w:rFonts w:ascii="Times New Roman" w:hAnsi="Times New Roman"/>
          <w:noProof/>
          <w:vertAlign w:val="subscript"/>
        </w:rPr>
        <w:t>2</w:t>
      </w:r>
      <w:r>
        <w:rPr>
          <w:rFonts w:ascii="Times New Roman" w:hAnsi="Times New Roman"/>
          <w:noProof/>
        </w:rPr>
        <w:t xml:space="preserve"> grâce au stockage de carbone en forêt, dans les produits bois et à la substitution d’énergies fossiles et de matériaux plus énergivores. Les forêts françaises sont toutefois touchées par les effets du changement climatique : attaques sanitaires, sécheresses et feux. Afin de préserver les multiples services environnementaux rendus par les forêts, de veiller à la diversité et leur durabilité et de garantir l’approvisionnement de la filière bois française, cette mesure vise à mobiliser des financements pour que les propriétaires forestiers publics et privés s’engagent dans une dynamique de gestion durable des forêts.</w:t>
      </w:r>
    </w:p>
    <w:p w14:paraId="5A8AE086" w14:textId="77777777" w:rsidR="00740F0F" w:rsidRPr="0029070D" w:rsidRDefault="00100B64">
      <w:pPr>
        <w:widowControl w:val="0"/>
        <w:autoSpaceDE w:val="0"/>
        <w:autoSpaceDN w:val="0"/>
        <w:spacing w:before="135"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rPr>
        <w:t>Cette mesure couvre trois types d’intervention:</w:t>
      </w:r>
    </w:p>
    <w:p w14:paraId="5A8AE087" w14:textId="77777777" w:rsidR="00740F0F" w:rsidRPr="0029070D" w:rsidRDefault="00100B64">
      <w:pPr>
        <w:pStyle w:val="ListParagraph"/>
        <w:widowControl w:val="0"/>
        <w:numPr>
          <w:ilvl w:val="0"/>
          <w:numId w:val="27"/>
        </w:numPr>
        <w:autoSpaceDE w:val="0"/>
        <w:autoSpaceDN w:val="0"/>
        <w:spacing w:before="135" w:after="0" w:line="240" w:lineRule="auto"/>
        <w:jc w:val="both"/>
        <w:rPr>
          <w:rFonts w:ascii="Times New Roman" w:eastAsia="Times New Roman" w:hAnsi="Times New Roman" w:cs="Times New Roman"/>
          <w:noProof/>
          <w:kern w:val="0"/>
          <w:szCs w:val="20"/>
          <w14:ligatures w14:val="none"/>
        </w:rPr>
      </w:pPr>
      <w:r>
        <w:rPr>
          <w:rFonts w:ascii="Times New Roman" w:hAnsi="Times New Roman"/>
          <w:noProof/>
        </w:rPr>
        <w:t>l’amélioration des peuplements forestiers de faible qualité économique et environnementale;</w:t>
      </w:r>
    </w:p>
    <w:p w14:paraId="5A8AE088" w14:textId="77777777" w:rsidR="00740F0F" w:rsidRPr="0029070D" w:rsidRDefault="00100B64">
      <w:pPr>
        <w:pStyle w:val="ListParagraph"/>
        <w:widowControl w:val="0"/>
        <w:numPr>
          <w:ilvl w:val="0"/>
          <w:numId w:val="27"/>
        </w:numPr>
        <w:autoSpaceDE w:val="0"/>
        <w:autoSpaceDN w:val="0"/>
        <w:spacing w:before="135" w:after="0" w:line="240" w:lineRule="auto"/>
        <w:jc w:val="both"/>
        <w:rPr>
          <w:rFonts w:ascii="Times New Roman" w:eastAsia="Times New Roman" w:hAnsi="Times New Roman" w:cs="Times New Roman"/>
          <w:noProof/>
          <w:kern w:val="0"/>
          <w:szCs w:val="20"/>
          <w14:ligatures w14:val="none"/>
        </w:rPr>
      </w:pPr>
      <w:r>
        <w:rPr>
          <w:rFonts w:ascii="Times New Roman" w:hAnsi="Times New Roman"/>
          <w:noProof/>
        </w:rPr>
        <w:t>la reconstitution des forêts gravement affectées ou détruites par les scolytes dans l’est de la France (principalement en régions Grand-Est et Bourgogne-Franche-Comté);</w:t>
      </w:r>
    </w:p>
    <w:p w14:paraId="5A8AE089" w14:textId="77777777" w:rsidR="00740F0F" w:rsidRPr="0029070D" w:rsidRDefault="00100B64">
      <w:pPr>
        <w:pStyle w:val="ListParagraph"/>
        <w:widowControl w:val="0"/>
        <w:numPr>
          <w:ilvl w:val="0"/>
          <w:numId w:val="27"/>
        </w:numPr>
        <w:autoSpaceDE w:val="0"/>
        <w:autoSpaceDN w:val="0"/>
        <w:spacing w:before="135" w:after="0" w:line="240" w:lineRule="auto"/>
        <w:jc w:val="both"/>
        <w:rPr>
          <w:rFonts w:ascii="Times New Roman" w:eastAsia="Times New Roman" w:hAnsi="Times New Roman" w:cs="Times New Roman"/>
          <w:noProof/>
          <w:kern w:val="0"/>
          <w:szCs w:val="20"/>
          <w14:ligatures w14:val="none"/>
        </w:rPr>
      </w:pPr>
      <w:r>
        <w:rPr>
          <w:rFonts w:ascii="Times New Roman" w:hAnsi="Times New Roman"/>
          <w:noProof/>
        </w:rPr>
        <w:t>l’adaptation des peuplements vulnérables au changement climatique.</w:t>
      </w:r>
    </w:p>
    <w:p w14:paraId="5A8AE08A" w14:textId="4C76F2CF" w:rsidR="00740F0F" w:rsidRPr="0029070D" w:rsidRDefault="00100B64">
      <w:pPr>
        <w:widowControl w:val="0"/>
        <w:autoSpaceDE w:val="0"/>
        <w:autoSpaceDN w:val="0"/>
        <w:spacing w:before="190" w:after="0" w:line="235" w:lineRule="auto"/>
        <w:ind w:left="220" w:right="259"/>
        <w:jc w:val="both"/>
        <w:rPr>
          <w:rFonts w:ascii="Times New Roman" w:eastAsia="Times New Roman" w:hAnsi="Times New Roman" w:cs="Times New Roman"/>
          <w:noProof/>
          <w:kern w:val="0"/>
          <w:szCs w:val="20"/>
          <w14:ligatures w14:val="none"/>
        </w:rPr>
      </w:pPr>
      <w:r>
        <w:rPr>
          <w:rFonts w:ascii="Times New Roman" w:hAnsi="Times New Roman"/>
          <w:noProof/>
        </w:rPr>
        <w:t>La mesure vise à couvrir au moins 30 000 ha d’ici la fin du premier trimestre 2023. Les demandes d’aide peuvent être déposées depuis le 19 février 2021. Les paiements seront versés jusqu’au 31 décembre 2024.</w:t>
      </w:r>
    </w:p>
    <w:p w14:paraId="5A8AE08B" w14:textId="77777777" w:rsidR="00740F0F" w:rsidRPr="0029070D" w:rsidRDefault="00740F0F">
      <w:pPr>
        <w:spacing w:before="120" w:after="120" w:line="235" w:lineRule="auto"/>
        <w:rPr>
          <w:rFonts w:ascii="Times New Roman" w:eastAsia="Calibri" w:hAnsi="Times New Roman" w:cs="Times New Roman"/>
          <w:noProof/>
          <w:kern w:val="0"/>
          <w:szCs w:val="22"/>
          <w14:ligatures w14:val="none"/>
        </w:rPr>
        <w:sectPr w:rsidR="00740F0F" w:rsidRPr="0029070D">
          <w:headerReference w:type="even" r:id="rId30"/>
          <w:headerReference w:type="default" r:id="rId31"/>
          <w:footerReference w:type="even" r:id="rId32"/>
          <w:footerReference w:type="default" r:id="rId33"/>
          <w:headerReference w:type="first" r:id="rId34"/>
          <w:footerReference w:type="first" r:id="rId35"/>
          <w:pgSz w:w="11920" w:h="16860"/>
          <w:pgMar w:top="1134" w:right="1134" w:bottom="1134" w:left="1134" w:header="567" w:footer="567" w:gutter="0"/>
          <w:cols w:space="720"/>
          <w:docGrid w:linePitch="326"/>
        </w:sectPr>
      </w:pPr>
    </w:p>
    <w:p w14:paraId="5A8AE08C" w14:textId="77777777" w:rsidR="00740F0F" w:rsidRPr="00B46C4C" w:rsidRDefault="00100B64">
      <w:pPr>
        <w:widowControl w:val="0"/>
        <w:numPr>
          <w:ilvl w:val="2"/>
          <w:numId w:val="1"/>
        </w:numPr>
        <w:tabs>
          <w:tab w:val="left" w:pos="822"/>
          <w:tab w:val="left" w:pos="823"/>
        </w:tabs>
        <w:autoSpaceDE w:val="0"/>
        <w:autoSpaceDN w:val="0"/>
        <w:spacing w:before="227" w:after="0" w:line="240" w:lineRule="auto"/>
        <w:ind w:left="822" w:hanging="723"/>
        <w:jc w:val="center"/>
        <w:outlineLvl w:val="1"/>
        <w:rPr>
          <w:rFonts w:ascii="Times New Roman" w:eastAsia="Times New Roman" w:hAnsi="Times New Roman" w:cs="Times New Roman"/>
          <w:b/>
          <w:noProof/>
          <w:kern w:val="0"/>
          <w:szCs w:val="20"/>
          <w:u w:val="single"/>
          <w14:ligatures w14:val="none"/>
        </w:rPr>
      </w:pPr>
      <w:r>
        <w:rPr>
          <w:rFonts w:ascii="Times New Roman" w:hAnsi="Times New Roman"/>
          <w:b/>
          <w:noProof/>
          <w:u w:val="single"/>
        </w:rPr>
        <w:t>Jalons, cibles, indicateurs et calendrier de suivi et de mise en œuvre en vue du soutien financier non remboursable</w:t>
      </w:r>
    </w:p>
    <w:p w14:paraId="5A8AE08D" w14:textId="77777777" w:rsidR="00740F0F" w:rsidRPr="0029070D" w:rsidRDefault="00740F0F">
      <w:pPr>
        <w:widowControl w:val="0"/>
        <w:autoSpaceDE w:val="0"/>
        <w:autoSpaceDN w:val="0"/>
        <w:spacing w:after="0" w:line="240" w:lineRule="auto"/>
        <w:rPr>
          <w:rFonts w:ascii="Times New Roman" w:eastAsia="Times New Roman" w:hAnsi="Times New Roman" w:cs="Times New Roman"/>
          <w:b/>
          <w:noProof/>
          <w:kern w:val="0"/>
          <w:sz w:val="20"/>
          <w:szCs w:val="20"/>
          <w14:ligatures w14:val="none"/>
        </w:rPr>
      </w:pPr>
    </w:p>
    <w:tbl>
      <w:tblPr>
        <w:tblStyle w:val="NormalTable0"/>
        <w:tblW w:w="1544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1100"/>
        <w:gridCol w:w="1305"/>
        <w:gridCol w:w="992"/>
        <w:gridCol w:w="1701"/>
        <w:gridCol w:w="1276"/>
        <w:gridCol w:w="851"/>
        <w:gridCol w:w="992"/>
        <w:gridCol w:w="976"/>
        <w:gridCol w:w="16"/>
        <w:gridCol w:w="992"/>
        <w:gridCol w:w="709"/>
        <w:gridCol w:w="4529"/>
        <w:gridCol w:w="7"/>
      </w:tblGrid>
      <w:tr w:rsidR="00782477" w:rsidRPr="0029070D" w14:paraId="5A8AE096" w14:textId="77777777" w:rsidTr="00FB041E">
        <w:trPr>
          <w:gridAfter w:val="1"/>
          <w:wAfter w:w="7" w:type="dxa"/>
          <w:trHeight w:val="894"/>
          <w:tblHeader/>
          <w:jc w:val="center"/>
        </w:trPr>
        <w:tc>
          <w:tcPr>
            <w:tcW w:w="1100" w:type="dxa"/>
            <w:vMerge w:val="restart"/>
            <w:shd w:val="clear" w:color="auto" w:fill="C5D9EF"/>
            <w:vAlign w:val="center"/>
          </w:tcPr>
          <w:p w14:paraId="5A8AE08E" w14:textId="77777777" w:rsidR="00740F0F" w:rsidRPr="0029070D" w:rsidRDefault="00100B64">
            <w:pPr>
              <w:spacing w:before="176" w:line="223" w:lineRule="auto"/>
              <w:ind w:left="223" w:right="99" w:hanging="89"/>
              <w:rPr>
                <w:rFonts w:ascii="Times New Roman" w:eastAsia="Times New Roman" w:hAnsi="Times New Roman" w:cs="Times New Roman"/>
                <w:b/>
                <w:noProof/>
                <w:sz w:val="18"/>
                <w:szCs w:val="18"/>
              </w:rPr>
            </w:pPr>
            <w:r>
              <w:rPr>
                <w:rFonts w:ascii="Times New Roman" w:hAnsi="Times New Roman"/>
                <w:b/>
                <w:noProof/>
                <w:sz w:val="18"/>
              </w:rPr>
              <w:t>Numéro séquentiel</w:t>
            </w:r>
          </w:p>
        </w:tc>
        <w:tc>
          <w:tcPr>
            <w:tcW w:w="1305" w:type="dxa"/>
            <w:vMerge w:val="restart"/>
            <w:shd w:val="clear" w:color="auto" w:fill="C5D9EF"/>
            <w:vAlign w:val="center"/>
          </w:tcPr>
          <w:p w14:paraId="5A8AE08F" w14:textId="77777777" w:rsidR="00740F0F" w:rsidRPr="0029070D" w:rsidRDefault="00100B64">
            <w:pPr>
              <w:spacing w:before="1"/>
              <w:ind w:left="28"/>
              <w:jc w:val="center"/>
              <w:rPr>
                <w:rFonts w:ascii="Times New Roman" w:eastAsia="Times New Roman" w:hAnsi="Times New Roman" w:cs="Times New Roman"/>
                <w:b/>
                <w:noProof/>
                <w:sz w:val="18"/>
                <w:szCs w:val="18"/>
              </w:rPr>
            </w:pPr>
            <w:r>
              <w:rPr>
                <w:rFonts w:ascii="Times New Roman" w:hAnsi="Times New Roman"/>
                <w:b/>
                <w:noProof/>
                <w:sz w:val="18"/>
              </w:rPr>
              <w:t>Mesure</w:t>
            </w:r>
          </w:p>
        </w:tc>
        <w:tc>
          <w:tcPr>
            <w:tcW w:w="992" w:type="dxa"/>
            <w:vMerge w:val="restart"/>
            <w:shd w:val="clear" w:color="auto" w:fill="C5D9EF"/>
            <w:vAlign w:val="center"/>
          </w:tcPr>
          <w:p w14:paraId="5A8AE090" w14:textId="77777777" w:rsidR="00740F0F" w:rsidRPr="0029070D" w:rsidRDefault="00100B64">
            <w:pPr>
              <w:spacing w:before="199" w:line="204" w:lineRule="exact"/>
              <w:jc w:val="center"/>
              <w:rPr>
                <w:rFonts w:ascii="Times New Roman" w:eastAsia="Times New Roman" w:hAnsi="Times New Roman" w:cs="Times New Roman"/>
                <w:b/>
                <w:noProof/>
                <w:sz w:val="18"/>
                <w:szCs w:val="18"/>
              </w:rPr>
            </w:pPr>
            <w:r>
              <w:rPr>
                <w:rFonts w:ascii="Times New Roman" w:hAnsi="Times New Roman"/>
                <w:b/>
                <w:noProof/>
                <w:sz w:val="18"/>
              </w:rPr>
              <w:t>Jalon / Cible</w:t>
            </w:r>
          </w:p>
        </w:tc>
        <w:tc>
          <w:tcPr>
            <w:tcW w:w="1701" w:type="dxa"/>
            <w:vMerge w:val="restart"/>
            <w:shd w:val="clear" w:color="auto" w:fill="C5D9EF"/>
            <w:vAlign w:val="center"/>
          </w:tcPr>
          <w:p w14:paraId="5A8AE091" w14:textId="77777777" w:rsidR="00740F0F" w:rsidRPr="0029070D" w:rsidRDefault="00100B64">
            <w:pPr>
              <w:spacing w:before="1"/>
              <w:ind w:right="-9"/>
              <w:jc w:val="center"/>
              <w:rPr>
                <w:rFonts w:ascii="Times New Roman" w:eastAsia="Times New Roman" w:hAnsi="Times New Roman" w:cs="Times New Roman"/>
                <w:b/>
                <w:noProof/>
                <w:sz w:val="18"/>
                <w:szCs w:val="18"/>
              </w:rPr>
            </w:pPr>
            <w:r>
              <w:rPr>
                <w:rFonts w:ascii="Times New Roman" w:hAnsi="Times New Roman"/>
                <w:b/>
                <w:noProof/>
                <w:sz w:val="18"/>
              </w:rPr>
              <w:t>Dénomination</w:t>
            </w:r>
          </w:p>
        </w:tc>
        <w:tc>
          <w:tcPr>
            <w:tcW w:w="1276" w:type="dxa"/>
            <w:vMerge w:val="restart"/>
            <w:shd w:val="clear" w:color="auto" w:fill="C5D9EF"/>
            <w:vAlign w:val="center"/>
          </w:tcPr>
          <w:p w14:paraId="5A8AE092" w14:textId="77777777" w:rsidR="00740F0F" w:rsidRPr="0029070D" w:rsidRDefault="00100B64">
            <w:pPr>
              <w:spacing w:before="164" w:line="235" w:lineRule="auto"/>
              <w:ind w:left="167" w:right="120" w:hanging="32"/>
              <w:jc w:val="center"/>
              <w:rPr>
                <w:rFonts w:ascii="Times New Roman" w:eastAsia="Times New Roman" w:hAnsi="Times New Roman" w:cs="Times New Roman"/>
                <w:b/>
                <w:noProof/>
                <w:sz w:val="18"/>
                <w:szCs w:val="18"/>
              </w:rPr>
            </w:pPr>
            <w:r>
              <w:rPr>
                <w:rFonts w:ascii="Times New Roman" w:hAnsi="Times New Roman"/>
                <w:b/>
                <w:noProof/>
                <w:sz w:val="18"/>
              </w:rPr>
              <w:t>Indicateurs qualitatifs (pour les jalons)</w:t>
            </w:r>
          </w:p>
        </w:tc>
        <w:tc>
          <w:tcPr>
            <w:tcW w:w="2835" w:type="dxa"/>
            <w:gridSpan w:val="4"/>
            <w:shd w:val="clear" w:color="auto" w:fill="C5D9EF"/>
            <w:vAlign w:val="center"/>
          </w:tcPr>
          <w:p w14:paraId="5A8AE093" w14:textId="77777777" w:rsidR="00740F0F" w:rsidRPr="0029070D" w:rsidRDefault="00100B64">
            <w:pPr>
              <w:spacing w:before="170"/>
              <w:jc w:val="center"/>
              <w:rPr>
                <w:rFonts w:ascii="Times New Roman" w:eastAsia="Times New Roman" w:hAnsi="Times New Roman" w:cs="Times New Roman"/>
                <w:b/>
                <w:noProof/>
                <w:sz w:val="18"/>
                <w:szCs w:val="18"/>
              </w:rPr>
            </w:pPr>
            <w:r>
              <w:rPr>
                <w:rFonts w:ascii="Times New Roman" w:hAnsi="Times New Roman"/>
                <w:b/>
                <w:noProof/>
                <w:sz w:val="18"/>
              </w:rPr>
              <w:t>Indicateurs quantitatifs (pour les cibles)</w:t>
            </w:r>
          </w:p>
        </w:tc>
        <w:tc>
          <w:tcPr>
            <w:tcW w:w="1701" w:type="dxa"/>
            <w:gridSpan w:val="2"/>
            <w:shd w:val="clear" w:color="auto" w:fill="C5D9EF"/>
            <w:vAlign w:val="center"/>
          </w:tcPr>
          <w:p w14:paraId="5A8AE094" w14:textId="77777777" w:rsidR="00740F0F" w:rsidRPr="0029070D" w:rsidRDefault="00100B64">
            <w:pPr>
              <w:spacing w:before="216"/>
              <w:ind w:left="4" w:right="81" w:hanging="4"/>
              <w:jc w:val="center"/>
              <w:rPr>
                <w:rFonts w:ascii="Times New Roman" w:eastAsia="Times New Roman" w:hAnsi="Times New Roman" w:cs="Times New Roman"/>
                <w:b/>
                <w:noProof/>
                <w:sz w:val="18"/>
                <w:szCs w:val="18"/>
              </w:rPr>
            </w:pPr>
            <w:r>
              <w:rPr>
                <w:rFonts w:ascii="Times New Roman" w:hAnsi="Times New Roman"/>
                <w:b/>
                <w:noProof/>
                <w:sz w:val="18"/>
              </w:rPr>
              <w:t>Calendrier indicatif de réalisation</w:t>
            </w:r>
          </w:p>
        </w:tc>
        <w:tc>
          <w:tcPr>
            <w:tcW w:w="4529" w:type="dxa"/>
            <w:vMerge w:val="restart"/>
            <w:shd w:val="clear" w:color="auto" w:fill="C5D9EF"/>
            <w:vAlign w:val="center"/>
          </w:tcPr>
          <w:p w14:paraId="5A8AE095" w14:textId="77777777" w:rsidR="00740F0F" w:rsidRPr="0029070D" w:rsidRDefault="00100B64">
            <w:pPr>
              <w:spacing w:before="194"/>
              <w:jc w:val="center"/>
              <w:rPr>
                <w:rFonts w:ascii="Times New Roman" w:eastAsia="Times New Roman" w:hAnsi="Times New Roman" w:cs="Times New Roman"/>
                <w:b/>
                <w:noProof/>
                <w:sz w:val="18"/>
                <w:szCs w:val="18"/>
              </w:rPr>
            </w:pPr>
            <w:r>
              <w:rPr>
                <w:rFonts w:ascii="Times New Roman" w:hAnsi="Times New Roman"/>
                <w:b/>
                <w:noProof/>
                <w:sz w:val="18"/>
              </w:rPr>
              <w:t>Description de chaque jalon et cible</w:t>
            </w:r>
          </w:p>
        </w:tc>
      </w:tr>
      <w:tr w:rsidR="00782477" w:rsidRPr="0029070D" w14:paraId="5A8AE0A2" w14:textId="77777777" w:rsidTr="00FB041E">
        <w:trPr>
          <w:gridAfter w:val="1"/>
          <w:wAfter w:w="7" w:type="dxa"/>
          <w:trHeight w:val="446"/>
          <w:tblHeader/>
          <w:jc w:val="center"/>
        </w:trPr>
        <w:tc>
          <w:tcPr>
            <w:tcW w:w="1100" w:type="dxa"/>
            <w:vMerge/>
          </w:tcPr>
          <w:p w14:paraId="5A8AE097" w14:textId="77777777" w:rsidR="00740F0F" w:rsidRPr="0029070D" w:rsidRDefault="00740F0F">
            <w:pPr>
              <w:spacing w:before="120" w:after="120" w:line="360" w:lineRule="auto"/>
              <w:rPr>
                <w:rFonts w:ascii="Times New Roman" w:eastAsia="Calibri" w:hAnsi="Times New Roman" w:cs="Times New Roman"/>
                <w:noProof/>
                <w:sz w:val="18"/>
                <w:szCs w:val="18"/>
              </w:rPr>
            </w:pPr>
          </w:p>
        </w:tc>
        <w:tc>
          <w:tcPr>
            <w:tcW w:w="1305" w:type="dxa"/>
            <w:vMerge/>
          </w:tcPr>
          <w:p w14:paraId="5A8AE098" w14:textId="77777777" w:rsidR="00740F0F" w:rsidRPr="0029070D" w:rsidRDefault="00740F0F">
            <w:pPr>
              <w:spacing w:before="120" w:after="120" w:line="360" w:lineRule="auto"/>
              <w:jc w:val="center"/>
              <w:rPr>
                <w:rFonts w:ascii="Times New Roman" w:eastAsia="Calibri" w:hAnsi="Times New Roman" w:cs="Times New Roman"/>
                <w:noProof/>
                <w:sz w:val="18"/>
                <w:szCs w:val="18"/>
              </w:rPr>
            </w:pPr>
          </w:p>
        </w:tc>
        <w:tc>
          <w:tcPr>
            <w:tcW w:w="992" w:type="dxa"/>
            <w:vMerge/>
          </w:tcPr>
          <w:p w14:paraId="5A8AE099" w14:textId="77777777" w:rsidR="00740F0F" w:rsidRPr="0029070D" w:rsidRDefault="00740F0F">
            <w:pPr>
              <w:spacing w:before="120" w:after="120" w:line="360" w:lineRule="auto"/>
              <w:jc w:val="center"/>
              <w:rPr>
                <w:rFonts w:ascii="Times New Roman" w:eastAsia="Calibri" w:hAnsi="Times New Roman" w:cs="Times New Roman"/>
                <w:noProof/>
                <w:sz w:val="18"/>
                <w:szCs w:val="18"/>
              </w:rPr>
            </w:pPr>
          </w:p>
        </w:tc>
        <w:tc>
          <w:tcPr>
            <w:tcW w:w="1701" w:type="dxa"/>
            <w:vMerge/>
          </w:tcPr>
          <w:p w14:paraId="5A8AE09A" w14:textId="77777777" w:rsidR="00740F0F" w:rsidRPr="0029070D" w:rsidRDefault="00740F0F">
            <w:pPr>
              <w:spacing w:before="120" w:after="120" w:line="360" w:lineRule="auto"/>
              <w:rPr>
                <w:rFonts w:ascii="Times New Roman" w:eastAsia="Calibri" w:hAnsi="Times New Roman" w:cs="Times New Roman"/>
                <w:noProof/>
                <w:sz w:val="18"/>
                <w:szCs w:val="18"/>
              </w:rPr>
            </w:pPr>
          </w:p>
        </w:tc>
        <w:tc>
          <w:tcPr>
            <w:tcW w:w="1276" w:type="dxa"/>
            <w:vMerge/>
          </w:tcPr>
          <w:p w14:paraId="5A8AE09B" w14:textId="77777777" w:rsidR="00740F0F" w:rsidRPr="0029070D" w:rsidRDefault="00740F0F">
            <w:pPr>
              <w:spacing w:before="120" w:after="120" w:line="360" w:lineRule="auto"/>
              <w:rPr>
                <w:rFonts w:ascii="Times New Roman" w:eastAsia="Calibri" w:hAnsi="Times New Roman" w:cs="Times New Roman"/>
                <w:noProof/>
                <w:sz w:val="18"/>
                <w:szCs w:val="18"/>
              </w:rPr>
            </w:pPr>
          </w:p>
        </w:tc>
        <w:tc>
          <w:tcPr>
            <w:tcW w:w="851" w:type="dxa"/>
            <w:shd w:val="clear" w:color="auto" w:fill="C5D9EF"/>
          </w:tcPr>
          <w:p w14:paraId="5A8AE09C" w14:textId="77777777" w:rsidR="00740F0F" w:rsidRPr="0029070D" w:rsidRDefault="00100B64">
            <w:pPr>
              <w:spacing w:before="117"/>
              <w:ind w:right="211"/>
              <w:jc w:val="center"/>
              <w:rPr>
                <w:rFonts w:ascii="Times New Roman" w:eastAsia="Times New Roman" w:hAnsi="Times New Roman" w:cs="Times New Roman"/>
                <w:b/>
                <w:noProof/>
                <w:sz w:val="18"/>
                <w:szCs w:val="18"/>
              </w:rPr>
            </w:pPr>
            <w:r>
              <w:rPr>
                <w:rFonts w:ascii="Times New Roman" w:hAnsi="Times New Roman"/>
                <w:b/>
                <w:noProof/>
                <w:sz w:val="18"/>
              </w:rPr>
              <w:t>Unité de mesure</w:t>
            </w:r>
          </w:p>
        </w:tc>
        <w:tc>
          <w:tcPr>
            <w:tcW w:w="992" w:type="dxa"/>
            <w:shd w:val="clear" w:color="auto" w:fill="C5D9EF"/>
          </w:tcPr>
          <w:p w14:paraId="5A8AE09D" w14:textId="77777777" w:rsidR="00740F0F" w:rsidRPr="0029070D" w:rsidRDefault="00100B64">
            <w:pPr>
              <w:spacing w:before="117"/>
              <w:ind w:left="125"/>
              <w:jc w:val="center"/>
              <w:rPr>
                <w:rFonts w:ascii="Times New Roman" w:eastAsia="Times New Roman" w:hAnsi="Times New Roman" w:cs="Times New Roman"/>
                <w:b/>
                <w:noProof/>
                <w:sz w:val="18"/>
                <w:szCs w:val="18"/>
              </w:rPr>
            </w:pPr>
            <w:r>
              <w:rPr>
                <w:rFonts w:ascii="Times New Roman" w:hAnsi="Times New Roman"/>
                <w:b/>
                <w:noProof/>
                <w:sz w:val="18"/>
              </w:rPr>
              <w:t>Base de référence</w:t>
            </w:r>
          </w:p>
        </w:tc>
        <w:tc>
          <w:tcPr>
            <w:tcW w:w="992" w:type="dxa"/>
            <w:gridSpan w:val="2"/>
            <w:shd w:val="clear" w:color="auto" w:fill="C5D9EF"/>
          </w:tcPr>
          <w:p w14:paraId="5A8AE09E" w14:textId="77777777" w:rsidR="00740F0F" w:rsidRPr="0029070D" w:rsidRDefault="00100B64">
            <w:pPr>
              <w:spacing w:before="117"/>
              <w:jc w:val="center"/>
              <w:rPr>
                <w:rFonts w:ascii="Times New Roman" w:eastAsia="Times New Roman" w:hAnsi="Times New Roman" w:cs="Times New Roman"/>
                <w:b/>
                <w:noProof/>
                <w:sz w:val="18"/>
                <w:szCs w:val="18"/>
              </w:rPr>
            </w:pPr>
            <w:r>
              <w:rPr>
                <w:rFonts w:ascii="Times New Roman" w:hAnsi="Times New Roman"/>
                <w:b/>
                <w:noProof/>
                <w:sz w:val="18"/>
              </w:rPr>
              <w:t>Objectif</w:t>
            </w:r>
          </w:p>
        </w:tc>
        <w:tc>
          <w:tcPr>
            <w:tcW w:w="992" w:type="dxa"/>
            <w:shd w:val="clear" w:color="auto" w:fill="C5D9EF"/>
          </w:tcPr>
          <w:p w14:paraId="5A8AE09F" w14:textId="77777777" w:rsidR="00740F0F" w:rsidRPr="0029070D" w:rsidRDefault="00100B64">
            <w:pPr>
              <w:spacing w:before="117"/>
              <w:ind w:left="82" w:right="-6"/>
              <w:jc w:val="center"/>
              <w:rPr>
                <w:rFonts w:ascii="Times New Roman" w:eastAsia="Times New Roman" w:hAnsi="Times New Roman" w:cs="Times New Roman"/>
                <w:b/>
                <w:noProof/>
                <w:sz w:val="18"/>
                <w:szCs w:val="18"/>
              </w:rPr>
            </w:pPr>
            <w:r>
              <w:rPr>
                <w:rFonts w:ascii="Times New Roman" w:hAnsi="Times New Roman"/>
                <w:b/>
                <w:noProof/>
                <w:sz w:val="18"/>
              </w:rPr>
              <w:t>Trimestre</w:t>
            </w:r>
          </w:p>
        </w:tc>
        <w:tc>
          <w:tcPr>
            <w:tcW w:w="709" w:type="dxa"/>
            <w:shd w:val="clear" w:color="auto" w:fill="C5D9EF"/>
          </w:tcPr>
          <w:p w14:paraId="5A8AE0A0" w14:textId="77777777" w:rsidR="00740F0F" w:rsidRPr="0029070D" w:rsidRDefault="00100B64">
            <w:pPr>
              <w:spacing w:before="117"/>
              <w:ind w:left="35"/>
              <w:jc w:val="center"/>
              <w:rPr>
                <w:rFonts w:ascii="Times New Roman" w:eastAsia="Times New Roman" w:hAnsi="Times New Roman" w:cs="Times New Roman"/>
                <w:b/>
                <w:noProof/>
                <w:sz w:val="18"/>
                <w:szCs w:val="18"/>
              </w:rPr>
            </w:pPr>
            <w:r>
              <w:rPr>
                <w:rFonts w:ascii="Times New Roman" w:hAnsi="Times New Roman"/>
                <w:b/>
                <w:noProof/>
                <w:sz w:val="18"/>
              </w:rPr>
              <w:t>Année</w:t>
            </w:r>
          </w:p>
        </w:tc>
        <w:tc>
          <w:tcPr>
            <w:tcW w:w="4529" w:type="dxa"/>
            <w:vMerge/>
          </w:tcPr>
          <w:p w14:paraId="5A8AE0A1" w14:textId="77777777" w:rsidR="00740F0F" w:rsidRPr="0029070D" w:rsidRDefault="00740F0F">
            <w:pPr>
              <w:spacing w:before="120" w:after="120" w:line="360" w:lineRule="auto"/>
              <w:rPr>
                <w:rFonts w:ascii="Times New Roman" w:eastAsia="Calibri" w:hAnsi="Times New Roman" w:cs="Times New Roman"/>
                <w:noProof/>
                <w:sz w:val="18"/>
                <w:szCs w:val="18"/>
              </w:rPr>
            </w:pPr>
          </w:p>
        </w:tc>
      </w:tr>
      <w:tr w:rsidR="00782477" w:rsidRPr="0029070D" w14:paraId="5A8AE0AF" w14:textId="77777777" w:rsidTr="00FB041E">
        <w:trPr>
          <w:gridAfter w:val="1"/>
          <w:wAfter w:w="7" w:type="dxa"/>
          <w:trHeight w:val="1435"/>
          <w:jc w:val="center"/>
        </w:trPr>
        <w:tc>
          <w:tcPr>
            <w:tcW w:w="1100" w:type="dxa"/>
            <w:tcBorders>
              <w:left w:val="single" w:sz="6" w:space="0" w:color="000000" w:themeColor="text1"/>
              <w:bottom w:val="single" w:sz="6" w:space="0" w:color="000000" w:themeColor="text1"/>
              <w:right w:val="single" w:sz="6" w:space="0" w:color="000000" w:themeColor="text1"/>
            </w:tcBorders>
            <w:shd w:val="clear" w:color="auto" w:fill="C5EDCE"/>
          </w:tcPr>
          <w:p w14:paraId="5A8AE0A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2-1</w:t>
            </w:r>
          </w:p>
        </w:tc>
        <w:tc>
          <w:tcPr>
            <w:tcW w:w="1305" w:type="dxa"/>
            <w:tcBorders>
              <w:left w:val="single" w:sz="6" w:space="0" w:color="000000" w:themeColor="text1"/>
              <w:bottom w:val="single" w:sz="6" w:space="0" w:color="000000" w:themeColor="text1"/>
              <w:right w:val="single" w:sz="6" w:space="0" w:color="000000" w:themeColor="text1"/>
            </w:tcBorders>
            <w:shd w:val="clear" w:color="auto" w:fill="C5EDCE"/>
          </w:tcPr>
          <w:p w14:paraId="5A8AE0A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C2.R1</w:t>
            </w:r>
          </w:p>
          <w:p w14:paraId="5A8AE0A5" w14:textId="77777777" w:rsidR="00740F0F" w:rsidRPr="0029070D" w:rsidRDefault="00100B64">
            <w:pPr>
              <w:spacing w:line="214" w:lineRule="exact"/>
              <w:ind w:left="9" w:right="134" w:firstLine="10"/>
              <w:jc w:val="center"/>
              <w:rPr>
                <w:rFonts w:ascii="Times New Roman" w:eastAsia="Times New Roman" w:hAnsi="Times New Roman" w:cs="Times New Roman"/>
                <w:noProof/>
                <w:sz w:val="18"/>
                <w:szCs w:val="18"/>
              </w:rPr>
            </w:pPr>
            <w:r>
              <w:rPr>
                <w:rFonts w:ascii="Times New Roman" w:hAnsi="Times New Roman"/>
                <w:noProof/>
                <w:sz w:val="18"/>
              </w:rPr>
              <w:t>Loi Climat et Résilience</w:t>
            </w:r>
          </w:p>
        </w:tc>
        <w:tc>
          <w:tcPr>
            <w:tcW w:w="992" w:type="dxa"/>
            <w:tcBorders>
              <w:left w:val="single" w:sz="6" w:space="0" w:color="000000" w:themeColor="text1"/>
              <w:bottom w:val="single" w:sz="6" w:space="0" w:color="000000" w:themeColor="text1"/>
              <w:right w:val="single" w:sz="6" w:space="0" w:color="000000" w:themeColor="text1"/>
            </w:tcBorders>
            <w:shd w:val="clear" w:color="auto" w:fill="C5EDCE"/>
          </w:tcPr>
          <w:p w14:paraId="5A8AE0A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701" w:type="dxa"/>
            <w:tcBorders>
              <w:left w:val="single" w:sz="6" w:space="0" w:color="000000" w:themeColor="text1"/>
              <w:bottom w:val="single" w:sz="6" w:space="0" w:color="000000" w:themeColor="text1"/>
              <w:right w:val="single" w:sz="6" w:space="0" w:color="000000" w:themeColor="text1"/>
            </w:tcBorders>
            <w:shd w:val="clear" w:color="auto" w:fill="C5EDCE"/>
          </w:tcPr>
          <w:p w14:paraId="5A8AE0A7" w14:textId="77777777" w:rsidR="00740F0F" w:rsidRPr="0029070D" w:rsidRDefault="00100B64">
            <w:pPr>
              <w:spacing w:line="214" w:lineRule="exact"/>
              <w:ind w:left="9" w:right="6"/>
              <w:rPr>
                <w:rFonts w:ascii="Times New Roman" w:eastAsia="Times New Roman" w:hAnsi="Times New Roman" w:cs="Times New Roman"/>
                <w:noProof/>
                <w:sz w:val="18"/>
                <w:szCs w:val="18"/>
              </w:rPr>
            </w:pPr>
            <w:r>
              <w:rPr>
                <w:rFonts w:ascii="Times New Roman" w:hAnsi="Times New Roman"/>
                <w:noProof/>
                <w:sz w:val="18"/>
              </w:rPr>
              <w:t>Loi Climat et Résilience</w:t>
            </w:r>
          </w:p>
        </w:tc>
        <w:tc>
          <w:tcPr>
            <w:tcW w:w="1276" w:type="dxa"/>
            <w:tcBorders>
              <w:left w:val="single" w:sz="6" w:space="0" w:color="000000" w:themeColor="text1"/>
              <w:bottom w:val="single" w:sz="6" w:space="0" w:color="000000" w:themeColor="text1"/>
              <w:right w:val="single" w:sz="6" w:space="0" w:color="000000" w:themeColor="text1"/>
            </w:tcBorders>
            <w:shd w:val="clear" w:color="auto" w:fill="C5EDCE"/>
          </w:tcPr>
          <w:p w14:paraId="5A8AE0A8" w14:textId="77777777" w:rsidR="00740F0F" w:rsidRPr="0029070D" w:rsidRDefault="00100B64">
            <w:pPr>
              <w:spacing w:line="214" w:lineRule="exact"/>
              <w:ind w:left="9" w:right="-30" w:firstLine="1"/>
              <w:rPr>
                <w:rFonts w:ascii="Times New Roman" w:eastAsia="Times New Roman" w:hAnsi="Times New Roman" w:cs="Times New Roman"/>
                <w:noProof/>
                <w:sz w:val="18"/>
                <w:szCs w:val="18"/>
              </w:rPr>
            </w:pPr>
            <w:r>
              <w:rPr>
                <w:rFonts w:ascii="Times New Roman" w:hAnsi="Times New Roman"/>
                <w:noProof/>
                <w:sz w:val="18"/>
              </w:rPr>
              <w:t>Promulgation de la loi et entrée en vigueur des dispositions directement applicables</w:t>
            </w:r>
          </w:p>
        </w:tc>
        <w:tc>
          <w:tcPr>
            <w:tcW w:w="851" w:type="dxa"/>
            <w:tcBorders>
              <w:left w:val="single" w:sz="6" w:space="0" w:color="000000" w:themeColor="text1"/>
              <w:bottom w:val="single" w:sz="6" w:space="0" w:color="000000" w:themeColor="text1"/>
              <w:right w:val="single" w:sz="6" w:space="0" w:color="000000" w:themeColor="text1"/>
            </w:tcBorders>
            <w:shd w:val="clear" w:color="auto" w:fill="C5EDCE"/>
          </w:tcPr>
          <w:p w14:paraId="5A8AE0A9"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2" w:type="dxa"/>
            <w:tcBorders>
              <w:left w:val="single" w:sz="6" w:space="0" w:color="000000" w:themeColor="text1"/>
              <w:bottom w:val="single" w:sz="6" w:space="0" w:color="000000" w:themeColor="text1"/>
              <w:right w:val="single" w:sz="6" w:space="0" w:color="000000" w:themeColor="text1"/>
            </w:tcBorders>
            <w:shd w:val="clear" w:color="auto" w:fill="C5EDCE"/>
          </w:tcPr>
          <w:p w14:paraId="5A8AE0AA"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2" w:type="dxa"/>
            <w:gridSpan w:val="2"/>
            <w:tcBorders>
              <w:left w:val="single" w:sz="6" w:space="0" w:color="000000" w:themeColor="text1"/>
              <w:bottom w:val="single" w:sz="6" w:space="0" w:color="000000" w:themeColor="text1"/>
              <w:right w:val="single" w:sz="6" w:space="0" w:color="000000" w:themeColor="text1"/>
            </w:tcBorders>
            <w:shd w:val="clear" w:color="auto" w:fill="C5EDCE"/>
          </w:tcPr>
          <w:p w14:paraId="5A8AE0AB"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2" w:type="dxa"/>
            <w:tcBorders>
              <w:left w:val="single" w:sz="6" w:space="0" w:color="000000" w:themeColor="text1"/>
              <w:bottom w:val="single" w:sz="6" w:space="0" w:color="000000" w:themeColor="text1"/>
              <w:right w:val="single" w:sz="6" w:space="0" w:color="000000" w:themeColor="text1"/>
            </w:tcBorders>
            <w:shd w:val="clear" w:color="auto" w:fill="C5EDCE"/>
          </w:tcPr>
          <w:p w14:paraId="5A8AE0A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T2</w:t>
            </w:r>
          </w:p>
        </w:tc>
        <w:tc>
          <w:tcPr>
            <w:tcW w:w="709" w:type="dxa"/>
            <w:tcBorders>
              <w:left w:val="single" w:sz="6" w:space="0" w:color="000000" w:themeColor="text1"/>
              <w:bottom w:val="single" w:sz="6" w:space="0" w:color="000000" w:themeColor="text1"/>
              <w:right w:val="single" w:sz="6" w:space="0" w:color="000000" w:themeColor="text1"/>
            </w:tcBorders>
            <w:shd w:val="clear" w:color="auto" w:fill="C5EDCE"/>
          </w:tcPr>
          <w:p w14:paraId="5A8AE0A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529" w:type="dxa"/>
            <w:tcBorders>
              <w:left w:val="single" w:sz="6" w:space="0" w:color="000000" w:themeColor="text1"/>
              <w:bottom w:val="single" w:sz="6" w:space="0" w:color="000000" w:themeColor="text1"/>
              <w:right w:val="single" w:sz="6" w:space="0" w:color="000000" w:themeColor="text1"/>
            </w:tcBorders>
            <w:shd w:val="clear" w:color="auto" w:fill="C5EDCE"/>
          </w:tcPr>
          <w:p w14:paraId="5A8AE0AE" w14:textId="77777777" w:rsidR="00740F0F" w:rsidRPr="0029070D" w:rsidRDefault="00100B64">
            <w:pPr>
              <w:spacing w:line="214" w:lineRule="exact"/>
              <w:ind w:left="9" w:right="212"/>
              <w:rPr>
                <w:rFonts w:ascii="Times New Roman" w:eastAsia="Times New Roman" w:hAnsi="Times New Roman" w:cs="Times New Roman"/>
                <w:noProof/>
                <w:sz w:val="18"/>
                <w:szCs w:val="18"/>
              </w:rPr>
            </w:pPr>
            <w:r>
              <w:rPr>
                <w:rFonts w:ascii="Times New Roman" w:hAnsi="Times New Roman"/>
                <w:noProof/>
                <w:sz w:val="18"/>
              </w:rPr>
              <w:t>Promulgation de la loi et entrée en vigueur des dispositions de la loi directement applicables afin de transposer en droit plusieurs recommandations de la Convention citoyenne pour le climat autour des six thématiques suivantes: consommer, produire et travailler, se déplacer, se loger, se nourrir et renforcer la protection judiciaire de l’environnement.</w:t>
            </w:r>
          </w:p>
        </w:tc>
      </w:tr>
      <w:tr w:rsidR="00782477" w:rsidRPr="0029070D" w14:paraId="5A8AE0BC" w14:textId="77777777" w:rsidTr="00FB041E">
        <w:trPr>
          <w:gridAfter w:val="1"/>
          <w:wAfter w:w="7" w:type="dxa"/>
          <w:trHeight w:val="801"/>
          <w:jc w:val="center"/>
        </w:trPr>
        <w:tc>
          <w:tcPr>
            <w:tcW w:w="11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B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2-2</w:t>
            </w:r>
          </w:p>
        </w:tc>
        <w:tc>
          <w:tcPr>
            <w:tcW w:w="13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B1" w14:textId="77777777" w:rsidR="00740F0F" w:rsidRPr="0029070D" w:rsidRDefault="00100B64">
            <w:pPr>
              <w:spacing w:line="214" w:lineRule="exact"/>
              <w:ind w:left="9" w:right="69"/>
              <w:jc w:val="center"/>
              <w:rPr>
                <w:rFonts w:ascii="Times New Roman" w:eastAsia="Times New Roman" w:hAnsi="Times New Roman" w:cs="Times New Roman"/>
                <w:noProof/>
                <w:sz w:val="18"/>
                <w:szCs w:val="18"/>
              </w:rPr>
            </w:pPr>
            <w:r>
              <w:rPr>
                <w:rFonts w:ascii="Times New Roman" w:hAnsi="Times New Roman"/>
                <w:noProof/>
                <w:sz w:val="18"/>
              </w:rPr>
              <w:t>C2.R1</w:t>
            </w:r>
          </w:p>
          <w:p w14:paraId="5A8AE0B2" w14:textId="77777777" w:rsidR="00740F0F" w:rsidRPr="0029070D" w:rsidRDefault="00100B64">
            <w:pPr>
              <w:spacing w:line="214" w:lineRule="exact"/>
              <w:ind w:left="9" w:right="65"/>
              <w:jc w:val="center"/>
              <w:rPr>
                <w:rFonts w:ascii="Times New Roman" w:eastAsia="Times New Roman" w:hAnsi="Times New Roman" w:cs="Times New Roman"/>
                <w:noProof/>
                <w:sz w:val="18"/>
                <w:szCs w:val="18"/>
              </w:rPr>
            </w:pPr>
            <w:r>
              <w:rPr>
                <w:rFonts w:ascii="Times New Roman" w:hAnsi="Times New Roman"/>
                <w:noProof/>
                <w:sz w:val="18"/>
              </w:rPr>
              <w:t>Loi Climat et Résilience</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B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B4"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Loi sur la résilience face au changement climatique – zones à faibles émissions de gaz à effet de serre</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B5"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B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B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99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B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18</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B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T3</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B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2024</w:t>
            </w:r>
          </w:p>
        </w:tc>
        <w:tc>
          <w:tcPr>
            <w:tcW w:w="45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BB" w14:textId="77777777" w:rsidR="00740F0F" w:rsidRPr="0029070D" w:rsidRDefault="00100B64">
            <w:pPr>
              <w:spacing w:line="214" w:lineRule="exact"/>
              <w:ind w:left="9" w:right="531"/>
              <w:rPr>
                <w:rFonts w:ascii="Times New Roman" w:eastAsia="Times New Roman" w:hAnsi="Times New Roman" w:cs="Times New Roman"/>
                <w:noProof/>
                <w:sz w:val="18"/>
                <w:szCs w:val="18"/>
              </w:rPr>
            </w:pPr>
            <w:r>
              <w:rPr>
                <w:rFonts w:ascii="Times New Roman" w:hAnsi="Times New Roman"/>
                <w:noProof/>
                <w:sz w:val="18"/>
              </w:rPr>
              <w:t>Achèvement par 18 agglomérations de l’étude réglementaire visant à créer des zones à faibles émissions de GES</w:t>
            </w:r>
          </w:p>
        </w:tc>
      </w:tr>
      <w:tr w:rsidR="00782477" w:rsidRPr="0029070D" w14:paraId="5A8AE0C9" w14:textId="77777777" w:rsidTr="00FB041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7" w:type="dxa"/>
          <w:trHeight w:val="725"/>
          <w:jc w:val="center"/>
        </w:trPr>
        <w:tc>
          <w:tcPr>
            <w:tcW w:w="11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B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2-3</w:t>
            </w:r>
          </w:p>
        </w:tc>
        <w:tc>
          <w:tcPr>
            <w:tcW w:w="13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B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C2.R2</w:t>
            </w:r>
          </w:p>
          <w:p w14:paraId="5A8AE0BF" w14:textId="77777777" w:rsidR="00740F0F" w:rsidRPr="0029070D" w:rsidRDefault="00100B64">
            <w:pPr>
              <w:spacing w:line="214" w:lineRule="exact"/>
              <w:ind w:left="9" w:firstLine="57"/>
              <w:jc w:val="center"/>
              <w:rPr>
                <w:rFonts w:ascii="Times New Roman" w:eastAsia="Times New Roman" w:hAnsi="Times New Roman" w:cs="Times New Roman"/>
                <w:noProof/>
                <w:sz w:val="18"/>
                <w:szCs w:val="18"/>
              </w:rPr>
            </w:pPr>
            <w:r>
              <w:rPr>
                <w:rFonts w:ascii="Times New Roman" w:hAnsi="Times New Roman"/>
                <w:noProof/>
                <w:sz w:val="18"/>
              </w:rPr>
              <w:t>Loi relative à l’économie circulaire</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C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C1"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Décrets d’application de la loi anti-gaspillage pour une économie circulaire</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C2" w14:textId="77777777" w:rsidR="00740F0F" w:rsidRPr="0029070D" w:rsidRDefault="00100B64">
            <w:pPr>
              <w:spacing w:line="214" w:lineRule="exact"/>
              <w:ind w:left="9" w:hanging="1"/>
              <w:rPr>
                <w:rFonts w:ascii="Times New Roman" w:eastAsia="Times New Roman" w:hAnsi="Times New Roman" w:cs="Times New Roman"/>
                <w:noProof/>
                <w:sz w:val="18"/>
                <w:szCs w:val="18"/>
              </w:rPr>
            </w:pPr>
            <w:r>
              <w:rPr>
                <w:rFonts w:ascii="Times New Roman" w:hAnsi="Times New Roman"/>
                <w:noProof/>
                <w:sz w:val="18"/>
              </w:rPr>
              <w:t>Entrée en vigueur</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C3"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C4"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C5"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C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T1</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C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5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C8"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Entrée en vigueur du décret de mise en place de la filière des déchets du bâtiment et des matériaux de construction</w:t>
            </w:r>
          </w:p>
        </w:tc>
      </w:tr>
      <w:tr w:rsidR="00782477" w:rsidRPr="0029070D" w14:paraId="5A8AE0D8" w14:textId="77777777" w:rsidTr="00FB041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7" w:type="dxa"/>
          <w:trHeight w:val="2017"/>
          <w:jc w:val="center"/>
        </w:trPr>
        <w:tc>
          <w:tcPr>
            <w:tcW w:w="11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C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2-3a</w:t>
            </w:r>
          </w:p>
        </w:tc>
        <w:tc>
          <w:tcPr>
            <w:tcW w:w="13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C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C2.R2</w:t>
            </w:r>
          </w:p>
          <w:p w14:paraId="5A8AE0CC" w14:textId="77777777" w:rsidR="00740F0F" w:rsidRPr="0029070D" w:rsidRDefault="00100B64">
            <w:pPr>
              <w:spacing w:line="214" w:lineRule="exact"/>
              <w:ind w:left="9" w:firstLine="60"/>
              <w:jc w:val="center"/>
              <w:rPr>
                <w:rFonts w:ascii="Times New Roman" w:eastAsia="Times New Roman" w:hAnsi="Times New Roman" w:cs="Times New Roman"/>
                <w:noProof/>
                <w:sz w:val="18"/>
                <w:szCs w:val="18"/>
              </w:rPr>
            </w:pPr>
            <w:r>
              <w:rPr>
                <w:rFonts w:ascii="Times New Roman" w:hAnsi="Times New Roman"/>
                <w:noProof/>
                <w:sz w:val="18"/>
              </w:rPr>
              <w:t>Loi relative à l’économie circulaire</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C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CE"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Décrets d’application de la loi anti-gaspillage pour une économie circulaire</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CF"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Entrée en vigueur</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D0"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D1"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D2"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D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T1</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D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2025</w:t>
            </w:r>
          </w:p>
        </w:tc>
        <w:tc>
          <w:tcPr>
            <w:tcW w:w="45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D5" w14:textId="7B28AE3B"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Entrée en vigueur des décrets suivants:</w:t>
            </w:r>
          </w:p>
          <w:p w14:paraId="5A8AE0D6" w14:textId="40121FC0" w:rsidR="00740F0F" w:rsidRPr="0029070D" w:rsidRDefault="00100B64">
            <w:pPr>
              <w:pStyle w:val="ListParagraph"/>
              <w:numPr>
                <w:ilvl w:val="0"/>
                <w:numId w:val="17"/>
              </w:numPr>
              <w:spacing w:line="214" w:lineRule="exact"/>
              <w:rPr>
                <w:rFonts w:ascii="Times New Roman" w:eastAsia="Times New Roman" w:hAnsi="Times New Roman" w:cs="Times New Roman"/>
                <w:noProof/>
                <w:sz w:val="18"/>
                <w:szCs w:val="18"/>
              </w:rPr>
            </w:pPr>
            <w:r>
              <w:rPr>
                <w:rFonts w:ascii="Times New Roman" w:hAnsi="Times New Roman"/>
                <w:noProof/>
                <w:sz w:val="18"/>
              </w:rPr>
              <w:t>décret relatif aux taux minimaux d’incorporation de plastique recyclé dans les bouteilles pour boissons (article 61 de la loi AGEC);</w:t>
            </w:r>
          </w:p>
          <w:p w14:paraId="5A8AE0D7" w14:textId="31591580" w:rsidR="00740F0F" w:rsidRPr="0029070D" w:rsidRDefault="00100B64">
            <w:pPr>
              <w:pStyle w:val="ListParagraph"/>
              <w:numPr>
                <w:ilvl w:val="0"/>
                <w:numId w:val="17"/>
              </w:numPr>
              <w:spacing w:line="214" w:lineRule="exact"/>
              <w:rPr>
                <w:rFonts w:ascii="Times New Roman" w:eastAsia="Times New Roman" w:hAnsi="Times New Roman" w:cs="Times New Roman"/>
                <w:noProof/>
                <w:sz w:val="18"/>
                <w:szCs w:val="18"/>
              </w:rPr>
            </w:pPr>
            <w:r>
              <w:rPr>
                <w:rFonts w:ascii="Times New Roman" w:hAnsi="Times New Roman"/>
                <w:noProof/>
                <w:sz w:val="18"/>
              </w:rPr>
              <w:t>décret relatif à l’obligation d’acquisition par la commande publique de biens issus du réemploi ou de la réutilisation ou intégrant des matières recyclées et à l’interdiction d’acquisition par l’État de produits en plastique à usage unique (article 58 de la loi AGEC).</w:t>
            </w:r>
          </w:p>
        </w:tc>
      </w:tr>
      <w:tr w:rsidR="00782477" w:rsidRPr="0029070D" w14:paraId="5A8AE0E5" w14:textId="77777777" w:rsidTr="00FB041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687"/>
          <w:jc w:val="center"/>
        </w:trPr>
        <w:tc>
          <w:tcPr>
            <w:tcW w:w="11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D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2-4</w:t>
            </w:r>
          </w:p>
        </w:tc>
        <w:tc>
          <w:tcPr>
            <w:tcW w:w="13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DA" w14:textId="77777777" w:rsidR="00740F0F" w:rsidRPr="0029070D" w:rsidRDefault="00100B64">
            <w:pPr>
              <w:spacing w:line="214" w:lineRule="exact"/>
              <w:ind w:left="9" w:right="71"/>
              <w:jc w:val="center"/>
              <w:rPr>
                <w:rFonts w:ascii="Times New Roman" w:eastAsia="Times New Roman" w:hAnsi="Times New Roman" w:cs="Times New Roman"/>
                <w:noProof/>
                <w:sz w:val="18"/>
                <w:szCs w:val="18"/>
              </w:rPr>
            </w:pPr>
            <w:r>
              <w:rPr>
                <w:rFonts w:ascii="Times New Roman" w:hAnsi="Times New Roman"/>
                <w:noProof/>
                <w:sz w:val="18"/>
              </w:rPr>
              <w:t>C2.I1</w:t>
            </w:r>
          </w:p>
          <w:p w14:paraId="5A8AE0D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Décarbonation de l’industrie</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DC" w14:textId="77777777" w:rsidR="00740F0F" w:rsidRPr="0029070D" w:rsidRDefault="00100B64">
            <w:pPr>
              <w:spacing w:line="214" w:lineRule="exact"/>
              <w:ind w:left="9" w:right="71"/>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DD"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Émissions de gaz à effet de serre évitées</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DE"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DF" w14:textId="77777777" w:rsidR="00740F0F" w:rsidRPr="0029070D" w:rsidRDefault="00100B64">
            <w:pPr>
              <w:spacing w:line="214" w:lineRule="exact"/>
              <w:ind w:left="9" w:hanging="29"/>
              <w:rPr>
                <w:rFonts w:ascii="Times New Roman" w:eastAsia="Times New Roman" w:hAnsi="Times New Roman" w:cs="Times New Roman"/>
                <w:noProof/>
                <w:sz w:val="18"/>
                <w:szCs w:val="18"/>
              </w:rPr>
            </w:pPr>
            <w:r>
              <w:rPr>
                <w:rFonts w:ascii="Times New Roman" w:hAnsi="Times New Roman"/>
                <w:noProof/>
                <w:sz w:val="18"/>
              </w:rPr>
              <w:t>MtCO</w:t>
            </w:r>
            <w:r>
              <w:rPr>
                <w:rFonts w:ascii="Times New Roman" w:hAnsi="Times New Roman"/>
                <w:noProof/>
                <w:sz w:val="18"/>
                <w:vertAlign w:val="subscript"/>
              </w:rPr>
              <w:t>2</w:t>
            </w:r>
            <w:r>
              <w:rPr>
                <w:rFonts w:ascii="Times New Roman" w:hAnsi="Times New Roman"/>
                <w:noProof/>
                <w:sz w:val="18"/>
              </w:rPr>
              <w:t>eq (millions de tonnes équivalent CO</w:t>
            </w:r>
            <w:r>
              <w:rPr>
                <w:rFonts w:ascii="Times New Roman" w:hAnsi="Times New Roman"/>
                <w:noProof/>
                <w:sz w:val="18"/>
                <w:vertAlign w:val="subscript"/>
              </w:rPr>
              <w:t>2</w:t>
            </w:r>
            <w:r>
              <w:rPr>
                <w:rFonts w:ascii="Times New Roman" w:hAnsi="Times New Roman"/>
                <w:noProof/>
                <w:sz w:val="18"/>
              </w:rPr>
              <w:t>)</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E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E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3,5</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E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T2</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E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453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E4" w14:textId="77777777" w:rsidR="00740F0F" w:rsidRPr="0029070D" w:rsidRDefault="00100B64">
            <w:pPr>
              <w:spacing w:line="214" w:lineRule="exact"/>
              <w:ind w:left="9" w:right="11"/>
              <w:rPr>
                <w:rFonts w:ascii="Times New Roman" w:eastAsia="Times New Roman" w:hAnsi="Times New Roman" w:cs="Times New Roman"/>
                <w:noProof/>
                <w:sz w:val="18"/>
                <w:szCs w:val="18"/>
              </w:rPr>
            </w:pPr>
            <w:r>
              <w:rPr>
                <w:rFonts w:ascii="Times New Roman" w:hAnsi="Times New Roman"/>
                <w:noProof/>
                <w:sz w:val="18"/>
              </w:rPr>
              <w:t>Émissions de GES évitées sur la durée de vie du projet, calculées par rapport à la situation «avant investissement», et définies par l’opérateur dans sa réponse à l’appel d’offres, avec l’objectif que les investissements réalisés dans les installations SEQE permettent de réduire les émissions de CO</w:t>
            </w:r>
            <w:r>
              <w:rPr>
                <w:rFonts w:ascii="Times New Roman" w:hAnsi="Times New Roman"/>
                <w:noProof/>
                <w:sz w:val="18"/>
                <w:vertAlign w:val="subscript"/>
              </w:rPr>
              <w:t>2</w:t>
            </w:r>
            <w:r>
              <w:rPr>
                <w:rFonts w:ascii="Times New Roman" w:hAnsi="Times New Roman"/>
                <w:noProof/>
                <w:sz w:val="18"/>
              </w:rPr>
              <w:t xml:space="preserve"> en dessous du référentiel visé dans la directive SEQE.</w:t>
            </w:r>
          </w:p>
        </w:tc>
      </w:tr>
      <w:tr w:rsidR="00782477" w:rsidRPr="0029070D" w14:paraId="5A8AE0F2" w14:textId="77777777" w:rsidTr="00FB041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462"/>
          <w:jc w:val="center"/>
        </w:trPr>
        <w:tc>
          <w:tcPr>
            <w:tcW w:w="11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E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2-5</w:t>
            </w:r>
          </w:p>
        </w:tc>
        <w:tc>
          <w:tcPr>
            <w:tcW w:w="13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E7" w14:textId="77777777" w:rsidR="00740F0F" w:rsidRPr="0029070D" w:rsidRDefault="00100B64">
            <w:pPr>
              <w:spacing w:line="214" w:lineRule="exact"/>
              <w:ind w:left="9" w:right="71"/>
              <w:jc w:val="center"/>
              <w:rPr>
                <w:rFonts w:ascii="Times New Roman" w:eastAsia="Times New Roman" w:hAnsi="Times New Roman" w:cs="Times New Roman"/>
                <w:noProof/>
                <w:sz w:val="18"/>
                <w:szCs w:val="18"/>
              </w:rPr>
            </w:pPr>
            <w:r>
              <w:rPr>
                <w:rFonts w:ascii="Times New Roman" w:hAnsi="Times New Roman"/>
                <w:noProof/>
                <w:sz w:val="18"/>
              </w:rPr>
              <w:t>C2.I1</w:t>
            </w:r>
          </w:p>
          <w:p w14:paraId="5A8AE0E8" w14:textId="77777777" w:rsidR="00740F0F" w:rsidRPr="0029070D" w:rsidRDefault="00100B64">
            <w:pPr>
              <w:spacing w:line="214" w:lineRule="exact"/>
              <w:ind w:left="9" w:right="71"/>
              <w:jc w:val="center"/>
              <w:rPr>
                <w:rFonts w:ascii="Times New Roman" w:eastAsia="Times New Roman" w:hAnsi="Times New Roman" w:cs="Times New Roman"/>
                <w:noProof/>
                <w:sz w:val="18"/>
                <w:szCs w:val="18"/>
              </w:rPr>
            </w:pPr>
            <w:r>
              <w:rPr>
                <w:rFonts w:ascii="Times New Roman" w:hAnsi="Times New Roman"/>
                <w:noProof/>
                <w:sz w:val="18"/>
              </w:rPr>
              <w:t>Décarbonation de l’industrie</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E9" w14:textId="77777777" w:rsidR="00740F0F" w:rsidRPr="0029070D" w:rsidRDefault="00100B64">
            <w:pPr>
              <w:spacing w:line="214" w:lineRule="exact"/>
              <w:ind w:left="9" w:right="71"/>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EA"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Émissions de gaz à effet de serre évitées</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EB"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EC"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MtCO</w:t>
            </w:r>
            <w:r>
              <w:rPr>
                <w:rFonts w:ascii="Times New Roman" w:hAnsi="Times New Roman"/>
                <w:noProof/>
                <w:sz w:val="18"/>
                <w:vertAlign w:val="subscript"/>
              </w:rPr>
              <w:t>2</w:t>
            </w:r>
            <w:r>
              <w:rPr>
                <w:rFonts w:ascii="Times New Roman" w:hAnsi="Times New Roman"/>
                <w:noProof/>
                <w:sz w:val="18"/>
              </w:rPr>
              <w:t>eq (millions de tonnes équivalent CO</w:t>
            </w:r>
            <w:r>
              <w:rPr>
                <w:rFonts w:ascii="Times New Roman" w:hAnsi="Times New Roman"/>
                <w:noProof/>
                <w:sz w:val="18"/>
                <w:vertAlign w:val="subscript"/>
              </w:rPr>
              <w:t>2</w:t>
            </w:r>
            <w:r>
              <w:rPr>
                <w:rFonts w:ascii="Times New Roman" w:hAnsi="Times New Roman"/>
                <w:noProof/>
                <w:sz w:val="18"/>
              </w:rPr>
              <w:t>)</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E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3,5</w:t>
            </w:r>
          </w:p>
        </w:tc>
        <w:tc>
          <w:tcPr>
            <w:tcW w:w="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E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5</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E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F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53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F1" w14:textId="77777777" w:rsidR="00740F0F" w:rsidRPr="0029070D" w:rsidRDefault="00100B64">
            <w:pPr>
              <w:spacing w:line="214" w:lineRule="exact"/>
              <w:ind w:left="9" w:right="190"/>
              <w:rPr>
                <w:rFonts w:ascii="Times New Roman" w:eastAsia="Times New Roman" w:hAnsi="Times New Roman" w:cs="Times New Roman"/>
                <w:noProof/>
                <w:sz w:val="18"/>
                <w:szCs w:val="18"/>
              </w:rPr>
            </w:pPr>
            <w:r>
              <w:rPr>
                <w:rFonts w:ascii="Times New Roman" w:hAnsi="Times New Roman"/>
                <w:noProof/>
                <w:sz w:val="18"/>
              </w:rPr>
              <w:t>Émissions de GES évitées sur la durée de vie du projet, calculées par rapport à la situation «avant investissement», et définies par l’opérateur dans sa réponse à l’appel d’offres, avec l’objectif que les investissements réalisés dans les installations SEQE permettent de réduire les émissions de CO</w:t>
            </w:r>
            <w:r>
              <w:rPr>
                <w:rFonts w:ascii="Times New Roman" w:hAnsi="Times New Roman"/>
                <w:noProof/>
                <w:sz w:val="18"/>
                <w:vertAlign w:val="subscript"/>
              </w:rPr>
              <w:t>2</w:t>
            </w:r>
            <w:r>
              <w:rPr>
                <w:rFonts w:ascii="Times New Roman" w:hAnsi="Times New Roman"/>
                <w:noProof/>
                <w:sz w:val="18"/>
              </w:rPr>
              <w:t xml:space="preserve"> en dessous du référentiel visé dans la directive SEQE.</w:t>
            </w:r>
          </w:p>
        </w:tc>
      </w:tr>
      <w:tr w:rsidR="00782477" w:rsidRPr="0029070D" w14:paraId="5A8AE0FF" w14:textId="77777777" w:rsidTr="00FB041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257"/>
          <w:jc w:val="center"/>
        </w:trPr>
        <w:tc>
          <w:tcPr>
            <w:tcW w:w="11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F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2-6</w:t>
            </w:r>
          </w:p>
        </w:tc>
        <w:tc>
          <w:tcPr>
            <w:tcW w:w="13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F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C2.I2</w:t>
            </w:r>
          </w:p>
          <w:p w14:paraId="5A8AE0F5" w14:textId="77777777" w:rsidR="00740F0F" w:rsidRPr="0029070D" w:rsidRDefault="00100B64">
            <w:pPr>
              <w:spacing w:line="214" w:lineRule="exact"/>
              <w:ind w:left="9" w:right="63" w:firstLine="4"/>
              <w:jc w:val="center"/>
              <w:rPr>
                <w:rFonts w:ascii="Times New Roman" w:eastAsia="Times New Roman" w:hAnsi="Times New Roman" w:cs="Times New Roman"/>
                <w:noProof/>
                <w:sz w:val="18"/>
                <w:szCs w:val="18"/>
              </w:rPr>
            </w:pPr>
            <w:r>
              <w:rPr>
                <w:rFonts w:ascii="Times New Roman" w:hAnsi="Times New Roman"/>
                <w:noProof/>
                <w:sz w:val="18"/>
              </w:rPr>
              <w:t>Densification urbaine: construction durable</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F6" w14:textId="77777777" w:rsidR="00740F0F" w:rsidRPr="0029070D" w:rsidRDefault="00100B64">
            <w:pPr>
              <w:spacing w:line="214" w:lineRule="exact"/>
              <w:ind w:left="9" w:right="71"/>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F7" w14:textId="77777777" w:rsidR="00740F0F" w:rsidRPr="0029070D" w:rsidRDefault="00100B64">
            <w:pPr>
              <w:spacing w:line="214" w:lineRule="exact"/>
              <w:ind w:left="9" w:right="-7"/>
              <w:rPr>
                <w:rFonts w:ascii="Times New Roman" w:eastAsia="Times New Roman" w:hAnsi="Times New Roman" w:cs="Times New Roman"/>
                <w:noProof/>
                <w:sz w:val="18"/>
                <w:szCs w:val="18"/>
              </w:rPr>
            </w:pPr>
            <w:r>
              <w:rPr>
                <w:rFonts w:ascii="Times New Roman" w:hAnsi="Times New Roman"/>
                <w:noProof/>
                <w:sz w:val="18"/>
              </w:rPr>
              <w:t xml:space="preserve">Nombre de communes bénéficiant de l’aide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F8"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F9" w14:textId="77777777" w:rsidR="00740F0F" w:rsidRPr="0029070D" w:rsidRDefault="00100B64">
            <w:pPr>
              <w:spacing w:line="214" w:lineRule="exact"/>
              <w:ind w:left="9" w:right="2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F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F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1 200</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F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F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453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0FE" w14:textId="77777777" w:rsidR="00740F0F" w:rsidRPr="0029070D" w:rsidRDefault="00100B64">
            <w:pPr>
              <w:spacing w:line="214" w:lineRule="exact"/>
              <w:ind w:left="9" w:right="212"/>
              <w:rPr>
                <w:rFonts w:ascii="Times New Roman" w:eastAsia="Times New Roman" w:hAnsi="Times New Roman" w:cs="Times New Roman"/>
                <w:noProof/>
                <w:sz w:val="18"/>
                <w:szCs w:val="18"/>
              </w:rPr>
            </w:pPr>
            <w:r>
              <w:rPr>
                <w:rFonts w:ascii="Times New Roman" w:hAnsi="Times New Roman"/>
                <w:noProof/>
                <w:sz w:val="18"/>
              </w:rPr>
              <w:t>Nombre de communes bénéficiant de l’aide à la construction durable dans les zones urbaines sous tension</w:t>
            </w:r>
          </w:p>
        </w:tc>
      </w:tr>
      <w:tr w:rsidR="00782477" w:rsidRPr="0029070D" w14:paraId="5A8AE10C" w14:textId="77777777" w:rsidTr="00FB041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502"/>
          <w:jc w:val="center"/>
        </w:trPr>
        <w:tc>
          <w:tcPr>
            <w:tcW w:w="11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0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2-7</w:t>
            </w:r>
          </w:p>
        </w:tc>
        <w:tc>
          <w:tcPr>
            <w:tcW w:w="13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0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C2.I3</w:t>
            </w:r>
          </w:p>
          <w:p w14:paraId="5A8AE102" w14:textId="77777777" w:rsidR="00740F0F" w:rsidRPr="0029070D" w:rsidRDefault="00100B64">
            <w:pPr>
              <w:spacing w:line="214" w:lineRule="exact"/>
              <w:ind w:left="9" w:right="63" w:firstLine="4"/>
              <w:jc w:val="center"/>
              <w:rPr>
                <w:rFonts w:ascii="Times New Roman" w:eastAsia="Times New Roman" w:hAnsi="Times New Roman" w:cs="Times New Roman"/>
                <w:noProof/>
                <w:sz w:val="18"/>
                <w:szCs w:val="18"/>
              </w:rPr>
            </w:pPr>
            <w:r>
              <w:rPr>
                <w:rFonts w:ascii="Times New Roman" w:hAnsi="Times New Roman"/>
                <w:noProof/>
                <w:sz w:val="18"/>
              </w:rPr>
              <w:t>Densification urbaine: friches</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03" w14:textId="77777777" w:rsidR="00740F0F" w:rsidRPr="0029070D" w:rsidRDefault="00100B64">
            <w:pPr>
              <w:spacing w:line="214" w:lineRule="exact"/>
              <w:ind w:left="9" w:right="71"/>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04" w14:textId="77777777" w:rsidR="00740F0F" w:rsidRPr="0029070D" w:rsidRDefault="00100B64">
            <w:pPr>
              <w:spacing w:line="214" w:lineRule="exact"/>
              <w:ind w:left="9" w:right="105"/>
              <w:rPr>
                <w:rFonts w:ascii="Times New Roman" w:eastAsia="Times New Roman" w:hAnsi="Times New Roman" w:cs="Times New Roman"/>
                <w:noProof/>
                <w:sz w:val="18"/>
                <w:szCs w:val="18"/>
              </w:rPr>
            </w:pPr>
            <w:r>
              <w:rPr>
                <w:rFonts w:ascii="Times New Roman" w:hAnsi="Times New Roman"/>
                <w:noProof/>
                <w:sz w:val="18"/>
              </w:rPr>
              <w:t xml:space="preserve">Nombre de projets pour lesquels une subvention a été signée pour une opération de recyclage d’une friche ou d’une zone urbanisée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05"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06" w14:textId="77777777" w:rsidR="00740F0F" w:rsidRPr="0029070D" w:rsidRDefault="00100B64">
            <w:pPr>
              <w:spacing w:line="214" w:lineRule="exact"/>
              <w:ind w:left="9" w:right="2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0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0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90</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0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T1</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0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53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0B"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projets pour lesquels la convention de subvention a été signée, soit pour une opération de recyclage d’une friche, soit pour une opération de recyclage d’un terrain urbanisé</w:t>
            </w:r>
          </w:p>
        </w:tc>
      </w:tr>
      <w:tr w:rsidR="00782477" w:rsidRPr="0029070D" w14:paraId="5A8AE119" w14:textId="77777777" w:rsidTr="00FB041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7" w:type="dxa"/>
          <w:trHeight w:val="1514"/>
          <w:jc w:val="center"/>
        </w:trPr>
        <w:tc>
          <w:tcPr>
            <w:tcW w:w="11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0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2-8</w:t>
            </w:r>
          </w:p>
        </w:tc>
        <w:tc>
          <w:tcPr>
            <w:tcW w:w="13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0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C2.I3</w:t>
            </w:r>
          </w:p>
          <w:p w14:paraId="5A8AE10F" w14:textId="77777777" w:rsidR="00740F0F" w:rsidRPr="0029070D" w:rsidRDefault="00100B64">
            <w:pPr>
              <w:spacing w:line="214" w:lineRule="exact"/>
              <w:ind w:left="9" w:right="100" w:hanging="28"/>
              <w:jc w:val="center"/>
              <w:rPr>
                <w:rFonts w:ascii="Times New Roman" w:eastAsia="Times New Roman" w:hAnsi="Times New Roman" w:cs="Times New Roman"/>
                <w:noProof/>
                <w:sz w:val="18"/>
                <w:szCs w:val="18"/>
              </w:rPr>
            </w:pPr>
            <w:r>
              <w:rPr>
                <w:rFonts w:ascii="Times New Roman" w:hAnsi="Times New Roman"/>
                <w:noProof/>
                <w:sz w:val="18"/>
              </w:rPr>
              <w:t>Densification urbaine: friches</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10" w14:textId="77777777" w:rsidR="00740F0F" w:rsidRPr="0029070D" w:rsidRDefault="00100B64">
            <w:pPr>
              <w:spacing w:line="214" w:lineRule="exact"/>
              <w:ind w:left="9" w:right="71"/>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11" w14:textId="77777777" w:rsidR="00740F0F" w:rsidRPr="0029070D" w:rsidRDefault="00100B64">
            <w:pPr>
              <w:spacing w:line="214" w:lineRule="exact"/>
              <w:ind w:left="9" w:right="105"/>
              <w:rPr>
                <w:rFonts w:ascii="Times New Roman" w:eastAsia="Times New Roman" w:hAnsi="Times New Roman" w:cs="Times New Roman"/>
                <w:noProof/>
                <w:sz w:val="18"/>
                <w:szCs w:val="18"/>
              </w:rPr>
            </w:pPr>
            <w:r>
              <w:rPr>
                <w:rFonts w:ascii="Times New Roman" w:hAnsi="Times New Roman"/>
                <w:noProof/>
                <w:sz w:val="18"/>
              </w:rPr>
              <w:t>Nombre de projets pour lesquels une subvention a été signée pour une opération de recyclage d’une friche ou d’une zone urbanisée</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12"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13" w14:textId="77777777" w:rsidR="00740F0F" w:rsidRPr="0029070D" w:rsidRDefault="00100B64">
            <w:pPr>
              <w:spacing w:line="214" w:lineRule="exact"/>
              <w:ind w:left="9" w:right="15"/>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1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90</w:t>
            </w:r>
          </w:p>
        </w:tc>
        <w:tc>
          <w:tcPr>
            <w:tcW w:w="99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1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200</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1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T1</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1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45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18" w14:textId="77777777" w:rsidR="00740F0F" w:rsidRPr="0029070D" w:rsidRDefault="00100B64">
            <w:pPr>
              <w:spacing w:line="214" w:lineRule="exact"/>
              <w:ind w:left="9" w:right="212"/>
              <w:rPr>
                <w:rFonts w:ascii="Times New Roman" w:eastAsia="Times New Roman" w:hAnsi="Times New Roman" w:cs="Times New Roman"/>
                <w:noProof/>
                <w:sz w:val="18"/>
                <w:szCs w:val="18"/>
              </w:rPr>
            </w:pPr>
            <w:r>
              <w:rPr>
                <w:rFonts w:ascii="Times New Roman" w:hAnsi="Times New Roman"/>
                <w:noProof/>
                <w:sz w:val="18"/>
              </w:rPr>
              <w:t>Nombre de projets pour lesquels la convention de subvention a été signée, soit pour une opération de recyclage d’une friche, soit pour une opération de recyclage d’un terrain urbanisé</w:t>
            </w:r>
          </w:p>
        </w:tc>
      </w:tr>
      <w:tr w:rsidR="00782477" w:rsidRPr="0029070D" w14:paraId="5A8AE126" w14:textId="77777777" w:rsidTr="00FB041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7" w:type="dxa"/>
          <w:trHeight w:val="1278"/>
          <w:jc w:val="center"/>
        </w:trPr>
        <w:tc>
          <w:tcPr>
            <w:tcW w:w="11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1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2-9</w:t>
            </w:r>
          </w:p>
        </w:tc>
        <w:tc>
          <w:tcPr>
            <w:tcW w:w="13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1B" w14:textId="77777777" w:rsidR="00740F0F" w:rsidRPr="0029070D" w:rsidRDefault="00100B64">
            <w:pPr>
              <w:spacing w:line="214" w:lineRule="exact"/>
              <w:ind w:left="9" w:right="69"/>
              <w:jc w:val="center"/>
              <w:rPr>
                <w:rFonts w:ascii="Times New Roman" w:eastAsia="Times New Roman" w:hAnsi="Times New Roman" w:cs="Times New Roman"/>
                <w:noProof/>
                <w:sz w:val="18"/>
                <w:szCs w:val="18"/>
              </w:rPr>
            </w:pPr>
            <w:r>
              <w:rPr>
                <w:rFonts w:ascii="Times New Roman" w:hAnsi="Times New Roman"/>
                <w:noProof/>
                <w:sz w:val="18"/>
              </w:rPr>
              <w:t>C2.I4</w:t>
            </w:r>
          </w:p>
          <w:p w14:paraId="5A8AE11C" w14:textId="77777777" w:rsidR="00740F0F" w:rsidRPr="0029070D" w:rsidRDefault="00100B64">
            <w:pPr>
              <w:spacing w:line="214" w:lineRule="exact"/>
              <w:ind w:left="9" w:right="71"/>
              <w:jc w:val="center"/>
              <w:rPr>
                <w:rFonts w:ascii="Times New Roman" w:eastAsia="Times New Roman" w:hAnsi="Times New Roman" w:cs="Times New Roman"/>
                <w:noProof/>
                <w:sz w:val="18"/>
                <w:szCs w:val="18"/>
              </w:rPr>
            </w:pPr>
            <w:r>
              <w:rPr>
                <w:rFonts w:ascii="Times New Roman" w:hAnsi="Times New Roman"/>
                <w:noProof/>
                <w:sz w:val="18"/>
              </w:rPr>
              <w:t>Biodiversité</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1D" w14:textId="77777777" w:rsidR="00740F0F" w:rsidRPr="0029070D" w:rsidRDefault="00100B64">
            <w:pPr>
              <w:spacing w:line="214" w:lineRule="exact"/>
              <w:ind w:left="9" w:right="71"/>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1E" w14:textId="77777777" w:rsidR="00740F0F" w:rsidRPr="0029070D" w:rsidRDefault="00100B64">
            <w:pPr>
              <w:spacing w:line="214" w:lineRule="exact"/>
              <w:ind w:left="9" w:right="89"/>
              <w:rPr>
                <w:rFonts w:ascii="Times New Roman" w:eastAsia="Times New Roman" w:hAnsi="Times New Roman" w:cs="Times New Roman"/>
                <w:noProof/>
                <w:sz w:val="18"/>
                <w:szCs w:val="18"/>
              </w:rPr>
            </w:pPr>
            <w:r>
              <w:rPr>
                <w:rFonts w:ascii="Times New Roman" w:hAnsi="Times New Roman"/>
                <w:noProof/>
                <w:sz w:val="18"/>
              </w:rPr>
              <w:t>Nombre de projets soutenus dans les domaines de la restauration écologique et des aires protégées</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1F"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20" w14:textId="77777777" w:rsidR="00740F0F" w:rsidRPr="0029070D" w:rsidRDefault="00100B64">
            <w:pPr>
              <w:spacing w:line="214" w:lineRule="exact"/>
              <w:ind w:left="9" w:right="15"/>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2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99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2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700</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23" w14:textId="77777777" w:rsidR="00740F0F" w:rsidRPr="0029070D" w:rsidRDefault="00100B64">
            <w:pPr>
              <w:spacing w:line="214" w:lineRule="exact"/>
              <w:ind w:left="9" w:right="-10"/>
              <w:jc w:val="center"/>
              <w:rPr>
                <w:rFonts w:ascii="Times New Roman" w:eastAsia="Times New Roman" w:hAnsi="Times New Roman" w:cs="Times New Roman"/>
                <w:noProof/>
                <w:sz w:val="18"/>
                <w:szCs w:val="18"/>
              </w:rPr>
            </w:pPr>
            <w:r>
              <w:rPr>
                <w:rFonts w:ascii="Times New Roman" w:hAnsi="Times New Roman"/>
                <w:noProof/>
                <w:sz w:val="18"/>
              </w:rPr>
              <w:t>T4</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2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5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25"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projets liés à la restauration écologique et à la préservation de la biodiversité dans les aires protégées</w:t>
            </w:r>
          </w:p>
        </w:tc>
      </w:tr>
      <w:tr w:rsidR="00782477" w:rsidRPr="0029070D" w14:paraId="5A8AE133" w14:textId="77777777" w:rsidTr="00FB041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7" w:type="dxa"/>
          <w:trHeight w:val="1095"/>
          <w:jc w:val="center"/>
        </w:trPr>
        <w:tc>
          <w:tcPr>
            <w:tcW w:w="11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2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2-10</w:t>
            </w:r>
          </w:p>
        </w:tc>
        <w:tc>
          <w:tcPr>
            <w:tcW w:w="13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2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C2.I5</w:t>
            </w:r>
          </w:p>
          <w:p w14:paraId="5A8AE12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 xml:space="preserve">Prévention du risque sismique dans les outre-mer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2A" w14:textId="77777777" w:rsidR="00740F0F" w:rsidRPr="0029070D" w:rsidRDefault="00100B64">
            <w:pPr>
              <w:spacing w:line="214" w:lineRule="exact"/>
              <w:ind w:left="9" w:right="71"/>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2B" w14:textId="77777777" w:rsidR="00740F0F" w:rsidRPr="0029070D" w:rsidRDefault="00100B64">
            <w:pPr>
              <w:spacing w:line="214" w:lineRule="exact"/>
              <w:ind w:left="9" w:right="6"/>
              <w:rPr>
                <w:rFonts w:ascii="Times New Roman" w:eastAsia="Times New Roman" w:hAnsi="Times New Roman" w:cs="Times New Roman"/>
                <w:noProof/>
                <w:sz w:val="18"/>
                <w:szCs w:val="18"/>
              </w:rPr>
            </w:pPr>
            <w:r>
              <w:rPr>
                <w:rFonts w:ascii="Times New Roman" w:hAnsi="Times New Roman"/>
                <w:noProof/>
                <w:sz w:val="18"/>
              </w:rPr>
              <w:t>Nombre de bâtiments concernés – risque sismique dans les outre-mer</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2C"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2D" w14:textId="77777777" w:rsidR="00740F0F" w:rsidRPr="0029070D" w:rsidRDefault="00100B64">
            <w:pPr>
              <w:spacing w:line="214" w:lineRule="exact"/>
              <w:ind w:left="9" w:right="15"/>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2E" w14:textId="77777777" w:rsidR="00740F0F" w:rsidRPr="0029070D" w:rsidRDefault="00100B64">
            <w:pPr>
              <w:spacing w:line="214" w:lineRule="exact"/>
              <w:ind w:left="9" w:right="6"/>
              <w:jc w:val="center"/>
              <w:rPr>
                <w:rFonts w:ascii="Times New Roman" w:eastAsia="Times New Roman" w:hAnsi="Times New Roman" w:cs="Times New Roman"/>
                <w:noProof/>
                <w:sz w:val="18"/>
                <w:szCs w:val="18"/>
              </w:rPr>
            </w:pPr>
            <w:r>
              <w:rPr>
                <w:rFonts w:ascii="Times New Roman" w:hAnsi="Times New Roman"/>
                <w:noProof/>
                <w:sz w:val="18"/>
              </w:rPr>
              <w:t>0</w:t>
            </w:r>
          </w:p>
        </w:tc>
        <w:tc>
          <w:tcPr>
            <w:tcW w:w="99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2F" w14:textId="77777777" w:rsidR="00740F0F" w:rsidRPr="0029070D" w:rsidRDefault="00100B64">
            <w:pPr>
              <w:spacing w:line="214" w:lineRule="exact"/>
              <w:ind w:left="9" w:right="202"/>
              <w:jc w:val="center"/>
              <w:rPr>
                <w:rFonts w:ascii="Times New Roman" w:eastAsia="Times New Roman" w:hAnsi="Times New Roman" w:cs="Times New Roman"/>
                <w:noProof/>
                <w:sz w:val="18"/>
                <w:szCs w:val="18"/>
              </w:rPr>
            </w:pPr>
            <w:r>
              <w:rPr>
                <w:rFonts w:ascii="Times New Roman" w:hAnsi="Times New Roman"/>
                <w:noProof/>
                <w:sz w:val="18"/>
              </w:rPr>
              <w:t>15</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30" w14:textId="77777777" w:rsidR="00740F0F" w:rsidRPr="0029070D" w:rsidRDefault="00100B64">
            <w:pPr>
              <w:spacing w:line="214" w:lineRule="exact"/>
              <w:ind w:left="9" w:right="277"/>
              <w:jc w:val="center"/>
              <w:rPr>
                <w:rFonts w:ascii="Times New Roman" w:eastAsia="Times New Roman" w:hAnsi="Times New Roman" w:cs="Times New Roman"/>
                <w:noProof/>
                <w:sz w:val="18"/>
                <w:szCs w:val="18"/>
              </w:rPr>
            </w:pPr>
            <w:r>
              <w:rPr>
                <w:rFonts w:ascii="Times New Roman" w:hAnsi="Times New Roman"/>
                <w:noProof/>
                <w:sz w:val="18"/>
              </w:rPr>
              <w:t>T4</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3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45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32" w14:textId="77777777" w:rsidR="00740F0F" w:rsidRPr="0029070D" w:rsidRDefault="00100B64">
            <w:pPr>
              <w:spacing w:line="214" w:lineRule="exact"/>
              <w:ind w:left="9" w:right="160"/>
              <w:rPr>
                <w:rFonts w:ascii="Times New Roman" w:eastAsia="Times New Roman" w:hAnsi="Times New Roman" w:cs="Times New Roman"/>
                <w:noProof/>
                <w:sz w:val="18"/>
                <w:szCs w:val="18"/>
              </w:rPr>
            </w:pPr>
            <w:r>
              <w:rPr>
                <w:rFonts w:ascii="Times New Roman" w:hAnsi="Times New Roman"/>
                <w:noProof/>
                <w:sz w:val="18"/>
              </w:rPr>
              <w:t>Nombre de bâtiments publics (tels que les bâtiments dédiés à la gestion des crises, ou les préfectures et sous-préfectures, ou les hôpitaux prioritaires, ou les écoles, lycées et collèges) des DOM dans lesquels des travaux antisismiques ont débuté</w:t>
            </w:r>
          </w:p>
        </w:tc>
      </w:tr>
      <w:tr w:rsidR="00782477" w:rsidRPr="0029070D" w14:paraId="5A8AE140" w14:textId="77777777" w:rsidTr="00FB041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7" w:type="dxa"/>
          <w:trHeight w:val="1288"/>
          <w:jc w:val="center"/>
        </w:trPr>
        <w:tc>
          <w:tcPr>
            <w:tcW w:w="11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3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2-11</w:t>
            </w:r>
          </w:p>
        </w:tc>
        <w:tc>
          <w:tcPr>
            <w:tcW w:w="13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3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C2.I6</w:t>
            </w:r>
          </w:p>
          <w:p w14:paraId="5A8AE13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Sécurisation des réseaux d’eau</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37" w14:textId="77777777" w:rsidR="00740F0F" w:rsidRPr="0029070D" w:rsidRDefault="00100B64">
            <w:pPr>
              <w:spacing w:line="214" w:lineRule="exact"/>
              <w:ind w:left="9" w:right="71"/>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38"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km linéaires de réseaux d’eau potable et d’assainissement soutenus</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39"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3A" w14:textId="77777777" w:rsidR="00740F0F" w:rsidRPr="0029070D" w:rsidRDefault="00100B64">
            <w:pPr>
              <w:spacing w:line="214" w:lineRule="exact"/>
              <w:ind w:left="9" w:right="14"/>
              <w:jc w:val="center"/>
              <w:rPr>
                <w:rFonts w:ascii="Times New Roman" w:eastAsia="Times New Roman" w:hAnsi="Times New Roman" w:cs="Times New Roman"/>
                <w:noProof/>
                <w:sz w:val="18"/>
                <w:szCs w:val="18"/>
              </w:rPr>
            </w:pPr>
            <w:r>
              <w:rPr>
                <w:rFonts w:ascii="Times New Roman" w:hAnsi="Times New Roman"/>
                <w:noProof/>
                <w:sz w:val="18"/>
              </w:rPr>
              <w:t>Km</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3B" w14:textId="77777777" w:rsidR="00740F0F" w:rsidRPr="0029070D" w:rsidRDefault="00100B64">
            <w:pPr>
              <w:spacing w:line="214" w:lineRule="exact"/>
              <w:ind w:left="9" w:right="6"/>
              <w:jc w:val="center"/>
              <w:rPr>
                <w:rFonts w:ascii="Times New Roman" w:eastAsia="Times New Roman" w:hAnsi="Times New Roman" w:cs="Times New Roman"/>
                <w:noProof/>
                <w:sz w:val="18"/>
                <w:szCs w:val="18"/>
              </w:rPr>
            </w:pPr>
            <w:r>
              <w:rPr>
                <w:rFonts w:ascii="Times New Roman" w:hAnsi="Times New Roman"/>
                <w:noProof/>
                <w:sz w:val="18"/>
              </w:rPr>
              <w:t>0</w:t>
            </w:r>
          </w:p>
        </w:tc>
        <w:tc>
          <w:tcPr>
            <w:tcW w:w="99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3C" w14:textId="77777777" w:rsidR="00740F0F" w:rsidRPr="0029070D" w:rsidRDefault="00100B64">
            <w:pPr>
              <w:spacing w:line="214" w:lineRule="exact"/>
              <w:ind w:left="9" w:right="202"/>
              <w:jc w:val="center"/>
              <w:rPr>
                <w:rFonts w:ascii="Times New Roman" w:eastAsia="Times New Roman" w:hAnsi="Times New Roman" w:cs="Times New Roman"/>
                <w:noProof/>
                <w:sz w:val="18"/>
                <w:szCs w:val="18"/>
              </w:rPr>
            </w:pPr>
            <w:r>
              <w:rPr>
                <w:rFonts w:ascii="Times New Roman" w:hAnsi="Times New Roman"/>
                <w:noProof/>
                <w:sz w:val="18"/>
              </w:rPr>
              <w:t>450</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3D" w14:textId="77777777" w:rsidR="00740F0F" w:rsidRPr="0029070D" w:rsidRDefault="00100B64">
            <w:pPr>
              <w:spacing w:line="214" w:lineRule="exact"/>
              <w:ind w:left="9" w:right="277"/>
              <w:jc w:val="center"/>
              <w:rPr>
                <w:rFonts w:ascii="Times New Roman" w:eastAsia="Times New Roman" w:hAnsi="Times New Roman" w:cs="Times New Roman"/>
                <w:noProof/>
                <w:sz w:val="18"/>
                <w:szCs w:val="18"/>
              </w:rPr>
            </w:pPr>
            <w:r>
              <w:rPr>
                <w:rFonts w:ascii="Times New Roman" w:hAnsi="Times New Roman"/>
                <w:noProof/>
                <w:sz w:val="18"/>
              </w:rPr>
              <w:t>T4</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3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5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3F" w14:textId="77777777" w:rsidR="00740F0F" w:rsidRPr="0029070D" w:rsidRDefault="00100B64">
            <w:pPr>
              <w:spacing w:line="214" w:lineRule="exact"/>
              <w:ind w:left="9" w:right="350"/>
              <w:rPr>
                <w:rFonts w:ascii="Times New Roman" w:eastAsia="Times New Roman" w:hAnsi="Times New Roman" w:cs="Times New Roman"/>
                <w:noProof/>
                <w:sz w:val="18"/>
                <w:szCs w:val="18"/>
              </w:rPr>
            </w:pPr>
            <w:r>
              <w:rPr>
                <w:rFonts w:ascii="Times New Roman" w:hAnsi="Times New Roman"/>
                <w:noProof/>
                <w:sz w:val="18"/>
              </w:rPr>
              <w:t>Nombre de kilomètres de réseaux d’eau potable ou de réseaux d’assainissement pour lesquels les travaux de rénovation ont débuté</w:t>
            </w:r>
          </w:p>
        </w:tc>
      </w:tr>
      <w:tr w:rsidR="00782477" w:rsidRPr="0029070D" w14:paraId="5A8AE14D" w14:textId="77777777" w:rsidTr="00FB041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7" w:type="dxa"/>
          <w:trHeight w:val="1555"/>
          <w:jc w:val="center"/>
        </w:trPr>
        <w:tc>
          <w:tcPr>
            <w:tcW w:w="11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4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2-12</w:t>
            </w:r>
          </w:p>
        </w:tc>
        <w:tc>
          <w:tcPr>
            <w:tcW w:w="13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42" w14:textId="77777777" w:rsidR="00740F0F" w:rsidRPr="0029070D" w:rsidRDefault="00100B64">
            <w:pPr>
              <w:spacing w:line="214" w:lineRule="exact"/>
              <w:ind w:left="9" w:right="71"/>
              <w:jc w:val="center"/>
              <w:rPr>
                <w:rFonts w:ascii="Times New Roman" w:eastAsia="Times New Roman" w:hAnsi="Times New Roman" w:cs="Times New Roman"/>
                <w:noProof/>
                <w:sz w:val="18"/>
                <w:szCs w:val="18"/>
              </w:rPr>
            </w:pPr>
            <w:r>
              <w:rPr>
                <w:rFonts w:ascii="Times New Roman" w:hAnsi="Times New Roman"/>
                <w:noProof/>
                <w:sz w:val="18"/>
              </w:rPr>
              <w:t>C2.I7</w:t>
            </w:r>
          </w:p>
          <w:p w14:paraId="5A8AE143" w14:textId="77777777" w:rsidR="00740F0F" w:rsidRPr="0029070D" w:rsidRDefault="00100B64">
            <w:pPr>
              <w:spacing w:line="214" w:lineRule="exact"/>
              <w:ind w:left="9" w:right="47" w:hanging="2"/>
              <w:jc w:val="center"/>
              <w:rPr>
                <w:rFonts w:ascii="Times New Roman" w:eastAsia="Times New Roman" w:hAnsi="Times New Roman" w:cs="Times New Roman"/>
                <w:noProof/>
                <w:sz w:val="18"/>
                <w:szCs w:val="18"/>
              </w:rPr>
            </w:pPr>
            <w:r>
              <w:rPr>
                <w:rFonts w:ascii="Times New Roman" w:hAnsi="Times New Roman"/>
                <w:noProof/>
                <w:sz w:val="18"/>
              </w:rPr>
              <w:t>Modernisation des centres de tri, des systèmes de recyclage et des systèmes de gestion des déchets</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44" w14:textId="77777777" w:rsidR="00740F0F" w:rsidRPr="0029070D" w:rsidRDefault="00100B64">
            <w:pPr>
              <w:spacing w:line="214" w:lineRule="exact"/>
              <w:ind w:left="9" w:right="71"/>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45" w14:textId="77777777" w:rsidR="00740F0F" w:rsidRPr="0029070D" w:rsidRDefault="00100B64">
            <w:pPr>
              <w:spacing w:line="214" w:lineRule="exact"/>
              <w:ind w:left="9" w:right="6"/>
              <w:rPr>
                <w:rFonts w:ascii="Times New Roman" w:eastAsia="Times New Roman" w:hAnsi="Times New Roman" w:cs="Times New Roman"/>
                <w:noProof/>
                <w:sz w:val="18"/>
                <w:szCs w:val="18"/>
              </w:rPr>
            </w:pPr>
            <w:r>
              <w:rPr>
                <w:rFonts w:ascii="Times New Roman" w:hAnsi="Times New Roman"/>
                <w:noProof/>
                <w:sz w:val="18"/>
              </w:rPr>
              <w:t>Nombre de contrats signés pour la modernisation des centres de tri</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46"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47" w14:textId="77777777" w:rsidR="00740F0F" w:rsidRPr="0029070D" w:rsidRDefault="00100B64">
            <w:pPr>
              <w:spacing w:line="214" w:lineRule="exact"/>
              <w:ind w:left="9" w:right="14"/>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48" w14:textId="77777777" w:rsidR="00740F0F" w:rsidRPr="0029070D" w:rsidRDefault="00100B64">
            <w:pPr>
              <w:spacing w:line="214" w:lineRule="exact"/>
              <w:ind w:left="9" w:right="14"/>
              <w:jc w:val="center"/>
              <w:rPr>
                <w:rFonts w:ascii="Times New Roman" w:eastAsia="Times New Roman" w:hAnsi="Times New Roman" w:cs="Times New Roman"/>
                <w:noProof/>
                <w:sz w:val="18"/>
                <w:szCs w:val="18"/>
              </w:rPr>
            </w:pPr>
            <w:r>
              <w:rPr>
                <w:rFonts w:ascii="Times New Roman" w:hAnsi="Times New Roman"/>
                <w:noProof/>
                <w:sz w:val="18"/>
              </w:rPr>
              <w:t>0</w:t>
            </w:r>
          </w:p>
        </w:tc>
        <w:tc>
          <w:tcPr>
            <w:tcW w:w="99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49" w14:textId="77777777" w:rsidR="00740F0F" w:rsidRPr="0029070D" w:rsidRDefault="00100B64">
            <w:pPr>
              <w:spacing w:line="214" w:lineRule="exact"/>
              <w:ind w:left="9" w:right="14"/>
              <w:jc w:val="center"/>
              <w:rPr>
                <w:rFonts w:ascii="Times New Roman" w:eastAsia="Times New Roman" w:hAnsi="Times New Roman" w:cs="Times New Roman"/>
                <w:noProof/>
                <w:sz w:val="18"/>
                <w:szCs w:val="18"/>
              </w:rPr>
            </w:pPr>
            <w:r>
              <w:rPr>
                <w:rFonts w:ascii="Times New Roman" w:hAnsi="Times New Roman"/>
                <w:noProof/>
                <w:sz w:val="18"/>
              </w:rPr>
              <w:t>32</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4A" w14:textId="77777777" w:rsidR="00740F0F" w:rsidRPr="0029070D" w:rsidRDefault="00100B64">
            <w:pPr>
              <w:spacing w:line="214" w:lineRule="exact"/>
              <w:ind w:left="9" w:right="277"/>
              <w:jc w:val="center"/>
              <w:rPr>
                <w:rFonts w:ascii="Times New Roman" w:eastAsia="Times New Roman" w:hAnsi="Times New Roman" w:cs="Times New Roman"/>
                <w:noProof/>
                <w:sz w:val="18"/>
                <w:szCs w:val="18"/>
              </w:rPr>
            </w:pPr>
            <w:r>
              <w:rPr>
                <w:rFonts w:ascii="Times New Roman" w:hAnsi="Times New Roman"/>
                <w:noProof/>
                <w:sz w:val="18"/>
              </w:rPr>
              <w:t>T4</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4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5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4C" w14:textId="77777777" w:rsidR="00740F0F" w:rsidRPr="0029070D" w:rsidRDefault="00100B64">
            <w:pPr>
              <w:tabs>
                <w:tab w:val="left" w:pos="385"/>
                <w:tab w:val="left" w:pos="386"/>
              </w:tabs>
              <w:spacing w:line="214" w:lineRule="exact"/>
              <w:ind w:left="9" w:right="236"/>
              <w:rPr>
                <w:rFonts w:ascii="Times New Roman" w:eastAsia="Times New Roman" w:hAnsi="Times New Roman" w:cs="Times New Roman"/>
                <w:noProof/>
                <w:sz w:val="18"/>
                <w:szCs w:val="18"/>
              </w:rPr>
            </w:pPr>
            <w:r>
              <w:rPr>
                <w:rFonts w:ascii="Times New Roman" w:hAnsi="Times New Roman"/>
                <w:noProof/>
                <w:sz w:val="18"/>
              </w:rPr>
              <w:t>Nombre de contrats signés pour la modernisation des centres de tri</w:t>
            </w:r>
          </w:p>
        </w:tc>
      </w:tr>
      <w:tr w:rsidR="00782477" w:rsidRPr="0029070D" w14:paraId="5A8AE15D" w14:textId="77777777" w:rsidTr="00FB041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7" w:type="dxa"/>
          <w:trHeight w:val="2385"/>
          <w:jc w:val="center"/>
        </w:trPr>
        <w:tc>
          <w:tcPr>
            <w:tcW w:w="11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4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2-13</w:t>
            </w:r>
          </w:p>
        </w:tc>
        <w:tc>
          <w:tcPr>
            <w:tcW w:w="13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4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C2.I7</w:t>
            </w:r>
          </w:p>
          <w:p w14:paraId="5A8AE15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Modernisation des centres de tri, des systèmes de recyclage et des systèmes de gestion des déchets</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5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52"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Investissement dans le tri et la collecte des déchets, et dans le traitement des déchets médicaux</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53" w14:textId="77777777" w:rsidR="00740F0F" w:rsidRPr="0029070D" w:rsidRDefault="00100B64">
            <w:pPr>
              <w:spacing w:line="214" w:lineRule="exact"/>
              <w:ind w:left="9" w:firstLine="16"/>
              <w:jc w:val="both"/>
              <w:rPr>
                <w:rFonts w:ascii="Times New Roman" w:eastAsia="Times New Roman" w:hAnsi="Times New Roman" w:cs="Times New Roman"/>
                <w:noProof/>
                <w:sz w:val="18"/>
                <w:szCs w:val="18"/>
              </w:rPr>
            </w:pPr>
            <w:r>
              <w:rPr>
                <w:rFonts w:ascii="Times New Roman" w:hAnsi="Times New Roman"/>
                <w:noProof/>
                <w:sz w:val="18"/>
              </w:rPr>
              <w:t>Communication de la liste des bénéficiaires</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54"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55"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56"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5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58" w14:textId="77777777" w:rsidR="00740F0F" w:rsidRPr="0029070D" w:rsidRDefault="00100B64">
            <w:pPr>
              <w:spacing w:line="216" w:lineRule="exact"/>
              <w:ind w:left="8"/>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5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59" w14:textId="77777777" w:rsidR="00740F0F" w:rsidRPr="0029070D" w:rsidRDefault="00100B64">
            <w:pPr>
              <w:spacing w:line="264" w:lineRule="auto"/>
              <w:ind w:left="25" w:right="589"/>
              <w:rPr>
                <w:rFonts w:ascii="Times New Roman" w:eastAsia="Times New Roman" w:hAnsi="Times New Roman" w:cs="Times New Roman"/>
                <w:noProof/>
                <w:sz w:val="18"/>
                <w:szCs w:val="18"/>
              </w:rPr>
            </w:pPr>
            <w:r>
              <w:rPr>
                <w:rFonts w:ascii="Times New Roman" w:hAnsi="Times New Roman"/>
                <w:noProof/>
                <w:sz w:val="18"/>
              </w:rPr>
              <w:t>Finalisation de l’appel à propositions et dispositifs d’aide et sélection des bénéficiaires pour les programmes suivants:</w:t>
            </w:r>
          </w:p>
          <w:p w14:paraId="5A8AE15A" w14:textId="77777777" w:rsidR="00740F0F" w:rsidRPr="0029070D" w:rsidRDefault="00100B64">
            <w:pPr>
              <w:numPr>
                <w:ilvl w:val="0"/>
                <w:numId w:val="28"/>
              </w:numPr>
              <w:tabs>
                <w:tab w:val="left" w:pos="385"/>
                <w:tab w:val="left" w:pos="386"/>
              </w:tabs>
              <w:spacing w:before="120" w:line="247" w:lineRule="auto"/>
              <w:ind w:right="149"/>
              <w:rPr>
                <w:rFonts w:ascii="Times New Roman" w:eastAsia="Times New Roman" w:hAnsi="Times New Roman" w:cs="Times New Roman"/>
                <w:noProof/>
                <w:sz w:val="18"/>
                <w:szCs w:val="18"/>
              </w:rPr>
            </w:pPr>
            <w:r>
              <w:rPr>
                <w:rFonts w:ascii="Times New Roman" w:hAnsi="Times New Roman"/>
                <w:noProof/>
                <w:sz w:val="18"/>
              </w:rPr>
              <w:t>soutenir les investissements dans le tri et la collecte des déchets hors foyer;</w:t>
            </w:r>
          </w:p>
          <w:p w14:paraId="5A8AE15B" w14:textId="77777777" w:rsidR="00740F0F" w:rsidRPr="0029070D" w:rsidRDefault="00100B64">
            <w:pPr>
              <w:numPr>
                <w:ilvl w:val="0"/>
                <w:numId w:val="28"/>
              </w:numPr>
              <w:tabs>
                <w:tab w:val="left" w:pos="385"/>
                <w:tab w:val="left" w:pos="386"/>
              </w:tabs>
              <w:spacing w:before="120" w:line="247" w:lineRule="auto"/>
              <w:ind w:right="781"/>
              <w:rPr>
                <w:rFonts w:ascii="Times New Roman" w:eastAsia="Times New Roman" w:hAnsi="Times New Roman" w:cs="Times New Roman"/>
                <w:noProof/>
                <w:sz w:val="18"/>
                <w:szCs w:val="18"/>
              </w:rPr>
            </w:pPr>
            <w:r>
              <w:rPr>
                <w:rFonts w:ascii="Times New Roman" w:hAnsi="Times New Roman"/>
                <w:noProof/>
                <w:sz w:val="18"/>
              </w:rPr>
              <w:t>soutenir le tri, la collecte et la valorisation des biodéchets;</w:t>
            </w:r>
          </w:p>
          <w:p w14:paraId="5A8AE15C" w14:textId="77777777" w:rsidR="00740F0F" w:rsidRPr="0029070D" w:rsidRDefault="00100B64">
            <w:pPr>
              <w:numPr>
                <w:ilvl w:val="0"/>
                <w:numId w:val="28"/>
              </w:numPr>
              <w:tabs>
                <w:tab w:val="left" w:pos="385"/>
                <w:tab w:val="left" w:pos="386"/>
              </w:tabs>
              <w:spacing w:before="120"/>
              <w:ind w:right="894"/>
              <w:rPr>
                <w:rFonts w:ascii="Times New Roman" w:eastAsia="Times New Roman" w:hAnsi="Times New Roman" w:cs="Times New Roman"/>
                <w:noProof/>
                <w:sz w:val="18"/>
                <w:szCs w:val="18"/>
              </w:rPr>
            </w:pPr>
            <w:r>
              <w:rPr>
                <w:rFonts w:ascii="Times New Roman" w:hAnsi="Times New Roman"/>
                <w:noProof/>
                <w:sz w:val="18"/>
              </w:rPr>
              <w:t>soutenir les investissements en faveur d’équipements pour désinfecter les déchets médicaux infectieux.</w:t>
            </w:r>
          </w:p>
        </w:tc>
      </w:tr>
      <w:tr w:rsidR="00782477" w:rsidRPr="0029070D" w14:paraId="5A8AE16A" w14:textId="77777777" w:rsidTr="00FB041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7" w:type="dxa"/>
          <w:trHeight w:val="1438"/>
          <w:jc w:val="center"/>
        </w:trPr>
        <w:tc>
          <w:tcPr>
            <w:tcW w:w="11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5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2-14</w:t>
            </w:r>
          </w:p>
        </w:tc>
        <w:tc>
          <w:tcPr>
            <w:tcW w:w="13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5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C2.I7</w:t>
            </w:r>
          </w:p>
          <w:p w14:paraId="5A8AE160" w14:textId="77777777" w:rsidR="00740F0F" w:rsidRPr="0029070D" w:rsidRDefault="00100B64">
            <w:pPr>
              <w:spacing w:line="214" w:lineRule="exact"/>
              <w:ind w:left="9" w:hanging="2"/>
              <w:jc w:val="center"/>
              <w:rPr>
                <w:rFonts w:ascii="Times New Roman" w:eastAsia="Times New Roman" w:hAnsi="Times New Roman" w:cs="Times New Roman"/>
                <w:noProof/>
                <w:sz w:val="18"/>
                <w:szCs w:val="18"/>
              </w:rPr>
            </w:pPr>
            <w:r>
              <w:rPr>
                <w:rFonts w:ascii="Times New Roman" w:hAnsi="Times New Roman"/>
                <w:noProof/>
                <w:sz w:val="18"/>
              </w:rPr>
              <w:t>Modernisation des centres de tri, des systèmes de recyclage et des systèmes de gestion des déchets</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6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62"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centres de tri modernisés</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63"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6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6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99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6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32</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6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6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2025</w:t>
            </w:r>
          </w:p>
        </w:tc>
        <w:tc>
          <w:tcPr>
            <w:tcW w:w="45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69"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centres de tri (centres de tri de déchets ménagers et/ou professionnels, plateformes de tri, déchèteries professionnelles) publics et privés créés, étendus ou modernisés</w:t>
            </w:r>
          </w:p>
        </w:tc>
      </w:tr>
      <w:tr w:rsidR="00782477" w:rsidRPr="0029070D" w14:paraId="5A8AE17A" w14:textId="77777777" w:rsidTr="00FB041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7" w:type="dxa"/>
          <w:trHeight w:val="1321"/>
          <w:jc w:val="center"/>
        </w:trPr>
        <w:tc>
          <w:tcPr>
            <w:tcW w:w="11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6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2-15</w:t>
            </w:r>
          </w:p>
        </w:tc>
        <w:tc>
          <w:tcPr>
            <w:tcW w:w="13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6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C2.I8</w:t>
            </w:r>
          </w:p>
          <w:p w14:paraId="5A8AE16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Recyclage et réemploi</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6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6F"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Quantité de matières premières de recyclage (MPR) plastiques produites ou incorporées</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70"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7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Tonnes</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7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99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7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275 000</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7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7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2025</w:t>
            </w:r>
          </w:p>
        </w:tc>
        <w:tc>
          <w:tcPr>
            <w:tcW w:w="45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77" w14:textId="2FE0A99C" w:rsidR="00740F0F" w:rsidRPr="00B46C4C" w:rsidRDefault="00100B64" w:rsidP="00B46C4C">
            <w:pPr>
              <w:rPr>
                <w:rFonts w:ascii="Times New Roman" w:eastAsia="Times New Roman" w:hAnsi="Times New Roman" w:cs="Times New Roman"/>
                <w:noProof/>
                <w:sz w:val="18"/>
                <w:szCs w:val="18"/>
              </w:rPr>
            </w:pPr>
            <w:r>
              <w:rPr>
                <w:rFonts w:ascii="Times New Roman" w:hAnsi="Times New Roman"/>
                <w:noProof/>
                <w:sz w:val="18"/>
              </w:rPr>
              <w:t xml:space="preserve">Quantité cumulée de matières premières de recyclage (MPR) plastiques produites ou incorporées dans des processus industriels. </w:t>
            </w:r>
            <w:r>
              <w:rPr>
                <w:rFonts w:ascii="Times New Roman" w:hAnsi="Times New Roman"/>
                <w:noProof/>
                <w:sz w:val="18"/>
              </w:rPr>
              <w:br/>
              <w:t xml:space="preserve">La quantité cumulée est calculée en prenant la somme des tonnes de MPR plastiques produites ou incorporées comme suit: </w:t>
            </w:r>
          </w:p>
          <w:p w14:paraId="5A8AE178" w14:textId="77777777" w:rsidR="00740F0F" w:rsidRPr="0029070D" w:rsidRDefault="00100B64">
            <w:pPr>
              <w:pStyle w:val="ListParagraph"/>
              <w:numPr>
                <w:ilvl w:val="0"/>
                <w:numId w:val="29"/>
              </w:numPr>
              <w:spacing w:before="136" w:line="254" w:lineRule="auto"/>
              <w:ind w:right="615"/>
              <w:rPr>
                <w:rFonts w:ascii="Times New Roman" w:eastAsia="Times New Roman" w:hAnsi="Times New Roman" w:cs="Times New Roman"/>
                <w:noProof/>
                <w:sz w:val="18"/>
                <w:szCs w:val="18"/>
              </w:rPr>
            </w:pPr>
            <w:r>
              <w:rPr>
                <w:rFonts w:ascii="Times New Roman" w:hAnsi="Times New Roman"/>
                <w:noProof/>
                <w:sz w:val="18"/>
              </w:rPr>
              <w:t xml:space="preserve">avant 2025, les tonnes de MPR indiquées par les porteurs de projets dans leurs rapports finaux; </w:t>
            </w:r>
          </w:p>
          <w:p w14:paraId="5A8AE179" w14:textId="77777777" w:rsidR="00740F0F" w:rsidRPr="0029070D" w:rsidRDefault="00100B64">
            <w:pPr>
              <w:pStyle w:val="ListParagraph"/>
              <w:numPr>
                <w:ilvl w:val="0"/>
                <w:numId w:val="29"/>
              </w:numPr>
              <w:spacing w:before="136" w:line="254" w:lineRule="auto"/>
              <w:ind w:right="615"/>
              <w:rPr>
                <w:rFonts w:ascii="Times New Roman" w:eastAsia="Times New Roman" w:hAnsi="Times New Roman" w:cs="Times New Roman"/>
                <w:noProof/>
                <w:sz w:val="18"/>
                <w:szCs w:val="18"/>
              </w:rPr>
            </w:pPr>
            <w:r>
              <w:rPr>
                <w:rFonts w:ascii="Times New Roman" w:hAnsi="Times New Roman"/>
                <w:noProof/>
                <w:sz w:val="18"/>
              </w:rPr>
              <w:t xml:space="preserve">pour 2025, la quantité annuelle de MPR calculée en prenant la moyenne des quantités indiquées en 2022, 2023 et 2024. </w:t>
            </w:r>
          </w:p>
        </w:tc>
      </w:tr>
      <w:tr w:rsidR="00782477" w:rsidRPr="0029070D" w14:paraId="5A8AE187" w14:textId="77777777" w:rsidTr="00FB041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7" w:type="dxa"/>
          <w:trHeight w:val="1488"/>
          <w:jc w:val="center"/>
        </w:trPr>
        <w:tc>
          <w:tcPr>
            <w:tcW w:w="11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7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2-16</w:t>
            </w:r>
          </w:p>
        </w:tc>
        <w:tc>
          <w:tcPr>
            <w:tcW w:w="13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7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C2.I9</w:t>
            </w:r>
          </w:p>
          <w:p w14:paraId="5A8AE17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Plan en faveur des protéines végétales</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7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7F"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 xml:space="preserve">Nombre de projets bénéficiaires des fonds du «plan protéines» afin d’investir dans la production de protéagineux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80"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8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8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99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8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1 200</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8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T1</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8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5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86"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projets bénéficiaires des fonds du «plan protéines» afin d’investir dans la production de protéagineux, après sélection par appels à projets</w:t>
            </w:r>
          </w:p>
        </w:tc>
      </w:tr>
      <w:tr w:rsidR="00782477" w:rsidRPr="0029070D" w14:paraId="5A8AE194" w14:textId="77777777" w:rsidTr="00FB041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7" w:type="dxa"/>
          <w:trHeight w:val="1667"/>
          <w:jc w:val="center"/>
        </w:trPr>
        <w:tc>
          <w:tcPr>
            <w:tcW w:w="11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8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2-17</w:t>
            </w:r>
          </w:p>
        </w:tc>
        <w:tc>
          <w:tcPr>
            <w:tcW w:w="13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8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C2.I10</w:t>
            </w:r>
          </w:p>
          <w:p w14:paraId="5A8AE18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Forêts</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8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8C"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 xml:space="preserve">Surface de forêts pour lesquelles une subvention a été engagée afin d’améliorer, d’adapter, de régénérer ou de reconstituer la forêt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8D"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8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Hectares</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8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99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9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30 000</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9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T1</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9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45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193"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Surface de forêts pour laquelle une subvention a été engagée afin d’améliorer, d’adapter, de régénérer ou de reconstituer la forêt.</w:t>
            </w:r>
          </w:p>
        </w:tc>
      </w:tr>
    </w:tbl>
    <w:p w14:paraId="5A8AE195" w14:textId="77777777" w:rsidR="00740F0F" w:rsidRPr="0029070D" w:rsidRDefault="00740F0F">
      <w:pPr>
        <w:spacing w:before="120" w:after="120" w:line="360" w:lineRule="auto"/>
        <w:rPr>
          <w:rFonts w:ascii="Times New Roman" w:eastAsia="Calibri" w:hAnsi="Times New Roman" w:cs="Times New Roman"/>
          <w:noProof/>
          <w:kern w:val="0"/>
          <w:sz w:val="19"/>
          <w:szCs w:val="22"/>
          <w14:ligatures w14:val="none"/>
        </w:rPr>
        <w:sectPr w:rsidR="00740F0F" w:rsidRPr="0029070D">
          <w:headerReference w:type="even" r:id="rId36"/>
          <w:headerReference w:type="default" r:id="rId37"/>
          <w:footerReference w:type="even" r:id="rId38"/>
          <w:footerReference w:type="default" r:id="rId39"/>
          <w:headerReference w:type="first" r:id="rId40"/>
          <w:footerReference w:type="first" r:id="rId41"/>
          <w:pgSz w:w="16860" w:h="11920" w:orient="landscape"/>
          <w:pgMar w:top="1134" w:right="1134" w:bottom="1134" w:left="1134" w:header="567" w:footer="567" w:gutter="0"/>
          <w:cols w:space="720"/>
          <w:docGrid w:linePitch="326"/>
        </w:sectPr>
      </w:pPr>
    </w:p>
    <w:p w14:paraId="5A8AE196" w14:textId="77777777" w:rsidR="00740F0F" w:rsidRPr="0029070D" w:rsidRDefault="00100B64">
      <w:pPr>
        <w:widowControl w:val="0"/>
        <w:numPr>
          <w:ilvl w:val="1"/>
          <w:numId w:val="1"/>
        </w:numPr>
        <w:tabs>
          <w:tab w:val="left" w:pos="521"/>
        </w:tabs>
        <w:autoSpaceDE w:val="0"/>
        <w:autoSpaceDN w:val="0"/>
        <w:spacing w:before="109" w:after="0" w:line="240" w:lineRule="auto"/>
        <w:ind w:left="520"/>
        <w:jc w:val="both"/>
        <w:rPr>
          <w:rFonts w:ascii="Times New Roman" w:eastAsia="Times New Roman" w:hAnsi="Times New Roman" w:cs="Times New Roman"/>
          <w:b/>
          <w:noProof/>
          <w:kern w:val="0"/>
          <w:szCs w:val="20"/>
          <w14:ligatures w14:val="none"/>
        </w:rPr>
      </w:pPr>
      <w:r>
        <w:rPr>
          <w:rFonts w:ascii="Times New Roman" w:hAnsi="Times New Roman"/>
          <w:b/>
          <w:noProof/>
        </w:rPr>
        <w:t>COMPOSANTE 3: Infrastructures et mobilités vertes</w:t>
      </w:r>
    </w:p>
    <w:p w14:paraId="5A8AE197" w14:textId="77777777" w:rsidR="00740F0F" w:rsidRPr="0029070D" w:rsidRDefault="00100B64">
      <w:pPr>
        <w:widowControl w:val="0"/>
        <w:autoSpaceDE w:val="0"/>
        <w:autoSpaceDN w:val="0"/>
        <w:spacing w:before="115" w:after="0" w:line="240" w:lineRule="auto"/>
        <w:ind w:left="220" w:right="211"/>
        <w:jc w:val="both"/>
        <w:rPr>
          <w:rFonts w:ascii="Times New Roman" w:eastAsia="Times New Roman" w:hAnsi="Times New Roman" w:cs="Times New Roman"/>
          <w:noProof/>
          <w:kern w:val="0"/>
          <w:szCs w:val="20"/>
          <w14:ligatures w14:val="none"/>
        </w:rPr>
      </w:pPr>
      <w:r>
        <w:rPr>
          <w:rFonts w:ascii="Times New Roman" w:hAnsi="Times New Roman"/>
          <w:noProof/>
        </w:rPr>
        <w:t>Le secteur des transports est l’un des principaux émetteurs de CO</w:t>
      </w:r>
      <w:r>
        <w:rPr>
          <w:rFonts w:ascii="Times New Roman" w:hAnsi="Times New Roman"/>
          <w:noProof/>
          <w:vertAlign w:val="subscript"/>
        </w:rPr>
        <w:t>2</w:t>
      </w:r>
      <w:r>
        <w:rPr>
          <w:rFonts w:ascii="Times New Roman" w:hAnsi="Times New Roman"/>
          <w:noProof/>
        </w:rPr>
        <w:t xml:space="preserve"> en France et représente 38 % des émissions totales en 2017. Les transports routiers sont responsables de 96 % de ces émissions, dont plus de la moitié provient des véhicules particuliers. Les infrastructures de transport jouent un rôle déterminant dans la mise en œuvre effective de la transition écologique. C’est en effet par leur entretien et leur développement que des alternatives écologiques à certaines pratiques émettrices de carbone pourront être mises à disposition des usagers. Les mesures au titre de cette composante du plan français de relance et de résilience sont axées sur le développement des transports publics (métros, tramways, bus) et sur la rénovation et l’amélioration du réseau ferroviaire national pour le transport de passagers et de marchandises. Cette composante comprend également des mesures visant à renouveler le parc automobile de l’administration par des véhicules électriques ou hybrides, à améliorer la durabilité des ports et à faciliter la transition écologique dans les zones rurales.</w:t>
      </w:r>
    </w:p>
    <w:p w14:paraId="5A8AE198" w14:textId="77777777" w:rsidR="00740F0F" w:rsidRPr="0029070D" w:rsidRDefault="00100B64">
      <w:pPr>
        <w:widowControl w:val="0"/>
        <w:autoSpaceDE w:val="0"/>
        <w:autoSpaceDN w:val="0"/>
        <w:spacing w:before="121" w:after="0" w:line="235" w:lineRule="auto"/>
        <w:ind w:left="220" w:right="247"/>
        <w:jc w:val="both"/>
        <w:rPr>
          <w:rFonts w:ascii="Times New Roman" w:eastAsia="Times New Roman" w:hAnsi="Times New Roman" w:cs="Times New Roman"/>
          <w:noProof/>
          <w:kern w:val="0"/>
          <w:szCs w:val="20"/>
          <w14:ligatures w14:val="none"/>
        </w:rPr>
      </w:pPr>
      <w:r>
        <w:rPr>
          <w:rFonts w:ascii="Times New Roman" w:hAnsi="Times New Roman"/>
          <w:noProof/>
        </w:rPr>
        <w:t>Cette composante couvre également deux réformes liées à la mobilité et à la mise en place du Budget vert afin d’accroître la transparence de l’impact environnemental du budget de l’État.</w:t>
      </w:r>
    </w:p>
    <w:p w14:paraId="5A8AE199" w14:textId="77777777" w:rsidR="00740F0F" w:rsidRPr="0029070D" w:rsidRDefault="00100B64">
      <w:pPr>
        <w:widowControl w:val="0"/>
        <w:autoSpaceDE w:val="0"/>
        <w:autoSpaceDN w:val="0"/>
        <w:spacing w:before="132" w:after="0" w:line="240" w:lineRule="auto"/>
        <w:ind w:left="220" w:right="224"/>
        <w:jc w:val="both"/>
        <w:rPr>
          <w:rFonts w:ascii="Times New Roman" w:eastAsia="Times New Roman" w:hAnsi="Times New Roman" w:cs="Times New Roman"/>
          <w:noProof/>
          <w:kern w:val="0"/>
          <w:szCs w:val="20"/>
          <w14:ligatures w14:val="none"/>
        </w:rPr>
      </w:pPr>
      <w:r>
        <w:rPr>
          <w:rFonts w:ascii="Times New Roman" w:hAnsi="Times New Roman"/>
          <w:noProof/>
        </w:rPr>
        <w:t>Ces investissements et réformes contribuent à répondre aux recommandations par pays adressées à la France au cours des deux dernières années, sur la nécessité d’«axer la politique économique en matière d’investissements sur […] les énergies renouvelables, l’efficacité énergétique et les interconnexions avec le reste de l’Union» (recommandation 3 de 2019) et de «garantir une mise en œuvre effective des mesures de soutien à la liquidité des entreprises, en particulier pour les petites et moyennes entreprises. […] concentrer les investissements sur la transition verte […], en particulier sur les transports durables, une production et une consommation d’énergie propre et efficace, les infrastructures énergétiques et numériques, ainsi que la recherche et l’innovation» (recommandation 3 de 2020).</w:t>
      </w:r>
    </w:p>
    <w:p w14:paraId="5A8AE19A" w14:textId="77777777" w:rsidR="00740F0F" w:rsidRPr="0029070D" w:rsidRDefault="00100B64">
      <w:pPr>
        <w:widowControl w:val="0"/>
        <w:autoSpaceDE w:val="0"/>
        <w:autoSpaceDN w:val="0"/>
        <w:spacing w:before="125" w:after="0" w:line="240" w:lineRule="auto"/>
        <w:ind w:left="220" w:right="227"/>
        <w:jc w:val="both"/>
        <w:rPr>
          <w:rFonts w:ascii="Times New Roman" w:eastAsia="Times New Roman" w:hAnsi="Times New Roman" w:cs="Times New Roman"/>
          <w:noProof/>
          <w:kern w:val="0"/>
          <w:szCs w:val="20"/>
          <w14:ligatures w14:val="none"/>
        </w:rPr>
      </w:pPr>
      <w:r>
        <w:rPr>
          <w:rFonts w:ascii="Times New Roman" w:hAnsi="Times New Roman"/>
          <w:noProof/>
        </w:rPr>
        <w:t>Aucune mesure relevant de cette composante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w:t>
      </w:r>
    </w:p>
    <w:p w14:paraId="5A8AE19B" w14:textId="77777777" w:rsidR="00740F0F" w:rsidRPr="0029070D" w:rsidRDefault="00740F0F">
      <w:pPr>
        <w:widowControl w:val="0"/>
        <w:autoSpaceDE w:val="0"/>
        <w:autoSpaceDN w:val="0"/>
        <w:spacing w:before="6" w:after="0" w:line="240" w:lineRule="auto"/>
        <w:rPr>
          <w:rFonts w:ascii="Times New Roman" w:eastAsia="Times New Roman" w:hAnsi="Times New Roman" w:cs="Times New Roman"/>
          <w:noProof/>
          <w:kern w:val="0"/>
          <w:sz w:val="45"/>
          <w:szCs w:val="20"/>
          <w14:ligatures w14:val="none"/>
        </w:rPr>
      </w:pPr>
    </w:p>
    <w:p w14:paraId="5A8AE19C" w14:textId="77777777" w:rsidR="00740F0F" w:rsidRPr="00B46C4C" w:rsidRDefault="00100B64" w:rsidP="00413061">
      <w:pPr>
        <w:widowControl w:val="0"/>
        <w:numPr>
          <w:ilvl w:val="2"/>
          <w:numId w:val="1"/>
        </w:numPr>
        <w:autoSpaceDE w:val="0"/>
        <w:autoSpaceDN w:val="0"/>
        <w:spacing w:before="120" w:after="0" w:line="240" w:lineRule="auto"/>
        <w:ind w:left="993" w:hanging="723"/>
        <w:jc w:val="both"/>
        <w:outlineLvl w:val="1"/>
        <w:rPr>
          <w:rFonts w:ascii="Times New Roman" w:eastAsia="Times New Roman" w:hAnsi="Times New Roman" w:cs="Times New Roman"/>
          <w:b/>
          <w:noProof/>
          <w:kern w:val="0"/>
          <w:szCs w:val="20"/>
          <w:u w:val="single"/>
          <w14:ligatures w14:val="none"/>
        </w:rPr>
      </w:pPr>
      <w:r>
        <w:rPr>
          <w:rFonts w:ascii="Times New Roman" w:hAnsi="Times New Roman"/>
          <w:b/>
          <w:noProof/>
          <w:u w:val="single"/>
        </w:rPr>
        <w:t>Description des réformes et des investissements en vue du soutien financier non remboursable</w:t>
      </w:r>
    </w:p>
    <w:p w14:paraId="5A8AE19D" w14:textId="77777777" w:rsidR="00740F0F" w:rsidRPr="009447E5" w:rsidRDefault="00100B64">
      <w:pPr>
        <w:widowControl w:val="0"/>
        <w:autoSpaceDE w:val="0"/>
        <w:autoSpaceDN w:val="0"/>
        <w:spacing w:before="108"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Réforme 1 (C3.R1): loi d’orientation des mobilités (LOM)</w:t>
      </w:r>
    </w:p>
    <w:p w14:paraId="5A8AE19E" w14:textId="77777777" w:rsidR="00740F0F" w:rsidRPr="0029070D" w:rsidRDefault="00100B64">
      <w:pPr>
        <w:widowControl w:val="0"/>
        <w:autoSpaceDE w:val="0"/>
        <w:autoSpaceDN w:val="0"/>
        <w:spacing w:before="115" w:after="0" w:line="244" w:lineRule="auto"/>
        <w:ind w:left="220" w:right="230"/>
        <w:jc w:val="both"/>
        <w:rPr>
          <w:rFonts w:ascii="Times New Roman" w:eastAsia="Times New Roman" w:hAnsi="Times New Roman" w:cs="Times New Roman"/>
          <w:noProof/>
          <w:kern w:val="0"/>
          <w:szCs w:val="20"/>
          <w14:ligatures w14:val="none"/>
        </w:rPr>
      </w:pPr>
      <w:r>
        <w:rPr>
          <w:rFonts w:ascii="Times New Roman" w:hAnsi="Times New Roman"/>
          <w:noProof/>
        </w:rPr>
        <w:t>La loi d’orientation des mobilités (LOM) vise une transformation profonde des transports et de la mobilité dans le double objectif d’un meilleur service au quotidien, répondant aux besoins de l’ensemble de la population, et d’une décarbonation accélérée de ce secteur. La loi contient un ensemble complet d’instruments politiques sur la gouvernance, les règlements et les plans d’investissement.</w:t>
      </w:r>
    </w:p>
    <w:p w14:paraId="5A8AE19F" w14:textId="77777777" w:rsidR="00740F0F" w:rsidRPr="0029070D" w:rsidRDefault="00100B64">
      <w:pPr>
        <w:widowControl w:val="0"/>
        <w:autoSpaceDE w:val="0"/>
        <w:autoSpaceDN w:val="0"/>
        <w:spacing w:before="103" w:after="0" w:line="240" w:lineRule="auto"/>
        <w:ind w:left="220" w:right="229"/>
        <w:jc w:val="both"/>
        <w:rPr>
          <w:rFonts w:ascii="Times New Roman" w:eastAsia="Times New Roman" w:hAnsi="Times New Roman" w:cs="Times New Roman"/>
          <w:noProof/>
          <w:kern w:val="0"/>
          <w:szCs w:val="20"/>
          <w14:ligatures w14:val="none"/>
        </w:rPr>
      </w:pPr>
      <w:r>
        <w:rPr>
          <w:rFonts w:ascii="Times New Roman" w:hAnsi="Times New Roman"/>
          <w:noProof/>
        </w:rPr>
        <w:t>Plusieurs législations dérivées liées à la loi d’orientation des mobilités seront mises en œuvre dans le cadre de la facilité pour la reprise et la résilience. Premièrement, un décret établissant les conditions dans lesquelles les déplacements réalisés peuvent donner lieu au versement d’une allocation au conducteur qui a proposé un trajet en covoiturage en l’absence de passagers est entré en vigueur en 2020. Deuxièmement, la réglementation sera modifiée en 2021 pour permettre les transferts en gestion aux Régions du réseau ferroviaire d’intérêt local. Troisièmement, le gouvernement révisera et actualisera la programmation financière et opérationnelle des investissements publics dans les infrastructures de transport avant le 31 décembre 2023, comme prévu dans la loi.</w:t>
      </w:r>
    </w:p>
    <w:p w14:paraId="5A8AE1A0" w14:textId="77777777" w:rsidR="00740F0F" w:rsidRPr="0029070D" w:rsidRDefault="00100B64">
      <w:pPr>
        <w:widowControl w:val="0"/>
        <w:autoSpaceDE w:val="0"/>
        <w:autoSpaceDN w:val="0"/>
        <w:spacing w:before="217"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Réforme 2 (C3.R2): mise en place du Budget vert</w:t>
      </w:r>
    </w:p>
    <w:p w14:paraId="5A8AE1A1" w14:textId="77777777" w:rsidR="00740F0F" w:rsidRPr="0029070D" w:rsidRDefault="00100B64">
      <w:pPr>
        <w:widowControl w:val="0"/>
        <w:autoSpaceDE w:val="0"/>
        <w:autoSpaceDN w:val="0"/>
        <w:spacing w:before="132" w:after="0" w:line="235" w:lineRule="auto"/>
        <w:ind w:left="220" w:right="230"/>
        <w:jc w:val="both"/>
        <w:rPr>
          <w:rFonts w:ascii="Times New Roman" w:eastAsia="Times New Roman" w:hAnsi="Times New Roman" w:cs="Times New Roman"/>
          <w:noProof/>
          <w:kern w:val="0"/>
          <w:szCs w:val="20"/>
          <w14:ligatures w14:val="none"/>
        </w:rPr>
      </w:pPr>
      <w:r>
        <w:rPr>
          <w:rFonts w:ascii="Times New Roman" w:hAnsi="Times New Roman"/>
          <w:noProof/>
        </w:rPr>
        <w:t>La publication d’un Budget vert vise à mettre en place un cadre d’information standardisé et complet à destination du Parlement et de la société civile sur l’impact environnemental du budget de l’État.</w:t>
      </w:r>
    </w:p>
    <w:p w14:paraId="5A8AE1A2" w14:textId="77777777" w:rsidR="00740F0F" w:rsidRPr="0029070D" w:rsidRDefault="00100B64">
      <w:pPr>
        <w:widowControl w:val="0"/>
        <w:autoSpaceDE w:val="0"/>
        <w:autoSpaceDN w:val="0"/>
        <w:spacing w:before="102" w:after="0" w:line="235"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rPr>
        <w:t>La France a publié, avec sa loi de finances 2021, une méthodologie du budget vert où chaque dépense du budget de l’État est classée en fonction de son impact sur chacun des six objectifs définis dans le règlement (UE) 2020/852</w:t>
      </w:r>
      <w:r w:rsidRPr="0029070D">
        <w:rPr>
          <w:rStyle w:val="FootnoteReference"/>
          <w:rFonts w:ascii="Times New Roman" w:eastAsia="Times New Roman" w:hAnsi="Times New Roman" w:cs="Times New Roman"/>
          <w:b w:val="0"/>
          <w:bCs/>
          <w:noProof/>
          <w:kern w:val="0"/>
          <w:szCs w:val="20"/>
        </w:rPr>
        <w:footnoteReference w:id="7"/>
      </w:r>
      <w:r>
        <w:rPr>
          <w:rFonts w:ascii="Times New Roman" w:hAnsi="Times New Roman"/>
          <w:b/>
          <w:noProof/>
          <w:sz w:val="16"/>
        </w:rPr>
        <w:t xml:space="preserve"> </w:t>
      </w:r>
      <w:r>
        <w:rPr>
          <w:rFonts w:ascii="Times New Roman" w:hAnsi="Times New Roman"/>
          <w:noProof/>
        </w:rPr>
        <w:t>(le «règlement Taxonomie»): l’atténuation du changement climatique, l’adaptation au changement climatique, l’utilisation durable et la protection des ressources hydrologiques et marines, la transition vers une économie circulaire, la prévention et le contrôle de la pollution, la protection et la restauration de la biodiversité et des écosystèmes.</w:t>
      </w:r>
    </w:p>
    <w:p w14:paraId="5A8AE1A3" w14:textId="77777777" w:rsidR="00740F0F" w:rsidRPr="0029070D" w:rsidRDefault="00100B64">
      <w:pPr>
        <w:widowControl w:val="0"/>
        <w:autoSpaceDE w:val="0"/>
        <w:autoSpaceDN w:val="0"/>
        <w:spacing w:before="118" w:after="0" w:line="235" w:lineRule="auto"/>
        <w:ind w:left="220" w:right="236"/>
        <w:jc w:val="both"/>
        <w:rPr>
          <w:rFonts w:ascii="Times New Roman" w:eastAsia="Times New Roman" w:hAnsi="Times New Roman" w:cs="Times New Roman"/>
          <w:noProof/>
          <w:kern w:val="0"/>
          <w:sz w:val="16"/>
          <w:szCs w:val="20"/>
          <w14:ligatures w14:val="none"/>
        </w:rPr>
      </w:pPr>
      <w:r>
        <w:rPr>
          <w:rFonts w:ascii="Times New Roman" w:hAnsi="Times New Roman"/>
          <w:noProof/>
        </w:rPr>
        <w:t>Les recettes sont classées selon la définition Eurostat d’une taxe environnementale comme «une taxe dont l’assiette est une unité physique (ou une approximation d’une unité physique) de quelque chose qui a un impact négatif spécifique et avéré sur l’environnement»</w:t>
      </w:r>
      <w:r w:rsidRPr="0029070D">
        <w:rPr>
          <w:rStyle w:val="FootnoteReference"/>
          <w:rFonts w:ascii="Times New Roman" w:eastAsia="Times New Roman" w:hAnsi="Times New Roman" w:cs="Times New Roman"/>
          <w:b w:val="0"/>
          <w:bCs/>
          <w:noProof/>
          <w:kern w:val="0"/>
          <w:szCs w:val="20"/>
        </w:rPr>
        <w:footnoteReference w:id="8"/>
      </w:r>
      <w:r>
        <w:rPr>
          <w:rFonts w:ascii="Times New Roman" w:hAnsi="Times New Roman"/>
          <w:noProof/>
        </w:rPr>
        <w:t>.</w:t>
      </w:r>
    </w:p>
    <w:p w14:paraId="5A8AE1A4" w14:textId="77777777" w:rsidR="00740F0F" w:rsidRPr="0029070D" w:rsidRDefault="00100B64">
      <w:pPr>
        <w:widowControl w:val="0"/>
        <w:autoSpaceDE w:val="0"/>
        <w:autoSpaceDN w:val="0"/>
        <w:spacing w:before="114" w:after="0" w:line="240" w:lineRule="auto"/>
        <w:ind w:left="220" w:right="231"/>
        <w:jc w:val="both"/>
        <w:rPr>
          <w:rFonts w:ascii="Times New Roman" w:eastAsia="Times New Roman" w:hAnsi="Times New Roman" w:cs="Times New Roman"/>
          <w:noProof/>
          <w:kern w:val="0"/>
          <w:szCs w:val="20"/>
          <w14:ligatures w14:val="none"/>
        </w:rPr>
      </w:pPr>
      <w:r>
        <w:rPr>
          <w:rFonts w:ascii="Times New Roman" w:hAnsi="Times New Roman"/>
          <w:noProof/>
        </w:rPr>
        <w:t>Pour le budget 2022, un nouveau Budget vert sera publié. Il s’inspirera des pratiques déjà établies, et les améliorera en mettant en œuvre une nouvelle méthodologie pour la prise en compte des dépenses de fonctionnement.</w:t>
      </w:r>
    </w:p>
    <w:p w14:paraId="5A8AE1A5" w14:textId="77777777" w:rsidR="00740F0F" w:rsidRPr="0029070D" w:rsidRDefault="00100B64">
      <w:pPr>
        <w:widowControl w:val="0"/>
        <w:autoSpaceDE w:val="0"/>
        <w:autoSpaceDN w:val="0"/>
        <w:spacing w:before="221"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1 (C3.I1): soutien au secteur ferroviaire</w:t>
      </w:r>
    </w:p>
    <w:p w14:paraId="5A8AE1A6" w14:textId="77777777" w:rsidR="00740F0F" w:rsidRPr="0029070D" w:rsidRDefault="00100B64">
      <w:pPr>
        <w:widowControl w:val="0"/>
        <w:autoSpaceDE w:val="0"/>
        <w:autoSpaceDN w:val="0"/>
        <w:spacing w:before="116" w:after="0" w:line="247" w:lineRule="auto"/>
        <w:ind w:left="220" w:right="219"/>
        <w:jc w:val="both"/>
        <w:rPr>
          <w:rFonts w:ascii="Times New Roman" w:eastAsia="Times New Roman" w:hAnsi="Times New Roman" w:cs="Times New Roman"/>
          <w:noProof/>
          <w:kern w:val="0"/>
          <w:szCs w:val="20"/>
          <w14:ligatures w14:val="none"/>
        </w:rPr>
      </w:pPr>
      <w:r>
        <w:rPr>
          <w:rFonts w:ascii="Times New Roman" w:hAnsi="Times New Roman"/>
          <w:noProof/>
        </w:rPr>
        <w:t>L'objectif de cette mesure est d’accroître la sécurité et la fiabilité du réseau ferroviaire et de le rénover.</w:t>
      </w:r>
    </w:p>
    <w:p w14:paraId="5A8AE1A7" w14:textId="77777777" w:rsidR="00740F0F" w:rsidRPr="0029070D" w:rsidRDefault="00100B64">
      <w:pPr>
        <w:widowControl w:val="0"/>
        <w:autoSpaceDE w:val="0"/>
        <w:autoSpaceDN w:val="0"/>
        <w:spacing w:before="113" w:after="0" w:line="247" w:lineRule="auto"/>
        <w:ind w:left="220" w:right="244"/>
        <w:jc w:val="both"/>
        <w:rPr>
          <w:rFonts w:ascii="Times New Roman" w:eastAsia="Times New Roman" w:hAnsi="Times New Roman" w:cs="Times New Roman"/>
          <w:noProof/>
          <w:kern w:val="0"/>
          <w:szCs w:val="20"/>
          <w14:ligatures w14:val="none"/>
        </w:rPr>
      </w:pPr>
      <w:r>
        <w:rPr>
          <w:rFonts w:ascii="Times New Roman" w:hAnsi="Times New Roman"/>
          <w:noProof/>
        </w:rPr>
        <w:t>La mesure consiste à rénover le réseau ferroviaire principal et local, ainsi qu’à remplacer l’utilisation du glyphosate par une alternative plus respectueuse de l’environnement.</w:t>
      </w:r>
    </w:p>
    <w:p w14:paraId="5A8AE1A8" w14:textId="77777777" w:rsidR="00740F0F" w:rsidRPr="0029070D" w:rsidRDefault="00100B64">
      <w:pPr>
        <w:widowControl w:val="0"/>
        <w:autoSpaceDE w:val="0"/>
        <w:autoSpaceDN w:val="0"/>
        <w:spacing w:before="104" w:after="0" w:line="240" w:lineRule="auto"/>
        <w:ind w:left="220"/>
        <w:rPr>
          <w:rFonts w:ascii="Times New Roman" w:eastAsia="Times New Roman" w:hAnsi="Times New Roman" w:cs="Times New Roman"/>
          <w:noProof/>
        </w:rPr>
      </w:pPr>
      <w:r>
        <w:rPr>
          <w:rFonts w:ascii="Times New Roman" w:hAnsi="Times New Roman"/>
          <w:noProof/>
          <w:u w:val="single"/>
        </w:rPr>
        <w:t>Investissement 2 (C3.I2): soutien à la demande en véhicules propres (plan automobile)</w:t>
      </w:r>
    </w:p>
    <w:p w14:paraId="5A8AE1A9" w14:textId="77777777" w:rsidR="00740F0F" w:rsidRPr="0029070D" w:rsidRDefault="00100B64">
      <w:pPr>
        <w:widowControl w:val="0"/>
        <w:autoSpaceDE w:val="0"/>
        <w:autoSpaceDN w:val="0"/>
        <w:spacing w:before="134" w:after="0" w:line="235" w:lineRule="auto"/>
        <w:ind w:left="220" w:right="142"/>
        <w:jc w:val="both"/>
        <w:rPr>
          <w:rFonts w:ascii="Times New Roman" w:eastAsia="Times New Roman" w:hAnsi="Times New Roman" w:cs="Times New Roman"/>
          <w:noProof/>
          <w:kern w:val="0"/>
          <w:szCs w:val="20"/>
          <w14:ligatures w14:val="none"/>
        </w:rPr>
      </w:pPr>
      <w:r>
        <w:rPr>
          <w:rFonts w:ascii="Times New Roman" w:hAnsi="Times New Roman"/>
          <w:noProof/>
        </w:rPr>
        <w:t>Cet investissement vise à soutenir la demande en véhicules propres, principalement auprès des ménages. La mesure prévoit un «bonus écologique» pour les véhicules légers qui est une aide à l’acquisition d’un véhicule électrique, à hydrogène ou hybride rechargeable dont les émissions de CO</w:t>
      </w:r>
      <w:r>
        <w:rPr>
          <w:rFonts w:ascii="Times New Roman" w:hAnsi="Times New Roman"/>
          <w:noProof/>
          <w:vertAlign w:val="subscript"/>
        </w:rPr>
        <w:t>2</w:t>
      </w:r>
      <w:r>
        <w:rPr>
          <w:rFonts w:ascii="Times New Roman" w:hAnsi="Times New Roman"/>
          <w:noProof/>
        </w:rPr>
        <w:t xml:space="preserve"> sont inférieures ou égales à 50 g/km. Le montant du bonus dépend du type de véhicule (électrique, hybride rechargeable, hydrogène), du type de bénéficiaire (ménage ou entreprise) et du prix du véhicule (bonus plus élevé pour les voitures moins chères).</w:t>
      </w:r>
    </w:p>
    <w:p w14:paraId="5A8AE1AA" w14:textId="77777777" w:rsidR="00740F0F" w:rsidRPr="0029070D" w:rsidRDefault="00100B64">
      <w:pPr>
        <w:widowControl w:val="0"/>
        <w:autoSpaceDE w:val="0"/>
        <w:autoSpaceDN w:val="0"/>
        <w:spacing w:before="129" w:after="0" w:line="240" w:lineRule="auto"/>
        <w:ind w:left="220" w:right="142"/>
        <w:jc w:val="both"/>
        <w:rPr>
          <w:rFonts w:ascii="Times New Roman" w:eastAsia="Times New Roman" w:hAnsi="Times New Roman" w:cs="Times New Roman"/>
          <w:noProof/>
          <w:kern w:val="0"/>
          <w:szCs w:val="20"/>
          <w14:ligatures w14:val="none"/>
        </w:rPr>
      </w:pPr>
      <w:r>
        <w:rPr>
          <w:rFonts w:ascii="Times New Roman" w:hAnsi="Times New Roman"/>
          <w:noProof/>
        </w:rPr>
        <w:t>Le niveau du bonus diminuera progressivement à partir de juillet 2021, à mesure que la compétitivité de ces véhicules augmentera par rapport à leurs alternatives thermiques.</w:t>
      </w:r>
    </w:p>
    <w:p w14:paraId="5A8AE1AB" w14:textId="77777777" w:rsidR="00740F0F" w:rsidRPr="0029070D" w:rsidRDefault="00100B64">
      <w:pPr>
        <w:widowControl w:val="0"/>
        <w:autoSpaceDE w:val="0"/>
        <w:autoSpaceDN w:val="0"/>
        <w:spacing w:before="218"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3 (C3.I3): mobilités du quotidien: développement des infrastructures de transports en commun</w:t>
      </w:r>
    </w:p>
    <w:p w14:paraId="5A8AE1AC" w14:textId="77777777" w:rsidR="00740F0F" w:rsidRPr="0029070D" w:rsidRDefault="00100B64">
      <w:pPr>
        <w:widowControl w:val="0"/>
        <w:autoSpaceDE w:val="0"/>
        <w:autoSpaceDN w:val="0"/>
        <w:spacing w:before="115" w:after="0" w:line="240" w:lineRule="auto"/>
        <w:ind w:left="220" w:right="223"/>
        <w:jc w:val="both"/>
        <w:rPr>
          <w:rFonts w:ascii="Times New Roman" w:eastAsia="Times New Roman" w:hAnsi="Times New Roman" w:cs="Times New Roman"/>
          <w:noProof/>
        </w:rPr>
      </w:pPr>
      <w:r>
        <w:rPr>
          <w:rFonts w:ascii="Times New Roman" w:hAnsi="Times New Roman"/>
          <w:noProof/>
        </w:rPr>
        <w:t xml:space="preserve">La mesure vise à financer le développement des infrastructures de transports en commun dans les zones urbaines. </w:t>
      </w:r>
    </w:p>
    <w:p w14:paraId="5A8AE1AD" w14:textId="42B4BC0F" w:rsidR="00740F0F" w:rsidRPr="0029070D" w:rsidRDefault="00100B64">
      <w:pPr>
        <w:widowControl w:val="0"/>
        <w:autoSpaceDE w:val="0"/>
        <w:autoSpaceDN w:val="0"/>
        <w:spacing w:before="115" w:after="0" w:line="240" w:lineRule="auto"/>
        <w:ind w:left="220" w:right="223"/>
        <w:jc w:val="both"/>
        <w:rPr>
          <w:rFonts w:ascii="Times New Roman" w:eastAsia="Times New Roman" w:hAnsi="Times New Roman" w:cs="Times New Roman"/>
          <w:noProof/>
          <w:kern w:val="0"/>
          <w14:ligatures w14:val="none"/>
        </w:rPr>
      </w:pPr>
      <w:r>
        <w:rPr>
          <w:rFonts w:ascii="Times New Roman" w:hAnsi="Times New Roman"/>
          <w:noProof/>
        </w:rPr>
        <w:t xml:space="preserve">Cette mesure consiste en des investissements destinés à cofinancer la rénovation, l’adaptation, la modernisation ou la création d’infrastructures de transports en commun (lignes ferroviaires urbaines, lignes de tramway, lignes de métro, voies de bus et téléphériques urbains). </w:t>
      </w:r>
    </w:p>
    <w:p w14:paraId="5A8AE1AE" w14:textId="77777777" w:rsidR="00740F0F" w:rsidRPr="0029070D" w:rsidRDefault="00100B64">
      <w:pPr>
        <w:widowControl w:val="0"/>
        <w:autoSpaceDE w:val="0"/>
        <w:autoSpaceDN w:val="0"/>
        <w:spacing w:before="218"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4 (C3.I4): accélération des travaux d’infrastructures de transport</w:t>
      </w:r>
    </w:p>
    <w:p w14:paraId="5A8AE1AF" w14:textId="77777777" w:rsidR="00740F0F" w:rsidRPr="0029070D" w:rsidRDefault="00100B64">
      <w:pPr>
        <w:widowControl w:val="0"/>
        <w:autoSpaceDE w:val="0"/>
        <w:autoSpaceDN w:val="0"/>
        <w:spacing w:before="113" w:after="0" w:line="242" w:lineRule="auto"/>
        <w:ind w:left="220" w:right="224"/>
        <w:jc w:val="both"/>
        <w:rPr>
          <w:rFonts w:ascii="Times New Roman" w:eastAsia="Times New Roman" w:hAnsi="Times New Roman" w:cs="Times New Roman"/>
          <w:noProof/>
          <w:kern w:val="0"/>
          <w:szCs w:val="20"/>
          <w14:ligatures w14:val="none"/>
        </w:rPr>
      </w:pPr>
      <w:r>
        <w:rPr>
          <w:rFonts w:ascii="Times New Roman" w:hAnsi="Times New Roman"/>
          <w:noProof/>
        </w:rPr>
        <w:t>La mesure vise à moderniser les infrastructures de transport existantes pour les adapter aux nouveaux moyens de transport, aux besoins locaux et à la transition écologique. Elle facilite l’intégration du covoiturage et des véhicules électriques comme alternative aux voitures privées. Elle renforce également la numérisation et l’intégration des nouvelles technologies pour le fonctionnement et la surveillance des infrastructures fluviales afin d’en faire une véritable alternative au transport routier de marchandises.</w:t>
      </w:r>
    </w:p>
    <w:p w14:paraId="5A8AE1B0" w14:textId="77777777" w:rsidR="00740F0F" w:rsidRPr="0029070D" w:rsidRDefault="00100B64">
      <w:pPr>
        <w:widowControl w:val="0"/>
        <w:autoSpaceDE w:val="0"/>
        <w:autoSpaceDN w:val="0"/>
        <w:spacing w:before="107" w:after="0" w:line="240" w:lineRule="auto"/>
        <w:ind w:left="220" w:right="218"/>
        <w:jc w:val="both"/>
        <w:rPr>
          <w:rFonts w:ascii="Times New Roman" w:eastAsia="Times New Roman" w:hAnsi="Times New Roman" w:cs="Times New Roman"/>
          <w:noProof/>
          <w:kern w:val="0"/>
          <w:szCs w:val="20"/>
          <w14:ligatures w14:val="none"/>
        </w:rPr>
      </w:pPr>
      <w:r>
        <w:rPr>
          <w:rFonts w:ascii="Times New Roman" w:hAnsi="Times New Roman"/>
          <w:noProof/>
        </w:rPr>
        <w:t>La mesure est principalement mise en œuvre par l’intermédiaire de l’AFITF (Agence de financement des infrastructures de transport de France), un organisme public mandaté par le gouvernement pour investir dans des projets d’infrastructures de transport présélectionnés. L’investissement concerne plusieurs projets. Il finance l’installation de nouvelles bornes de recharge électrique sur les routes nationales et les autoroutes. La priorité est donnée aux transports en commun et au covoiturage avec la création de voies réservées et l’installation d’équipements pour les contrôler, ainsi que la création de zones à faibles émissions. La rénovation des réseaux fluviaux, en particulier des écluses et des barrages, est également prévue, ainsi que la modernisation du système de gestion numérique des affaires maritimes et du réseau des CROSS (Centre régional opérationnel de surveillance et de sauvetage).</w:t>
      </w:r>
    </w:p>
    <w:p w14:paraId="5A8AE1B1" w14:textId="77777777" w:rsidR="00740F0F" w:rsidRPr="0029070D" w:rsidRDefault="00100B64">
      <w:pPr>
        <w:widowControl w:val="0"/>
        <w:autoSpaceDE w:val="0"/>
        <w:autoSpaceDN w:val="0"/>
        <w:spacing w:before="221"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5 (C3.I5): verdissement du parc automobile de l’État</w:t>
      </w:r>
    </w:p>
    <w:p w14:paraId="5A8AE1B2" w14:textId="77777777" w:rsidR="00740F0F" w:rsidRPr="0029070D" w:rsidRDefault="00100B64">
      <w:pPr>
        <w:widowControl w:val="0"/>
        <w:autoSpaceDE w:val="0"/>
        <w:autoSpaceDN w:val="0"/>
        <w:spacing w:before="113" w:after="0" w:line="240" w:lineRule="auto"/>
        <w:ind w:left="220" w:right="230"/>
        <w:jc w:val="both"/>
        <w:rPr>
          <w:rFonts w:ascii="Times New Roman" w:eastAsia="Times New Roman" w:hAnsi="Times New Roman" w:cs="Times New Roman"/>
          <w:noProof/>
          <w:kern w:val="0"/>
          <w:szCs w:val="20"/>
          <w14:ligatures w14:val="none"/>
        </w:rPr>
      </w:pPr>
      <w:r>
        <w:rPr>
          <w:rFonts w:ascii="Times New Roman" w:hAnsi="Times New Roman"/>
          <w:noProof/>
        </w:rPr>
        <w:t>La mesure vise à renouveler le parc automobile de trois administrations: la police et la gendarmerie (relevant du ministère de l’intérieur), la direction générale des douanes et droits indirects (relevant du ministère des finances) et l’administration pénitentiaire (relevant du ministère de la justice). Le parc automobile de ces trois administrations, qui représente la majorité du parc automobile de l’État, présente une moyenne d’âge élevée, un kilométrage important et un taux de renouvellement insuffisant. Le plan de verdissement du parc pour 2021 et 2022 prévoit de prioriser l’achat de véhicules propres (électriques ou hybrides rechargeables). Au total, l’investissement porte sur l’acquisition de 3 465 véhicules propres pour le ministère de l’intérieur, 570 pour les douanes et 530 pour l’administration de la justice. La mesure soutient également l’achat de bornes de recharge électrique.</w:t>
      </w:r>
    </w:p>
    <w:p w14:paraId="5A8AE1B3" w14:textId="77777777" w:rsidR="00740F0F" w:rsidRPr="0029070D" w:rsidRDefault="00740F0F">
      <w:pPr>
        <w:widowControl w:val="0"/>
        <w:autoSpaceDE w:val="0"/>
        <w:autoSpaceDN w:val="0"/>
        <w:spacing w:before="72" w:after="0" w:line="240" w:lineRule="auto"/>
        <w:ind w:left="220"/>
        <w:jc w:val="both"/>
        <w:rPr>
          <w:rFonts w:ascii="Times New Roman" w:eastAsia="Times New Roman" w:hAnsi="Times New Roman" w:cs="Times New Roman"/>
          <w:noProof/>
          <w:spacing w:val="-3"/>
          <w:kern w:val="0"/>
          <w:szCs w:val="20"/>
          <w:u w:val="single"/>
          <w14:ligatures w14:val="none"/>
        </w:rPr>
      </w:pPr>
    </w:p>
    <w:p w14:paraId="5A8AE1B4" w14:textId="77777777" w:rsidR="00740F0F" w:rsidRPr="0029070D" w:rsidRDefault="00100B64">
      <w:pPr>
        <w:widowControl w:val="0"/>
        <w:autoSpaceDE w:val="0"/>
        <w:autoSpaceDN w:val="0"/>
        <w:spacing w:before="72"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6 (C3.I6): verdissement des ports</w:t>
      </w:r>
    </w:p>
    <w:p w14:paraId="5A8AE1B5" w14:textId="60B09634" w:rsidR="00740F0F" w:rsidRPr="0029070D" w:rsidRDefault="00100B64">
      <w:pPr>
        <w:widowControl w:val="0"/>
        <w:spacing w:before="115" w:after="0" w:line="240" w:lineRule="auto"/>
        <w:ind w:left="220" w:right="223"/>
        <w:jc w:val="both"/>
        <w:rPr>
          <w:rFonts w:ascii="Times New Roman" w:eastAsia="Times New Roman" w:hAnsi="Times New Roman" w:cs="Times New Roman"/>
          <w:noProof/>
        </w:rPr>
      </w:pPr>
      <w:r>
        <w:rPr>
          <w:rFonts w:ascii="Times New Roman" w:hAnsi="Times New Roman"/>
          <w:noProof/>
        </w:rPr>
        <w:t xml:space="preserve">L’objectif de cette mesure est de soutenir une offre de carburants alternatifs sur quais et des navires électriques hybrides. </w:t>
      </w:r>
    </w:p>
    <w:p w14:paraId="5A8AE1B6" w14:textId="77777777" w:rsidR="00740F0F" w:rsidRPr="0029070D" w:rsidRDefault="00100B64">
      <w:pPr>
        <w:widowControl w:val="0"/>
        <w:spacing w:before="115" w:after="0" w:line="240" w:lineRule="auto"/>
        <w:ind w:left="220" w:right="223"/>
        <w:jc w:val="both"/>
        <w:rPr>
          <w:rFonts w:ascii="Times New Roman" w:eastAsia="Times New Roman" w:hAnsi="Times New Roman" w:cs="Times New Roman"/>
          <w:noProof/>
        </w:rPr>
      </w:pPr>
      <w:r>
        <w:rPr>
          <w:rFonts w:ascii="Times New Roman" w:hAnsi="Times New Roman"/>
          <w:noProof/>
        </w:rPr>
        <w:t>Elle se compose de deux sous-mesures soutenant: i) l’installation de nouvelles bornes électriques sur les quais; et ii) des navires baliseurs électriques hybrides pour la flotte du service «Armement des phares et balises» (APB).</w:t>
      </w:r>
    </w:p>
    <w:p w14:paraId="5A8AE1B7" w14:textId="77777777" w:rsidR="00740F0F" w:rsidRPr="0029070D" w:rsidRDefault="00100B64">
      <w:pPr>
        <w:widowControl w:val="0"/>
        <w:autoSpaceDE w:val="0"/>
        <w:autoSpaceDN w:val="0"/>
        <w:spacing w:before="229" w:after="0" w:line="235" w:lineRule="auto"/>
        <w:ind w:left="220" w:right="238"/>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7 (C3.I7): renforcement de la résilience des réseaux électriques et transition énergétique en zone rurale</w:t>
      </w:r>
    </w:p>
    <w:p w14:paraId="5A8AE1B8" w14:textId="1634186D" w:rsidR="00740F0F" w:rsidRPr="0029070D" w:rsidRDefault="00100B64">
      <w:pPr>
        <w:widowControl w:val="0"/>
        <w:autoSpaceDE w:val="0"/>
        <w:autoSpaceDN w:val="0"/>
        <w:spacing w:before="131" w:after="0" w:line="242" w:lineRule="auto"/>
        <w:ind w:left="220" w:right="234"/>
        <w:jc w:val="both"/>
        <w:rPr>
          <w:rFonts w:ascii="Times New Roman" w:eastAsia="Times New Roman" w:hAnsi="Times New Roman" w:cs="Times New Roman"/>
          <w:noProof/>
          <w:kern w:val="0"/>
          <w:szCs w:val="20"/>
          <w14:ligatures w14:val="none"/>
        </w:rPr>
      </w:pPr>
      <w:r>
        <w:rPr>
          <w:rFonts w:ascii="Times New Roman" w:hAnsi="Times New Roman"/>
          <w:noProof/>
        </w:rPr>
        <w:t>Cette mesure vise à accroître la résilience des réseaux électriques, en mettant l’accent sur les zones rurales. Elle permet d’améliorer la qualité du réseau de distribution d’électricité, dans les régions où les énergies renouvelables se développent majoritairement et où les besoins en termes de mobilité électrique sont les plus importants.</w:t>
      </w:r>
    </w:p>
    <w:p w14:paraId="5A8AE1B9" w14:textId="77777777" w:rsidR="00740F0F" w:rsidRPr="0029070D" w:rsidRDefault="00100B64">
      <w:pPr>
        <w:widowControl w:val="0"/>
        <w:autoSpaceDE w:val="0"/>
        <w:autoSpaceDN w:val="0"/>
        <w:spacing w:before="123" w:after="0" w:line="223" w:lineRule="auto"/>
        <w:ind w:left="220" w:right="234"/>
        <w:jc w:val="both"/>
        <w:rPr>
          <w:rFonts w:ascii="Times New Roman" w:eastAsia="Times New Roman" w:hAnsi="Times New Roman" w:cs="Times New Roman"/>
          <w:noProof/>
          <w:kern w:val="0"/>
          <w:szCs w:val="20"/>
          <w14:ligatures w14:val="none"/>
        </w:rPr>
      </w:pPr>
      <w:r>
        <w:rPr>
          <w:rFonts w:ascii="Times New Roman" w:hAnsi="Times New Roman"/>
          <w:noProof/>
        </w:rPr>
        <w:t>Les bénéficiaires de la mesure sont les autorités organisatrices de la distribution publique d’électricité</w:t>
      </w:r>
      <w:r w:rsidRPr="0029070D">
        <w:rPr>
          <w:rStyle w:val="FootnoteReference"/>
          <w:rFonts w:ascii="Times New Roman" w:eastAsia="Times New Roman" w:hAnsi="Times New Roman" w:cs="Times New Roman"/>
          <w:b w:val="0"/>
          <w:bCs/>
          <w:noProof/>
          <w:kern w:val="0"/>
          <w:szCs w:val="20"/>
        </w:rPr>
        <w:footnoteReference w:id="9"/>
      </w:r>
      <w:r>
        <w:rPr>
          <w:rFonts w:ascii="Times New Roman" w:hAnsi="Times New Roman"/>
          <w:noProof/>
        </w:rPr>
        <w:t>.</w:t>
      </w:r>
    </w:p>
    <w:p w14:paraId="5A8AE1BA" w14:textId="77777777" w:rsidR="00740F0F" w:rsidRPr="0029070D" w:rsidRDefault="00100B64">
      <w:pPr>
        <w:widowControl w:val="0"/>
        <w:autoSpaceDE w:val="0"/>
        <w:autoSpaceDN w:val="0"/>
        <w:spacing w:before="134" w:after="0" w:line="235" w:lineRule="auto"/>
        <w:ind w:left="220" w:right="232"/>
        <w:jc w:val="both"/>
        <w:rPr>
          <w:rFonts w:ascii="Times New Roman" w:eastAsia="Times New Roman" w:hAnsi="Times New Roman" w:cs="Times New Roman"/>
          <w:noProof/>
          <w:kern w:val="0"/>
          <w:szCs w:val="20"/>
          <w14:ligatures w14:val="none"/>
        </w:rPr>
      </w:pPr>
      <w:r>
        <w:rPr>
          <w:rFonts w:ascii="Times New Roman" w:hAnsi="Times New Roman"/>
          <w:noProof/>
        </w:rPr>
        <w:t>L’investissement abonde la ligne budgétaire de la loi de finances dédiée à l’électrification rurale. La mesure prévoit de financer plusieurs sous-programmes d’ici 2023.</w:t>
      </w:r>
    </w:p>
    <w:p w14:paraId="5A8AE1BB" w14:textId="77777777" w:rsidR="00740F0F" w:rsidRPr="0029070D" w:rsidRDefault="00100B64">
      <w:pPr>
        <w:widowControl w:val="0"/>
        <w:autoSpaceDE w:val="0"/>
        <w:autoSpaceDN w:val="0"/>
        <w:spacing w:before="132" w:after="0" w:line="240" w:lineRule="auto"/>
        <w:ind w:left="220" w:right="229"/>
        <w:jc w:val="both"/>
        <w:rPr>
          <w:rFonts w:ascii="Times New Roman" w:eastAsia="Times New Roman" w:hAnsi="Times New Roman" w:cs="Times New Roman"/>
          <w:noProof/>
          <w:kern w:val="0"/>
          <w:szCs w:val="20"/>
          <w14:ligatures w14:val="none"/>
        </w:rPr>
      </w:pPr>
      <w:r>
        <w:rPr>
          <w:rFonts w:ascii="Times New Roman" w:hAnsi="Times New Roman"/>
          <w:noProof/>
        </w:rPr>
        <w:t>Les sous-programmes «transition énergétique» et «développement de solutions innovantes» visent à financer la transition énergétique dans les zones rurales en favorisant l’intégration des énergies renouvelables au réseau, la construction d’installations de stockage et d’infrastructures de recharge électrique. Ils accélèrent également le déploiement de compteurs intelligents.</w:t>
      </w:r>
    </w:p>
    <w:p w14:paraId="5A8AE1BC" w14:textId="77777777" w:rsidR="00740F0F" w:rsidRPr="0029070D" w:rsidRDefault="00100B64">
      <w:pPr>
        <w:widowControl w:val="0"/>
        <w:autoSpaceDE w:val="0"/>
        <w:autoSpaceDN w:val="0"/>
        <w:spacing w:before="113" w:after="0" w:line="247" w:lineRule="auto"/>
        <w:ind w:left="220" w:right="229"/>
        <w:jc w:val="both"/>
        <w:rPr>
          <w:rFonts w:ascii="Times New Roman" w:eastAsia="Times New Roman" w:hAnsi="Times New Roman" w:cs="Times New Roman"/>
          <w:noProof/>
          <w:kern w:val="0"/>
          <w:szCs w:val="20"/>
          <w14:ligatures w14:val="none"/>
        </w:rPr>
      </w:pPr>
      <w:r>
        <w:rPr>
          <w:rFonts w:ascii="Times New Roman" w:hAnsi="Times New Roman"/>
          <w:noProof/>
        </w:rPr>
        <w:t>Le second sous-programme «intempéries» finance les travaux de réparation des parties du réseau électrique endommagées par des conditions météorologiques extrêmes.</w:t>
      </w:r>
    </w:p>
    <w:p w14:paraId="5A8AE1BD" w14:textId="77777777" w:rsidR="00740F0F" w:rsidRPr="0029070D" w:rsidRDefault="00100B64">
      <w:pPr>
        <w:widowControl w:val="0"/>
        <w:autoSpaceDE w:val="0"/>
        <w:autoSpaceDN w:val="0"/>
        <w:spacing w:before="113" w:after="0" w:line="247" w:lineRule="auto"/>
        <w:ind w:left="220" w:right="229"/>
        <w:jc w:val="both"/>
        <w:rPr>
          <w:rFonts w:ascii="Times New Roman" w:eastAsia="Times New Roman" w:hAnsi="Times New Roman" w:cs="Times New Roman"/>
          <w:noProof/>
          <w:kern w:val="0"/>
          <w:szCs w:val="20"/>
          <w14:ligatures w14:val="none"/>
        </w:rPr>
      </w:pPr>
      <w:r>
        <w:rPr>
          <w:rFonts w:ascii="Times New Roman" w:hAnsi="Times New Roman"/>
          <w:noProof/>
        </w:rPr>
        <w:t>Le reste de l’investissement est affecté au renouvellement des anciens câbles et installations électriques et au renforcement de la sécurité du réseau, qui fait actuellement défaut dans les zones rurales.</w:t>
      </w:r>
    </w:p>
    <w:p w14:paraId="5A8AE1BE" w14:textId="77777777" w:rsidR="00740F0F" w:rsidRPr="0029070D" w:rsidRDefault="00740F0F">
      <w:pPr>
        <w:widowControl w:val="0"/>
        <w:autoSpaceDE w:val="0"/>
        <w:autoSpaceDN w:val="0"/>
        <w:spacing w:after="0" w:line="240" w:lineRule="auto"/>
        <w:rPr>
          <w:rFonts w:ascii="Calibri" w:eastAsia="Times New Roman" w:hAnsi="Times New Roman" w:cs="Times New Roman"/>
          <w:noProof/>
          <w:kern w:val="0"/>
          <w:sz w:val="20"/>
          <w:szCs w:val="20"/>
          <w14:ligatures w14:val="none"/>
        </w:rPr>
      </w:pPr>
    </w:p>
    <w:p w14:paraId="5A8AE1BF" w14:textId="77777777" w:rsidR="00740F0F" w:rsidRPr="0029070D" w:rsidRDefault="00740F0F">
      <w:pPr>
        <w:spacing w:before="120" w:after="120" w:line="360" w:lineRule="auto"/>
        <w:rPr>
          <w:rFonts w:ascii="Times New Roman" w:eastAsia="Calibri" w:hAnsi="Times New Roman" w:cs="Times New Roman"/>
          <w:noProof/>
          <w:kern w:val="0"/>
          <w:sz w:val="20"/>
          <w:szCs w:val="22"/>
          <w14:ligatures w14:val="none"/>
        </w:rPr>
        <w:sectPr w:rsidR="00740F0F" w:rsidRPr="0029070D">
          <w:headerReference w:type="even" r:id="rId42"/>
          <w:headerReference w:type="default" r:id="rId43"/>
          <w:footerReference w:type="even" r:id="rId44"/>
          <w:footerReference w:type="default" r:id="rId45"/>
          <w:headerReference w:type="first" r:id="rId46"/>
          <w:footerReference w:type="first" r:id="rId47"/>
          <w:pgSz w:w="11920" w:h="16860"/>
          <w:pgMar w:top="1134" w:right="1134" w:bottom="1134" w:left="1134" w:header="567" w:footer="567" w:gutter="0"/>
          <w:cols w:space="720"/>
          <w:docGrid w:linePitch="326"/>
        </w:sectPr>
      </w:pPr>
    </w:p>
    <w:p w14:paraId="5A8AE1C0" w14:textId="77777777" w:rsidR="00740F0F" w:rsidRPr="0029070D" w:rsidRDefault="00740F0F">
      <w:pPr>
        <w:widowControl w:val="0"/>
        <w:autoSpaceDE w:val="0"/>
        <w:autoSpaceDN w:val="0"/>
        <w:spacing w:before="10" w:after="0" w:line="240" w:lineRule="auto"/>
        <w:rPr>
          <w:rFonts w:ascii="Times New Roman" w:eastAsia="Times New Roman" w:hAnsi="Times New Roman" w:cs="Times New Roman"/>
          <w:noProof/>
          <w:kern w:val="0"/>
          <w:sz w:val="8"/>
          <w:szCs w:val="20"/>
          <w14:ligatures w14:val="none"/>
        </w:rPr>
      </w:pPr>
    </w:p>
    <w:p w14:paraId="5A8AE1C1" w14:textId="77777777" w:rsidR="00740F0F" w:rsidRPr="00B46C4C" w:rsidRDefault="00100B64">
      <w:pPr>
        <w:widowControl w:val="0"/>
        <w:numPr>
          <w:ilvl w:val="2"/>
          <w:numId w:val="1"/>
        </w:numPr>
        <w:tabs>
          <w:tab w:val="left" w:pos="1182"/>
          <w:tab w:val="left" w:pos="1183"/>
        </w:tabs>
        <w:autoSpaceDE w:val="0"/>
        <w:autoSpaceDN w:val="0"/>
        <w:spacing w:before="130" w:after="0" w:line="240" w:lineRule="auto"/>
        <w:ind w:left="1182" w:hanging="589"/>
        <w:jc w:val="center"/>
        <w:outlineLvl w:val="1"/>
        <w:rPr>
          <w:rFonts w:ascii="Times New Roman" w:eastAsia="Times New Roman" w:hAnsi="Times New Roman" w:cs="Times New Roman"/>
          <w:b/>
          <w:noProof/>
          <w:kern w:val="0"/>
          <w:szCs w:val="20"/>
          <w:u w:val="single"/>
          <w14:ligatures w14:val="none"/>
        </w:rPr>
      </w:pPr>
      <w:r>
        <w:rPr>
          <w:rFonts w:ascii="Times New Roman" w:hAnsi="Times New Roman"/>
          <w:b/>
          <w:noProof/>
          <w:u w:val="single"/>
        </w:rPr>
        <w:t>Jalons, cibles, indicateurs et calendrier de suivi et de mise en œuvre en vue du soutien financier non remboursable</w:t>
      </w:r>
    </w:p>
    <w:p w14:paraId="5A8AE1C2" w14:textId="77777777" w:rsidR="00740F0F" w:rsidRPr="0029070D" w:rsidRDefault="00740F0F">
      <w:pPr>
        <w:widowControl w:val="0"/>
        <w:autoSpaceDE w:val="0"/>
        <w:autoSpaceDN w:val="0"/>
        <w:spacing w:before="4" w:after="1" w:line="240" w:lineRule="auto"/>
        <w:rPr>
          <w:rFonts w:ascii="Times New Roman" w:eastAsia="Times New Roman" w:hAnsi="Times New Roman" w:cs="Times New Roman"/>
          <w:b/>
          <w:noProof/>
          <w:kern w:val="0"/>
          <w:sz w:val="16"/>
          <w:szCs w:val="20"/>
          <w14:ligatures w14:val="none"/>
        </w:rPr>
      </w:pPr>
    </w:p>
    <w:tbl>
      <w:tblPr>
        <w:tblStyle w:val="NormalTable0"/>
        <w:tblW w:w="15426" w:type="dxa"/>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1E0" w:firstRow="1" w:lastRow="1" w:firstColumn="1" w:lastColumn="1" w:noHBand="0" w:noVBand="0"/>
      </w:tblPr>
      <w:tblGrid>
        <w:gridCol w:w="1119"/>
        <w:gridCol w:w="1116"/>
        <w:gridCol w:w="1116"/>
        <w:gridCol w:w="1841"/>
        <w:gridCol w:w="1255"/>
        <w:gridCol w:w="888"/>
        <w:gridCol w:w="1025"/>
        <w:gridCol w:w="929"/>
        <w:gridCol w:w="843"/>
        <w:gridCol w:w="1140"/>
        <w:gridCol w:w="4154"/>
      </w:tblGrid>
      <w:tr w:rsidR="00782477" w:rsidRPr="0029070D" w14:paraId="5A8AE1CB" w14:textId="77777777" w:rsidTr="4A5B8411">
        <w:trPr>
          <w:trHeight w:val="841"/>
          <w:tblHeader/>
          <w:jc w:val="center"/>
        </w:trPr>
        <w:tc>
          <w:tcPr>
            <w:tcW w:w="1119" w:type="dxa"/>
            <w:vMerge w:val="restart"/>
            <w:tcBorders>
              <w:left w:val="single" w:sz="4" w:space="0" w:color="000000" w:themeColor="text1"/>
              <w:right w:val="single" w:sz="4" w:space="0" w:color="000000" w:themeColor="text1"/>
            </w:tcBorders>
            <w:shd w:val="clear" w:color="auto" w:fill="C5D9EF"/>
            <w:vAlign w:val="center"/>
          </w:tcPr>
          <w:p w14:paraId="5A8AE1C3" w14:textId="77777777" w:rsidR="00740F0F" w:rsidRPr="0029070D" w:rsidRDefault="00100B64">
            <w:pPr>
              <w:spacing w:line="228" w:lineRule="auto"/>
              <w:ind w:left="263" w:right="175" w:hanging="140"/>
              <w:jc w:val="center"/>
              <w:rPr>
                <w:rFonts w:ascii="Times New Roman" w:eastAsia="Times New Roman" w:hAnsi="Times New Roman" w:cs="Times New Roman"/>
                <w:b/>
                <w:noProof/>
                <w:sz w:val="18"/>
              </w:rPr>
            </w:pPr>
            <w:r>
              <w:rPr>
                <w:rFonts w:ascii="Times New Roman" w:hAnsi="Times New Roman"/>
                <w:b/>
                <w:noProof/>
                <w:sz w:val="18"/>
              </w:rPr>
              <w:t>Numéro séquentiel</w:t>
            </w:r>
          </w:p>
        </w:tc>
        <w:tc>
          <w:tcPr>
            <w:tcW w:w="1116" w:type="dxa"/>
            <w:vMerge w:val="restart"/>
            <w:tcBorders>
              <w:left w:val="single" w:sz="4" w:space="0" w:color="000000" w:themeColor="text1"/>
              <w:right w:val="single" w:sz="4" w:space="0" w:color="000000" w:themeColor="text1"/>
            </w:tcBorders>
            <w:shd w:val="clear" w:color="auto" w:fill="C5D9EF"/>
            <w:vAlign w:val="center"/>
          </w:tcPr>
          <w:p w14:paraId="5A8AE1C4" w14:textId="77777777" w:rsidR="00740F0F" w:rsidRPr="0029070D" w:rsidRDefault="00100B64">
            <w:pPr>
              <w:spacing w:before="1"/>
              <w:ind w:left="217"/>
              <w:jc w:val="center"/>
              <w:rPr>
                <w:rFonts w:ascii="Times New Roman" w:eastAsia="Times New Roman" w:hAnsi="Times New Roman" w:cs="Times New Roman"/>
                <w:b/>
                <w:noProof/>
                <w:sz w:val="19"/>
              </w:rPr>
            </w:pPr>
            <w:r>
              <w:rPr>
                <w:rFonts w:ascii="Times New Roman" w:hAnsi="Times New Roman"/>
                <w:b/>
                <w:noProof/>
                <w:sz w:val="19"/>
              </w:rPr>
              <w:t>Mesure</w:t>
            </w:r>
          </w:p>
        </w:tc>
        <w:tc>
          <w:tcPr>
            <w:tcW w:w="1116" w:type="dxa"/>
            <w:vMerge w:val="restart"/>
            <w:tcBorders>
              <w:left w:val="single" w:sz="4" w:space="0" w:color="000000" w:themeColor="text1"/>
              <w:right w:val="single" w:sz="4" w:space="0" w:color="000000" w:themeColor="text1"/>
            </w:tcBorders>
            <w:shd w:val="clear" w:color="auto" w:fill="C5D9EF"/>
            <w:vAlign w:val="center"/>
          </w:tcPr>
          <w:p w14:paraId="5A8AE1C5" w14:textId="77777777" w:rsidR="00740F0F" w:rsidRPr="0029070D" w:rsidRDefault="00100B64">
            <w:pPr>
              <w:spacing w:line="204" w:lineRule="exact"/>
              <w:jc w:val="center"/>
              <w:rPr>
                <w:rFonts w:ascii="Times New Roman" w:eastAsia="Times New Roman" w:hAnsi="Times New Roman" w:cs="Times New Roman"/>
                <w:b/>
                <w:noProof/>
                <w:sz w:val="18"/>
              </w:rPr>
            </w:pPr>
            <w:r>
              <w:rPr>
                <w:rFonts w:ascii="Times New Roman" w:hAnsi="Times New Roman"/>
                <w:b/>
                <w:noProof/>
                <w:sz w:val="18"/>
              </w:rPr>
              <w:t>Jalon / Cible</w:t>
            </w:r>
          </w:p>
        </w:tc>
        <w:tc>
          <w:tcPr>
            <w:tcW w:w="1841" w:type="dxa"/>
            <w:vMerge w:val="restart"/>
            <w:tcBorders>
              <w:left w:val="single" w:sz="4" w:space="0" w:color="000000" w:themeColor="text1"/>
              <w:right w:val="single" w:sz="4" w:space="0" w:color="000000" w:themeColor="text1"/>
            </w:tcBorders>
            <w:shd w:val="clear" w:color="auto" w:fill="C5D9EF"/>
            <w:vAlign w:val="center"/>
          </w:tcPr>
          <w:p w14:paraId="5A8AE1C6" w14:textId="77777777" w:rsidR="00740F0F" w:rsidRPr="0029070D" w:rsidRDefault="00100B64">
            <w:pPr>
              <w:ind w:right="650"/>
              <w:jc w:val="center"/>
              <w:rPr>
                <w:rFonts w:ascii="Times New Roman" w:eastAsia="Times New Roman" w:hAnsi="Times New Roman" w:cs="Times New Roman"/>
                <w:b/>
                <w:noProof/>
                <w:sz w:val="18"/>
              </w:rPr>
            </w:pPr>
            <w:r>
              <w:rPr>
                <w:rFonts w:ascii="Times New Roman" w:hAnsi="Times New Roman"/>
                <w:b/>
                <w:noProof/>
                <w:sz w:val="18"/>
              </w:rPr>
              <w:t>Dénomination</w:t>
            </w:r>
          </w:p>
        </w:tc>
        <w:tc>
          <w:tcPr>
            <w:tcW w:w="1255" w:type="dxa"/>
            <w:vMerge w:val="restart"/>
            <w:tcBorders>
              <w:left w:val="single" w:sz="4" w:space="0" w:color="000000" w:themeColor="text1"/>
            </w:tcBorders>
            <w:shd w:val="clear" w:color="auto" w:fill="C5D9EF"/>
            <w:vAlign w:val="center"/>
          </w:tcPr>
          <w:p w14:paraId="5A8AE1C7" w14:textId="77777777" w:rsidR="00740F0F" w:rsidRPr="00FB041E" w:rsidRDefault="00100B64">
            <w:pPr>
              <w:spacing w:line="235" w:lineRule="auto"/>
              <w:ind w:left="148" w:right="130" w:firstLine="84"/>
              <w:jc w:val="center"/>
              <w:rPr>
                <w:rFonts w:ascii="Times New Roman" w:eastAsia="Times New Roman" w:hAnsi="Times New Roman" w:cs="Times New Roman"/>
                <w:b/>
                <w:noProof/>
                <w:sz w:val="16"/>
                <w:szCs w:val="18"/>
              </w:rPr>
            </w:pPr>
            <w:r w:rsidRPr="00FB041E">
              <w:rPr>
                <w:rFonts w:ascii="Times New Roman" w:hAnsi="Times New Roman"/>
                <w:b/>
                <w:noProof/>
                <w:sz w:val="16"/>
                <w:szCs w:val="18"/>
              </w:rPr>
              <w:t>Indicateurs qualitatifs (pour les jalons)</w:t>
            </w:r>
          </w:p>
        </w:tc>
        <w:tc>
          <w:tcPr>
            <w:tcW w:w="2842" w:type="dxa"/>
            <w:gridSpan w:val="3"/>
            <w:shd w:val="clear" w:color="auto" w:fill="C5D9EF"/>
            <w:vAlign w:val="center"/>
          </w:tcPr>
          <w:p w14:paraId="5A8AE1C8" w14:textId="77777777" w:rsidR="00740F0F" w:rsidRPr="0029070D" w:rsidRDefault="00100B64">
            <w:pPr>
              <w:spacing w:before="187"/>
              <w:ind w:left="120"/>
              <w:jc w:val="center"/>
              <w:rPr>
                <w:rFonts w:ascii="Times New Roman" w:eastAsia="Times New Roman" w:hAnsi="Times New Roman" w:cs="Times New Roman"/>
                <w:b/>
                <w:noProof/>
                <w:sz w:val="18"/>
              </w:rPr>
            </w:pPr>
            <w:r>
              <w:rPr>
                <w:rFonts w:ascii="Times New Roman" w:hAnsi="Times New Roman"/>
                <w:b/>
                <w:noProof/>
                <w:sz w:val="18"/>
              </w:rPr>
              <w:t>Indicateurs quantitatifs (pour les cibles)</w:t>
            </w:r>
          </w:p>
        </w:tc>
        <w:tc>
          <w:tcPr>
            <w:tcW w:w="1983" w:type="dxa"/>
            <w:gridSpan w:val="2"/>
            <w:shd w:val="clear" w:color="auto" w:fill="C5D9EF"/>
            <w:vAlign w:val="center"/>
          </w:tcPr>
          <w:p w14:paraId="5A8AE1C9" w14:textId="77777777" w:rsidR="00740F0F" w:rsidRPr="0029070D" w:rsidRDefault="00100B64">
            <w:pPr>
              <w:spacing w:before="163" w:line="220" w:lineRule="atLeast"/>
              <w:ind w:left="367" w:right="351" w:firstLine="2"/>
              <w:jc w:val="center"/>
              <w:rPr>
                <w:rFonts w:ascii="Times New Roman" w:eastAsia="Times New Roman" w:hAnsi="Times New Roman" w:cs="Times New Roman"/>
                <w:b/>
                <w:noProof/>
                <w:sz w:val="19"/>
              </w:rPr>
            </w:pPr>
            <w:r>
              <w:rPr>
                <w:rFonts w:ascii="Times New Roman" w:hAnsi="Times New Roman"/>
                <w:b/>
                <w:noProof/>
                <w:sz w:val="19"/>
              </w:rPr>
              <w:t>Calendrier indicatif de réalisation</w:t>
            </w:r>
          </w:p>
        </w:tc>
        <w:tc>
          <w:tcPr>
            <w:tcW w:w="4154" w:type="dxa"/>
            <w:vMerge w:val="restart"/>
            <w:tcBorders>
              <w:right w:val="single" w:sz="4" w:space="0" w:color="000000" w:themeColor="text1"/>
            </w:tcBorders>
            <w:shd w:val="clear" w:color="auto" w:fill="C5D9EF"/>
            <w:vAlign w:val="center"/>
          </w:tcPr>
          <w:p w14:paraId="5A8AE1CA" w14:textId="77777777" w:rsidR="00740F0F" w:rsidRPr="0029070D" w:rsidRDefault="00100B64">
            <w:pPr>
              <w:ind w:left="695"/>
              <w:rPr>
                <w:rFonts w:ascii="Times New Roman" w:eastAsia="Times New Roman" w:hAnsi="Times New Roman" w:cs="Times New Roman"/>
                <w:b/>
                <w:noProof/>
                <w:sz w:val="18"/>
              </w:rPr>
            </w:pPr>
            <w:r>
              <w:rPr>
                <w:rFonts w:ascii="Times New Roman" w:hAnsi="Times New Roman"/>
                <w:b/>
                <w:noProof/>
                <w:sz w:val="18"/>
              </w:rPr>
              <w:t>Description de chaque jalon et cible</w:t>
            </w:r>
          </w:p>
        </w:tc>
      </w:tr>
      <w:tr w:rsidR="00782477" w:rsidRPr="0029070D" w14:paraId="5A8AE1D7" w14:textId="77777777" w:rsidTr="4A5B8411">
        <w:trPr>
          <w:trHeight w:val="376"/>
          <w:tblHeader/>
          <w:jc w:val="center"/>
        </w:trPr>
        <w:tc>
          <w:tcPr>
            <w:tcW w:w="1119" w:type="dxa"/>
            <w:vMerge/>
          </w:tcPr>
          <w:p w14:paraId="5A8AE1CC" w14:textId="77777777" w:rsidR="00740F0F" w:rsidRPr="0029070D" w:rsidRDefault="00740F0F">
            <w:pPr>
              <w:spacing w:before="120" w:after="120" w:line="360" w:lineRule="auto"/>
              <w:rPr>
                <w:rFonts w:ascii="Times New Roman" w:eastAsia="Calibri" w:hAnsi="Times New Roman" w:cs="Times New Roman"/>
                <w:noProof/>
                <w:sz w:val="2"/>
                <w:szCs w:val="2"/>
              </w:rPr>
            </w:pPr>
          </w:p>
        </w:tc>
        <w:tc>
          <w:tcPr>
            <w:tcW w:w="1116" w:type="dxa"/>
            <w:vMerge/>
          </w:tcPr>
          <w:p w14:paraId="5A8AE1CD" w14:textId="77777777" w:rsidR="00740F0F" w:rsidRPr="0029070D" w:rsidRDefault="00740F0F">
            <w:pPr>
              <w:spacing w:before="120" w:after="120" w:line="360" w:lineRule="auto"/>
              <w:rPr>
                <w:rFonts w:ascii="Times New Roman" w:eastAsia="Calibri" w:hAnsi="Times New Roman" w:cs="Times New Roman"/>
                <w:noProof/>
                <w:sz w:val="2"/>
                <w:szCs w:val="2"/>
              </w:rPr>
            </w:pPr>
          </w:p>
        </w:tc>
        <w:tc>
          <w:tcPr>
            <w:tcW w:w="1116" w:type="dxa"/>
            <w:vMerge/>
          </w:tcPr>
          <w:p w14:paraId="5A8AE1CE" w14:textId="77777777" w:rsidR="00740F0F" w:rsidRPr="0029070D" w:rsidRDefault="00740F0F">
            <w:pPr>
              <w:spacing w:before="120" w:after="120" w:line="360" w:lineRule="auto"/>
              <w:rPr>
                <w:rFonts w:ascii="Times New Roman" w:eastAsia="Calibri" w:hAnsi="Times New Roman" w:cs="Times New Roman"/>
                <w:noProof/>
                <w:sz w:val="2"/>
                <w:szCs w:val="2"/>
              </w:rPr>
            </w:pPr>
          </w:p>
        </w:tc>
        <w:tc>
          <w:tcPr>
            <w:tcW w:w="1841" w:type="dxa"/>
            <w:vMerge/>
          </w:tcPr>
          <w:p w14:paraId="5A8AE1CF" w14:textId="77777777" w:rsidR="00740F0F" w:rsidRPr="0029070D" w:rsidRDefault="00740F0F">
            <w:pPr>
              <w:spacing w:before="120" w:after="120" w:line="360" w:lineRule="auto"/>
              <w:rPr>
                <w:rFonts w:ascii="Times New Roman" w:eastAsia="Calibri" w:hAnsi="Times New Roman" w:cs="Times New Roman"/>
                <w:noProof/>
                <w:sz w:val="2"/>
                <w:szCs w:val="2"/>
              </w:rPr>
            </w:pPr>
          </w:p>
        </w:tc>
        <w:tc>
          <w:tcPr>
            <w:tcW w:w="1255" w:type="dxa"/>
            <w:vMerge/>
          </w:tcPr>
          <w:p w14:paraId="5A8AE1D0" w14:textId="77777777" w:rsidR="00740F0F" w:rsidRPr="0029070D" w:rsidRDefault="00740F0F">
            <w:pPr>
              <w:spacing w:before="120" w:after="120" w:line="360" w:lineRule="auto"/>
              <w:rPr>
                <w:rFonts w:ascii="Times New Roman" w:eastAsia="Calibri" w:hAnsi="Times New Roman" w:cs="Times New Roman"/>
                <w:noProof/>
                <w:sz w:val="2"/>
                <w:szCs w:val="2"/>
              </w:rPr>
            </w:pPr>
          </w:p>
        </w:tc>
        <w:tc>
          <w:tcPr>
            <w:tcW w:w="888" w:type="dxa"/>
            <w:shd w:val="clear" w:color="auto" w:fill="C5D9EF"/>
          </w:tcPr>
          <w:p w14:paraId="5A8AE1D1" w14:textId="77777777" w:rsidR="00740F0F" w:rsidRPr="0029070D" w:rsidRDefault="00100B64">
            <w:pPr>
              <w:spacing w:before="131"/>
              <w:ind w:left="297"/>
              <w:rPr>
                <w:rFonts w:ascii="Times New Roman" w:eastAsia="Times New Roman" w:hAnsi="Times New Roman" w:cs="Times New Roman"/>
                <w:b/>
                <w:noProof/>
                <w:sz w:val="18"/>
              </w:rPr>
            </w:pPr>
            <w:r>
              <w:rPr>
                <w:rFonts w:ascii="Times New Roman" w:hAnsi="Times New Roman"/>
                <w:b/>
                <w:noProof/>
                <w:sz w:val="18"/>
              </w:rPr>
              <w:t>Unité de mesure</w:t>
            </w:r>
          </w:p>
        </w:tc>
        <w:tc>
          <w:tcPr>
            <w:tcW w:w="1025" w:type="dxa"/>
            <w:shd w:val="clear" w:color="auto" w:fill="C5D9EF"/>
          </w:tcPr>
          <w:p w14:paraId="5A8AE1D2" w14:textId="77777777" w:rsidR="00740F0F" w:rsidRPr="0029070D" w:rsidRDefault="00100B64">
            <w:pPr>
              <w:spacing w:before="131"/>
              <w:ind w:left="196"/>
              <w:rPr>
                <w:rFonts w:ascii="Times New Roman" w:eastAsia="Times New Roman" w:hAnsi="Times New Roman" w:cs="Times New Roman"/>
                <w:b/>
                <w:noProof/>
                <w:sz w:val="18"/>
              </w:rPr>
            </w:pPr>
            <w:r>
              <w:rPr>
                <w:rFonts w:ascii="Times New Roman" w:hAnsi="Times New Roman"/>
                <w:b/>
                <w:noProof/>
                <w:sz w:val="18"/>
              </w:rPr>
              <w:t>Base de référence</w:t>
            </w:r>
          </w:p>
        </w:tc>
        <w:tc>
          <w:tcPr>
            <w:tcW w:w="929" w:type="dxa"/>
            <w:shd w:val="clear" w:color="auto" w:fill="C5D9EF"/>
          </w:tcPr>
          <w:p w14:paraId="5A8AE1D3" w14:textId="77777777" w:rsidR="00740F0F" w:rsidRPr="0029070D" w:rsidRDefault="00100B64">
            <w:pPr>
              <w:spacing w:before="131"/>
              <w:ind w:left="285"/>
              <w:rPr>
                <w:rFonts w:ascii="Times New Roman" w:eastAsia="Times New Roman" w:hAnsi="Times New Roman" w:cs="Times New Roman"/>
                <w:b/>
                <w:noProof/>
                <w:sz w:val="18"/>
              </w:rPr>
            </w:pPr>
            <w:r w:rsidRPr="00FB041E">
              <w:rPr>
                <w:rFonts w:ascii="Times New Roman" w:hAnsi="Times New Roman"/>
                <w:b/>
                <w:noProof/>
                <w:sz w:val="16"/>
                <w:szCs w:val="18"/>
              </w:rPr>
              <w:t>Objectif</w:t>
            </w:r>
          </w:p>
        </w:tc>
        <w:tc>
          <w:tcPr>
            <w:tcW w:w="843" w:type="dxa"/>
            <w:shd w:val="clear" w:color="auto" w:fill="C5D9EF"/>
          </w:tcPr>
          <w:p w14:paraId="5A8AE1D4" w14:textId="77777777" w:rsidR="00740F0F" w:rsidRPr="0029070D" w:rsidRDefault="00100B64">
            <w:pPr>
              <w:spacing w:before="131"/>
              <w:ind w:left="80" w:right="22"/>
              <w:jc w:val="center"/>
              <w:rPr>
                <w:rFonts w:ascii="Times New Roman" w:eastAsia="Times New Roman" w:hAnsi="Times New Roman" w:cs="Times New Roman"/>
                <w:b/>
                <w:noProof/>
                <w:sz w:val="18"/>
              </w:rPr>
            </w:pPr>
            <w:r w:rsidRPr="00FB041E">
              <w:rPr>
                <w:rFonts w:ascii="Times New Roman" w:hAnsi="Times New Roman"/>
                <w:b/>
                <w:noProof/>
                <w:sz w:val="16"/>
                <w:szCs w:val="18"/>
              </w:rPr>
              <w:t>Trimestre</w:t>
            </w:r>
          </w:p>
        </w:tc>
        <w:tc>
          <w:tcPr>
            <w:tcW w:w="1140" w:type="dxa"/>
            <w:shd w:val="clear" w:color="auto" w:fill="C5D9EF"/>
          </w:tcPr>
          <w:p w14:paraId="5A8AE1D5" w14:textId="77777777" w:rsidR="00740F0F" w:rsidRPr="0029070D" w:rsidRDefault="00100B64">
            <w:pPr>
              <w:spacing w:before="131"/>
              <w:ind w:left="207" w:right="177"/>
              <w:jc w:val="center"/>
              <w:rPr>
                <w:rFonts w:ascii="Times New Roman" w:eastAsia="Times New Roman" w:hAnsi="Times New Roman" w:cs="Times New Roman"/>
                <w:b/>
                <w:noProof/>
                <w:sz w:val="18"/>
              </w:rPr>
            </w:pPr>
            <w:r>
              <w:rPr>
                <w:rFonts w:ascii="Times New Roman" w:hAnsi="Times New Roman"/>
                <w:b/>
                <w:noProof/>
                <w:sz w:val="18"/>
              </w:rPr>
              <w:t>Année</w:t>
            </w:r>
          </w:p>
        </w:tc>
        <w:tc>
          <w:tcPr>
            <w:tcW w:w="4154" w:type="dxa"/>
            <w:vMerge/>
          </w:tcPr>
          <w:p w14:paraId="5A8AE1D6" w14:textId="77777777" w:rsidR="00740F0F" w:rsidRPr="0029070D" w:rsidRDefault="00740F0F">
            <w:pPr>
              <w:spacing w:before="120" w:after="120" w:line="360" w:lineRule="auto"/>
              <w:rPr>
                <w:rFonts w:ascii="Times New Roman" w:eastAsia="Calibri" w:hAnsi="Times New Roman" w:cs="Times New Roman"/>
                <w:noProof/>
                <w:sz w:val="2"/>
                <w:szCs w:val="2"/>
              </w:rPr>
            </w:pPr>
          </w:p>
        </w:tc>
      </w:tr>
      <w:tr w:rsidR="00782477" w:rsidRPr="0029070D" w14:paraId="5A8AE1E4" w14:textId="77777777" w:rsidTr="4A5B8411">
        <w:trPr>
          <w:trHeight w:val="1373"/>
          <w:jc w:val="center"/>
        </w:trPr>
        <w:tc>
          <w:tcPr>
            <w:tcW w:w="1119" w:type="dxa"/>
            <w:shd w:val="clear" w:color="auto" w:fill="C5EDCE"/>
          </w:tcPr>
          <w:p w14:paraId="5A8AE1D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3-1</w:t>
            </w:r>
          </w:p>
        </w:tc>
        <w:tc>
          <w:tcPr>
            <w:tcW w:w="1116" w:type="dxa"/>
            <w:shd w:val="clear" w:color="auto" w:fill="C5EDCE"/>
          </w:tcPr>
          <w:p w14:paraId="5A8AE1D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C3.R1</w:t>
            </w:r>
          </w:p>
          <w:p w14:paraId="5A8AE1DA" w14:textId="77777777" w:rsidR="00740F0F" w:rsidRPr="0029070D" w:rsidRDefault="00100B64">
            <w:pPr>
              <w:spacing w:line="214" w:lineRule="exact"/>
              <w:ind w:left="9" w:hanging="8"/>
              <w:jc w:val="center"/>
              <w:rPr>
                <w:rFonts w:ascii="Times New Roman" w:eastAsia="Times New Roman" w:hAnsi="Times New Roman" w:cs="Times New Roman"/>
                <w:noProof/>
                <w:sz w:val="18"/>
                <w:szCs w:val="18"/>
              </w:rPr>
            </w:pPr>
            <w:r>
              <w:rPr>
                <w:rFonts w:ascii="Times New Roman" w:hAnsi="Times New Roman"/>
                <w:noProof/>
                <w:sz w:val="18"/>
              </w:rPr>
              <w:t>Loi d’orientation des mobilités</w:t>
            </w:r>
          </w:p>
        </w:tc>
        <w:tc>
          <w:tcPr>
            <w:tcW w:w="1116" w:type="dxa"/>
            <w:shd w:val="clear" w:color="auto" w:fill="C5EDCE"/>
          </w:tcPr>
          <w:p w14:paraId="5A8AE1D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41" w:type="dxa"/>
            <w:shd w:val="clear" w:color="auto" w:fill="C5EDCE"/>
          </w:tcPr>
          <w:p w14:paraId="5A8AE1DC" w14:textId="68F22570" w:rsidR="00740F0F" w:rsidRPr="0029070D" w:rsidRDefault="00100B64">
            <w:pPr>
              <w:spacing w:line="214" w:lineRule="exact"/>
              <w:ind w:left="9" w:right="389"/>
              <w:rPr>
                <w:rFonts w:ascii="Times New Roman" w:eastAsia="Times New Roman" w:hAnsi="Times New Roman" w:cs="Times New Roman"/>
                <w:noProof/>
                <w:sz w:val="18"/>
                <w:szCs w:val="18"/>
              </w:rPr>
            </w:pPr>
            <w:r>
              <w:rPr>
                <w:rFonts w:ascii="Times New Roman" w:hAnsi="Times New Roman"/>
                <w:noProof/>
              </w:rPr>
              <w:t>Article 35.2 de la loi nº 2019-1428 du 24</w:t>
            </w:r>
            <w:r>
              <w:rPr>
                <w:rFonts w:ascii="Times New Roman" w:hAnsi="Times New Roman"/>
                <w:noProof/>
                <w:sz w:val="18"/>
              </w:rPr>
              <w:t> </w:t>
            </w:r>
            <w:r>
              <w:rPr>
                <w:rFonts w:ascii="Times New Roman" w:hAnsi="Times New Roman"/>
                <w:noProof/>
              </w:rPr>
              <w:t>décembre 2019 d’orientation des mobilités</w:t>
            </w:r>
            <w:r>
              <w:rPr>
                <w:rFonts w:ascii="Times New Roman" w:hAnsi="Times New Roman"/>
                <w:noProof/>
                <w:sz w:val="18"/>
              </w:rPr>
              <w:t xml:space="preserve"> </w:t>
            </w:r>
          </w:p>
        </w:tc>
        <w:tc>
          <w:tcPr>
            <w:tcW w:w="1255" w:type="dxa"/>
            <w:shd w:val="clear" w:color="auto" w:fill="C5EDCE"/>
          </w:tcPr>
          <w:p w14:paraId="5A8AE1DD" w14:textId="77777777" w:rsidR="00740F0F" w:rsidRPr="0029070D" w:rsidRDefault="00100B64">
            <w:pPr>
              <w:spacing w:line="214" w:lineRule="exact"/>
              <w:ind w:left="9" w:hanging="9"/>
              <w:jc w:val="center"/>
              <w:rPr>
                <w:rFonts w:ascii="Times New Roman" w:eastAsia="Times New Roman" w:hAnsi="Times New Roman" w:cs="Times New Roman"/>
                <w:noProof/>
                <w:sz w:val="18"/>
                <w:szCs w:val="18"/>
              </w:rPr>
            </w:pPr>
            <w:r>
              <w:rPr>
                <w:rFonts w:ascii="Times New Roman" w:hAnsi="Times New Roman"/>
                <w:noProof/>
                <w:sz w:val="18"/>
              </w:rPr>
              <w:t>Entrée en vigueur</w:t>
            </w:r>
          </w:p>
        </w:tc>
        <w:tc>
          <w:tcPr>
            <w:tcW w:w="888" w:type="dxa"/>
            <w:shd w:val="clear" w:color="auto" w:fill="C5EDCE"/>
          </w:tcPr>
          <w:p w14:paraId="5A8AE1DE"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1025" w:type="dxa"/>
            <w:shd w:val="clear" w:color="auto" w:fill="C5EDCE"/>
          </w:tcPr>
          <w:p w14:paraId="5A8AE1DF"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29" w:type="dxa"/>
            <w:shd w:val="clear" w:color="auto" w:fill="C5EDCE"/>
          </w:tcPr>
          <w:p w14:paraId="5A8AE1E0"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43" w:type="dxa"/>
            <w:shd w:val="clear" w:color="auto" w:fill="C5EDCE"/>
          </w:tcPr>
          <w:p w14:paraId="5A8AE1E1" w14:textId="77777777" w:rsidR="00740F0F" w:rsidRPr="0029070D" w:rsidRDefault="00100B64">
            <w:pPr>
              <w:spacing w:line="214" w:lineRule="exact"/>
              <w:ind w:left="9" w:right="29"/>
              <w:jc w:val="center"/>
              <w:rPr>
                <w:rFonts w:ascii="Times New Roman" w:eastAsia="Times New Roman" w:hAnsi="Times New Roman" w:cs="Times New Roman"/>
                <w:noProof/>
                <w:sz w:val="18"/>
                <w:szCs w:val="18"/>
              </w:rPr>
            </w:pPr>
            <w:r>
              <w:rPr>
                <w:rFonts w:ascii="Times New Roman" w:hAnsi="Times New Roman"/>
                <w:noProof/>
                <w:sz w:val="18"/>
              </w:rPr>
              <w:t>T3</w:t>
            </w:r>
          </w:p>
        </w:tc>
        <w:tc>
          <w:tcPr>
            <w:tcW w:w="1140" w:type="dxa"/>
            <w:shd w:val="clear" w:color="auto" w:fill="C5EDCE"/>
          </w:tcPr>
          <w:p w14:paraId="5A8AE1E2" w14:textId="77777777" w:rsidR="00740F0F" w:rsidRPr="0029070D" w:rsidRDefault="00100B64">
            <w:pPr>
              <w:spacing w:line="214" w:lineRule="exact"/>
              <w:ind w:left="9" w:right="171"/>
              <w:jc w:val="center"/>
              <w:rPr>
                <w:rFonts w:ascii="Times New Roman" w:eastAsia="Times New Roman" w:hAnsi="Times New Roman" w:cs="Times New Roman"/>
                <w:noProof/>
                <w:sz w:val="18"/>
                <w:szCs w:val="18"/>
              </w:rPr>
            </w:pPr>
            <w:r>
              <w:rPr>
                <w:rFonts w:ascii="Times New Roman" w:hAnsi="Times New Roman"/>
                <w:noProof/>
                <w:sz w:val="18"/>
              </w:rPr>
              <w:t>2020</w:t>
            </w:r>
          </w:p>
        </w:tc>
        <w:tc>
          <w:tcPr>
            <w:tcW w:w="4154" w:type="dxa"/>
            <w:shd w:val="clear" w:color="auto" w:fill="C5EDCE"/>
          </w:tcPr>
          <w:p w14:paraId="5A8AE1E3" w14:textId="77777777" w:rsidR="00740F0F" w:rsidRPr="0029070D" w:rsidRDefault="00100B64">
            <w:pPr>
              <w:spacing w:line="214" w:lineRule="exact"/>
              <w:ind w:left="9" w:right="9"/>
              <w:rPr>
                <w:rFonts w:ascii="Times New Roman" w:eastAsia="Times New Roman" w:hAnsi="Times New Roman" w:cs="Times New Roman"/>
                <w:noProof/>
                <w:sz w:val="18"/>
                <w:szCs w:val="18"/>
              </w:rPr>
            </w:pPr>
            <w:r>
              <w:rPr>
                <w:rFonts w:ascii="Times New Roman" w:hAnsi="Times New Roman"/>
                <w:noProof/>
                <w:sz w:val="18"/>
              </w:rPr>
              <w:t>Entrée en vigueur du décret d’application de la loi d’orientation des mobilités déterminant les conditions dans lesquelles les déplacements réalisés peuvent donner lieu au versement d’une allocation au conducteur qui a proposé un trajet en covoiturage en l’absence de passagers (article 35.2 de la loi d’orientation des mobilités).</w:t>
            </w:r>
          </w:p>
        </w:tc>
      </w:tr>
      <w:tr w:rsidR="00782477" w:rsidRPr="0029070D" w14:paraId="5A8AE1F1" w14:textId="77777777" w:rsidTr="4A5B8411">
        <w:trPr>
          <w:trHeight w:val="1211"/>
          <w:jc w:val="center"/>
        </w:trPr>
        <w:tc>
          <w:tcPr>
            <w:tcW w:w="1119" w:type="dxa"/>
            <w:shd w:val="clear" w:color="auto" w:fill="C5EDCE"/>
          </w:tcPr>
          <w:p w14:paraId="5A8AE1E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3-2</w:t>
            </w:r>
          </w:p>
        </w:tc>
        <w:tc>
          <w:tcPr>
            <w:tcW w:w="1116" w:type="dxa"/>
            <w:shd w:val="clear" w:color="auto" w:fill="C5EDCE"/>
          </w:tcPr>
          <w:p w14:paraId="5A8AE1E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C3.R1</w:t>
            </w:r>
          </w:p>
          <w:p w14:paraId="5A8AE1E7" w14:textId="77777777" w:rsidR="00740F0F" w:rsidRPr="0029070D" w:rsidRDefault="00100B64">
            <w:pPr>
              <w:spacing w:line="214" w:lineRule="exact"/>
              <w:ind w:left="9" w:right="174" w:hanging="202"/>
              <w:jc w:val="center"/>
              <w:rPr>
                <w:rFonts w:ascii="Times New Roman" w:eastAsia="Times New Roman" w:hAnsi="Times New Roman" w:cs="Times New Roman"/>
                <w:noProof/>
                <w:sz w:val="18"/>
                <w:szCs w:val="18"/>
              </w:rPr>
            </w:pPr>
            <w:r>
              <w:rPr>
                <w:rFonts w:ascii="Times New Roman" w:hAnsi="Times New Roman"/>
                <w:noProof/>
                <w:sz w:val="18"/>
              </w:rPr>
              <w:t>Loi d’orientation des mobilités</w:t>
            </w:r>
          </w:p>
        </w:tc>
        <w:tc>
          <w:tcPr>
            <w:tcW w:w="1116" w:type="dxa"/>
            <w:shd w:val="clear" w:color="auto" w:fill="C5EDCE"/>
          </w:tcPr>
          <w:p w14:paraId="5A8AE1E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41" w:type="dxa"/>
            <w:shd w:val="clear" w:color="auto" w:fill="C5EDCE"/>
          </w:tcPr>
          <w:p w14:paraId="5A8AE1E9" w14:textId="08926B98" w:rsidR="00740F0F" w:rsidRPr="0029070D" w:rsidRDefault="00100B64">
            <w:pPr>
              <w:spacing w:line="214" w:lineRule="exact"/>
              <w:ind w:left="9" w:right="81"/>
              <w:rPr>
                <w:rFonts w:ascii="Times New Roman" w:eastAsia="Times New Roman" w:hAnsi="Times New Roman" w:cs="Times New Roman"/>
                <w:noProof/>
                <w:sz w:val="18"/>
                <w:szCs w:val="18"/>
              </w:rPr>
            </w:pPr>
            <w:r>
              <w:rPr>
                <w:rFonts w:ascii="Times New Roman" w:hAnsi="Times New Roman"/>
                <w:noProof/>
              </w:rPr>
              <w:t>Article 172 de la loi nº 2019-1428 du 24</w:t>
            </w:r>
            <w:r>
              <w:rPr>
                <w:rFonts w:ascii="Times New Roman" w:hAnsi="Times New Roman"/>
                <w:noProof/>
                <w:sz w:val="18"/>
              </w:rPr>
              <w:t> </w:t>
            </w:r>
            <w:r>
              <w:rPr>
                <w:rFonts w:ascii="Times New Roman" w:hAnsi="Times New Roman"/>
                <w:noProof/>
              </w:rPr>
              <w:t>décembre 2019 d’orientation des mobilités</w:t>
            </w:r>
          </w:p>
        </w:tc>
        <w:tc>
          <w:tcPr>
            <w:tcW w:w="1255" w:type="dxa"/>
            <w:shd w:val="clear" w:color="auto" w:fill="C5EDCE"/>
          </w:tcPr>
          <w:p w14:paraId="5A8AE1EA" w14:textId="77777777" w:rsidR="00740F0F" w:rsidRPr="0029070D" w:rsidRDefault="00100B64">
            <w:pPr>
              <w:spacing w:line="214" w:lineRule="exact"/>
              <w:ind w:left="9" w:hanging="9"/>
              <w:jc w:val="center"/>
              <w:rPr>
                <w:rFonts w:ascii="Times New Roman" w:eastAsia="Times New Roman" w:hAnsi="Times New Roman" w:cs="Times New Roman"/>
                <w:noProof/>
                <w:sz w:val="18"/>
                <w:szCs w:val="18"/>
              </w:rPr>
            </w:pPr>
            <w:r>
              <w:rPr>
                <w:rFonts w:ascii="Times New Roman" w:hAnsi="Times New Roman"/>
                <w:noProof/>
                <w:sz w:val="18"/>
              </w:rPr>
              <w:t>Entrée en vigueur</w:t>
            </w:r>
          </w:p>
        </w:tc>
        <w:tc>
          <w:tcPr>
            <w:tcW w:w="888" w:type="dxa"/>
            <w:shd w:val="clear" w:color="auto" w:fill="C5EDCE"/>
          </w:tcPr>
          <w:p w14:paraId="5A8AE1EB"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1025" w:type="dxa"/>
            <w:shd w:val="clear" w:color="auto" w:fill="C5EDCE"/>
          </w:tcPr>
          <w:p w14:paraId="5A8AE1EC"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29" w:type="dxa"/>
            <w:shd w:val="clear" w:color="auto" w:fill="C5EDCE"/>
          </w:tcPr>
          <w:p w14:paraId="5A8AE1ED"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43" w:type="dxa"/>
            <w:shd w:val="clear" w:color="auto" w:fill="C5EDCE"/>
          </w:tcPr>
          <w:p w14:paraId="5A8AE1EE" w14:textId="77777777" w:rsidR="00740F0F" w:rsidRPr="0029070D" w:rsidRDefault="00100B64">
            <w:pPr>
              <w:spacing w:line="214" w:lineRule="exact"/>
              <w:ind w:left="9" w:right="29"/>
              <w:jc w:val="center"/>
              <w:rPr>
                <w:rFonts w:ascii="Times New Roman" w:eastAsia="Times New Roman" w:hAnsi="Times New Roman" w:cs="Times New Roman"/>
                <w:noProof/>
                <w:sz w:val="18"/>
                <w:szCs w:val="18"/>
              </w:rPr>
            </w:pPr>
            <w:r>
              <w:rPr>
                <w:rFonts w:ascii="Times New Roman" w:hAnsi="Times New Roman"/>
                <w:noProof/>
                <w:sz w:val="18"/>
              </w:rPr>
              <w:t>T2</w:t>
            </w:r>
          </w:p>
        </w:tc>
        <w:tc>
          <w:tcPr>
            <w:tcW w:w="1140" w:type="dxa"/>
            <w:shd w:val="clear" w:color="auto" w:fill="C5EDCE"/>
          </w:tcPr>
          <w:p w14:paraId="5A8AE1EF" w14:textId="77777777" w:rsidR="00740F0F" w:rsidRPr="0029070D" w:rsidRDefault="00100B64">
            <w:pPr>
              <w:spacing w:line="214" w:lineRule="exact"/>
              <w:ind w:left="9" w:right="171"/>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4154" w:type="dxa"/>
            <w:shd w:val="clear" w:color="auto" w:fill="C5EDCE"/>
          </w:tcPr>
          <w:p w14:paraId="5A8AE1F0" w14:textId="17F0AA57" w:rsidR="00740F0F" w:rsidRPr="0029070D" w:rsidRDefault="00100B64">
            <w:pPr>
              <w:spacing w:line="214" w:lineRule="exact"/>
              <w:ind w:left="9" w:right="5"/>
              <w:rPr>
                <w:rFonts w:ascii="Times New Roman" w:eastAsia="Times New Roman" w:hAnsi="Times New Roman" w:cs="Times New Roman"/>
                <w:noProof/>
                <w:sz w:val="18"/>
                <w:szCs w:val="18"/>
              </w:rPr>
            </w:pPr>
            <w:r>
              <w:rPr>
                <w:rFonts w:ascii="Times New Roman" w:hAnsi="Times New Roman"/>
                <w:noProof/>
              </w:rPr>
              <w:t>Entrée en vigueur des mesures d’adaptation de la réglementation pour assurer les transferts en gestion aux Régions du réseau ferroviaire d’intérêt local, en application de l’article 172 de la loi nº 2019-1428 du 24</w:t>
            </w:r>
            <w:r>
              <w:rPr>
                <w:rFonts w:ascii="Times New Roman" w:hAnsi="Times New Roman"/>
                <w:noProof/>
                <w:sz w:val="18"/>
              </w:rPr>
              <w:t> </w:t>
            </w:r>
            <w:r>
              <w:rPr>
                <w:rFonts w:ascii="Times New Roman" w:hAnsi="Times New Roman"/>
                <w:noProof/>
              </w:rPr>
              <w:t>décembre 2019 d’orientation des mobilités.</w:t>
            </w:r>
          </w:p>
        </w:tc>
      </w:tr>
      <w:tr w:rsidR="00782477" w:rsidRPr="0029070D" w14:paraId="5A8AE1FE" w14:textId="77777777" w:rsidTr="4A5B8411">
        <w:trPr>
          <w:trHeight w:val="1271"/>
          <w:jc w:val="center"/>
        </w:trPr>
        <w:tc>
          <w:tcPr>
            <w:tcW w:w="1119" w:type="dxa"/>
            <w:shd w:val="clear" w:color="auto" w:fill="C5EDCE"/>
          </w:tcPr>
          <w:p w14:paraId="5A8AE1F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3-3</w:t>
            </w:r>
          </w:p>
        </w:tc>
        <w:tc>
          <w:tcPr>
            <w:tcW w:w="1116" w:type="dxa"/>
            <w:shd w:val="clear" w:color="auto" w:fill="C5EDCE"/>
          </w:tcPr>
          <w:p w14:paraId="5A8AE1F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C3.R1</w:t>
            </w:r>
          </w:p>
          <w:p w14:paraId="5A8AE1F4" w14:textId="77777777" w:rsidR="00740F0F" w:rsidRPr="0029070D" w:rsidRDefault="00100B64">
            <w:pPr>
              <w:spacing w:line="214" w:lineRule="exact"/>
              <w:ind w:left="9" w:right="174" w:hanging="202"/>
              <w:jc w:val="center"/>
              <w:rPr>
                <w:rFonts w:ascii="Times New Roman" w:eastAsia="Times New Roman" w:hAnsi="Times New Roman" w:cs="Times New Roman"/>
                <w:noProof/>
                <w:sz w:val="18"/>
                <w:szCs w:val="18"/>
              </w:rPr>
            </w:pPr>
            <w:r>
              <w:rPr>
                <w:rFonts w:ascii="Times New Roman" w:hAnsi="Times New Roman"/>
                <w:noProof/>
                <w:sz w:val="18"/>
              </w:rPr>
              <w:t>Loi d’orientation des mobilités</w:t>
            </w:r>
          </w:p>
        </w:tc>
        <w:tc>
          <w:tcPr>
            <w:tcW w:w="1116" w:type="dxa"/>
            <w:shd w:val="clear" w:color="auto" w:fill="C5EDCE"/>
          </w:tcPr>
          <w:p w14:paraId="5A8AE1F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41" w:type="dxa"/>
            <w:shd w:val="clear" w:color="auto" w:fill="C5EDCE"/>
          </w:tcPr>
          <w:p w14:paraId="5A8AE1F6" w14:textId="3FADBF73" w:rsidR="00740F0F" w:rsidRPr="0029070D" w:rsidRDefault="00100B64">
            <w:pPr>
              <w:spacing w:line="214" w:lineRule="exact"/>
              <w:ind w:left="9" w:right="56"/>
              <w:rPr>
                <w:rFonts w:ascii="Times New Roman" w:eastAsia="Times New Roman" w:hAnsi="Times New Roman" w:cs="Times New Roman"/>
                <w:noProof/>
                <w:sz w:val="18"/>
                <w:szCs w:val="18"/>
              </w:rPr>
            </w:pPr>
            <w:r>
              <w:rPr>
                <w:rFonts w:ascii="Times New Roman" w:hAnsi="Times New Roman"/>
                <w:noProof/>
              </w:rPr>
              <w:t>Article 3 de la loi nº 2019-1428 du 24</w:t>
            </w:r>
            <w:r>
              <w:rPr>
                <w:rFonts w:ascii="Times New Roman" w:hAnsi="Times New Roman"/>
                <w:noProof/>
                <w:sz w:val="18"/>
              </w:rPr>
              <w:t> </w:t>
            </w:r>
            <w:r>
              <w:rPr>
                <w:rFonts w:ascii="Times New Roman" w:hAnsi="Times New Roman"/>
                <w:noProof/>
              </w:rPr>
              <w:t>décembre 2019 d’orientation des mobilités</w:t>
            </w:r>
          </w:p>
        </w:tc>
        <w:tc>
          <w:tcPr>
            <w:tcW w:w="1255" w:type="dxa"/>
            <w:shd w:val="clear" w:color="auto" w:fill="C5EDCE"/>
          </w:tcPr>
          <w:p w14:paraId="5A8AE1F7" w14:textId="77777777" w:rsidR="00740F0F" w:rsidRPr="0029070D" w:rsidRDefault="00100B64">
            <w:pPr>
              <w:spacing w:line="214" w:lineRule="exact"/>
              <w:ind w:left="9" w:right="24" w:firstLine="40"/>
              <w:rPr>
                <w:rFonts w:ascii="Times New Roman" w:eastAsia="Times New Roman" w:hAnsi="Times New Roman" w:cs="Times New Roman"/>
                <w:noProof/>
                <w:sz w:val="18"/>
                <w:szCs w:val="18"/>
              </w:rPr>
            </w:pPr>
            <w:r>
              <w:rPr>
                <w:rFonts w:ascii="Times New Roman" w:hAnsi="Times New Roman"/>
                <w:noProof/>
                <w:sz w:val="18"/>
              </w:rPr>
              <w:t>Actualisation</w:t>
            </w:r>
          </w:p>
        </w:tc>
        <w:tc>
          <w:tcPr>
            <w:tcW w:w="888" w:type="dxa"/>
            <w:shd w:val="clear" w:color="auto" w:fill="C5EDCE"/>
          </w:tcPr>
          <w:p w14:paraId="5A8AE1F8"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1025" w:type="dxa"/>
            <w:shd w:val="clear" w:color="auto" w:fill="C5EDCE"/>
          </w:tcPr>
          <w:p w14:paraId="5A8AE1F9"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29" w:type="dxa"/>
            <w:shd w:val="clear" w:color="auto" w:fill="C5EDCE"/>
          </w:tcPr>
          <w:p w14:paraId="5A8AE1FA"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43" w:type="dxa"/>
            <w:shd w:val="clear" w:color="auto" w:fill="C5EDCE"/>
          </w:tcPr>
          <w:p w14:paraId="5A8AE1FB" w14:textId="77777777" w:rsidR="00740F0F" w:rsidRPr="0029070D" w:rsidRDefault="00100B64">
            <w:pPr>
              <w:spacing w:line="214" w:lineRule="exact"/>
              <w:ind w:left="9" w:right="2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40" w:type="dxa"/>
            <w:shd w:val="clear" w:color="auto" w:fill="C5EDCE"/>
          </w:tcPr>
          <w:p w14:paraId="5A8AE1FC" w14:textId="77777777" w:rsidR="00740F0F" w:rsidRPr="0029070D" w:rsidRDefault="00100B64">
            <w:pPr>
              <w:spacing w:line="214" w:lineRule="exact"/>
              <w:ind w:left="9" w:right="171"/>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4154" w:type="dxa"/>
            <w:shd w:val="clear" w:color="auto" w:fill="C5EDCE"/>
          </w:tcPr>
          <w:p w14:paraId="5A8AE1FD" w14:textId="351453E6"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rPr>
              <w:t>Actualisation de la programmation financière et opérationnelle des investissements de l’État dans les transports, telle que prévue par la loi nº 2019-1428 du 24</w:t>
            </w:r>
            <w:r>
              <w:rPr>
                <w:rFonts w:ascii="Times New Roman" w:hAnsi="Times New Roman"/>
                <w:noProof/>
                <w:sz w:val="18"/>
              </w:rPr>
              <w:t> </w:t>
            </w:r>
            <w:r>
              <w:rPr>
                <w:rFonts w:ascii="Times New Roman" w:hAnsi="Times New Roman"/>
                <w:noProof/>
              </w:rPr>
              <w:t>décembre 2019 d’orientation des mobilités en application de l’article 3 de cette loi, au plus tard le 30</w:t>
            </w:r>
            <w:r>
              <w:rPr>
                <w:rFonts w:ascii="Times New Roman" w:hAnsi="Times New Roman"/>
                <w:noProof/>
                <w:sz w:val="18"/>
              </w:rPr>
              <w:t> </w:t>
            </w:r>
            <w:r>
              <w:rPr>
                <w:rFonts w:ascii="Times New Roman" w:hAnsi="Times New Roman"/>
                <w:noProof/>
              </w:rPr>
              <w:t>juin 2023.</w:t>
            </w:r>
          </w:p>
        </w:tc>
      </w:tr>
      <w:tr w:rsidR="00782477" w:rsidRPr="0029070D" w14:paraId="5A8AE20B" w14:textId="77777777" w:rsidTr="4A5B8411">
        <w:trPr>
          <w:trHeight w:val="963"/>
          <w:jc w:val="center"/>
        </w:trPr>
        <w:tc>
          <w:tcPr>
            <w:tcW w:w="1119" w:type="dxa"/>
            <w:shd w:val="clear" w:color="auto" w:fill="C5EDCE"/>
          </w:tcPr>
          <w:p w14:paraId="5A8AE1F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3-4</w:t>
            </w:r>
          </w:p>
        </w:tc>
        <w:tc>
          <w:tcPr>
            <w:tcW w:w="1116" w:type="dxa"/>
            <w:shd w:val="clear" w:color="auto" w:fill="C5EDCE"/>
          </w:tcPr>
          <w:p w14:paraId="5A8AE20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C3.R2</w:t>
            </w:r>
          </w:p>
          <w:p w14:paraId="5A8AE201" w14:textId="77777777" w:rsidR="00740F0F" w:rsidRPr="0029070D" w:rsidRDefault="00100B64">
            <w:pPr>
              <w:spacing w:line="214" w:lineRule="exact"/>
              <w:ind w:left="9" w:firstLine="21"/>
              <w:jc w:val="center"/>
              <w:rPr>
                <w:rFonts w:ascii="Times New Roman" w:eastAsia="Times New Roman" w:hAnsi="Times New Roman" w:cs="Times New Roman"/>
                <w:noProof/>
                <w:sz w:val="18"/>
                <w:szCs w:val="18"/>
              </w:rPr>
            </w:pPr>
            <w:r>
              <w:rPr>
                <w:rFonts w:ascii="Times New Roman" w:hAnsi="Times New Roman"/>
                <w:noProof/>
                <w:sz w:val="18"/>
              </w:rPr>
              <w:t>Budget vert</w:t>
            </w:r>
          </w:p>
        </w:tc>
        <w:tc>
          <w:tcPr>
            <w:tcW w:w="1116" w:type="dxa"/>
            <w:shd w:val="clear" w:color="auto" w:fill="C5EDCE"/>
          </w:tcPr>
          <w:p w14:paraId="5A8AE20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41" w:type="dxa"/>
            <w:shd w:val="clear" w:color="auto" w:fill="C5EDCE"/>
          </w:tcPr>
          <w:p w14:paraId="5A8AE203" w14:textId="77777777" w:rsidR="00740F0F" w:rsidRPr="0029070D" w:rsidRDefault="00100B64">
            <w:pPr>
              <w:spacing w:line="214" w:lineRule="exact"/>
              <w:ind w:left="9" w:right="-31"/>
              <w:rPr>
                <w:rFonts w:ascii="Times New Roman" w:eastAsia="Times New Roman" w:hAnsi="Times New Roman" w:cs="Times New Roman"/>
                <w:noProof/>
                <w:sz w:val="18"/>
                <w:szCs w:val="18"/>
              </w:rPr>
            </w:pPr>
            <w:r>
              <w:rPr>
                <w:rFonts w:ascii="Times New Roman" w:hAnsi="Times New Roman"/>
                <w:noProof/>
                <w:sz w:val="18"/>
              </w:rPr>
              <w:t>Budget vert annexé à la loi de finances</w:t>
            </w:r>
          </w:p>
        </w:tc>
        <w:tc>
          <w:tcPr>
            <w:tcW w:w="1255" w:type="dxa"/>
            <w:shd w:val="clear" w:color="auto" w:fill="C5EDCE"/>
          </w:tcPr>
          <w:p w14:paraId="5A8AE204" w14:textId="77777777" w:rsidR="00740F0F" w:rsidRPr="0029070D" w:rsidRDefault="00100B64">
            <w:pPr>
              <w:spacing w:line="214" w:lineRule="exact"/>
              <w:ind w:left="9" w:right="1"/>
              <w:rPr>
                <w:rFonts w:ascii="Times New Roman" w:eastAsia="Times New Roman" w:hAnsi="Times New Roman" w:cs="Times New Roman"/>
                <w:noProof/>
                <w:sz w:val="18"/>
                <w:szCs w:val="18"/>
              </w:rPr>
            </w:pPr>
            <w:r>
              <w:rPr>
                <w:rFonts w:ascii="Times New Roman" w:hAnsi="Times New Roman"/>
                <w:noProof/>
                <w:sz w:val="18"/>
              </w:rPr>
              <w:t>Publication par le gouvernement</w:t>
            </w:r>
          </w:p>
        </w:tc>
        <w:tc>
          <w:tcPr>
            <w:tcW w:w="888" w:type="dxa"/>
            <w:shd w:val="clear" w:color="auto" w:fill="C5EDCE"/>
          </w:tcPr>
          <w:p w14:paraId="5A8AE205"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1025" w:type="dxa"/>
            <w:shd w:val="clear" w:color="auto" w:fill="C5EDCE"/>
          </w:tcPr>
          <w:p w14:paraId="5A8AE206"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29" w:type="dxa"/>
            <w:shd w:val="clear" w:color="auto" w:fill="C5EDCE"/>
          </w:tcPr>
          <w:p w14:paraId="5A8AE207"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43" w:type="dxa"/>
            <w:shd w:val="clear" w:color="auto" w:fill="C5EDCE"/>
          </w:tcPr>
          <w:p w14:paraId="5A8AE208" w14:textId="77777777" w:rsidR="00740F0F" w:rsidRPr="0029070D" w:rsidRDefault="00100B64">
            <w:pPr>
              <w:spacing w:line="214" w:lineRule="exact"/>
              <w:ind w:left="9" w:right="2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40" w:type="dxa"/>
            <w:shd w:val="clear" w:color="auto" w:fill="C5EDCE"/>
          </w:tcPr>
          <w:p w14:paraId="5A8AE209" w14:textId="77777777" w:rsidR="00740F0F" w:rsidRPr="0029070D" w:rsidRDefault="00100B64">
            <w:pPr>
              <w:spacing w:line="214" w:lineRule="exact"/>
              <w:ind w:left="9" w:right="171"/>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4154" w:type="dxa"/>
            <w:shd w:val="clear" w:color="auto" w:fill="C5EDCE"/>
          </w:tcPr>
          <w:p w14:paraId="5A8AE20A" w14:textId="77777777" w:rsidR="00740F0F" w:rsidRPr="0029070D" w:rsidRDefault="00100B64">
            <w:pPr>
              <w:spacing w:line="214" w:lineRule="exact"/>
              <w:ind w:left="9" w:right="20"/>
              <w:rPr>
                <w:rFonts w:ascii="Times New Roman" w:eastAsia="Times New Roman" w:hAnsi="Times New Roman" w:cs="Times New Roman"/>
                <w:noProof/>
                <w:sz w:val="18"/>
                <w:szCs w:val="18"/>
              </w:rPr>
            </w:pPr>
            <w:r>
              <w:rPr>
                <w:rFonts w:ascii="Times New Roman" w:hAnsi="Times New Roman"/>
                <w:noProof/>
                <w:sz w:val="18"/>
              </w:rPr>
              <w:t>Publication d’un budget vert en même temps que le projet de loi de finances 2022 avec une méthodologie améliorée sur la prise en compte des dépenses de fonctionnement.</w:t>
            </w:r>
          </w:p>
        </w:tc>
      </w:tr>
      <w:tr w:rsidR="00782477" w:rsidRPr="0029070D" w14:paraId="5A8AE218" w14:textId="77777777" w:rsidTr="4A5B8411">
        <w:trPr>
          <w:trHeight w:val="827"/>
          <w:jc w:val="center"/>
        </w:trPr>
        <w:tc>
          <w:tcPr>
            <w:tcW w:w="1119" w:type="dxa"/>
            <w:shd w:val="clear" w:color="auto" w:fill="C5EDCE"/>
          </w:tcPr>
          <w:p w14:paraId="5A8AE20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3-5</w:t>
            </w:r>
          </w:p>
        </w:tc>
        <w:tc>
          <w:tcPr>
            <w:tcW w:w="1116" w:type="dxa"/>
            <w:shd w:val="clear" w:color="auto" w:fill="C5EDCE"/>
          </w:tcPr>
          <w:p w14:paraId="5A8AE20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C3.I1</w:t>
            </w:r>
          </w:p>
          <w:p w14:paraId="5A8AE20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Soutien au secteur ferroviaire</w:t>
            </w:r>
          </w:p>
        </w:tc>
        <w:tc>
          <w:tcPr>
            <w:tcW w:w="1116" w:type="dxa"/>
            <w:shd w:val="clear" w:color="auto" w:fill="C5EDCE"/>
          </w:tcPr>
          <w:p w14:paraId="5A8AE20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41" w:type="dxa"/>
            <w:shd w:val="clear" w:color="auto" w:fill="C5EDCE"/>
          </w:tcPr>
          <w:p w14:paraId="5A8AE210"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Conclusion des conventions de financement</w:t>
            </w:r>
          </w:p>
        </w:tc>
        <w:tc>
          <w:tcPr>
            <w:tcW w:w="1255" w:type="dxa"/>
            <w:shd w:val="clear" w:color="auto" w:fill="C5EDCE"/>
          </w:tcPr>
          <w:p w14:paraId="5A8AE211" w14:textId="77777777" w:rsidR="00740F0F" w:rsidRPr="0029070D" w:rsidRDefault="00100B64">
            <w:pPr>
              <w:spacing w:line="214" w:lineRule="exact"/>
              <w:ind w:left="9"/>
              <w:jc w:val="both"/>
              <w:rPr>
                <w:rFonts w:ascii="Times New Roman" w:eastAsia="Times New Roman" w:hAnsi="Times New Roman" w:cs="Times New Roman"/>
                <w:noProof/>
                <w:sz w:val="18"/>
                <w:szCs w:val="18"/>
              </w:rPr>
            </w:pPr>
            <w:r>
              <w:rPr>
                <w:rFonts w:ascii="Times New Roman" w:hAnsi="Times New Roman"/>
                <w:noProof/>
                <w:sz w:val="18"/>
              </w:rPr>
              <w:t>Adoption par le conseil d’administration de l’ATFIF</w:t>
            </w:r>
          </w:p>
        </w:tc>
        <w:tc>
          <w:tcPr>
            <w:tcW w:w="888" w:type="dxa"/>
            <w:shd w:val="clear" w:color="auto" w:fill="C5EDCE"/>
          </w:tcPr>
          <w:p w14:paraId="5A8AE212"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1025" w:type="dxa"/>
            <w:shd w:val="clear" w:color="auto" w:fill="C5EDCE"/>
          </w:tcPr>
          <w:p w14:paraId="5A8AE213"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29" w:type="dxa"/>
            <w:shd w:val="clear" w:color="auto" w:fill="C5EDCE"/>
          </w:tcPr>
          <w:p w14:paraId="5A8AE214"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843" w:type="dxa"/>
            <w:shd w:val="clear" w:color="auto" w:fill="C5EDCE"/>
          </w:tcPr>
          <w:p w14:paraId="5A8AE21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T3</w:t>
            </w:r>
          </w:p>
        </w:tc>
        <w:tc>
          <w:tcPr>
            <w:tcW w:w="1140" w:type="dxa"/>
            <w:shd w:val="clear" w:color="auto" w:fill="C5EDCE"/>
          </w:tcPr>
          <w:p w14:paraId="5A8AE21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4154" w:type="dxa"/>
            <w:shd w:val="clear" w:color="auto" w:fill="C5EDCE"/>
          </w:tcPr>
          <w:p w14:paraId="5A8AE217"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 xml:space="preserve">Adoption par le conseil d’administration de l’AFITF des conventions de financement. </w:t>
            </w:r>
          </w:p>
        </w:tc>
      </w:tr>
      <w:tr w:rsidR="00782477" w:rsidRPr="0029070D" w14:paraId="5A8AE225" w14:textId="77777777" w:rsidTr="4A5B8411">
        <w:trPr>
          <w:trHeight w:val="832"/>
          <w:jc w:val="center"/>
        </w:trPr>
        <w:tc>
          <w:tcPr>
            <w:tcW w:w="1119" w:type="dxa"/>
            <w:shd w:val="clear" w:color="auto" w:fill="C5EDCE"/>
          </w:tcPr>
          <w:p w14:paraId="5A8AE21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3-6</w:t>
            </w:r>
          </w:p>
        </w:tc>
        <w:tc>
          <w:tcPr>
            <w:tcW w:w="1116" w:type="dxa"/>
            <w:shd w:val="clear" w:color="auto" w:fill="C5EDCE"/>
          </w:tcPr>
          <w:p w14:paraId="5A8AE21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C3.I1</w:t>
            </w:r>
          </w:p>
          <w:p w14:paraId="5A8AE21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Soutien au secteur ferroviaire</w:t>
            </w:r>
          </w:p>
        </w:tc>
        <w:tc>
          <w:tcPr>
            <w:tcW w:w="1116" w:type="dxa"/>
            <w:shd w:val="clear" w:color="auto" w:fill="C5EDCE"/>
          </w:tcPr>
          <w:p w14:paraId="5A8AE21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1" w:type="dxa"/>
            <w:shd w:val="clear" w:color="auto" w:fill="C5EDCE"/>
          </w:tcPr>
          <w:p w14:paraId="5A8AE21D"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Aiguillages</w:t>
            </w:r>
          </w:p>
        </w:tc>
        <w:tc>
          <w:tcPr>
            <w:tcW w:w="1255" w:type="dxa"/>
            <w:shd w:val="clear" w:color="auto" w:fill="C5EDCE"/>
          </w:tcPr>
          <w:p w14:paraId="5A8AE21E"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888" w:type="dxa"/>
            <w:shd w:val="clear" w:color="auto" w:fill="C5EDCE"/>
          </w:tcPr>
          <w:p w14:paraId="5A8AE21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1025" w:type="dxa"/>
            <w:shd w:val="clear" w:color="auto" w:fill="C5EDCE"/>
          </w:tcPr>
          <w:p w14:paraId="5A8AE22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929" w:type="dxa"/>
            <w:shd w:val="clear" w:color="auto" w:fill="C5EDCE"/>
          </w:tcPr>
          <w:p w14:paraId="5A8AE22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272</w:t>
            </w:r>
          </w:p>
        </w:tc>
        <w:tc>
          <w:tcPr>
            <w:tcW w:w="843" w:type="dxa"/>
            <w:shd w:val="clear" w:color="auto" w:fill="C5EDCE"/>
          </w:tcPr>
          <w:p w14:paraId="5A8AE22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T1</w:t>
            </w:r>
          </w:p>
        </w:tc>
        <w:tc>
          <w:tcPr>
            <w:tcW w:w="1140" w:type="dxa"/>
            <w:shd w:val="clear" w:color="auto" w:fill="C5EDCE"/>
          </w:tcPr>
          <w:p w14:paraId="5A8AE22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154" w:type="dxa"/>
            <w:shd w:val="clear" w:color="auto" w:fill="C5EDCE"/>
          </w:tcPr>
          <w:p w14:paraId="5A8AE224"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nouveaux aiguillages installés (au total).</w:t>
            </w:r>
          </w:p>
        </w:tc>
      </w:tr>
      <w:tr w:rsidR="00782477" w:rsidRPr="0029070D" w14:paraId="5A8AE232" w14:textId="77777777" w:rsidTr="4A5B8411">
        <w:trPr>
          <w:trHeight w:val="736"/>
          <w:jc w:val="center"/>
        </w:trPr>
        <w:tc>
          <w:tcPr>
            <w:tcW w:w="1119" w:type="dxa"/>
            <w:shd w:val="clear" w:color="auto" w:fill="C5EDCE"/>
          </w:tcPr>
          <w:p w14:paraId="5A8AE22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3-7</w:t>
            </w:r>
          </w:p>
        </w:tc>
        <w:tc>
          <w:tcPr>
            <w:tcW w:w="1116" w:type="dxa"/>
            <w:shd w:val="clear" w:color="auto" w:fill="C5EDCE"/>
          </w:tcPr>
          <w:p w14:paraId="5A8AE22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C3.I1</w:t>
            </w:r>
          </w:p>
          <w:p w14:paraId="5A8AE22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Soutien au secteur ferroviaire</w:t>
            </w:r>
          </w:p>
        </w:tc>
        <w:tc>
          <w:tcPr>
            <w:tcW w:w="1116" w:type="dxa"/>
            <w:shd w:val="clear" w:color="auto" w:fill="C5EDCE"/>
          </w:tcPr>
          <w:p w14:paraId="5A8AE22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1" w:type="dxa"/>
            <w:shd w:val="clear" w:color="auto" w:fill="C5EDCE"/>
          </w:tcPr>
          <w:p w14:paraId="5A8AE22A"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Caténaires</w:t>
            </w:r>
          </w:p>
        </w:tc>
        <w:tc>
          <w:tcPr>
            <w:tcW w:w="1255" w:type="dxa"/>
            <w:shd w:val="clear" w:color="auto" w:fill="C5EDCE"/>
          </w:tcPr>
          <w:p w14:paraId="5A8AE22B"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888" w:type="dxa"/>
            <w:shd w:val="clear" w:color="auto" w:fill="C5EDCE"/>
          </w:tcPr>
          <w:p w14:paraId="5A8AE22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Km</w:t>
            </w:r>
          </w:p>
        </w:tc>
        <w:tc>
          <w:tcPr>
            <w:tcW w:w="1025" w:type="dxa"/>
            <w:shd w:val="clear" w:color="auto" w:fill="C5EDCE"/>
          </w:tcPr>
          <w:p w14:paraId="5A8AE22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929" w:type="dxa"/>
            <w:shd w:val="clear" w:color="auto" w:fill="C5EDCE"/>
          </w:tcPr>
          <w:p w14:paraId="5A8AE22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182</w:t>
            </w:r>
          </w:p>
        </w:tc>
        <w:tc>
          <w:tcPr>
            <w:tcW w:w="843" w:type="dxa"/>
            <w:shd w:val="clear" w:color="auto" w:fill="C5EDCE"/>
          </w:tcPr>
          <w:p w14:paraId="5A8AE22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T1</w:t>
            </w:r>
          </w:p>
        </w:tc>
        <w:tc>
          <w:tcPr>
            <w:tcW w:w="1140" w:type="dxa"/>
            <w:shd w:val="clear" w:color="auto" w:fill="C5EDCE"/>
          </w:tcPr>
          <w:p w14:paraId="5A8AE23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154" w:type="dxa"/>
            <w:shd w:val="clear" w:color="auto" w:fill="C5EDCE"/>
          </w:tcPr>
          <w:p w14:paraId="5A8AE231"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Kilomètres de nouvelles caténaires installés (au total).</w:t>
            </w:r>
          </w:p>
        </w:tc>
      </w:tr>
      <w:tr w:rsidR="00782477" w:rsidRPr="0029070D" w14:paraId="5A8AE23F" w14:textId="77777777" w:rsidTr="4A5B8411">
        <w:trPr>
          <w:trHeight w:val="750"/>
          <w:jc w:val="center"/>
        </w:trPr>
        <w:tc>
          <w:tcPr>
            <w:tcW w:w="1119" w:type="dxa"/>
            <w:shd w:val="clear" w:color="auto" w:fill="C5EDCE"/>
          </w:tcPr>
          <w:p w14:paraId="5A8AE23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3-8</w:t>
            </w:r>
          </w:p>
        </w:tc>
        <w:tc>
          <w:tcPr>
            <w:tcW w:w="1116" w:type="dxa"/>
            <w:shd w:val="clear" w:color="auto" w:fill="C5EDCE"/>
          </w:tcPr>
          <w:p w14:paraId="5A8AE23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C3.I1</w:t>
            </w:r>
          </w:p>
          <w:p w14:paraId="5A8AE23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Soutien au secteur ferroviaire</w:t>
            </w:r>
          </w:p>
        </w:tc>
        <w:tc>
          <w:tcPr>
            <w:tcW w:w="1116" w:type="dxa"/>
            <w:shd w:val="clear" w:color="auto" w:fill="C5EDCE"/>
          </w:tcPr>
          <w:p w14:paraId="5A8AE23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1" w:type="dxa"/>
            <w:shd w:val="clear" w:color="auto" w:fill="C5EDCE"/>
          </w:tcPr>
          <w:p w14:paraId="5A8AE237"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Lignes ferroviaires régénérées</w:t>
            </w:r>
          </w:p>
        </w:tc>
        <w:tc>
          <w:tcPr>
            <w:tcW w:w="1255" w:type="dxa"/>
            <w:shd w:val="clear" w:color="auto" w:fill="C5EDCE"/>
          </w:tcPr>
          <w:p w14:paraId="5A8AE238"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888" w:type="dxa"/>
            <w:shd w:val="clear" w:color="auto" w:fill="C5EDCE"/>
          </w:tcPr>
          <w:p w14:paraId="5A8AE23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Km</w:t>
            </w:r>
          </w:p>
        </w:tc>
        <w:tc>
          <w:tcPr>
            <w:tcW w:w="1025" w:type="dxa"/>
            <w:shd w:val="clear" w:color="auto" w:fill="C5EDCE"/>
          </w:tcPr>
          <w:p w14:paraId="5A8AE23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929" w:type="dxa"/>
            <w:shd w:val="clear" w:color="auto" w:fill="C5EDCE"/>
          </w:tcPr>
          <w:p w14:paraId="5A8AE23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863</w:t>
            </w:r>
          </w:p>
        </w:tc>
        <w:tc>
          <w:tcPr>
            <w:tcW w:w="843" w:type="dxa"/>
            <w:shd w:val="clear" w:color="auto" w:fill="C5EDCE"/>
          </w:tcPr>
          <w:p w14:paraId="5A8AE23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40" w:type="dxa"/>
            <w:shd w:val="clear" w:color="auto" w:fill="C5EDCE"/>
          </w:tcPr>
          <w:p w14:paraId="5A8AE23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154" w:type="dxa"/>
            <w:shd w:val="clear" w:color="auto" w:fill="C5EDCE"/>
          </w:tcPr>
          <w:p w14:paraId="5A8AE23E"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Kilomètres de lignes ferroviaires régénérées (au total).</w:t>
            </w:r>
          </w:p>
        </w:tc>
      </w:tr>
      <w:tr w:rsidR="00782477" w:rsidRPr="0029070D" w14:paraId="5A8AE24D" w14:textId="77777777" w:rsidTr="4A5B8411">
        <w:trPr>
          <w:trHeight w:val="734"/>
          <w:jc w:val="center"/>
        </w:trPr>
        <w:tc>
          <w:tcPr>
            <w:tcW w:w="1119" w:type="dxa"/>
            <w:shd w:val="clear" w:color="auto" w:fill="C5EDCE"/>
          </w:tcPr>
          <w:p w14:paraId="5A8AE24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3-9</w:t>
            </w:r>
          </w:p>
        </w:tc>
        <w:tc>
          <w:tcPr>
            <w:tcW w:w="1116" w:type="dxa"/>
            <w:shd w:val="clear" w:color="auto" w:fill="C5EDCE"/>
          </w:tcPr>
          <w:p w14:paraId="5A8AE24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C3.I1</w:t>
            </w:r>
          </w:p>
          <w:p w14:paraId="5A8AE24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Soutien</w:t>
            </w:r>
          </w:p>
          <w:p w14:paraId="5A8AE24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au secteur ferroviaire</w:t>
            </w:r>
          </w:p>
        </w:tc>
        <w:tc>
          <w:tcPr>
            <w:tcW w:w="1116" w:type="dxa"/>
            <w:shd w:val="clear" w:color="auto" w:fill="C5EDCE"/>
          </w:tcPr>
          <w:p w14:paraId="5A8AE24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1" w:type="dxa"/>
            <w:shd w:val="clear" w:color="auto" w:fill="C5EDCE"/>
          </w:tcPr>
          <w:p w14:paraId="5A8AE245"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Tunnels</w:t>
            </w:r>
          </w:p>
        </w:tc>
        <w:tc>
          <w:tcPr>
            <w:tcW w:w="1255" w:type="dxa"/>
            <w:shd w:val="clear" w:color="auto" w:fill="C5EDCE"/>
          </w:tcPr>
          <w:p w14:paraId="5A8AE246"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888" w:type="dxa"/>
            <w:shd w:val="clear" w:color="auto" w:fill="C5EDCE"/>
          </w:tcPr>
          <w:p w14:paraId="5A8AE24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Mètres</w:t>
            </w:r>
          </w:p>
        </w:tc>
        <w:tc>
          <w:tcPr>
            <w:tcW w:w="1025" w:type="dxa"/>
            <w:shd w:val="clear" w:color="auto" w:fill="C5EDCE"/>
          </w:tcPr>
          <w:p w14:paraId="5A8AE24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929" w:type="dxa"/>
            <w:shd w:val="clear" w:color="auto" w:fill="C5EDCE"/>
          </w:tcPr>
          <w:p w14:paraId="5A8AE24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3 305</w:t>
            </w:r>
          </w:p>
        </w:tc>
        <w:tc>
          <w:tcPr>
            <w:tcW w:w="843" w:type="dxa"/>
            <w:shd w:val="clear" w:color="auto" w:fill="C5EDCE"/>
          </w:tcPr>
          <w:p w14:paraId="5A8AE24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40" w:type="dxa"/>
            <w:shd w:val="clear" w:color="auto" w:fill="C5EDCE"/>
          </w:tcPr>
          <w:p w14:paraId="5A8AE24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154" w:type="dxa"/>
            <w:shd w:val="clear" w:color="auto" w:fill="C5EDCE"/>
          </w:tcPr>
          <w:p w14:paraId="5A8AE24C"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Mètres de tunnels renforcés (au total).</w:t>
            </w:r>
          </w:p>
        </w:tc>
      </w:tr>
      <w:tr w:rsidR="00782477" w:rsidRPr="0029070D" w14:paraId="5A8AE25A" w14:textId="77777777" w:rsidTr="00D4076D">
        <w:trPr>
          <w:trHeight w:val="773"/>
          <w:jc w:val="center"/>
        </w:trPr>
        <w:tc>
          <w:tcPr>
            <w:tcW w:w="1119" w:type="dxa"/>
            <w:shd w:val="clear" w:color="auto" w:fill="C5EDCE"/>
          </w:tcPr>
          <w:p w14:paraId="5A8AE24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3-10</w:t>
            </w:r>
          </w:p>
        </w:tc>
        <w:tc>
          <w:tcPr>
            <w:tcW w:w="1116" w:type="dxa"/>
            <w:shd w:val="clear" w:color="auto" w:fill="C5EDCE"/>
          </w:tcPr>
          <w:p w14:paraId="5A8AE24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C3.I1</w:t>
            </w:r>
          </w:p>
          <w:p w14:paraId="5A8AE25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Soutien au secteur ferroviaire</w:t>
            </w:r>
          </w:p>
        </w:tc>
        <w:tc>
          <w:tcPr>
            <w:tcW w:w="1116" w:type="dxa"/>
            <w:shd w:val="clear" w:color="auto" w:fill="C5EDCE"/>
          </w:tcPr>
          <w:p w14:paraId="5A8AE25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41" w:type="dxa"/>
            <w:shd w:val="clear" w:color="auto" w:fill="C5EDCE"/>
          </w:tcPr>
          <w:p w14:paraId="5A8AE252"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Entretien des voies respectueux de l’environnement</w:t>
            </w:r>
          </w:p>
        </w:tc>
        <w:tc>
          <w:tcPr>
            <w:tcW w:w="1255" w:type="dxa"/>
            <w:shd w:val="clear" w:color="auto" w:fill="C5EDCE"/>
          </w:tcPr>
          <w:p w14:paraId="5A8AE253" w14:textId="77777777" w:rsidR="00740F0F" w:rsidRPr="0029070D" w:rsidRDefault="00100B64">
            <w:pPr>
              <w:spacing w:line="214" w:lineRule="exact"/>
              <w:ind w:left="9" w:hanging="5"/>
              <w:rPr>
                <w:rFonts w:ascii="Times New Roman" w:eastAsia="Times New Roman" w:hAnsi="Times New Roman" w:cs="Times New Roman"/>
                <w:noProof/>
                <w:sz w:val="18"/>
                <w:szCs w:val="18"/>
              </w:rPr>
            </w:pPr>
            <w:r>
              <w:rPr>
                <w:rFonts w:ascii="Times New Roman" w:hAnsi="Times New Roman"/>
                <w:noProof/>
                <w:sz w:val="18"/>
              </w:rPr>
              <w:t>Informations à fournir par SNCF Réseau</w:t>
            </w:r>
          </w:p>
        </w:tc>
        <w:tc>
          <w:tcPr>
            <w:tcW w:w="888" w:type="dxa"/>
            <w:shd w:val="clear" w:color="auto" w:fill="C5EDCE"/>
          </w:tcPr>
          <w:p w14:paraId="5A8AE254"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1025" w:type="dxa"/>
            <w:shd w:val="clear" w:color="auto" w:fill="C5EDCE"/>
          </w:tcPr>
          <w:p w14:paraId="5A8AE255"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29" w:type="dxa"/>
            <w:shd w:val="clear" w:color="auto" w:fill="C5EDCE"/>
          </w:tcPr>
          <w:p w14:paraId="5A8AE256"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843" w:type="dxa"/>
            <w:shd w:val="clear" w:color="auto" w:fill="C5EDCE"/>
          </w:tcPr>
          <w:p w14:paraId="5A8AE25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40" w:type="dxa"/>
            <w:shd w:val="clear" w:color="auto" w:fill="C5EDCE"/>
          </w:tcPr>
          <w:p w14:paraId="5A8AE25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154" w:type="dxa"/>
            <w:shd w:val="clear" w:color="auto" w:fill="C5EDCE"/>
          </w:tcPr>
          <w:p w14:paraId="5A8AE259"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Remplacement de l’utilisation du glyphosate par une alternative plus respectueuse de l’environnement.</w:t>
            </w:r>
          </w:p>
        </w:tc>
      </w:tr>
      <w:tr w:rsidR="00782477" w:rsidRPr="0029070D" w14:paraId="5A8AE267" w14:textId="77777777" w:rsidTr="00D4076D">
        <w:trPr>
          <w:trHeight w:val="828"/>
          <w:jc w:val="center"/>
        </w:trPr>
        <w:tc>
          <w:tcPr>
            <w:tcW w:w="1119" w:type="dxa"/>
            <w:shd w:val="clear" w:color="auto" w:fill="C5EDCE"/>
          </w:tcPr>
          <w:p w14:paraId="5A8AE25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3-11</w:t>
            </w:r>
          </w:p>
        </w:tc>
        <w:tc>
          <w:tcPr>
            <w:tcW w:w="1116" w:type="dxa"/>
            <w:shd w:val="clear" w:color="auto" w:fill="C5EDCE"/>
          </w:tcPr>
          <w:p w14:paraId="5A8AE25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C3.I1</w:t>
            </w:r>
          </w:p>
          <w:p w14:paraId="5A8AE25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Soutien au secteur ferroviaire</w:t>
            </w:r>
          </w:p>
        </w:tc>
        <w:tc>
          <w:tcPr>
            <w:tcW w:w="1116" w:type="dxa"/>
            <w:shd w:val="clear" w:color="auto" w:fill="C5EDCE"/>
          </w:tcPr>
          <w:p w14:paraId="5A8AE25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1" w:type="dxa"/>
            <w:shd w:val="clear" w:color="auto" w:fill="C5EDCE"/>
          </w:tcPr>
          <w:p w14:paraId="5A8AE25F"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Lignes ferroviaires locales</w:t>
            </w:r>
          </w:p>
        </w:tc>
        <w:tc>
          <w:tcPr>
            <w:tcW w:w="1255" w:type="dxa"/>
            <w:shd w:val="clear" w:color="auto" w:fill="C5EDCE"/>
          </w:tcPr>
          <w:p w14:paraId="5A8AE260"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888" w:type="dxa"/>
            <w:shd w:val="clear" w:color="auto" w:fill="C5EDCE"/>
          </w:tcPr>
          <w:p w14:paraId="5A8AE26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Km</w:t>
            </w:r>
          </w:p>
        </w:tc>
        <w:tc>
          <w:tcPr>
            <w:tcW w:w="1025" w:type="dxa"/>
            <w:shd w:val="clear" w:color="auto" w:fill="C5EDCE"/>
          </w:tcPr>
          <w:p w14:paraId="5A8AE26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929" w:type="dxa"/>
            <w:shd w:val="clear" w:color="auto" w:fill="C5EDCE"/>
          </w:tcPr>
          <w:p w14:paraId="5A8AE26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500</w:t>
            </w:r>
          </w:p>
        </w:tc>
        <w:tc>
          <w:tcPr>
            <w:tcW w:w="843" w:type="dxa"/>
            <w:shd w:val="clear" w:color="auto" w:fill="C5EDCE"/>
          </w:tcPr>
          <w:p w14:paraId="5A8AE26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40" w:type="dxa"/>
            <w:shd w:val="clear" w:color="auto" w:fill="C5EDCE"/>
          </w:tcPr>
          <w:p w14:paraId="5A8AE26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4154" w:type="dxa"/>
            <w:shd w:val="clear" w:color="auto" w:fill="C5EDCE"/>
          </w:tcPr>
          <w:p w14:paraId="5A8AE266"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Kilomètres de petites lignes locales rénovés (au total).</w:t>
            </w:r>
          </w:p>
        </w:tc>
      </w:tr>
      <w:tr w:rsidR="00782477" w:rsidRPr="0029070D" w14:paraId="5A8AE274" w14:textId="77777777" w:rsidTr="4A5B8411">
        <w:trPr>
          <w:trHeight w:val="750"/>
          <w:jc w:val="center"/>
        </w:trPr>
        <w:tc>
          <w:tcPr>
            <w:tcW w:w="1119" w:type="dxa"/>
            <w:shd w:val="clear" w:color="auto" w:fill="C5EDCE"/>
          </w:tcPr>
          <w:p w14:paraId="5A8AE26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3-12</w:t>
            </w:r>
          </w:p>
        </w:tc>
        <w:tc>
          <w:tcPr>
            <w:tcW w:w="1116" w:type="dxa"/>
            <w:shd w:val="clear" w:color="auto" w:fill="C5EDCE"/>
          </w:tcPr>
          <w:p w14:paraId="5A8AE269"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C3.I1</w:t>
            </w:r>
          </w:p>
          <w:p w14:paraId="5A8AE26A" w14:textId="77777777" w:rsidR="00740F0F" w:rsidRPr="0029070D" w:rsidRDefault="00100B64">
            <w:pPr>
              <w:spacing w:line="214" w:lineRule="exact"/>
              <w:ind w:left="9" w:right="2"/>
              <w:jc w:val="center"/>
              <w:rPr>
                <w:rFonts w:ascii="Times New Roman" w:eastAsia="Times New Roman" w:hAnsi="Times New Roman" w:cs="Times New Roman"/>
                <w:noProof/>
                <w:sz w:val="18"/>
                <w:szCs w:val="18"/>
              </w:rPr>
            </w:pPr>
            <w:r>
              <w:rPr>
                <w:rFonts w:ascii="Times New Roman" w:hAnsi="Times New Roman"/>
                <w:noProof/>
                <w:sz w:val="18"/>
              </w:rPr>
              <w:t>Soutien au secteur ferroviaire</w:t>
            </w:r>
          </w:p>
        </w:tc>
        <w:tc>
          <w:tcPr>
            <w:tcW w:w="1116" w:type="dxa"/>
            <w:shd w:val="clear" w:color="auto" w:fill="C5EDCE"/>
          </w:tcPr>
          <w:p w14:paraId="5A8AE26B"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1" w:type="dxa"/>
            <w:shd w:val="clear" w:color="auto" w:fill="C5EDCE"/>
          </w:tcPr>
          <w:p w14:paraId="5A8AE26C"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Lignes de transport de marchandises rénovées</w:t>
            </w:r>
          </w:p>
        </w:tc>
        <w:tc>
          <w:tcPr>
            <w:tcW w:w="1255" w:type="dxa"/>
            <w:shd w:val="clear" w:color="auto" w:fill="C5EDCE"/>
          </w:tcPr>
          <w:p w14:paraId="5A8AE26D"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88" w:type="dxa"/>
            <w:shd w:val="clear" w:color="auto" w:fill="C5EDCE"/>
          </w:tcPr>
          <w:p w14:paraId="5A8AE26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Km</w:t>
            </w:r>
          </w:p>
        </w:tc>
        <w:tc>
          <w:tcPr>
            <w:tcW w:w="1025" w:type="dxa"/>
            <w:shd w:val="clear" w:color="auto" w:fill="C5EDCE"/>
          </w:tcPr>
          <w:p w14:paraId="5A8AE26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929" w:type="dxa"/>
            <w:shd w:val="clear" w:color="auto" w:fill="C5EDCE"/>
          </w:tcPr>
          <w:p w14:paraId="5A8AE27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150</w:t>
            </w:r>
          </w:p>
        </w:tc>
        <w:tc>
          <w:tcPr>
            <w:tcW w:w="843" w:type="dxa"/>
            <w:shd w:val="clear" w:color="auto" w:fill="C5EDCE"/>
          </w:tcPr>
          <w:p w14:paraId="5A8AE271" w14:textId="77777777" w:rsidR="00740F0F" w:rsidRPr="0029070D" w:rsidRDefault="00100B64">
            <w:pPr>
              <w:spacing w:line="214" w:lineRule="exact"/>
              <w:ind w:left="9" w:right="2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40" w:type="dxa"/>
            <w:shd w:val="clear" w:color="auto" w:fill="C5EDCE"/>
          </w:tcPr>
          <w:p w14:paraId="5A8AE272" w14:textId="77777777" w:rsidR="00740F0F" w:rsidRPr="0029070D" w:rsidRDefault="00100B64">
            <w:pPr>
              <w:spacing w:line="214" w:lineRule="exact"/>
              <w:ind w:left="9" w:right="171"/>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4154" w:type="dxa"/>
            <w:shd w:val="clear" w:color="auto" w:fill="C5EDCE"/>
          </w:tcPr>
          <w:p w14:paraId="5A8AE273"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Kilomètres de lignes de transport de marchandises rénovées (au total).</w:t>
            </w:r>
          </w:p>
        </w:tc>
      </w:tr>
      <w:tr w:rsidR="00782477" w:rsidRPr="0029070D" w14:paraId="5A8AE284" w14:textId="77777777" w:rsidTr="4A5B8411">
        <w:trPr>
          <w:trHeight w:val="991"/>
          <w:jc w:val="center"/>
        </w:trPr>
        <w:tc>
          <w:tcPr>
            <w:tcW w:w="1119" w:type="dxa"/>
            <w:shd w:val="clear" w:color="auto" w:fill="C5EDCE"/>
          </w:tcPr>
          <w:p w14:paraId="5A8AE27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3-13</w:t>
            </w:r>
          </w:p>
        </w:tc>
        <w:tc>
          <w:tcPr>
            <w:tcW w:w="1116" w:type="dxa"/>
            <w:shd w:val="clear" w:color="auto" w:fill="C5EDCE"/>
          </w:tcPr>
          <w:p w14:paraId="5A8AE276"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C3.I1</w:t>
            </w:r>
          </w:p>
          <w:p w14:paraId="5A8AE277" w14:textId="77777777" w:rsidR="00740F0F" w:rsidRPr="0029070D" w:rsidRDefault="00100B64">
            <w:pPr>
              <w:spacing w:line="214" w:lineRule="exact"/>
              <w:ind w:left="9" w:right="2"/>
              <w:jc w:val="center"/>
              <w:rPr>
                <w:rFonts w:ascii="Times New Roman" w:eastAsia="Times New Roman" w:hAnsi="Times New Roman" w:cs="Times New Roman"/>
                <w:noProof/>
                <w:sz w:val="18"/>
                <w:szCs w:val="18"/>
              </w:rPr>
            </w:pPr>
            <w:r>
              <w:rPr>
                <w:rFonts w:ascii="Times New Roman" w:hAnsi="Times New Roman"/>
                <w:noProof/>
                <w:sz w:val="18"/>
              </w:rPr>
              <w:t>Soutien au secteur ferroviaire</w:t>
            </w:r>
          </w:p>
        </w:tc>
        <w:tc>
          <w:tcPr>
            <w:tcW w:w="1116" w:type="dxa"/>
            <w:shd w:val="clear" w:color="auto" w:fill="C5EDCE"/>
          </w:tcPr>
          <w:p w14:paraId="5A8AE278"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1" w:type="dxa"/>
            <w:shd w:val="clear" w:color="auto" w:fill="C5EDCE"/>
          </w:tcPr>
          <w:p w14:paraId="5A8AE279"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Lignes ferroviaires locales</w:t>
            </w:r>
          </w:p>
        </w:tc>
        <w:tc>
          <w:tcPr>
            <w:tcW w:w="1255" w:type="dxa"/>
            <w:shd w:val="clear" w:color="auto" w:fill="C5EDCE"/>
          </w:tcPr>
          <w:p w14:paraId="5A8AE27A"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88" w:type="dxa"/>
            <w:shd w:val="clear" w:color="auto" w:fill="C5EDCE"/>
          </w:tcPr>
          <w:p w14:paraId="5A8AE27B" w14:textId="77777777" w:rsidR="00740F0F" w:rsidRPr="0029070D" w:rsidRDefault="00100B64">
            <w:pPr>
              <w:spacing w:line="214" w:lineRule="exact"/>
              <w:ind w:left="9" w:right="82"/>
              <w:jc w:val="center"/>
              <w:rPr>
                <w:rFonts w:ascii="Times New Roman" w:eastAsia="Times New Roman" w:hAnsi="Times New Roman" w:cs="Times New Roman"/>
                <w:noProof/>
                <w:sz w:val="18"/>
                <w:szCs w:val="18"/>
              </w:rPr>
            </w:pPr>
            <w:r>
              <w:rPr>
                <w:rFonts w:ascii="Times New Roman" w:hAnsi="Times New Roman"/>
                <w:noProof/>
                <w:sz w:val="18"/>
              </w:rPr>
              <w:t>Km</w:t>
            </w:r>
          </w:p>
        </w:tc>
        <w:tc>
          <w:tcPr>
            <w:tcW w:w="1025" w:type="dxa"/>
            <w:shd w:val="clear" w:color="auto" w:fill="C5EDCE"/>
          </w:tcPr>
          <w:p w14:paraId="5A8AE27C" w14:textId="77777777" w:rsidR="00740F0F" w:rsidRPr="0029070D" w:rsidRDefault="00100B64">
            <w:pPr>
              <w:spacing w:line="214" w:lineRule="exact"/>
              <w:ind w:left="9" w:right="151"/>
              <w:jc w:val="center"/>
              <w:rPr>
                <w:rFonts w:ascii="Times New Roman" w:eastAsia="Times New Roman" w:hAnsi="Times New Roman" w:cs="Times New Roman"/>
                <w:noProof/>
                <w:sz w:val="18"/>
                <w:szCs w:val="18"/>
              </w:rPr>
            </w:pPr>
            <w:r>
              <w:rPr>
                <w:rFonts w:ascii="Times New Roman" w:hAnsi="Times New Roman"/>
                <w:noProof/>
                <w:sz w:val="18"/>
              </w:rPr>
              <w:t>500</w:t>
            </w:r>
          </w:p>
        </w:tc>
        <w:tc>
          <w:tcPr>
            <w:tcW w:w="929" w:type="dxa"/>
            <w:shd w:val="clear" w:color="auto" w:fill="C5EDCE"/>
          </w:tcPr>
          <w:p w14:paraId="5A8AE27D" w14:textId="77777777" w:rsidR="00740F0F" w:rsidRPr="0029070D" w:rsidRDefault="00100B64">
            <w:pPr>
              <w:spacing w:line="214" w:lineRule="exact"/>
              <w:ind w:left="9" w:right="243"/>
              <w:jc w:val="center"/>
              <w:rPr>
                <w:rFonts w:ascii="Times New Roman" w:eastAsia="Times New Roman" w:hAnsi="Times New Roman" w:cs="Times New Roman"/>
                <w:noProof/>
                <w:sz w:val="18"/>
                <w:szCs w:val="18"/>
              </w:rPr>
            </w:pPr>
            <w:r>
              <w:rPr>
                <w:rFonts w:ascii="Times New Roman" w:hAnsi="Times New Roman"/>
                <w:noProof/>
                <w:sz w:val="18"/>
              </w:rPr>
              <w:t>827</w:t>
            </w:r>
          </w:p>
        </w:tc>
        <w:tc>
          <w:tcPr>
            <w:tcW w:w="843" w:type="dxa"/>
            <w:shd w:val="clear" w:color="auto" w:fill="C5EDCE"/>
          </w:tcPr>
          <w:p w14:paraId="5A8AE27E" w14:textId="77777777" w:rsidR="00740F0F" w:rsidRPr="0029070D" w:rsidRDefault="00100B64">
            <w:pPr>
              <w:spacing w:line="214" w:lineRule="exact"/>
              <w:ind w:left="9" w:right="2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40" w:type="dxa"/>
            <w:shd w:val="clear" w:color="auto" w:fill="C5EDCE"/>
          </w:tcPr>
          <w:p w14:paraId="5A8AE27F" w14:textId="77777777" w:rsidR="00740F0F" w:rsidRPr="0029070D" w:rsidRDefault="00100B64">
            <w:pPr>
              <w:spacing w:line="214" w:lineRule="exact"/>
              <w:ind w:left="9" w:right="171"/>
              <w:jc w:val="center"/>
              <w:rPr>
                <w:rFonts w:ascii="Times New Roman" w:eastAsia="Times New Roman" w:hAnsi="Times New Roman" w:cs="Times New Roman"/>
                <w:noProof/>
                <w:sz w:val="18"/>
                <w:szCs w:val="18"/>
              </w:rPr>
            </w:pPr>
            <w:r>
              <w:rPr>
                <w:rFonts w:ascii="Times New Roman" w:hAnsi="Times New Roman"/>
                <w:noProof/>
                <w:sz w:val="18"/>
              </w:rPr>
              <w:t>2025</w:t>
            </w:r>
          </w:p>
        </w:tc>
        <w:tc>
          <w:tcPr>
            <w:tcW w:w="4154" w:type="dxa"/>
            <w:shd w:val="clear" w:color="auto" w:fill="C5EDCE"/>
          </w:tcPr>
          <w:p w14:paraId="5A8AE280" w14:textId="77777777" w:rsidR="00740F0F" w:rsidRPr="0029070D" w:rsidRDefault="00100B64" w:rsidP="00D4076D">
            <w:pPr>
              <w:rPr>
                <w:rFonts w:ascii="Times New Roman" w:eastAsia="Times New Roman" w:hAnsi="Times New Roman" w:cs="Times New Roman"/>
                <w:noProof/>
                <w:sz w:val="19"/>
              </w:rPr>
            </w:pPr>
            <w:r>
              <w:rPr>
                <w:rFonts w:ascii="Times New Roman" w:hAnsi="Times New Roman"/>
                <w:noProof/>
                <w:sz w:val="19"/>
              </w:rPr>
              <w:t>Rénovation de petites lignes locales.</w:t>
            </w:r>
          </w:p>
          <w:p w14:paraId="5A8AE281" w14:textId="77777777" w:rsidR="00740F0F" w:rsidRPr="0029070D" w:rsidRDefault="00100B64">
            <w:pPr>
              <w:spacing w:before="147"/>
              <w:rPr>
                <w:rFonts w:ascii="Times New Roman" w:eastAsia="Times New Roman" w:hAnsi="Times New Roman" w:cs="Times New Roman"/>
                <w:noProof/>
                <w:sz w:val="19"/>
              </w:rPr>
            </w:pPr>
            <w:r>
              <w:rPr>
                <w:rFonts w:ascii="Times New Roman" w:hAnsi="Times New Roman"/>
                <w:noProof/>
                <w:sz w:val="19"/>
              </w:rPr>
              <w:t>Les kilomètres sont considérés comme rénovés de la manière suivante:</w:t>
            </w:r>
          </w:p>
          <w:p w14:paraId="5A8AE282" w14:textId="77777777" w:rsidR="00740F0F" w:rsidRPr="0029070D" w:rsidRDefault="00100B64">
            <w:pPr>
              <w:spacing w:before="147"/>
              <w:rPr>
                <w:rFonts w:ascii="Times New Roman" w:eastAsia="Times New Roman" w:hAnsi="Times New Roman" w:cs="Times New Roman"/>
                <w:noProof/>
                <w:sz w:val="19"/>
              </w:rPr>
            </w:pPr>
            <w:r>
              <w:rPr>
                <w:rFonts w:ascii="Times New Roman" w:hAnsi="Times New Roman"/>
                <w:noProof/>
                <w:sz w:val="19"/>
              </w:rPr>
              <w:t>soit l’ensemble de la section est pris en considération si aucun autre investissement n’est prévu avant 2032;</w:t>
            </w:r>
          </w:p>
          <w:p w14:paraId="5A8AE283" w14:textId="77777777" w:rsidR="00740F0F" w:rsidRPr="0029070D" w:rsidRDefault="00100B64">
            <w:pPr>
              <w:spacing w:before="147"/>
              <w:rPr>
                <w:rFonts w:ascii="Times New Roman" w:eastAsia="Times New Roman" w:hAnsi="Times New Roman" w:cs="Times New Roman"/>
                <w:noProof/>
                <w:sz w:val="19"/>
              </w:rPr>
            </w:pPr>
            <w:r>
              <w:rPr>
                <w:rFonts w:ascii="Times New Roman" w:hAnsi="Times New Roman"/>
                <w:noProof/>
                <w:sz w:val="19"/>
              </w:rPr>
              <w:t>soit les kilomètres linéaires de voie sont pris en considération lorsque tous leurs éléments (rails, traverses et ballast) ont été remplacés.</w:t>
            </w:r>
          </w:p>
        </w:tc>
      </w:tr>
      <w:tr w:rsidR="00782477" w:rsidRPr="0029070D" w14:paraId="5A8AE292" w14:textId="77777777" w:rsidTr="4A5B8411">
        <w:trPr>
          <w:trHeight w:val="736"/>
          <w:jc w:val="center"/>
        </w:trPr>
        <w:tc>
          <w:tcPr>
            <w:tcW w:w="1119" w:type="dxa"/>
            <w:shd w:val="clear" w:color="auto" w:fill="C5EDCE"/>
          </w:tcPr>
          <w:p w14:paraId="5A8AE28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3-14</w:t>
            </w:r>
          </w:p>
        </w:tc>
        <w:tc>
          <w:tcPr>
            <w:tcW w:w="1116" w:type="dxa"/>
            <w:shd w:val="clear" w:color="auto" w:fill="C5EDCE"/>
          </w:tcPr>
          <w:p w14:paraId="5A8AE286"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C3.I1</w:t>
            </w:r>
          </w:p>
          <w:p w14:paraId="5A8AE287" w14:textId="77777777" w:rsidR="00740F0F" w:rsidRPr="0029070D" w:rsidRDefault="00100B64">
            <w:pPr>
              <w:spacing w:line="214" w:lineRule="exact"/>
              <w:ind w:left="9" w:right="3"/>
              <w:jc w:val="center"/>
              <w:rPr>
                <w:rFonts w:ascii="Times New Roman" w:eastAsia="Times New Roman" w:hAnsi="Times New Roman" w:cs="Times New Roman"/>
                <w:noProof/>
                <w:sz w:val="18"/>
                <w:szCs w:val="18"/>
              </w:rPr>
            </w:pPr>
            <w:r>
              <w:rPr>
                <w:rFonts w:ascii="Times New Roman" w:hAnsi="Times New Roman"/>
                <w:noProof/>
                <w:sz w:val="18"/>
              </w:rPr>
              <w:t>Soutien</w:t>
            </w:r>
          </w:p>
          <w:p w14:paraId="5A8AE288"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au secteur ferroviaire</w:t>
            </w:r>
          </w:p>
        </w:tc>
        <w:tc>
          <w:tcPr>
            <w:tcW w:w="1116" w:type="dxa"/>
            <w:shd w:val="clear" w:color="auto" w:fill="C5EDCE"/>
          </w:tcPr>
          <w:p w14:paraId="5A8AE289"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1" w:type="dxa"/>
            <w:shd w:val="clear" w:color="auto" w:fill="C5EDCE"/>
          </w:tcPr>
          <w:p w14:paraId="5A8AE28A" w14:textId="77777777" w:rsidR="00740F0F" w:rsidRPr="0029070D" w:rsidRDefault="00100B64">
            <w:pPr>
              <w:spacing w:line="214" w:lineRule="exact"/>
              <w:ind w:left="9" w:right="411"/>
              <w:rPr>
                <w:rFonts w:ascii="Times New Roman" w:eastAsia="Times New Roman" w:hAnsi="Times New Roman" w:cs="Times New Roman"/>
                <w:noProof/>
                <w:sz w:val="18"/>
                <w:szCs w:val="18"/>
              </w:rPr>
            </w:pPr>
            <w:r>
              <w:rPr>
                <w:rFonts w:ascii="Times New Roman" w:hAnsi="Times New Roman"/>
                <w:noProof/>
                <w:sz w:val="18"/>
              </w:rPr>
              <w:t>Lignes locales de transport de marchandises rénovées</w:t>
            </w:r>
          </w:p>
        </w:tc>
        <w:tc>
          <w:tcPr>
            <w:tcW w:w="1255" w:type="dxa"/>
            <w:shd w:val="clear" w:color="auto" w:fill="C5EDCE"/>
          </w:tcPr>
          <w:p w14:paraId="5A8AE28B"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88" w:type="dxa"/>
            <w:shd w:val="clear" w:color="auto" w:fill="C5EDCE"/>
          </w:tcPr>
          <w:p w14:paraId="5A8AE28C" w14:textId="77777777" w:rsidR="00740F0F" w:rsidRPr="0029070D" w:rsidRDefault="00100B64">
            <w:pPr>
              <w:spacing w:line="214" w:lineRule="exact"/>
              <w:ind w:left="9" w:right="82"/>
              <w:jc w:val="center"/>
              <w:rPr>
                <w:rFonts w:ascii="Times New Roman" w:eastAsia="Times New Roman" w:hAnsi="Times New Roman" w:cs="Times New Roman"/>
                <w:noProof/>
                <w:sz w:val="18"/>
                <w:szCs w:val="18"/>
              </w:rPr>
            </w:pPr>
            <w:r>
              <w:rPr>
                <w:rFonts w:ascii="Times New Roman" w:hAnsi="Times New Roman"/>
                <w:noProof/>
                <w:sz w:val="18"/>
              </w:rPr>
              <w:t>Km</w:t>
            </w:r>
          </w:p>
        </w:tc>
        <w:tc>
          <w:tcPr>
            <w:tcW w:w="1025" w:type="dxa"/>
            <w:shd w:val="clear" w:color="auto" w:fill="C5EDCE"/>
          </w:tcPr>
          <w:p w14:paraId="5A8AE28D" w14:textId="77777777" w:rsidR="00740F0F" w:rsidRPr="0029070D" w:rsidRDefault="00100B64">
            <w:pPr>
              <w:spacing w:line="214" w:lineRule="exact"/>
              <w:ind w:left="9" w:right="151"/>
              <w:jc w:val="center"/>
              <w:rPr>
                <w:rFonts w:ascii="Times New Roman" w:eastAsia="Times New Roman" w:hAnsi="Times New Roman" w:cs="Times New Roman"/>
                <w:noProof/>
                <w:sz w:val="18"/>
                <w:szCs w:val="18"/>
              </w:rPr>
            </w:pPr>
            <w:r>
              <w:rPr>
                <w:rFonts w:ascii="Times New Roman" w:hAnsi="Times New Roman"/>
                <w:noProof/>
                <w:sz w:val="18"/>
              </w:rPr>
              <w:t>150</w:t>
            </w:r>
          </w:p>
        </w:tc>
        <w:tc>
          <w:tcPr>
            <w:tcW w:w="929" w:type="dxa"/>
            <w:shd w:val="clear" w:color="auto" w:fill="C5EDCE"/>
          </w:tcPr>
          <w:p w14:paraId="5A8AE28E" w14:textId="6DD82154" w:rsidR="00740F0F" w:rsidRPr="0029070D" w:rsidRDefault="00E513E3">
            <w:pPr>
              <w:spacing w:line="214" w:lineRule="exact"/>
              <w:ind w:left="9" w:right="243"/>
              <w:jc w:val="center"/>
              <w:rPr>
                <w:rFonts w:ascii="Times New Roman" w:eastAsia="Times New Roman" w:hAnsi="Times New Roman" w:cs="Times New Roman"/>
                <w:noProof/>
                <w:sz w:val="18"/>
                <w:szCs w:val="18"/>
              </w:rPr>
            </w:pPr>
            <w:r>
              <w:rPr>
                <w:rFonts w:ascii="Times New Roman" w:hAnsi="Times New Roman"/>
                <w:noProof/>
                <w:sz w:val="18"/>
              </w:rPr>
              <w:t>268</w:t>
            </w:r>
          </w:p>
        </w:tc>
        <w:tc>
          <w:tcPr>
            <w:tcW w:w="843" w:type="dxa"/>
            <w:shd w:val="clear" w:color="auto" w:fill="C5EDCE"/>
          </w:tcPr>
          <w:p w14:paraId="5A8AE28F" w14:textId="77777777" w:rsidR="00740F0F" w:rsidRPr="0029070D" w:rsidRDefault="00100B64">
            <w:pPr>
              <w:spacing w:line="214" w:lineRule="exact"/>
              <w:ind w:left="9" w:right="2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40" w:type="dxa"/>
            <w:shd w:val="clear" w:color="auto" w:fill="C5EDCE"/>
          </w:tcPr>
          <w:p w14:paraId="5A8AE290" w14:textId="77777777" w:rsidR="00740F0F" w:rsidRPr="0029070D" w:rsidRDefault="00100B64">
            <w:pPr>
              <w:spacing w:line="214" w:lineRule="exact"/>
              <w:ind w:left="9" w:right="171"/>
              <w:jc w:val="center"/>
              <w:rPr>
                <w:rFonts w:ascii="Times New Roman" w:eastAsia="Times New Roman" w:hAnsi="Times New Roman" w:cs="Times New Roman"/>
                <w:noProof/>
                <w:sz w:val="18"/>
                <w:szCs w:val="18"/>
              </w:rPr>
            </w:pPr>
            <w:r>
              <w:rPr>
                <w:rFonts w:ascii="Times New Roman" w:hAnsi="Times New Roman"/>
                <w:noProof/>
                <w:sz w:val="18"/>
              </w:rPr>
              <w:t>2025</w:t>
            </w:r>
          </w:p>
        </w:tc>
        <w:tc>
          <w:tcPr>
            <w:tcW w:w="4154" w:type="dxa"/>
            <w:shd w:val="clear" w:color="auto" w:fill="C5EDCE"/>
          </w:tcPr>
          <w:p w14:paraId="5A8AE291"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 xml:space="preserve">Rénovation de lignes de transport de marchandises. </w:t>
            </w:r>
          </w:p>
        </w:tc>
      </w:tr>
      <w:tr w:rsidR="00782477" w:rsidRPr="0029070D" w14:paraId="5A8AE29F" w14:textId="77777777" w:rsidTr="4A5B8411">
        <w:trPr>
          <w:trHeight w:val="1159"/>
          <w:jc w:val="center"/>
        </w:trPr>
        <w:tc>
          <w:tcPr>
            <w:tcW w:w="1119" w:type="dxa"/>
            <w:shd w:val="clear" w:color="auto" w:fill="C5EDCE"/>
          </w:tcPr>
          <w:p w14:paraId="5A8AE29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3-15</w:t>
            </w:r>
          </w:p>
        </w:tc>
        <w:tc>
          <w:tcPr>
            <w:tcW w:w="1116" w:type="dxa"/>
            <w:shd w:val="clear" w:color="auto" w:fill="C5EDCE"/>
          </w:tcPr>
          <w:p w14:paraId="5A8AE294"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C3.I2</w:t>
            </w:r>
          </w:p>
          <w:p w14:paraId="5A8AE295"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Soutien à la demande en véhicules propres</w:t>
            </w:r>
          </w:p>
        </w:tc>
        <w:tc>
          <w:tcPr>
            <w:tcW w:w="1116" w:type="dxa"/>
            <w:shd w:val="clear" w:color="auto" w:fill="C5EDCE"/>
          </w:tcPr>
          <w:p w14:paraId="5A8AE296"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1" w:type="dxa"/>
            <w:shd w:val="clear" w:color="auto" w:fill="C5EDCE"/>
          </w:tcPr>
          <w:p w14:paraId="5A8AE297"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Bonus écologiques</w:t>
            </w:r>
          </w:p>
        </w:tc>
        <w:tc>
          <w:tcPr>
            <w:tcW w:w="1255" w:type="dxa"/>
            <w:shd w:val="clear" w:color="auto" w:fill="C5EDCE"/>
          </w:tcPr>
          <w:p w14:paraId="5A8AE298"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88" w:type="dxa"/>
            <w:shd w:val="clear" w:color="auto" w:fill="C5EDCE"/>
          </w:tcPr>
          <w:p w14:paraId="5A8AE299" w14:textId="77777777" w:rsidR="00740F0F" w:rsidRPr="0029070D" w:rsidRDefault="00100B64">
            <w:pPr>
              <w:spacing w:line="214" w:lineRule="exact"/>
              <w:ind w:left="9" w:right="87"/>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1025" w:type="dxa"/>
            <w:shd w:val="clear" w:color="auto" w:fill="C5EDCE"/>
          </w:tcPr>
          <w:p w14:paraId="5A8AE29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929" w:type="dxa"/>
            <w:shd w:val="clear" w:color="auto" w:fill="C5EDCE"/>
          </w:tcPr>
          <w:p w14:paraId="5A8AE29B" w14:textId="77777777" w:rsidR="00740F0F" w:rsidRPr="0029070D" w:rsidRDefault="00100B64">
            <w:pPr>
              <w:spacing w:line="214" w:lineRule="exact"/>
              <w:ind w:left="9" w:right="-71"/>
              <w:jc w:val="center"/>
              <w:rPr>
                <w:rFonts w:ascii="Times New Roman" w:eastAsia="Times New Roman" w:hAnsi="Times New Roman" w:cs="Times New Roman"/>
                <w:noProof/>
                <w:sz w:val="18"/>
                <w:szCs w:val="18"/>
              </w:rPr>
            </w:pPr>
            <w:r>
              <w:rPr>
                <w:rFonts w:ascii="Times New Roman" w:hAnsi="Times New Roman"/>
                <w:noProof/>
                <w:sz w:val="18"/>
              </w:rPr>
              <w:t>85 000</w:t>
            </w:r>
          </w:p>
        </w:tc>
        <w:tc>
          <w:tcPr>
            <w:tcW w:w="843" w:type="dxa"/>
            <w:shd w:val="clear" w:color="auto" w:fill="C5EDCE"/>
          </w:tcPr>
          <w:p w14:paraId="5A8AE29C" w14:textId="77777777" w:rsidR="00740F0F" w:rsidRPr="0029070D" w:rsidRDefault="00100B64">
            <w:pPr>
              <w:spacing w:line="214" w:lineRule="exact"/>
              <w:ind w:left="9" w:right="29"/>
              <w:jc w:val="center"/>
              <w:rPr>
                <w:rFonts w:ascii="Times New Roman" w:eastAsia="Times New Roman" w:hAnsi="Times New Roman" w:cs="Times New Roman"/>
                <w:noProof/>
                <w:sz w:val="18"/>
                <w:szCs w:val="18"/>
              </w:rPr>
            </w:pPr>
            <w:r>
              <w:rPr>
                <w:rFonts w:ascii="Times New Roman" w:hAnsi="Times New Roman"/>
                <w:noProof/>
                <w:sz w:val="18"/>
              </w:rPr>
              <w:t>T1</w:t>
            </w:r>
          </w:p>
        </w:tc>
        <w:tc>
          <w:tcPr>
            <w:tcW w:w="1140" w:type="dxa"/>
            <w:shd w:val="clear" w:color="auto" w:fill="C5EDCE"/>
          </w:tcPr>
          <w:p w14:paraId="5A8AE29D" w14:textId="77777777" w:rsidR="00740F0F" w:rsidRPr="0029070D" w:rsidRDefault="00100B64">
            <w:pPr>
              <w:spacing w:line="214" w:lineRule="exact"/>
              <w:ind w:left="9" w:right="171"/>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4154" w:type="dxa"/>
            <w:shd w:val="clear" w:color="auto" w:fill="C5EDCE"/>
          </w:tcPr>
          <w:p w14:paraId="5A8AE29E" w14:textId="77777777" w:rsidR="00740F0F" w:rsidRPr="0029070D" w:rsidRDefault="00100B64">
            <w:pPr>
              <w:spacing w:line="214" w:lineRule="exact"/>
              <w:ind w:left="9" w:right="176"/>
              <w:rPr>
                <w:rFonts w:ascii="Times New Roman" w:eastAsia="Times New Roman" w:hAnsi="Times New Roman" w:cs="Times New Roman"/>
                <w:noProof/>
                <w:sz w:val="18"/>
                <w:szCs w:val="18"/>
              </w:rPr>
            </w:pPr>
            <w:r>
              <w:rPr>
                <w:rFonts w:ascii="Times New Roman" w:hAnsi="Times New Roman"/>
                <w:noProof/>
                <w:sz w:val="18"/>
              </w:rPr>
              <w:t>Nombre de bonus écologiques octroyés pour des véhicules légers depuis juin 2020</w:t>
            </w:r>
          </w:p>
        </w:tc>
      </w:tr>
      <w:tr w:rsidR="00782477" w:rsidRPr="0029070D" w14:paraId="5A8AE2AC" w14:textId="77777777" w:rsidTr="4A5B8411">
        <w:trPr>
          <w:trHeight w:val="1156"/>
          <w:jc w:val="center"/>
        </w:trPr>
        <w:tc>
          <w:tcPr>
            <w:tcW w:w="1119" w:type="dxa"/>
            <w:shd w:val="clear" w:color="auto" w:fill="C5EDCE"/>
          </w:tcPr>
          <w:p w14:paraId="5A8AE2A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3-16</w:t>
            </w:r>
          </w:p>
        </w:tc>
        <w:tc>
          <w:tcPr>
            <w:tcW w:w="1116" w:type="dxa"/>
            <w:shd w:val="clear" w:color="auto" w:fill="C5EDCE"/>
          </w:tcPr>
          <w:p w14:paraId="5A8AE2A1"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C3.I2</w:t>
            </w:r>
          </w:p>
          <w:p w14:paraId="5A8AE2A2" w14:textId="77777777" w:rsidR="00740F0F" w:rsidRPr="0029070D" w:rsidRDefault="00100B64">
            <w:pPr>
              <w:spacing w:line="214" w:lineRule="exact"/>
              <w:ind w:left="9" w:right="37"/>
              <w:jc w:val="center"/>
              <w:rPr>
                <w:rFonts w:ascii="Times New Roman" w:eastAsia="Times New Roman" w:hAnsi="Times New Roman" w:cs="Times New Roman"/>
                <w:noProof/>
                <w:sz w:val="18"/>
                <w:szCs w:val="18"/>
              </w:rPr>
            </w:pPr>
            <w:r>
              <w:rPr>
                <w:rFonts w:ascii="Times New Roman" w:hAnsi="Times New Roman"/>
                <w:noProof/>
                <w:sz w:val="18"/>
              </w:rPr>
              <w:t>Soutien à la demande en véhicules propres</w:t>
            </w:r>
          </w:p>
        </w:tc>
        <w:tc>
          <w:tcPr>
            <w:tcW w:w="1116" w:type="dxa"/>
            <w:shd w:val="clear" w:color="auto" w:fill="C5EDCE"/>
          </w:tcPr>
          <w:p w14:paraId="5A8AE2A3"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1" w:type="dxa"/>
            <w:shd w:val="clear" w:color="auto" w:fill="C5EDCE"/>
          </w:tcPr>
          <w:p w14:paraId="5A8AE2A4"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Bonus écologiques</w:t>
            </w:r>
          </w:p>
        </w:tc>
        <w:tc>
          <w:tcPr>
            <w:tcW w:w="1255" w:type="dxa"/>
            <w:shd w:val="clear" w:color="auto" w:fill="C5EDCE"/>
          </w:tcPr>
          <w:p w14:paraId="5A8AE2A5"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88" w:type="dxa"/>
            <w:shd w:val="clear" w:color="auto" w:fill="C5EDCE"/>
          </w:tcPr>
          <w:p w14:paraId="5A8AE2A6" w14:textId="77777777" w:rsidR="00740F0F" w:rsidRPr="0029070D" w:rsidRDefault="00100B64">
            <w:pPr>
              <w:spacing w:line="214" w:lineRule="exact"/>
              <w:ind w:left="9" w:right="87"/>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1025" w:type="dxa"/>
            <w:shd w:val="clear" w:color="auto" w:fill="C5EDCE"/>
          </w:tcPr>
          <w:p w14:paraId="5A8AE2A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929" w:type="dxa"/>
            <w:shd w:val="clear" w:color="auto" w:fill="C5EDCE"/>
          </w:tcPr>
          <w:p w14:paraId="5A8AE2A8" w14:textId="77777777" w:rsidR="00740F0F" w:rsidRPr="0029070D" w:rsidRDefault="00100B64">
            <w:pPr>
              <w:spacing w:line="214" w:lineRule="exact"/>
              <w:ind w:left="9" w:right="-71"/>
              <w:jc w:val="center"/>
              <w:rPr>
                <w:rFonts w:ascii="Times New Roman" w:eastAsia="Times New Roman" w:hAnsi="Times New Roman" w:cs="Times New Roman"/>
                <w:noProof/>
                <w:sz w:val="18"/>
                <w:szCs w:val="18"/>
              </w:rPr>
            </w:pPr>
            <w:r>
              <w:rPr>
                <w:rFonts w:ascii="Times New Roman" w:hAnsi="Times New Roman"/>
                <w:noProof/>
                <w:sz w:val="18"/>
              </w:rPr>
              <w:t>127 000</w:t>
            </w:r>
          </w:p>
        </w:tc>
        <w:tc>
          <w:tcPr>
            <w:tcW w:w="843" w:type="dxa"/>
            <w:shd w:val="clear" w:color="auto" w:fill="C5EDCE"/>
          </w:tcPr>
          <w:p w14:paraId="5A8AE2A9" w14:textId="77777777" w:rsidR="00740F0F" w:rsidRPr="0029070D" w:rsidRDefault="00100B64">
            <w:pPr>
              <w:spacing w:line="214" w:lineRule="exact"/>
              <w:ind w:left="9" w:right="29"/>
              <w:jc w:val="center"/>
              <w:rPr>
                <w:rFonts w:ascii="Times New Roman" w:eastAsia="Times New Roman" w:hAnsi="Times New Roman" w:cs="Times New Roman"/>
                <w:noProof/>
                <w:sz w:val="18"/>
                <w:szCs w:val="18"/>
              </w:rPr>
            </w:pPr>
            <w:r>
              <w:rPr>
                <w:rFonts w:ascii="Times New Roman" w:hAnsi="Times New Roman"/>
                <w:noProof/>
                <w:sz w:val="18"/>
              </w:rPr>
              <w:t>T1</w:t>
            </w:r>
          </w:p>
        </w:tc>
        <w:tc>
          <w:tcPr>
            <w:tcW w:w="1140" w:type="dxa"/>
            <w:shd w:val="clear" w:color="auto" w:fill="C5EDCE"/>
          </w:tcPr>
          <w:p w14:paraId="5A8AE2AA" w14:textId="77777777" w:rsidR="00740F0F" w:rsidRPr="0029070D" w:rsidRDefault="00100B64">
            <w:pPr>
              <w:spacing w:line="214" w:lineRule="exact"/>
              <w:ind w:left="9" w:right="171"/>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154" w:type="dxa"/>
            <w:shd w:val="clear" w:color="auto" w:fill="C5EDCE"/>
          </w:tcPr>
          <w:p w14:paraId="5A8AE2AB" w14:textId="77777777" w:rsidR="00740F0F" w:rsidRPr="0029070D" w:rsidRDefault="00100B64">
            <w:pPr>
              <w:spacing w:line="214" w:lineRule="exact"/>
              <w:ind w:left="9" w:right="176"/>
              <w:rPr>
                <w:rFonts w:ascii="Times New Roman" w:eastAsia="Times New Roman" w:hAnsi="Times New Roman" w:cs="Times New Roman"/>
                <w:noProof/>
                <w:sz w:val="18"/>
                <w:szCs w:val="18"/>
              </w:rPr>
            </w:pPr>
            <w:r>
              <w:rPr>
                <w:rFonts w:ascii="Times New Roman" w:hAnsi="Times New Roman"/>
                <w:noProof/>
                <w:sz w:val="18"/>
              </w:rPr>
              <w:t>Nombre de bonus écologiques octroyés pour des véhicules légers en 2021</w:t>
            </w:r>
          </w:p>
        </w:tc>
      </w:tr>
      <w:tr w:rsidR="00782477" w:rsidRPr="0029070D" w14:paraId="5A8AE2B9" w14:textId="77777777" w:rsidTr="4A5B8411">
        <w:trPr>
          <w:trHeight w:val="827"/>
          <w:jc w:val="center"/>
        </w:trPr>
        <w:tc>
          <w:tcPr>
            <w:tcW w:w="1119" w:type="dxa"/>
            <w:shd w:val="clear" w:color="auto" w:fill="C5EDCE"/>
          </w:tcPr>
          <w:p w14:paraId="5A8AE2A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3-18</w:t>
            </w:r>
          </w:p>
        </w:tc>
        <w:tc>
          <w:tcPr>
            <w:tcW w:w="1116" w:type="dxa"/>
            <w:shd w:val="clear" w:color="auto" w:fill="C5EDCE"/>
          </w:tcPr>
          <w:p w14:paraId="5A8AE2A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C3.I3</w:t>
            </w:r>
          </w:p>
          <w:p w14:paraId="5A8AE2AF" w14:textId="77777777" w:rsidR="00740F0F" w:rsidRPr="0029070D" w:rsidRDefault="00100B64">
            <w:pPr>
              <w:spacing w:line="214" w:lineRule="exact"/>
              <w:ind w:left="9" w:right="202" w:firstLine="105"/>
              <w:jc w:val="center"/>
              <w:rPr>
                <w:rFonts w:ascii="Times New Roman" w:eastAsia="Times New Roman" w:hAnsi="Times New Roman" w:cs="Times New Roman"/>
                <w:noProof/>
                <w:sz w:val="18"/>
                <w:szCs w:val="18"/>
              </w:rPr>
            </w:pPr>
            <w:r>
              <w:rPr>
                <w:rFonts w:ascii="Times New Roman" w:hAnsi="Times New Roman"/>
                <w:noProof/>
                <w:sz w:val="18"/>
              </w:rPr>
              <w:t>Mobilités du quotidien</w:t>
            </w:r>
          </w:p>
        </w:tc>
        <w:tc>
          <w:tcPr>
            <w:tcW w:w="1116" w:type="dxa"/>
            <w:shd w:val="clear" w:color="auto" w:fill="C5EDCE"/>
          </w:tcPr>
          <w:p w14:paraId="5A8AE2B0"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41" w:type="dxa"/>
            <w:shd w:val="clear" w:color="auto" w:fill="C5EDCE"/>
          </w:tcPr>
          <w:p w14:paraId="5A8AE2B1"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Conventions de financement de l’AFITF</w:t>
            </w:r>
          </w:p>
        </w:tc>
        <w:tc>
          <w:tcPr>
            <w:tcW w:w="1255" w:type="dxa"/>
            <w:shd w:val="clear" w:color="auto" w:fill="C5EDCE"/>
          </w:tcPr>
          <w:p w14:paraId="5A8AE2B2"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Adoption par le conseil d’administration de l’AFITF</w:t>
            </w:r>
          </w:p>
        </w:tc>
        <w:tc>
          <w:tcPr>
            <w:tcW w:w="888" w:type="dxa"/>
            <w:shd w:val="clear" w:color="auto" w:fill="C5EDCE"/>
          </w:tcPr>
          <w:p w14:paraId="5A8AE2B3"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1025" w:type="dxa"/>
            <w:shd w:val="clear" w:color="auto" w:fill="C5EDCE"/>
          </w:tcPr>
          <w:p w14:paraId="5A8AE2B4"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29" w:type="dxa"/>
            <w:shd w:val="clear" w:color="auto" w:fill="C5EDCE"/>
          </w:tcPr>
          <w:p w14:paraId="5A8AE2B5"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43" w:type="dxa"/>
            <w:shd w:val="clear" w:color="auto" w:fill="C5EDCE"/>
          </w:tcPr>
          <w:p w14:paraId="5A8AE2B6" w14:textId="77777777" w:rsidR="00740F0F" w:rsidRPr="0029070D" w:rsidRDefault="00100B64">
            <w:pPr>
              <w:spacing w:line="214" w:lineRule="exact"/>
              <w:ind w:left="9" w:right="29"/>
              <w:jc w:val="center"/>
              <w:rPr>
                <w:rFonts w:ascii="Times New Roman" w:eastAsia="Times New Roman" w:hAnsi="Times New Roman" w:cs="Times New Roman"/>
                <w:noProof/>
                <w:sz w:val="18"/>
                <w:szCs w:val="18"/>
              </w:rPr>
            </w:pPr>
            <w:r>
              <w:rPr>
                <w:rFonts w:ascii="Times New Roman" w:hAnsi="Times New Roman"/>
                <w:noProof/>
                <w:sz w:val="18"/>
              </w:rPr>
              <w:t>T1</w:t>
            </w:r>
          </w:p>
        </w:tc>
        <w:tc>
          <w:tcPr>
            <w:tcW w:w="1140" w:type="dxa"/>
            <w:shd w:val="clear" w:color="auto" w:fill="C5EDCE"/>
          </w:tcPr>
          <w:p w14:paraId="5A8AE2B7" w14:textId="77777777" w:rsidR="00740F0F" w:rsidRPr="0029070D" w:rsidRDefault="00100B64">
            <w:pPr>
              <w:spacing w:line="214" w:lineRule="exact"/>
              <w:ind w:left="9" w:right="171"/>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4154" w:type="dxa"/>
            <w:shd w:val="clear" w:color="auto" w:fill="C5EDCE"/>
          </w:tcPr>
          <w:p w14:paraId="5A8AE2B8" w14:textId="77777777" w:rsidR="00740F0F" w:rsidRPr="0029070D" w:rsidRDefault="00100B64">
            <w:pPr>
              <w:spacing w:line="214" w:lineRule="exact"/>
              <w:ind w:left="9" w:right="837"/>
              <w:rPr>
                <w:rFonts w:ascii="Times New Roman" w:eastAsia="Times New Roman" w:hAnsi="Times New Roman" w:cs="Times New Roman"/>
                <w:noProof/>
                <w:sz w:val="18"/>
                <w:szCs w:val="18"/>
              </w:rPr>
            </w:pPr>
            <w:r>
              <w:rPr>
                <w:rFonts w:ascii="Times New Roman" w:hAnsi="Times New Roman"/>
                <w:noProof/>
                <w:sz w:val="18"/>
              </w:rPr>
              <w:t>Adoption par le conseil d’administration de l’AFITF des conventions de financement.</w:t>
            </w:r>
          </w:p>
        </w:tc>
      </w:tr>
      <w:tr w:rsidR="00782477" w:rsidRPr="0029070D" w14:paraId="5A8AE2C6" w14:textId="77777777" w:rsidTr="00D4076D">
        <w:trPr>
          <w:trHeight w:val="695"/>
          <w:jc w:val="center"/>
        </w:trPr>
        <w:tc>
          <w:tcPr>
            <w:tcW w:w="1119" w:type="dxa"/>
            <w:shd w:val="clear" w:color="auto" w:fill="C5EDCE"/>
          </w:tcPr>
          <w:p w14:paraId="5A8AE2B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3-19</w:t>
            </w:r>
          </w:p>
        </w:tc>
        <w:tc>
          <w:tcPr>
            <w:tcW w:w="1116" w:type="dxa"/>
            <w:shd w:val="clear" w:color="auto" w:fill="C5EDCE"/>
          </w:tcPr>
          <w:p w14:paraId="5A8AE2B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C3.I3</w:t>
            </w:r>
          </w:p>
          <w:p w14:paraId="5A8AE2BC" w14:textId="77777777" w:rsidR="00740F0F" w:rsidRPr="0029070D" w:rsidRDefault="00100B64">
            <w:pPr>
              <w:spacing w:line="214" w:lineRule="exact"/>
              <w:ind w:left="9" w:right="-39"/>
              <w:jc w:val="center"/>
              <w:rPr>
                <w:rFonts w:ascii="Times New Roman" w:eastAsia="Times New Roman" w:hAnsi="Times New Roman" w:cs="Times New Roman"/>
                <w:noProof/>
                <w:sz w:val="18"/>
                <w:szCs w:val="18"/>
              </w:rPr>
            </w:pPr>
            <w:r>
              <w:rPr>
                <w:rFonts w:ascii="Times New Roman" w:hAnsi="Times New Roman"/>
                <w:noProof/>
                <w:sz w:val="18"/>
              </w:rPr>
              <w:t>Mobilités du quotidien</w:t>
            </w:r>
          </w:p>
        </w:tc>
        <w:tc>
          <w:tcPr>
            <w:tcW w:w="1116" w:type="dxa"/>
            <w:shd w:val="clear" w:color="auto" w:fill="C5EDCE"/>
          </w:tcPr>
          <w:p w14:paraId="5A8AE2BD"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1" w:type="dxa"/>
            <w:shd w:val="clear" w:color="auto" w:fill="C5EDCE"/>
          </w:tcPr>
          <w:p w14:paraId="5A8AE2BE"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Infrastructures de transports en commun</w:t>
            </w:r>
          </w:p>
        </w:tc>
        <w:tc>
          <w:tcPr>
            <w:tcW w:w="1255" w:type="dxa"/>
            <w:shd w:val="clear" w:color="auto" w:fill="C5EDCE"/>
          </w:tcPr>
          <w:p w14:paraId="5A8AE2BF"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88" w:type="dxa"/>
            <w:shd w:val="clear" w:color="auto" w:fill="C5EDCE"/>
          </w:tcPr>
          <w:p w14:paraId="5A8AE2C0" w14:textId="77777777" w:rsidR="00740F0F" w:rsidRPr="0029070D" w:rsidRDefault="00100B64">
            <w:pPr>
              <w:spacing w:line="214" w:lineRule="exact"/>
              <w:ind w:left="9" w:right="82"/>
              <w:jc w:val="center"/>
              <w:rPr>
                <w:rFonts w:ascii="Times New Roman" w:eastAsia="Times New Roman" w:hAnsi="Times New Roman" w:cs="Times New Roman"/>
                <w:noProof/>
                <w:sz w:val="18"/>
                <w:szCs w:val="18"/>
              </w:rPr>
            </w:pPr>
            <w:r>
              <w:rPr>
                <w:rFonts w:ascii="Times New Roman" w:hAnsi="Times New Roman"/>
                <w:noProof/>
                <w:sz w:val="18"/>
              </w:rPr>
              <w:t>Km</w:t>
            </w:r>
          </w:p>
        </w:tc>
        <w:tc>
          <w:tcPr>
            <w:tcW w:w="1025" w:type="dxa"/>
            <w:shd w:val="clear" w:color="auto" w:fill="C5EDCE"/>
          </w:tcPr>
          <w:p w14:paraId="5A8AE2C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929" w:type="dxa"/>
            <w:shd w:val="clear" w:color="auto" w:fill="C5EDCE"/>
          </w:tcPr>
          <w:p w14:paraId="5A8AE2C2" w14:textId="77777777" w:rsidR="00740F0F" w:rsidRPr="0029070D" w:rsidRDefault="00100B64">
            <w:pPr>
              <w:spacing w:line="214" w:lineRule="exact"/>
              <w:ind w:left="9" w:right="243"/>
              <w:jc w:val="center"/>
              <w:rPr>
                <w:rFonts w:ascii="Times New Roman" w:eastAsia="Times New Roman" w:hAnsi="Times New Roman" w:cs="Times New Roman"/>
                <w:noProof/>
                <w:sz w:val="18"/>
                <w:szCs w:val="18"/>
              </w:rPr>
            </w:pPr>
            <w:r>
              <w:rPr>
                <w:rFonts w:ascii="Times New Roman" w:hAnsi="Times New Roman"/>
                <w:noProof/>
                <w:sz w:val="18"/>
              </w:rPr>
              <w:t>20</w:t>
            </w:r>
          </w:p>
        </w:tc>
        <w:tc>
          <w:tcPr>
            <w:tcW w:w="843" w:type="dxa"/>
            <w:shd w:val="clear" w:color="auto" w:fill="C5EDCE"/>
          </w:tcPr>
          <w:p w14:paraId="5A8AE2C3" w14:textId="77777777" w:rsidR="00740F0F" w:rsidRPr="0029070D" w:rsidRDefault="00100B64">
            <w:pPr>
              <w:spacing w:line="214" w:lineRule="exact"/>
              <w:ind w:left="9" w:right="2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40" w:type="dxa"/>
            <w:shd w:val="clear" w:color="auto" w:fill="C5EDCE"/>
          </w:tcPr>
          <w:p w14:paraId="5A8AE2C4" w14:textId="77777777" w:rsidR="00740F0F" w:rsidRPr="0029070D" w:rsidRDefault="00100B64">
            <w:pPr>
              <w:spacing w:line="214" w:lineRule="exact"/>
              <w:ind w:left="9" w:right="171"/>
              <w:jc w:val="center"/>
              <w:rPr>
                <w:rFonts w:ascii="Times New Roman" w:eastAsia="Times New Roman" w:hAnsi="Times New Roman" w:cs="Times New Roman"/>
                <w:noProof/>
                <w:sz w:val="18"/>
                <w:szCs w:val="18"/>
              </w:rPr>
            </w:pPr>
            <w:r>
              <w:rPr>
                <w:rFonts w:ascii="Times New Roman" w:hAnsi="Times New Roman"/>
                <w:noProof/>
                <w:sz w:val="18"/>
              </w:rPr>
              <w:t>2024</w:t>
            </w:r>
          </w:p>
        </w:tc>
        <w:tc>
          <w:tcPr>
            <w:tcW w:w="4154" w:type="dxa"/>
            <w:shd w:val="clear" w:color="auto" w:fill="C5EDCE"/>
          </w:tcPr>
          <w:p w14:paraId="5A8AE2C5" w14:textId="77777777" w:rsidR="00740F0F" w:rsidRPr="0029070D" w:rsidRDefault="00100B64">
            <w:pPr>
              <w:spacing w:line="214" w:lineRule="exact"/>
              <w:ind w:left="9" w:right="176"/>
              <w:rPr>
                <w:rFonts w:ascii="Times New Roman" w:eastAsia="Times New Roman" w:hAnsi="Times New Roman" w:cs="Times New Roman"/>
                <w:noProof/>
                <w:sz w:val="18"/>
                <w:szCs w:val="18"/>
              </w:rPr>
            </w:pPr>
            <w:r>
              <w:rPr>
                <w:rFonts w:ascii="Times New Roman" w:hAnsi="Times New Roman"/>
                <w:noProof/>
                <w:sz w:val="18"/>
              </w:rPr>
              <w:t>Nombre de kilomètres de voies, de pistes et de voies ferrées réservées aux transports en commun améliorés ou créés</w:t>
            </w:r>
          </w:p>
        </w:tc>
      </w:tr>
      <w:tr w:rsidR="00782477" w:rsidRPr="0029070D" w14:paraId="5A8AE2D3" w14:textId="77777777" w:rsidTr="00D4076D">
        <w:trPr>
          <w:trHeight w:val="1684"/>
          <w:jc w:val="center"/>
        </w:trPr>
        <w:tc>
          <w:tcPr>
            <w:tcW w:w="1119" w:type="dxa"/>
            <w:shd w:val="clear" w:color="auto" w:fill="C5EDCE"/>
          </w:tcPr>
          <w:p w14:paraId="5A8AE2C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3-20</w:t>
            </w:r>
          </w:p>
        </w:tc>
        <w:tc>
          <w:tcPr>
            <w:tcW w:w="1116" w:type="dxa"/>
            <w:shd w:val="clear" w:color="auto" w:fill="C5EDCE"/>
          </w:tcPr>
          <w:p w14:paraId="5A8AE2C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C3.I3</w:t>
            </w:r>
          </w:p>
          <w:p w14:paraId="5A8AE2C9" w14:textId="77777777" w:rsidR="00740F0F" w:rsidRPr="0029070D" w:rsidRDefault="00100B64">
            <w:pPr>
              <w:spacing w:line="214" w:lineRule="exact"/>
              <w:ind w:left="9" w:right="-39" w:hanging="8"/>
              <w:jc w:val="center"/>
              <w:rPr>
                <w:rFonts w:ascii="Times New Roman" w:eastAsia="Times New Roman" w:hAnsi="Times New Roman" w:cs="Times New Roman"/>
                <w:noProof/>
                <w:sz w:val="18"/>
                <w:szCs w:val="18"/>
              </w:rPr>
            </w:pPr>
            <w:r>
              <w:rPr>
                <w:rFonts w:ascii="Times New Roman" w:hAnsi="Times New Roman"/>
                <w:noProof/>
                <w:sz w:val="18"/>
              </w:rPr>
              <w:t>Mobilités du quotidien</w:t>
            </w:r>
          </w:p>
        </w:tc>
        <w:tc>
          <w:tcPr>
            <w:tcW w:w="1116" w:type="dxa"/>
            <w:shd w:val="clear" w:color="auto" w:fill="C5EDCE"/>
          </w:tcPr>
          <w:p w14:paraId="5A8AE2CA"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1" w:type="dxa"/>
            <w:shd w:val="clear" w:color="auto" w:fill="C5EDCE"/>
          </w:tcPr>
          <w:p w14:paraId="5A8AE2CB"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Infrastructures de transports en commun</w:t>
            </w:r>
          </w:p>
        </w:tc>
        <w:tc>
          <w:tcPr>
            <w:tcW w:w="1255" w:type="dxa"/>
            <w:shd w:val="clear" w:color="auto" w:fill="C5EDCE"/>
          </w:tcPr>
          <w:p w14:paraId="5A8AE2CC"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88" w:type="dxa"/>
            <w:shd w:val="clear" w:color="auto" w:fill="C5EDCE"/>
          </w:tcPr>
          <w:p w14:paraId="5A8AE2CD" w14:textId="77777777" w:rsidR="00740F0F" w:rsidRPr="0029070D" w:rsidRDefault="00100B64">
            <w:pPr>
              <w:spacing w:line="214" w:lineRule="exact"/>
              <w:ind w:left="9" w:right="82"/>
              <w:jc w:val="center"/>
              <w:rPr>
                <w:rFonts w:ascii="Times New Roman" w:eastAsia="Times New Roman" w:hAnsi="Times New Roman" w:cs="Times New Roman"/>
                <w:noProof/>
                <w:sz w:val="18"/>
                <w:szCs w:val="18"/>
              </w:rPr>
            </w:pPr>
            <w:r>
              <w:rPr>
                <w:rFonts w:ascii="Times New Roman" w:hAnsi="Times New Roman"/>
                <w:noProof/>
                <w:sz w:val="18"/>
              </w:rPr>
              <w:t>Km</w:t>
            </w:r>
          </w:p>
        </w:tc>
        <w:tc>
          <w:tcPr>
            <w:tcW w:w="1025" w:type="dxa"/>
            <w:shd w:val="clear" w:color="auto" w:fill="C5EDCE"/>
          </w:tcPr>
          <w:p w14:paraId="5A8AE2CE" w14:textId="77777777" w:rsidR="00740F0F" w:rsidRPr="0029070D" w:rsidRDefault="00100B64">
            <w:pPr>
              <w:spacing w:line="214" w:lineRule="exact"/>
              <w:ind w:left="9" w:right="151"/>
              <w:jc w:val="center"/>
              <w:rPr>
                <w:rFonts w:ascii="Times New Roman" w:eastAsia="Times New Roman" w:hAnsi="Times New Roman" w:cs="Times New Roman"/>
                <w:noProof/>
                <w:sz w:val="18"/>
                <w:szCs w:val="18"/>
              </w:rPr>
            </w:pPr>
            <w:r>
              <w:rPr>
                <w:rFonts w:ascii="Times New Roman" w:hAnsi="Times New Roman"/>
                <w:noProof/>
                <w:sz w:val="18"/>
              </w:rPr>
              <w:t>20</w:t>
            </w:r>
          </w:p>
        </w:tc>
        <w:tc>
          <w:tcPr>
            <w:tcW w:w="929" w:type="dxa"/>
            <w:shd w:val="clear" w:color="auto" w:fill="C5EDCE"/>
          </w:tcPr>
          <w:p w14:paraId="5A8AE2CF" w14:textId="17837274" w:rsidR="00740F0F" w:rsidRPr="0029070D" w:rsidRDefault="0052425F">
            <w:pPr>
              <w:spacing w:line="214" w:lineRule="exact"/>
              <w:ind w:left="9" w:right="243"/>
              <w:jc w:val="center"/>
              <w:rPr>
                <w:rFonts w:ascii="Times New Roman" w:eastAsia="Times New Roman" w:hAnsi="Times New Roman" w:cs="Times New Roman"/>
                <w:noProof/>
                <w:sz w:val="18"/>
                <w:szCs w:val="18"/>
              </w:rPr>
            </w:pPr>
            <w:r>
              <w:rPr>
                <w:rFonts w:ascii="Times New Roman" w:hAnsi="Times New Roman"/>
                <w:noProof/>
                <w:sz w:val="18"/>
              </w:rPr>
              <w:t>53</w:t>
            </w:r>
          </w:p>
        </w:tc>
        <w:tc>
          <w:tcPr>
            <w:tcW w:w="843" w:type="dxa"/>
            <w:shd w:val="clear" w:color="auto" w:fill="C5EDCE"/>
          </w:tcPr>
          <w:p w14:paraId="5A8AE2D0" w14:textId="77777777" w:rsidR="00740F0F" w:rsidRPr="0029070D" w:rsidRDefault="00100B64">
            <w:pPr>
              <w:spacing w:line="214" w:lineRule="exact"/>
              <w:ind w:left="9" w:right="29"/>
              <w:jc w:val="center"/>
              <w:rPr>
                <w:rFonts w:ascii="Times New Roman" w:eastAsia="Times New Roman" w:hAnsi="Times New Roman" w:cs="Times New Roman"/>
                <w:noProof/>
                <w:sz w:val="18"/>
                <w:szCs w:val="18"/>
              </w:rPr>
            </w:pPr>
            <w:r>
              <w:rPr>
                <w:rFonts w:ascii="Times New Roman" w:hAnsi="Times New Roman"/>
                <w:noProof/>
                <w:sz w:val="18"/>
              </w:rPr>
              <w:t>T2</w:t>
            </w:r>
          </w:p>
        </w:tc>
        <w:tc>
          <w:tcPr>
            <w:tcW w:w="1140" w:type="dxa"/>
            <w:shd w:val="clear" w:color="auto" w:fill="C5EDCE"/>
          </w:tcPr>
          <w:p w14:paraId="5A8AE2D1" w14:textId="77777777" w:rsidR="00740F0F" w:rsidRPr="0029070D" w:rsidRDefault="00100B64">
            <w:pPr>
              <w:spacing w:line="214" w:lineRule="exact"/>
              <w:ind w:left="9" w:right="171"/>
              <w:jc w:val="center"/>
              <w:rPr>
                <w:rFonts w:ascii="Times New Roman" w:eastAsia="Times New Roman" w:hAnsi="Times New Roman" w:cs="Times New Roman"/>
                <w:noProof/>
                <w:sz w:val="18"/>
                <w:szCs w:val="18"/>
              </w:rPr>
            </w:pPr>
            <w:r>
              <w:rPr>
                <w:rFonts w:ascii="Times New Roman" w:hAnsi="Times New Roman"/>
                <w:noProof/>
                <w:sz w:val="18"/>
              </w:rPr>
              <w:t>2026</w:t>
            </w:r>
          </w:p>
        </w:tc>
        <w:tc>
          <w:tcPr>
            <w:tcW w:w="4154" w:type="dxa"/>
            <w:shd w:val="clear" w:color="auto" w:fill="C5EDCE"/>
          </w:tcPr>
          <w:p w14:paraId="15DE0570" w14:textId="77777777" w:rsidR="004B69ED" w:rsidRPr="0029070D" w:rsidRDefault="00100B64">
            <w:pPr>
              <w:spacing w:line="214" w:lineRule="exact"/>
              <w:ind w:left="9" w:right="176"/>
              <w:rPr>
                <w:rFonts w:ascii="Times New Roman" w:eastAsia="Times New Roman" w:hAnsi="Times New Roman" w:cs="Times New Roman"/>
                <w:noProof/>
                <w:sz w:val="18"/>
                <w:szCs w:val="18"/>
              </w:rPr>
            </w:pPr>
            <w:r>
              <w:rPr>
                <w:rFonts w:ascii="Times New Roman" w:hAnsi="Times New Roman"/>
                <w:noProof/>
                <w:sz w:val="18"/>
              </w:rPr>
              <w:t>Nombre de kilomètres d’infrastructures de transport en commun rénovées, adaptées, modernisées ou créées</w:t>
            </w:r>
          </w:p>
          <w:p w14:paraId="64170D29" w14:textId="77777777" w:rsidR="004B69ED" w:rsidRPr="0029070D" w:rsidRDefault="004B69ED">
            <w:pPr>
              <w:spacing w:line="214" w:lineRule="exact"/>
              <w:ind w:left="9" w:right="176"/>
              <w:rPr>
                <w:rFonts w:ascii="Times New Roman" w:eastAsia="Times New Roman" w:hAnsi="Times New Roman" w:cs="Times New Roman"/>
                <w:noProof/>
                <w:sz w:val="18"/>
                <w:szCs w:val="18"/>
              </w:rPr>
            </w:pPr>
          </w:p>
          <w:p w14:paraId="5A8AE2D2" w14:textId="4618DAE5" w:rsidR="00740F0F" w:rsidRPr="0029070D" w:rsidRDefault="006D5BAC">
            <w:pPr>
              <w:spacing w:line="214" w:lineRule="exact"/>
              <w:ind w:left="9" w:right="176"/>
              <w:rPr>
                <w:rFonts w:ascii="Times New Roman" w:eastAsia="Times New Roman" w:hAnsi="Times New Roman" w:cs="Times New Roman"/>
                <w:noProof/>
                <w:sz w:val="18"/>
                <w:szCs w:val="18"/>
              </w:rPr>
            </w:pPr>
            <w:r>
              <w:rPr>
                <w:rFonts w:ascii="Times New Roman" w:hAnsi="Times New Roman"/>
                <w:noProof/>
                <w:sz w:val="18"/>
              </w:rPr>
              <w:t>Des travaux de rénovation, de modernisation ou d’adaptation ont été réalisés dans quatre gares du prolongement du RER E.</w:t>
            </w:r>
          </w:p>
        </w:tc>
      </w:tr>
      <w:tr w:rsidR="00782477" w:rsidRPr="0029070D" w14:paraId="5A8AE2E0" w14:textId="77777777" w:rsidTr="4A5B8411">
        <w:trPr>
          <w:trHeight w:val="1202"/>
          <w:jc w:val="center"/>
        </w:trPr>
        <w:tc>
          <w:tcPr>
            <w:tcW w:w="1119" w:type="dxa"/>
            <w:shd w:val="clear" w:color="auto" w:fill="C5EDCE"/>
          </w:tcPr>
          <w:p w14:paraId="5A8AE2D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3-21</w:t>
            </w:r>
          </w:p>
        </w:tc>
        <w:tc>
          <w:tcPr>
            <w:tcW w:w="1116" w:type="dxa"/>
            <w:shd w:val="clear" w:color="auto" w:fill="C5EDCE"/>
          </w:tcPr>
          <w:p w14:paraId="5A8AE2D5"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C3.I4</w:t>
            </w:r>
          </w:p>
          <w:p w14:paraId="5A8AE2D6" w14:textId="77777777" w:rsidR="00740F0F" w:rsidRPr="0029070D" w:rsidRDefault="00100B64">
            <w:pPr>
              <w:spacing w:line="214" w:lineRule="exact"/>
              <w:ind w:left="9" w:right="31" w:firstLine="5"/>
              <w:jc w:val="center"/>
              <w:rPr>
                <w:rFonts w:ascii="Times New Roman" w:eastAsia="Times New Roman" w:hAnsi="Times New Roman" w:cs="Times New Roman"/>
                <w:noProof/>
                <w:sz w:val="18"/>
                <w:szCs w:val="18"/>
              </w:rPr>
            </w:pPr>
            <w:r>
              <w:rPr>
                <w:rFonts w:ascii="Times New Roman" w:hAnsi="Times New Roman"/>
                <w:noProof/>
                <w:sz w:val="18"/>
              </w:rPr>
              <w:t>Accélération des travaux sur les infrastructures de transports</w:t>
            </w:r>
          </w:p>
        </w:tc>
        <w:tc>
          <w:tcPr>
            <w:tcW w:w="1116" w:type="dxa"/>
            <w:shd w:val="clear" w:color="auto" w:fill="C5EDCE"/>
          </w:tcPr>
          <w:p w14:paraId="5A8AE2D7"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41" w:type="dxa"/>
            <w:shd w:val="clear" w:color="auto" w:fill="C5EDCE"/>
          </w:tcPr>
          <w:p w14:paraId="5A8AE2D8"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Conventions de financement de l’AFITF</w:t>
            </w:r>
          </w:p>
        </w:tc>
        <w:tc>
          <w:tcPr>
            <w:tcW w:w="1255" w:type="dxa"/>
            <w:shd w:val="clear" w:color="auto" w:fill="C5EDCE"/>
          </w:tcPr>
          <w:p w14:paraId="5A8AE2D9"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Adoption par le conseil d’administration de l’AFITF</w:t>
            </w:r>
          </w:p>
        </w:tc>
        <w:tc>
          <w:tcPr>
            <w:tcW w:w="888" w:type="dxa"/>
            <w:shd w:val="clear" w:color="auto" w:fill="C5EDCE"/>
          </w:tcPr>
          <w:p w14:paraId="5A8AE2DA"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1025" w:type="dxa"/>
            <w:shd w:val="clear" w:color="auto" w:fill="C5EDCE"/>
          </w:tcPr>
          <w:p w14:paraId="5A8AE2DB"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29" w:type="dxa"/>
            <w:shd w:val="clear" w:color="auto" w:fill="C5EDCE"/>
          </w:tcPr>
          <w:p w14:paraId="5A8AE2DC"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43" w:type="dxa"/>
            <w:shd w:val="clear" w:color="auto" w:fill="C5EDCE"/>
          </w:tcPr>
          <w:p w14:paraId="5A8AE2DD" w14:textId="77777777" w:rsidR="00740F0F" w:rsidRPr="0029070D" w:rsidRDefault="00100B64">
            <w:pPr>
              <w:spacing w:line="214" w:lineRule="exact"/>
              <w:ind w:left="9" w:right="29"/>
              <w:jc w:val="center"/>
              <w:rPr>
                <w:rFonts w:ascii="Times New Roman" w:eastAsia="Times New Roman" w:hAnsi="Times New Roman" w:cs="Times New Roman"/>
                <w:noProof/>
                <w:sz w:val="18"/>
                <w:szCs w:val="18"/>
              </w:rPr>
            </w:pPr>
            <w:r>
              <w:rPr>
                <w:rFonts w:ascii="Times New Roman" w:hAnsi="Times New Roman"/>
                <w:noProof/>
                <w:sz w:val="18"/>
              </w:rPr>
              <w:t>T1</w:t>
            </w:r>
          </w:p>
        </w:tc>
        <w:tc>
          <w:tcPr>
            <w:tcW w:w="1140" w:type="dxa"/>
            <w:shd w:val="clear" w:color="auto" w:fill="C5EDCE"/>
          </w:tcPr>
          <w:p w14:paraId="5A8AE2DE" w14:textId="77777777" w:rsidR="00740F0F" w:rsidRPr="0029070D" w:rsidRDefault="00100B64">
            <w:pPr>
              <w:spacing w:line="214" w:lineRule="exact"/>
              <w:ind w:left="9" w:right="171"/>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4154" w:type="dxa"/>
            <w:shd w:val="clear" w:color="auto" w:fill="C5EDCE"/>
          </w:tcPr>
          <w:p w14:paraId="5A8AE2DF" w14:textId="77777777" w:rsidR="00740F0F" w:rsidRPr="0029070D" w:rsidRDefault="00100B64">
            <w:pPr>
              <w:spacing w:line="214" w:lineRule="exact"/>
              <w:ind w:left="9" w:right="837"/>
              <w:rPr>
                <w:rFonts w:ascii="Times New Roman" w:eastAsia="Times New Roman" w:hAnsi="Times New Roman" w:cs="Times New Roman"/>
                <w:noProof/>
                <w:sz w:val="18"/>
                <w:szCs w:val="18"/>
              </w:rPr>
            </w:pPr>
            <w:r>
              <w:rPr>
                <w:rFonts w:ascii="Times New Roman" w:hAnsi="Times New Roman"/>
                <w:noProof/>
                <w:sz w:val="18"/>
              </w:rPr>
              <w:t xml:space="preserve">Adoption par le conseil d’administration de l’AFITF des conventions de financement. </w:t>
            </w:r>
          </w:p>
        </w:tc>
      </w:tr>
      <w:tr w:rsidR="00782477" w:rsidRPr="0029070D" w14:paraId="5A8AE2ED" w14:textId="77777777" w:rsidTr="4A5B8411">
        <w:trPr>
          <w:trHeight w:val="1396"/>
          <w:jc w:val="center"/>
        </w:trPr>
        <w:tc>
          <w:tcPr>
            <w:tcW w:w="1119" w:type="dxa"/>
            <w:tcBorders>
              <w:bottom w:val="single" w:sz="4" w:space="0" w:color="auto"/>
            </w:tcBorders>
            <w:shd w:val="clear" w:color="auto" w:fill="C5EDCE"/>
          </w:tcPr>
          <w:p w14:paraId="5A8AE2E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3-22</w:t>
            </w:r>
          </w:p>
        </w:tc>
        <w:tc>
          <w:tcPr>
            <w:tcW w:w="1116" w:type="dxa"/>
            <w:tcBorders>
              <w:bottom w:val="single" w:sz="4" w:space="0" w:color="auto"/>
            </w:tcBorders>
            <w:shd w:val="clear" w:color="auto" w:fill="C5EDCE"/>
          </w:tcPr>
          <w:p w14:paraId="5A8AE2E2"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C3.I4</w:t>
            </w:r>
          </w:p>
          <w:p w14:paraId="5A8AE2E3" w14:textId="77777777" w:rsidR="00740F0F" w:rsidRPr="0029070D" w:rsidRDefault="00100B64">
            <w:pPr>
              <w:spacing w:line="214" w:lineRule="exact"/>
              <w:ind w:left="9" w:right="31" w:firstLine="5"/>
              <w:jc w:val="center"/>
              <w:rPr>
                <w:rFonts w:ascii="Times New Roman" w:eastAsia="Times New Roman" w:hAnsi="Times New Roman" w:cs="Times New Roman"/>
                <w:noProof/>
                <w:sz w:val="18"/>
                <w:szCs w:val="18"/>
              </w:rPr>
            </w:pPr>
            <w:r>
              <w:rPr>
                <w:rFonts w:ascii="Times New Roman" w:hAnsi="Times New Roman"/>
                <w:noProof/>
                <w:sz w:val="18"/>
              </w:rPr>
              <w:t>Accélération des travaux sur les infrastructures de transports</w:t>
            </w:r>
          </w:p>
        </w:tc>
        <w:tc>
          <w:tcPr>
            <w:tcW w:w="1116" w:type="dxa"/>
            <w:tcBorders>
              <w:bottom w:val="single" w:sz="4" w:space="0" w:color="auto"/>
            </w:tcBorders>
            <w:shd w:val="clear" w:color="auto" w:fill="C5EDCE"/>
          </w:tcPr>
          <w:p w14:paraId="5A8AE2E4"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41" w:type="dxa"/>
            <w:tcBorders>
              <w:bottom w:val="single" w:sz="4" w:space="0" w:color="auto"/>
            </w:tcBorders>
            <w:shd w:val="clear" w:color="auto" w:fill="C5EDCE"/>
          </w:tcPr>
          <w:p w14:paraId="5A8AE2E5" w14:textId="77777777" w:rsidR="00740F0F" w:rsidRPr="0029070D" w:rsidRDefault="00100B64">
            <w:pPr>
              <w:spacing w:line="214" w:lineRule="exact"/>
              <w:ind w:left="9" w:right="81"/>
              <w:rPr>
                <w:rFonts w:ascii="Times New Roman" w:eastAsia="Times New Roman" w:hAnsi="Times New Roman" w:cs="Times New Roman"/>
                <w:noProof/>
                <w:sz w:val="18"/>
                <w:szCs w:val="18"/>
              </w:rPr>
            </w:pPr>
            <w:r>
              <w:rPr>
                <w:rFonts w:ascii="Times New Roman" w:hAnsi="Times New Roman"/>
                <w:noProof/>
                <w:sz w:val="18"/>
              </w:rPr>
              <w:t>Signature par l’ASP (Agence de services et de paiement) de la convention de financement des nouvelles bornes de recharge</w:t>
            </w:r>
          </w:p>
        </w:tc>
        <w:tc>
          <w:tcPr>
            <w:tcW w:w="1255" w:type="dxa"/>
            <w:tcBorders>
              <w:bottom w:val="single" w:sz="4" w:space="0" w:color="auto"/>
            </w:tcBorders>
            <w:shd w:val="clear" w:color="auto" w:fill="C5EDCE"/>
          </w:tcPr>
          <w:p w14:paraId="5A8AE2E6" w14:textId="77777777" w:rsidR="00740F0F" w:rsidRPr="0029070D" w:rsidRDefault="00100B64">
            <w:pPr>
              <w:spacing w:line="214" w:lineRule="exact"/>
              <w:ind w:left="9" w:right="42" w:hanging="27"/>
              <w:rPr>
                <w:rFonts w:ascii="Times New Roman" w:eastAsia="Times New Roman" w:hAnsi="Times New Roman" w:cs="Times New Roman"/>
                <w:noProof/>
                <w:sz w:val="18"/>
                <w:szCs w:val="18"/>
              </w:rPr>
            </w:pPr>
            <w:r>
              <w:rPr>
                <w:rFonts w:ascii="Times New Roman" w:hAnsi="Times New Roman"/>
                <w:noProof/>
                <w:sz w:val="18"/>
              </w:rPr>
              <w:t>Adoption des conventions de financement par l’ASP</w:t>
            </w:r>
          </w:p>
        </w:tc>
        <w:tc>
          <w:tcPr>
            <w:tcW w:w="888" w:type="dxa"/>
            <w:tcBorders>
              <w:bottom w:val="single" w:sz="4" w:space="0" w:color="auto"/>
            </w:tcBorders>
            <w:shd w:val="clear" w:color="auto" w:fill="C5EDCE"/>
          </w:tcPr>
          <w:p w14:paraId="5A8AE2E7"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1025" w:type="dxa"/>
            <w:tcBorders>
              <w:bottom w:val="single" w:sz="4" w:space="0" w:color="auto"/>
            </w:tcBorders>
            <w:shd w:val="clear" w:color="auto" w:fill="C5EDCE"/>
          </w:tcPr>
          <w:p w14:paraId="5A8AE2E8"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29" w:type="dxa"/>
            <w:tcBorders>
              <w:bottom w:val="single" w:sz="4" w:space="0" w:color="auto"/>
            </w:tcBorders>
            <w:shd w:val="clear" w:color="auto" w:fill="C5EDCE"/>
          </w:tcPr>
          <w:p w14:paraId="5A8AE2E9"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43" w:type="dxa"/>
            <w:tcBorders>
              <w:bottom w:val="single" w:sz="4" w:space="0" w:color="auto"/>
            </w:tcBorders>
            <w:shd w:val="clear" w:color="auto" w:fill="C5EDCE"/>
          </w:tcPr>
          <w:p w14:paraId="5A8AE2EA" w14:textId="77777777" w:rsidR="00740F0F" w:rsidRPr="0029070D" w:rsidRDefault="00100B64">
            <w:pPr>
              <w:spacing w:line="214" w:lineRule="exact"/>
              <w:ind w:left="9" w:right="2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40" w:type="dxa"/>
            <w:tcBorders>
              <w:bottom w:val="single" w:sz="4" w:space="0" w:color="auto"/>
            </w:tcBorders>
            <w:shd w:val="clear" w:color="auto" w:fill="C5EDCE"/>
          </w:tcPr>
          <w:p w14:paraId="5A8AE2EB" w14:textId="77777777" w:rsidR="00740F0F" w:rsidRPr="0029070D" w:rsidRDefault="00100B64">
            <w:pPr>
              <w:spacing w:line="214" w:lineRule="exact"/>
              <w:ind w:left="9" w:right="171"/>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4154" w:type="dxa"/>
            <w:tcBorders>
              <w:bottom w:val="single" w:sz="4" w:space="0" w:color="auto"/>
            </w:tcBorders>
            <w:shd w:val="clear" w:color="auto" w:fill="C5EDCE"/>
          </w:tcPr>
          <w:p w14:paraId="5A8AE2EC" w14:textId="77777777" w:rsidR="00740F0F" w:rsidRPr="0029070D" w:rsidRDefault="00100B64">
            <w:pPr>
              <w:spacing w:line="214" w:lineRule="exact"/>
              <w:ind w:left="9" w:right="9"/>
              <w:rPr>
                <w:rFonts w:ascii="Times New Roman" w:eastAsia="Times New Roman" w:hAnsi="Times New Roman" w:cs="Times New Roman"/>
                <w:noProof/>
                <w:sz w:val="18"/>
                <w:szCs w:val="18"/>
              </w:rPr>
            </w:pPr>
            <w:r>
              <w:rPr>
                <w:rFonts w:ascii="Times New Roman" w:hAnsi="Times New Roman"/>
                <w:noProof/>
                <w:sz w:val="18"/>
              </w:rPr>
              <w:t>Signature par l’ASP (Agence de services et de paiement) de la convention de financement des nouvelles bornes de recharge.</w:t>
            </w:r>
          </w:p>
        </w:tc>
      </w:tr>
      <w:tr w:rsidR="00782477" w:rsidRPr="0029070D" w14:paraId="5A8AE2FA" w14:textId="77777777" w:rsidTr="4A5B8411">
        <w:trPr>
          <w:trHeight w:val="1199"/>
          <w:jc w:val="center"/>
        </w:trPr>
        <w:tc>
          <w:tcPr>
            <w:tcW w:w="1119" w:type="dxa"/>
            <w:tcBorders>
              <w:top w:val="single" w:sz="4" w:space="0" w:color="auto"/>
              <w:left w:val="single" w:sz="4" w:space="0" w:color="auto"/>
              <w:bottom w:val="single" w:sz="4" w:space="0" w:color="auto"/>
              <w:right w:val="single" w:sz="4" w:space="0" w:color="auto"/>
            </w:tcBorders>
            <w:shd w:val="clear" w:color="auto" w:fill="C5EDCE"/>
          </w:tcPr>
          <w:p w14:paraId="5A8AE2E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3-23</w:t>
            </w:r>
          </w:p>
        </w:tc>
        <w:tc>
          <w:tcPr>
            <w:tcW w:w="1116" w:type="dxa"/>
            <w:tcBorders>
              <w:top w:val="single" w:sz="4" w:space="0" w:color="auto"/>
              <w:left w:val="single" w:sz="4" w:space="0" w:color="auto"/>
              <w:bottom w:val="single" w:sz="4" w:space="0" w:color="auto"/>
              <w:right w:val="single" w:sz="4" w:space="0" w:color="auto"/>
            </w:tcBorders>
            <w:shd w:val="clear" w:color="auto" w:fill="C5EDCE"/>
          </w:tcPr>
          <w:p w14:paraId="5A8AE2EF"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C3.I4</w:t>
            </w:r>
          </w:p>
          <w:p w14:paraId="5A8AE2F0" w14:textId="77777777" w:rsidR="00740F0F" w:rsidRPr="0029070D" w:rsidRDefault="00100B64">
            <w:pPr>
              <w:spacing w:line="214" w:lineRule="exact"/>
              <w:ind w:left="9" w:right="31" w:firstLine="10"/>
              <w:jc w:val="center"/>
              <w:rPr>
                <w:rFonts w:ascii="Times New Roman" w:eastAsia="Times New Roman" w:hAnsi="Times New Roman" w:cs="Times New Roman"/>
                <w:noProof/>
                <w:sz w:val="18"/>
                <w:szCs w:val="18"/>
              </w:rPr>
            </w:pPr>
            <w:r>
              <w:rPr>
                <w:rFonts w:ascii="Times New Roman" w:hAnsi="Times New Roman"/>
                <w:noProof/>
                <w:sz w:val="18"/>
              </w:rPr>
              <w:t>Accélération des travaux sur les infrastructures de transports</w:t>
            </w:r>
          </w:p>
        </w:tc>
        <w:tc>
          <w:tcPr>
            <w:tcW w:w="1116" w:type="dxa"/>
            <w:tcBorders>
              <w:top w:val="single" w:sz="4" w:space="0" w:color="auto"/>
              <w:left w:val="single" w:sz="4" w:space="0" w:color="auto"/>
              <w:bottom w:val="single" w:sz="4" w:space="0" w:color="auto"/>
              <w:right w:val="single" w:sz="4" w:space="0" w:color="auto"/>
            </w:tcBorders>
            <w:shd w:val="clear" w:color="auto" w:fill="C5EDCE"/>
          </w:tcPr>
          <w:p w14:paraId="5A8AE2F1"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1" w:type="dxa"/>
            <w:tcBorders>
              <w:top w:val="single" w:sz="4" w:space="0" w:color="auto"/>
              <w:left w:val="single" w:sz="4" w:space="0" w:color="auto"/>
              <w:bottom w:val="single" w:sz="4" w:space="0" w:color="auto"/>
              <w:right w:val="single" w:sz="4" w:space="0" w:color="auto"/>
            </w:tcBorders>
            <w:shd w:val="clear" w:color="auto" w:fill="C5EDCE"/>
          </w:tcPr>
          <w:p w14:paraId="5A8AE2F2"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Points de recharge</w:t>
            </w:r>
          </w:p>
        </w:tc>
        <w:tc>
          <w:tcPr>
            <w:tcW w:w="1255" w:type="dxa"/>
            <w:tcBorders>
              <w:top w:val="single" w:sz="4" w:space="0" w:color="auto"/>
              <w:left w:val="single" w:sz="4" w:space="0" w:color="auto"/>
              <w:bottom w:val="single" w:sz="4" w:space="0" w:color="auto"/>
              <w:right w:val="single" w:sz="4" w:space="0" w:color="auto"/>
            </w:tcBorders>
            <w:shd w:val="clear" w:color="auto" w:fill="C5EDCE"/>
          </w:tcPr>
          <w:p w14:paraId="5A8AE2F3"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88" w:type="dxa"/>
            <w:tcBorders>
              <w:top w:val="single" w:sz="4" w:space="0" w:color="auto"/>
              <w:left w:val="single" w:sz="4" w:space="0" w:color="auto"/>
              <w:bottom w:val="single" w:sz="4" w:space="0" w:color="auto"/>
              <w:right w:val="single" w:sz="4" w:space="0" w:color="auto"/>
            </w:tcBorders>
            <w:shd w:val="clear" w:color="auto" w:fill="C5EDCE"/>
          </w:tcPr>
          <w:p w14:paraId="5A8AE2F4" w14:textId="77777777" w:rsidR="00740F0F" w:rsidRPr="0029070D" w:rsidRDefault="00100B64">
            <w:pPr>
              <w:spacing w:line="214" w:lineRule="exact"/>
              <w:ind w:left="9" w:right="87"/>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1025" w:type="dxa"/>
            <w:tcBorders>
              <w:top w:val="single" w:sz="4" w:space="0" w:color="auto"/>
              <w:left w:val="single" w:sz="4" w:space="0" w:color="auto"/>
              <w:bottom w:val="single" w:sz="4" w:space="0" w:color="auto"/>
              <w:right w:val="single" w:sz="4" w:space="0" w:color="auto"/>
            </w:tcBorders>
            <w:shd w:val="clear" w:color="auto" w:fill="C5EDCE"/>
          </w:tcPr>
          <w:p w14:paraId="5A8AE2F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929" w:type="dxa"/>
            <w:tcBorders>
              <w:top w:val="single" w:sz="4" w:space="0" w:color="auto"/>
              <w:left w:val="single" w:sz="4" w:space="0" w:color="auto"/>
              <w:bottom w:val="single" w:sz="4" w:space="0" w:color="auto"/>
              <w:right w:val="single" w:sz="4" w:space="0" w:color="auto"/>
            </w:tcBorders>
            <w:shd w:val="clear" w:color="auto" w:fill="C5EDCE"/>
          </w:tcPr>
          <w:p w14:paraId="5A8AE2F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1 500</w:t>
            </w:r>
          </w:p>
        </w:tc>
        <w:tc>
          <w:tcPr>
            <w:tcW w:w="843" w:type="dxa"/>
            <w:tcBorders>
              <w:top w:val="single" w:sz="4" w:space="0" w:color="auto"/>
              <w:left w:val="single" w:sz="4" w:space="0" w:color="auto"/>
              <w:bottom w:val="single" w:sz="4" w:space="0" w:color="auto"/>
              <w:right w:val="single" w:sz="4" w:space="0" w:color="auto"/>
            </w:tcBorders>
            <w:shd w:val="clear" w:color="auto" w:fill="C5EDCE"/>
          </w:tcPr>
          <w:p w14:paraId="5A8AE2F7" w14:textId="77777777" w:rsidR="00740F0F" w:rsidRPr="0029070D" w:rsidRDefault="00100B64">
            <w:pPr>
              <w:spacing w:line="214" w:lineRule="exact"/>
              <w:ind w:left="9" w:right="29"/>
              <w:jc w:val="center"/>
              <w:rPr>
                <w:rFonts w:ascii="Times New Roman" w:eastAsia="Times New Roman" w:hAnsi="Times New Roman" w:cs="Times New Roman"/>
                <w:noProof/>
                <w:sz w:val="18"/>
                <w:szCs w:val="18"/>
              </w:rPr>
            </w:pPr>
            <w:r>
              <w:rPr>
                <w:rFonts w:ascii="Times New Roman" w:hAnsi="Times New Roman"/>
                <w:noProof/>
                <w:sz w:val="18"/>
              </w:rPr>
              <w:t>T2</w:t>
            </w:r>
          </w:p>
        </w:tc>
        <w:tc>
          <w:tcPr>
            <w:tcW w:w="1140" w:type="dxa"/>
            <w:tcBorders>
              <w:top w:val="single" w:sz="4" w:space="0" w:color="auto"/>
              <w:left w:val="single" w:sz="4" w:space="0" w:color="auto"/>
              <w:bottom w:val="single" w:sz="4" w:space="0" w:color="auto"/>
              <w:right w:val="single" w:sz="4" w:space="0" w:color="auto"/>
            </w:tcBorders>
            <w:shd w:val="clear" w:color="auto" w:fill="C5EDCE"/>
          </w:tcPr>
          <w:p w14:paraId="5A8AE2F8" w14:textId="77777777" w:rsidR="00740F0F" w:rsidRPr="0029070D" w:rsidRDefault="00100B64">
            <w:pPr>
              <w:spacing w:line="214" w:lineRule="exact"/>
              <w:ind w:left="9" w:right="171"/>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4154" w:type="dxa"/>
            <w:tcBorders>
              <w:top w:val="single" w:sz="4" w:space="0" w:color="auto"/>
              <w:left w:val="single" w:sz="4" w:space="0" w:color="auto"/>
              <w:bottom w:val="single" w:sz="4" w:space="0" w:color="auto"/>
              <w:right w:val="single" w:sz="4" w:space="0" w:color="auto"/>
            </w:tcBorders>
            <w:shd w:val="clear" w:color="auto" w:fill="C5EDCE"/>
          </w:tcPr>
          <w:p w14:paraId="5A8AE2F9"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points de recharge ouverts au public</w:t>
            </w:r>
          </w:p>
        </w:tc>
      </w:tr>
      <w:tr w:rsidR="00782477" w:rsidRPr="0029070D" w14:paraId="5A8AE307" w14:textId="77777777" w:rsidTr="4A5B8411">
        <w:trPr>
          <w:trHeight w:val="1199"/>
          <w:jc w:val="center"/>
        </w:trPr>
        <w:tc>
          <w:tcPr>
            <w:tcW w:w="1119" w:type="dxa"/>
            <w:tcBorders>
              <w:top w:val="single" w:sz="4" w:space="0" w:color="auto"/>
              <w:left w:val="single" w:sz="4" w:space="0" w:color="auto"/>
              <w:bottom w:val="single" w:sz="4" w:space="0" w:color="auto"/>
              <w:right w:val="single" w:sz="4" w:space="0" w:color="auto"/>
            </w:tcBorders>
            <w:shd w:val="clear" w:color="auto" w:fill="C5EDCE"/>
          </w:tcPr>
          <w:p w14:paraId="5A8AE2F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3-24</w:t>
            </w:r>
          </w:p>
        </w:tc>
        <w:tc>
          <w:tcPr>
            <w:tcW w:w="1116" w:type="dxa"/>
            <w:tcBorders>
              <w:top w:val="single" w:sz="4" w:space="0" w:color="auto"/>
              <w:left w:val="single" w:sz="4" w:space="0" w:color="auto"/>
              <w:bottom w:val="single" w:sz="4" w:space="0" w:color="auto"/>
              <w:right w:val="single" w:sz="4" w:space="0" w:color="auto"/>
            </w:tcBorders>
            <w:shd w:val="clear" w:color="auto" w:fill="C5EDCE"/>
          </w:tcPr>
          <w:p w14:paraId="5A8AE2FC"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C3.I4</w:t>
            </w:r>
          </w:p>
          <w:p w14:paraId="5A8AE2FD" w14:textId="77777777" w:rsidR="00740F0F" w:rsidRPr="0029070D" w:rsidRDefault="00100B64">
            <w:pPr>
              <w:spacing w:line="214" w:lineRule="exact"/>
              <w:ind w:left="9" w:right="31" w:firstLine="5"/>
              <w:jc w:val="center"/>
              <w:rPr>
                <w:rFonts w:ascii="Times New Roman" w:eastAsia="Times New Roman" w:hAnsi="Times New Roman" w:cs="Times New Roman"/>
                <w:noProof/>
                <w:sz w:val="18"/>
                <w:szCs w:val="18"/>
              </w:rPr>
            </w:pPr>
            <w:r>
              <w:rPr>
                <w:rFonts w:ascii="Times New Roman" w:hAnsi="Times New Roman"/>
                <w:noProof/>
                <w:sz w:val="18"/>
              </w:rPr>
              <w:t>Accélération des travaux sur les infrastructures de transports</w:t>
            </w:r>
          </w:p>
        </w:tc>
        <w:tc>
          <w:tcPr>
            <w:tcW w:w="1116" w:type="dxa"/>
            <w:tcBorders>
              <w:top w:val="single" w:sz="4" w:space="0" w:color="auto"/>
              <w:left w:val="single" w:sz="4" w:space="0" w:color="auto"/>
              <w:bottom w:val="single" w:sz="4" w:space="0" w:color="auto"/>
              <w:right w:val="single" w:sz="4" w:space="0" w:color="auto"/>
            </w:tcBorders>
            <w:shd w:val="clear" w:color="auto" w:fill="C5EDCE"/>
          </w:tcPr>
          <w:p w14:paraId="5A8AE2FE"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1" w:type="dxa"/>
            <w:tcBorders>
              <w:top w:val="single" w:sz="4" w:space="0" w:color="auto"/>
              <w:left w:val="single" w:sz="4" w:space="0" w:color="auto"/>
              <w:bottom w:val="single" w:sz="4" w:space="0" w:color="auto"/>
              <w:right w:val="single" w:sz="4" w:space="0" w:color="auto"/>
            </w:tcBorders>
            <w:shd w:val="clear" w:color="auto" w:fill="C5EDCE"/>
          </w:tcPr>
          <w:p w14:paraId="5A8AE2FF" w14:textId="77777777" w:rsidR="00740F0F" w:rsidRPr="0029070D" w:rsidRDefault="00100B64">
            <w:pPr>
              <w:spacing w:line="214" w:lineRule="exact"/>
              <w:ind w:left="9" w:right="81"/>
              <w:rPr>
                <w:rFonts w:ascii="Times New Roman" w:eastAsia="Times New Roman" w:hAnsi="Times New Roman" w:cs="Times New Roman"/>
                <w:noProof/>
                <w:sz w:val="18"/>
                <w:szCs w:val="18"/>
              </w:rPr>
            </w:pPr>
            <w:r>
              <w:rPr>
                <w:rFonts w:ascii="Times New Roman" w:hAnsi="Times New Roman"/>
                <w:noProof/>
                <w:sz w:val="18"/>
              </w:rPr>
              <w:t>Kilomètres de voies réservées réalisées</w:t>
            </w:r>
          </w:p>
        </w:tc>
        <w:tc>
          <w:tcPr>
            <w:tcW w:w="1255" w:type="dxa"/>
            <w:tcBorders>
              <w:top w:val="single" w:sz="4" w:space="0" w:color="auto"/>
              <w:left w:val="single" w:sz="4" w:space="0" w:color="auto"/>
              <w:bottom w:val="single" w:sz="4" w:space="0" w:color="auto"/>
              <w:right w:val="single" w:sz="4" w:space="0" w:color="auto"/>
            </w:tcBorders>
            <w:shd w:val="clear" w:color="auto" w:fill="C5EDCE"/>
          </w:tcPr>
          <w:p w14:paraId="5A8AE300"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88" w:type="dxa"/>
            <w:tcBorders>
              <w:top w:val="single" w:sz="4" w:space="0" w:color="auto"/>
              <w:left w:val="single" w:sz="4" w:space="0" w:color="auto"/>
              <w:bottom w:val="single" w:sz="4" w:space="0" w:color="auto"/>
              <w:right w:val="single" w:sz="4" w:space="0" w:color="auto"/>
            </w:tcBorders>
            <w:shd w:val="clear" w:color="auto" w:fill="C5EDCE"/>
          </w:tcPr>
          <w:p w14:paraId="5A8AE301" w14:textId="77777777" w:rsidR="00740F0F" w:rsidRPr="0029070D" w:rsidRDefault="00100B64">
            <w:pPr>
              <w:spacing w:line="214" w:lineRule="exact"/>
              <w:ind w:left="9" w:right="82"/>
              <w:jc w:val="center"/>
              <w:rPr>
                <w:rFonts w:ascii="Times New Roman" w:eastAsia="Times New Roman" w:hAnsi="Times New Roman" w:cs="Times New Roman"/>
                <w:noProof/>
                <w:sz w:val="18"/>
                <w:szCs w:val="18"/>
              </w:rPr>
            </w:pPr>
            <w:r>
              <w:rPr>
                <w:rFonts w:ascii="Times New Roman" w:hAnsi="Times New Roman"/>
                <w:noProof/>
                <w:sz w:val="18"/>
              </w:rPr>
              <w:t>Km</w:t>
            </w:r>
          </w:p>
        </w:tc>
        <w:tc>
          <w:tcPr>
            <w:tcW w:w="1025" w:type="dxa"/>
            <w:tcBorders>
              <w:top w:val="single" w:sz="4" w:space="0" w:color="auto"/>
              <w:left w:val="single" w:sz="4" w:space="0" w:color="auto"/>
              <w:bottom w:val="single" w:sz="4" w:space="0" w:color="auto"/>
              <w:right w:val="single" w:sz="4" w:space="0" w:color="auto"/>
            </w:tcBorders>
            <w:shd w:val="clear" w:color="auto" w:fill="C5EDCE"/>
          </w:tcPr>
          <w:p w14:paraId="5A8AE30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929" w:type="dxa"/>
            <w:tcBorders>
              <w:top w:val="single" w:sz="4" w:space="0" w:color="auto"/>
              <w:left w:val="single" w:sz="4" w:space="0" w:color="auto"/>
              <w:bottom w:val="single" w:sz="4" w:space="0" w:color="auto"/>
              <w:right w:val="single" w:sz="4" w:space="0" w:color="auto"/>
            </w:tcBorders>
            <w:shd w:val="clear" w:color="auto" w:fill="C5EDCE"/>
          </w:tcPr>
          <w:p w14:paraId="5A8AE303" w14:textId="77777777" w:rsidR="00740F0F" w:rsidRPr="0029070D" w:rsidRDefault="00100B64">
            <w:pPr>
              <w:spacing w:line="214" w:lineRule="exact"/>
              <w:ind w:left="9" w:right="243"/>
              <w:jc w:val="center"/>
              <w:rPr>
                <w:rFonts w:ascii="Times New Roman" w:eastAsia="Times New Roman" w:hAnsi="Times New Roman" w:cs="Times New Roman"/>
                <w:noProof/>
                <w:sz w:val="18"/>
                <w:szCs w:val="18"/>
              </w:rPr>
            </w:pPr>
            <w:r>
              <w:rPr>
                <w:rFonts w:ascii="Times New Roman" w:hAnsi="Times New Roman"/>
                <w:noProof/>
                <w:sz w:val="18"/>
              </w:rPr>
              <w:t>20</w:t>
            </w:r>
          </w:p>
        </w:tc>
        <w:tc>
          <w:tcPr>
            <w:tcW w:w="843" w:type="dxa"/>
            <w:tcBorders>
              <w:top w:val="single" w:sz="4" w:space="0" w:color="auto"/>
              <w:left w:val="single" w:sz="4" w:space="0" w:color="auto"/>
              <w:bottom w:val="single" w:sz="4" w:space="0" w:color="auto"/>
              <w:right w:val="single" w:sz="4" w:space="0" w:color="auto"/>
            </w:tcBorders>
            <w:shd w:val="clear" w:color="auto" w:fill="C5EDCE"/>
          </w:tcPr>
          <w:p w14:paraId="5A8AE304" w14:textId="77777777" w:rsidR="00740F0F" w:rsidRPr="0029070D" w:rsidRDefault="00100B64">
            <w:pPr>
              <w:spacing w:line="214" w:lineRule="exact"/>
              <w:ind w:left="9" w:right="29"/>
              <w:jc w:val="center"/>
              <w:rPr>
                <w:rFonts w:ascii="Times New Roman" w:eastAsia="Times New Roman" w:hAnsi="Times New Roman" w:cs="Times New Roman"/>
                <w:noProof/>
                <w:sz w:val="18"/>
                <w:szCs w:val="18"/>
              </w:rPr>
            </w:pPr>
            <w:r>
              <w:rPr>
                <w:rFonts w:ascii="Times New Roman" w:hAnsi="Times New Roman"/>
                <w:noProof/>
                <w:sz w:val="18"/>
              </w:rPr>
              <w:t>T2</w:t>
            </w:r>
          </w:p>
        </w:tc>
        <w:tc>
          <w:tcPr>
            <w:tcW w:w="1140" w:type="dxa"/>
            <w:tcBorders>
              <w:top w:val="single" w:sz="4" w:space="0" w:color="auto"/>
              <w:left w:val="single" w:sz="4" w:space="0" w:color="auto"/>
              <w:bottom w:val="single" w:sz="4" w:space="0" w:color="auto"/>
              <w:right w:val="single" w:sz="4" w:space="0" w:color="auto"/>
            </w:tcBorders>
            <w:shd w:val="clear" w:color="auto" w:fill="C5EDCE"/>
          </w:tcPr>
          <w:p w14:paraId="5A8AE305" w14:textId="77777777" w:rsidR="00740F0F" w:rsidRPr="0029070D" w:rsidRDefault="00100B64">
            <w:pPr>
              <w:spacing w:line="214" w:lineRule="exact"/>
              <w:ind w:left="9" w:right="171"/>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4154" w:type="dxa"/>
            <w:tcBorders>
              <w:top w:val="single" w:sz="4" w:space="0" w:color="auto"/>
              <w:left w:val="single" w:sz="4" w:space="0" w:color="auto"/>
              <w:bottom w:val="single" w:sz="4" w:space="0" w:color="auto"/>
              <w:right w:val="single" w:sz="4" w:space="0" w:color="auto"/>
            </w:tcBorders>
            <w:shd w:val="clear" w:color="auto" w:fill="C5EDCE"/>
          </w:tcPr>
          <w:p w14:paraId="5A8AE306"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Kilomètres de voies réservées aux transports en commun ou au covoiturage réalisées.</w:t>
            </w:r>
          </w:p>
        </w:tc>
      </w:tr>
      <w:tr w:rsidR="00782477" w:rsidRPr="0029070D" w14:paraId="5A8AE314" w14:textId="77777777" w:rsidTr="4A5B8411">
        <w:trPr>
          <w:trHeight w:val="1202"/>
          <w:jc w:val="center"/>
        </w:trPr>
        <w:tc>
          <w:tcPr>
            <w:tcW w:w="1119" w:type="dxa"/>
            <w:tcBorders>
              <w:top w:val="single" w:sz="4" w:space="0" w:color="auto"/>
              <w:left w:val="single" w:sz="4" w:space="0" w:color="auto"/>
              <w:bottom w:val="single" w:sz="4" w:space="0" w:color="auto"/>
              <w:right w:val="single" w:sz="4" w:space="0" w:color="auto"/>
            </w:tcBorders>
            <w:shd w:val="clear" w:color="auto" w:fill="C5EDCE"/>
          </w:tcPr>
          <w:p w14:paraId="5A8AE30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3-25</w:t>
            </w:r>
          </w:p>
        </w:tc>
        <w:tc>
          <w:tcPr>
            <w:tcW w:w="1116" w:type="dxa"/>
            <w:tcBorders>
              <w:top w:val="single" w:sz="4" w:space="0" w:color="auto"/>
              <w:left w:val="single" w:sz="4" w:space="0" w:color="auto"/>
              <w:bottom w:val="single" w:sz="4" w:space="0" w:color="auto"/>
              <w:right w:val="single" w:sz="4" w:space="0" w:color="auto"/>
            </w:tcBorders>
            <w:shd w:val="clear" w:color="auto" w:fill="C5EDCE"/>
          </w:tcPr>
          <w:p w14:paraId="5A8AE309"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C3.I4</w:t>
            </w:r>
          </w:p>
          <w:p w14:paraId="5A8AE30A" w14:textId="77777777" w:rsidR="00740F0F" w:rsidRPr="0029070D" w:rsidRDefault="00100B64">
            <w:pPr>
              <w:spacing w:line="214" w:lineRule="exact"/>
              <w:ind w:left="9" w:right="31" w:firstLine="5"/>
              <w:jc w:val="center"/>
              <w:rPr>
                <w:rFonts w:ascii="Times New Roman" w:eastAsia="Times New Roman" w:hAnsi="Times New Roman" w:cs="Times New Roman"/>
                <w:noProof/>
                <w:sz w:val="18"/>
                <w:szCs w:val="18"/>
              </w:rPr>
            </w:pPr>
            <w:r>
              <w:rPr>
                <w:rFonts w:ascii="Times New Roman" w:hAnsi="Times New Roman"/>
                <w:noProof/>
                <w:sz w:val="18"/>
              </w:rPr>
              <w:t>Accélération des travaux sur les infrastructures de transports</w:t>
            </w:r>
          </w:p>
        </w:tc>
        <w:tc>
          <w:tcPr>
            <w:tcW w:w="1116" w:type="dxa"/>
            <w:tcBorders>
              <w:top w:val="single" w:sz="4" w:space="0" w:color="auto"/>
              <w:left w:val="single" w:sz="4" w:space="0" w:color="auto"/>
              <w:bottom w:val="single" w:sz="4" w:space="0" w:color="auto"/>
              <w:right w:val="single" w:sz="4" w:space="0" w:color="auto"/>
            </w:tcBorders>
            <w:shd w:val="clear" w:color="auto" w:fill="C5EDCE"/>
          </w:tcPr>
          <w:p w14:paraId="5A8AE30B"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1" w:type="dxa"/>
            <w:tcBorders>
              <w:top w:val="single" w:sz="4" w:space="0" w:color="auto"/>
              <w:left w:val="single" w:sz="4" w:space="0" w:color="auto"/>
              <w:bottom w:val="single" w:sz="4" w:space="0" w:color="auto"/>
              <w:right w:val="single" w:sz="4" w:space="0" w:color="auto"/>
            </w:tcBorders>
            <w:shd w:val="clear" w:color="auto" w:fill="C5EDCE"/>
          </w:tcPr>
          <w:p w14:paraId="5A8AE30C" w14:textId="77777777" w:rsidR="00740F0F" w:rsidRPr="0029070D" w:rsidRDefault="00100B64">
            <w:pPr>
              <w:spacing w:line="214" w:lineRule="exact"/>
              <w:ind w:left="9" w:right="348"/>
              <w:rPr>
                <w:rFonts w:ascii="Times New Roman" w:eastAsia="Times New Roman" w:hAnsi="Times New Roman" w:cs="Times New Roman"/>
                <w:noProof/>
                <w:sz w:val="18"/>
                <w:szCs w:val="18"/>
              </w:rPr>
            </w:pPr>
            <w:r>
              <w:rPr>
                <w:rFonts w:ascii="Times New Roman" w:hAnsi="Times New Roman"/>
                <w:noProof/>
                <w:sz w:val="18"/>
              </w:rPr>
              <w:t>Projets réalisés sur les voies navigables</w:t>
            </w:r>
          </w:p>
        </w:tc>
        <w:tc>
          <w:tcPr>
            <w:tcW w:w="1255" w:type="dxa"/>
            <w:tcBorders>
              <w:top w:val="single" w:sz="4" w:space="0" w:color="auto"/>
              <w:left w:val="single" w:sz="4" w:space="0" w:color="auto"/>
              <w:bottom w:val="single" w:sz="4" w:space="0" w:color="auto"/>
              <w:right w:val="single" w:sz="4" w:space="0" w:color="auto"/>
            </w:tcBorders>
            <w:shd w:val="clear" w:color="auto" w:fill="C5EDCE"/>
          </w:tcPr>
          <w:p w14:paraId="5A8AE30D"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88" w:type="dxa"/>
            <w:tcBorders>
              <w:top w:val="single" w:sz="4" w:space="0" w:color="auto"/>
              <w:left w:val="single" w:sz="4" w:space="0" w:color="auto"/>
              <w:bottom w:val="single" w:sz="4" w:space="0" w:color="auto"/>
              <w:right w:val="single" w:sz="4" w:space="0" w:color="auto"/>
            </w:tcBorders>
            <w:shd w:val="clear" w:color="auto" w:fill="C5EDCE"/>
          </w:tcPr>
          <w:p w14:paraId="5A8AE30E" w14:textId="77777777" w:rsidR="00740F0F" w:rsidRPr="0029070D" w:rsidRDefault="00100B64">
            <w:pPr>
              <w:spacing w:line="214" w:lineRule="exact"/>
              <w:ind w:left="9" w:right="87"/>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1025" w:type="dxa"/>
            <w:tcBorders>
              <w:top w:val="single" w:sz="4" w:space="0" w:color="auto"/>
              <w:left w:val="single" w:sz="4" w:space="0" w:color="auto"/>
              <w:bottom w:val="single" w:sz="4" w:space="0" w:color="auto"/>
              <w:right w:val="single" w:sz="4" w:space="0" w:color="auto"/>
            </w:tcBorders>
            <w:shd w:val="clear" w:color="auto" w:fill="C5EDCE"/>
          </w:tcPr>
          <w:p w14:paraId="5A8AE30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929" w:type="dxa"/>
            <w:tcBorders>
              <w:top w:val="single" w:sz="4" w:space="0" w:color="auto"/>
              <w:left w:val="single" w:sz="4" w:space="0" w:color="auto"/>
              <w:bottom w:val="single" w:sz="4" w:space="0" w:color="auto"/>
              <w:right w:val="single" w:sz="4" w:space="0" w:color="auto"/>
            </w:tcBorders>
            <w:shd w:val="clear" w:color="auto" w:fill="C5EDCE"/>
          </w:tcPr>
          <w:p w14:paraId="5A8AE310" w14:textId="77777777" w:rsidR="00740F0F" w:rsidRPr="0029070D" w:rsidRDefault="00100B64">
            <w:pPr>
              <w:spacing w:line="214" w:lineRule="exact"/>
              <w:ind w:left="9" w:right="243"/>
              <w:jc w:val="center"/>
              <w:rPr>
                <w:rFonts w:ascii="Times New Roman" w:eastAsia="Times New Roman" w:hAnsi="Times New Roman" w:cs="Times New Roman"/>
                <w:noProof/>
                <w:sz w:val="18"/>
                <w:szCs w:val="18"/>
              </w:rPr>
            </w:pPr>
            <w:r>
              <w:rPr>
                <w:rFonts w:ascii="Times New Roman" w:hAnsi="Times New Roman"/>
                <w:noProof/>
                <w:sz w:val="18"/>
              </w:rPr>
              <w:t>100</w:t>
            </w:r>
          </w:p>
        </w:tc>
        <w:tc>
          <w:tcPr>
            <w:tcW w:w="843" w:type="dxa"/>
            <w:tcBorders>
              <w:top w:val="single" w:sz="4" w:space="0" w:color="auto"/>
              <w:left w:val="single" w:sz="4" w:space="0" w:color="auto"/>
              <w:bottom w:val="single" w:sz="4" w:space="0" w:color="auto"/>
              <w:right w:val="single" w:sz="4" w:space="0" w:color="auto"/>
            </w:tcBorders>
            <w:shd w:val="clear" w:color="auto" w:fill="C5EDCE"/>
          </w:tcPr>
          <w:p w14:paraId="5A8AE311" w14:textId="77777777" w:rsidR="00740F0F" w:rsidRPr="0029070D" w:rsidRDefault="00100B64">
            <w:pPr>
              <w:spacing w:line="214" w:lineRule="exact"/>
              <w:ind w:left="9" w:right="2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40" w:type="dxa"/>
            <w:tcBorders>
              <w:top w:val="single" w:sz="4" w:space="0" w:color="auto"/>
              <w:left w:val="single" w:sz="4" w:space="0" w:color="auto"/>
              <w:bottom w:val="single" w:sz="4" w:space="0" w:color="auto"/>
              <w:right w:val="single" w:sz="4" w:space="0" w:color="auto"/>
            </w:tcBorders>
            <w:shd w:val="clear" w:color="auto" w:fill="C5EDCE"/>
          </w:tcPr>
          <w:p w14:paraId="5A8AE312" w14:textId="77777777" w:rsidR="00740F0F" w:rsidRPr="0029070D" w:rsidRDefault="00100B64">
            <w:pPr>
              <w:spacing w:line="214" w:lineRule="exact"/>
              <w:ind w:left="9" w:right="171"/>
              <w:jc w:val="center"/>
              <w:rPr>
                <w:rFonts w:ascii="Times New Roman" w:eastAsia="Times New Roman" w:hAnsi="Times New Roman" w:cs="Times New Roman"/>
                <w:noProof/>
                <w:sz w:val="18"/>
                <w:szCs w:val="18"/>
              </w:rPr>
            </w:pPr>
            <w:r>
              <w:rPr>
                <w:rFonts w:ascii="Times New Roman" w:hAnsi="Times New Roman"/>
                <w:noProof/>
                <w:sz w:val="18"/>
              </w:rPr>
              <w:t>2024</w:t>
            </w:r>
          </w:p>
        </w:tc>
        <w:tc>
          <w:tcPr>
            <w:tcW w:w="4154" w:type="dxa"/>
            <w:tcBorders>
              <w:top w:val="single" w:sz="4" w:space="0" w:color="auto"/>
              <w:left w:val="single" w:sz="4" w:space="0" w:color="auto"/>
              <w:bottom w:val="single" w:sz="4" w:space="0" w:color="auto"/>
              <w:right w:val="single" w:sz="4" w:space="0" w:color="auto"/>
            </w:tcBorders>
            <w:shd w:val="clear" w:color="auto" w:fill="C5EDCE"/>
          </w:tcPr>
          <w:p w14:paraId="5A8AE313"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Finalisation des projets de rénovation et de modernisation des voies navigables, y compris les écluses et les barrages.</w:t>
            </w:r>
          </w:p>
        </w:tc>
      </w:tr>
      <w:tr w:rsidR="00782477" w:rsidRPr="0029070D" w14:paraId="5A8AE321" w14:textId="77777777" w:rsidTr="4A5B8411">
        <w:trPr>
          <w:trHeight w:val="1201"/>
          <w:jc w:val="center"/>
        </w:trPr>
        <w:tc>
          <w:tcPr>
            <w:tcW w:w="1119" w:type="dxa"/>
            <w:tcBorders>
              <w:top w:val="single" w:sz="4" w:space="0" w:color="auto"/>
            </w:tcBorders>
            <w:shd w:val="clear" w:color="auto" w:fill="C5EDCE"/>
          </w:tcPr>
          <w:p w14:paraId="5A8AE31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3-26</w:t>
            </w:r>
          </w:p>
        </w:tc>
        <w:tc>
          <w:tcPr>
            <w:tcW w:w="1116" w:type="dxa"/>
            <w:tcBorders>
              <w:top w:val="single" w:sz="4" w:space="0" w:color="auto"/>
            </w:tcBorders>
            <w:shd w:val="clear" w:color="auto" w:fill="C5EDCE"/>
          </w:tcPr>
          <w:p w14:paraId="5A8AE316"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C3.I4</w:t>
            </w:r>
          </w:p>
          <w:p w14:paraId="5A8AE317" w14:textId="77777777" w:rsidR="00740F0F" w:rsidRPr="0029070D" w:rsidRDefault="00100B64">
            <w:pPr>
              <w:spacing w:line="214" w:lineRule="exact"/>
              <w:ind w:left="9" w:right="31" w:firstLine="5"/>
              <w:jc w:val="center"/>
              <w:rPr>
                <w:rFonts w:ascii="Times New Roman" w:eastAsia="Times New Roman" w:hAnsi="Times New Roman" w:cs="Times New Roman"/>
                <w:noProof/>
                <w:sz w:val="18"/>
                <w:szCs w:val="18"/>
              </w:rPr>
            </w:pPr>
            <w:r>
              <w:rPr>
                <w:rFonts w:ascii="Times New Roman" w:hAnsi="Times New Roman"/>
                <w:noProof/>
                <w:sz w:val="18"/>
              </w:rPr>
              <w:t>Accélération des travaux sur les infrastructures de transports</w:t>
            </w:r>
          </w:p>
        </w:tc>
        <w:tc>
          <w:tcPr>
            <w:tcW w:w="1116" w:type="dxa"/>
            <w:tcBorders>
              <w:top w:val="single" w:sz="4" w:space="0" w:color="auto"/>
            </w:tcBorders>
            <w:shd w:val="clear" w:color="auto" w:fill="C5EDCE"/>
          </w:tcPr>
          <w:p w14:paraId="5A8AE318"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41" w:type="dxa"/>
            <w:tcBorders>
              <w:top w:val="single" w:sz="4" w:space="0" w:color="auto"/>
            </w:tcBorders>
            <w:shd w:val="clear" w:color="auto" w:fill="C5EDCE"/>
          </w:tcPr>
          <w:p w14:paraId="5A8AE319" w14:textId="77777777" w:rsidR="00740F0F" w:rsidRPr="0029070D" w:rsidRDefault="00100B64">
            <w:pPr>
              <w:spacing w:line="214" w:lineRule="exact"/>
              <w:ind w:left="9" w:right="81"/>
              <w:rPr>
                <w:rFonts w:ascii="Times New Roman" w:eastAsia="Times New Roman" w:hAnsi="Times New Roman" w:cs="Times New Roman"/>
                <w:noProof/>
                <w:sz w:val="18"/>
                <w:szCs w:val="18"/>
              </w:rPr>
            </w:pPr>
            <w:r>
              <w:rPr>
                <w:rFonts w:ascii="Times New Roman" w:hAnsi="Times New Roman"/>
                <w:noProof/>
                <w:sz w:val="18"/>
              </w:rPr>
              <w:t>Modernisation du réseau des CROSS et du système numérique des affaires maritimes</w:t>
            </w:r>
          </w:p>
        </w:tc>
        <w:tc>
          <w:tcPr>
            <w:tcW w:w="1255" w:type="dxa"/>
            <w:tcBorders>
              <w:top w:val="single" w:sz="4" w:space="0" w:color="auto"/>
            </w:tcBorders>
            <w:shd w:val="clear" w:color="auto" w:fill="C5EDCE"/>
          </w:tcPr>
          <w:p w14:paraId="5A8AE31A" w14:textId="77777777" w:rsidR="00740F0F" w:rsidRPr="0029070D" w:rsidRDefault="00100B64">
            <w:pPr>
              <w:spacing w:line="214" w:lineRule="exact"/>
              <w:ind w:left="9" w:right="50" w:hanging="1"/>
              <w:rPr>
                <w:rFonts w:ascii="Times New Roman" w:eastAsia="Times New Roman" w:hAnsi="Times New Roman" w:cs="Times New Roman"/>
                <w:noProof/>
                <w:sz w:val="18"/>
                <w:szCs w:val="18"/>
              </w:rPr>
            </w:pPr>
            <w:r>
              <w:rPr>
                <w:rFonts w:ascii="Times New Roman" w:hAnsi="Times New Roman"/>
                <w:noProof/>
                <w:sz w:val="18"/>
              </w:rPr>
              <w:t>Rapport attestant de l’achèvement des travaux</w:t>
            </w:r>
          </w:p>
        </w:tc>
        <w:tc>
          <w:tcPr>
            <w:tcW w:w="888" w:type="dxa"/>
            <w:tcBorders>
              <w:top w:val="single" w:sz="4" w:space="0" w:color="auto"/>
            </w:tcBorders>
            <w:shd w:val="clear" w:color="auto" w:fill="C5EDCE"/>
          </w:tcPr>
          <w:p w14:paraId="5A8AE31B"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1025" w:type="dxa"/>
            <w:tcBorders>
              <w:top w:val="single" w:sz="4" w:space="0" w:color="auto"/>
            </w:tcBorders>
            <w:shd w:val="clear" w:color="auto" w:fill="C5EDCE"/>
          </w:tcPr>
          <w:p w14:paraId="5A8AE31C"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29" w:type="dxa"/>
            <w:tcBorders>
              <w:top w:val="single" w:sz="4" w:space="0" w:color="auto"/>
            </w:tcBorders>
            <w:shd w:val="clear" w:color="auto" w:fill="C5EDCE"/>
          </w:tcPr>
          <w:p w14:paraId="5A8AE31D"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43" w:type="dxa"/>
            <w:tcBorders>
              <w:top w:val="single" w:sz="4" w:space="0" w:color="auto"/>
            </w:tcBorders>
            <w:shd w:val="clear" w:color="auto" w:fill="C5EDCE"/>
          </w:tcPr>
          <w:p w14:paraId="5A8AE31E" w14:textId="77777777" w:rsidR="00740F0F" w:rsidRPr="0029070D" w:rsidRDefault="00100B64">
            <w:pPr>
              <w:spacing w:line="214" w:lineRule="exact"/>
              <w:ind w:left="9" w:right="24"/>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40" w:type="dxa"/>
            <w:tcBorders>
              <w:top w:val="single" w:sz="4" w:space="0" w:color="auto"/>
            </w:tcBorders>
            <w:shd w:val="clear" w:color="auto" w:fill="C5EDCE"/>
          </w:tcPr>
          <w:p w14:paraId="5A8AE31F" w14:textId="77777777" w:rsidR="00740F0F" w:rsidRPr="0029070D" w:rsidRDefault="00100B64">
            <w:pPr>
              <w:spacing w:line="214" w:lineRule="exact"/>
              <w:ind w:left="9" w:right="173"/>
              <w:jc w:val="center"/>
              <w:rPr>
                <w:rFonts w:ascii="Times New Roman" w:eastAsia="Times New Roman" w:hAnsi="Times New Roman" w:cs="Times New Roman"/>
                <w:noProof/>
                <w:sz w:val="18"/>
                <w:szCs w:val="18"/>
              </w:rPr>
            </w:pPr>
            <w:r>
              <w:rPr>
                <w:rFonts w:ascii="Times New Roman" w:hAnsi="Times New Roman"/>
                <w:noProof/>
                <w:sz w:val="18"/>
              </w:rPr>
              <w:t>2024</w:t>
            </w:r>
          </w:p>
        </w:tc>
        <w:tc>
          <w:tcPr>
            <w:tcW w:w="4154" w:type="dxa"/>
            <w:tcBorders>
              <w:top w:val="single" w:sz="4" w:space="0" w:color="auto"/>
            </w:tcBorders>
            <w:shd w:val="clear" w:color="auto" w:fill="C5EDCE"/>
          </w:tcPr>
          <w:p w14:paraId="5A8AE320"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Achèvement de la modernisation du réseau des CROSS et du système numérique des affaires maritimes.</w:t>
            </w:r>
          </w:p>
        </w:tc>
      </w:tr>
      <w:tr w:rsidR="00782477" w:rsidRPr="0029070D" w14:paraId="5A8AE32E" w14:textId="77777777" w:rsidTr="4A5B8411">
        <w:trPr>
          <w:trHeight w:val="1096"/>
          <w:jc w:val="center"/>
        </w:trPr>
        <w:tc>
          <w:tcPr>
            <w:tcW w:w="1119" w:type="dxa"/>
            <w:shd w:val="clear" w:color="auto" w:fill="C5EDCE"/>
          </w:tcPr>
          <w:p w14:paraId="5A8AE32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3-27</w:t>
            </w:r>
          </w:p>
        </w:tc>
        <w:tc>
          <w:tcPr>
            <w:tcW w:w="1116" w:type="dxa"/>
            <w:shd w:val="clear" w:color="auto" w:fill="C5EDCE"/>
          </w:tcPr>
          <w:p w14:paraId="5A8AE323"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C3.I5</w:t>
            </w:r>
          </w:p>
          <w:p w14:paraId="5A8AE324"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Verdissement du parc automobile de l’État</w:t>
            </w:r>
          </w:p>
        </w:tc>
        <w:tc>
          <w:tcPr>
            <w:tcW w:w="1116" w:type="dxa"/>
            <w:shd w:val="clear" w:color="auto" w:fill="C5EDCE"/>
          </w:tcPr>
          <w:p w14:paraId="5A8AE325"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1" w:type="dxa"/>
            <w:shd w:val="clear" w:color="auto" w:fill="C5EDCE"/>
          </w:tcPr>
          <w:p w14:paraId="5A8AE326" w14:textId="77777777" w:rsidR="00740F0F" w:rsidRPr="0029070D" w:rsidRDefault="00100B64">
            <w:pPr>
              <w:spacing w:line="214" w:lineRule="exact"/>
              <w:ind w:left="9" w:right="81"/>
              <w:rPr>
                <w:rFonts w:ascii="Times New Roman" w:eastAsia="Times New Roman" w:hAnsi="Times New Roman" w:cs="Times New Roman"/>
                <w:noProof/>
                <w:sz w:val="18"/>
                <w:szCs w:val="18"/>
              </w:rPr>
            </w:pPr>
            <w:r>
              <w:rPr>
                <w:rFonts w:ascii="Times New Roman" w:hAnsi="Times New Roman"/>
                <w:noProof/>
                <w:sz w:val="18"/>
              </w:rPr>
              <w:t xml:space="preserve">Nombre de véhicules électriques et hybrides rechargeables achetés par l’administration française </w:t>
            </w:r>
          </w:p>
        </w:tc>
        <w:tc>
          <w:tcPr>
            <w:tcW w:w="1255" w:type="dxa"/>
            <w:shd w:val="clear" w:color="auto" w:fill="C5EDCE"/>
          </w:tcPr>
          <w:p w14:paraId="5A8AE327"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888" w:type="dxa"/>
            <w:shd w:val="clear" w:color="auto" w:fill="C5EDCE"/>
          </w:tcPr>
          <w:p w14:paraId="5A8AE328" w14:textId="77777777" w:rsidR="00740F0F" w:rsidRPr="0029070D" w:rsidRDefault="00100B64">
            <w:pPr>
              <w:spacing w:line="214" w:lineRule="exact"/>
              <w:ind w:left="9" w:right="87"/>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1025" w:type="dxa"/>
            <w:shd w:val="clear" w:color="auto" w:fill="C5EDCE"/>
          </w:tcPr>
          <w:p w14:paraId="5A8AE32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929" w:type="dxa"/>
            <w:shd w:val="clear" w:color="auto" w:fill="C5EDCE"/>
          </w:tcPr>
          <w:p w14:paraId="5A8AE32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1 291</w:t>
            </w:r>
          </w:p>
        </w:tc>
        <w:tc>
          <w:tcPr>
            <w:tcW w:w="843" w:type="dxa"/>
            <w:shd w:val="clear" w:color="auto" w:fill="C5EDCE"/>
          </w:tcPr>
          <w:p w14:paraId="5A8AE32B" w14:textId="77777777" w:rsidR="00740F0F" w:rsidRPr="0029070D" w:rsidRDefault="00100B64">
            <w:pPr>
              <w:spacing w:line="214" w:lineRule="exact"/>
              <w:ind w:left="9" w:right="29"/>
              <w:jc w:val="center"/>
              <w:rPr>
                <w:rFonts w:ascii="Times New Roman" w:eastAsia="Times New Roman" w:hAnsi="Times New Roman" w:cs="Times New Roman"/>
                <w:noProof/>
                <w:sz w:val="18"/>
                <w:szCs w:val="18"/>
              </w:rPr>
            </w:pPr>
            <w:r>
              <w:rPr>
                <w:rFonts w:ascii="Times New Roman" w:hAnsi="Times New Roman"/>
                <w:noProof/>
                <w:sz w:val="18"/>
              </w:rPr>
              <w:t>T2</w:t>
            </w:r>
          </w:p>
        </w:tc>
        <w:tc>
          <w:tcPr>
            <w:tcW w:w="1140" w:type="dxa"/>
            <w:shd w:val="clear" w:color="auto" w:fill="C5EDCE"/>
          </w:tcPr>
          <w:p w14:paraId="5A8AE32C" w14:textId="77777777" w:rsidR="00740F0F" w:rsidRPr="0029070D" w:rsidRDefault="00100B64">
            <w:pPr>
              <w:spacing w:line="214" w:lineRule="exact"/>
              <w:ind w:left="9" w:right="171"/>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4154" w:type="dxa"/>
            <w:shd w:val="clear" w:color="auto" w:fill="C5EDCE"/>
          </w:tcPr>
          <w:p w14:paraId="5A8AE32D"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Véhicules électriques et hybrides rechargeables au total pour le ministère de l’intérieur, la direction générale des douanes et droits indirects et le ministère de la justice (en cumulé).</w:t>
            </w:r>
          </w:p>
        </w:tc>
      </w:tr>
      <w:tr w:rsidR="00782477" w:rsidRPr="0029070D" w14:paraId="5A8AE33B" w14:textId="77777777" w:rsidTr="4A5B8411">
        <w:trPr>
          <w:trHeight w:val="1079"/>
          <w:jc w:val="center"/>
        </w:trPr>
        <w:tc>
          <w:tcPr>
            <w:tcW w:w="1119" w:type="dxa"/>
            <w:shd w:val="clear" w:color="auto" w:fill="C5EDCE"/>
          </w:tcPr>
          <w:p w14:paraId="5A8AE32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3-28</w:t>
            </w:r>
          </w:p>
        </w:tc>
        <w:tc>
          <w:tcPr>
            <w:tcW w:w="1116" w:type="dxa"/>
            <w:shd w:val="clear" w:color="auto" w:fill="C5EDCE"/>
          </w:tcPr>
          <w:p w14:paraId="5A8AE330"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C3.I5</w:t>
            </w:r>
          </w:p>
          <w:p w14:paraId="5A8AE331"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Verdissement du parc automobile de l’État</w:t>
            </w:r>
          </w:p>
        </w:tc>
        <w:tc>
          <w:tcPr>
            <w:tcW w:w="1116" w:type="dxa"/>
            <w:shd w:val="clear" w:color="auto" w:fill="C5EDCE"/>
          </w:tcPr>
          <w:p w14:paraId="5A8AE332"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1" w:type="dxa"/>
            <w:shd w:val="clear" w:color="auto" w:fill="C5EDCE"/>
          </w:tcPr>
          <w:p w14:paraId="5A8AE333" w14:textId="77777777" w:rsidR="00740F0F" w:rsidRPr="0029070D" w:rsidRDefault="00100B64">
            <w:pPr>
              <w:spacing w:line="214" w:lineRule="exact"/>
              <w:ind w:left="9" w:right="3"/>
              <w:rPr>
                <w:rFonts w:ascii="Times New Roman" w:eastAsia="Times New Roman" w:hAnsi="Times New Roman" w:cs="Times New Roman"/>
                <w:noProof/>
                <w:sz w:val="18"/>
                <w:szCs w:val="18"/>
              </w:rPr>
            </w:pPr>
            <w:r>
              <w:rPr>
                <w:rFonts w:ascii="Times New Roman" w:hAnsi="Times New Roman"/>
                <w:noProof/>
                <w:sz w:val="18"/>
              </w:rPr>
              <w:t>Nombre de véhicules électriques et hybrides rechargeables achetés par l’administration française</w:t>
            </w:r>
          </w:p>
        </w:tc>
        <w:tc>
          <w:tcPr>
            <w:tcW w:w="1255" w:type="dxa"/>
            <w:shd w:val="clear" w:color="auto" w:fill="C5EDCE"/>
          </w:tcPr>
          <w:p w14:paraId="5A8AE334"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888" w:type="dxa"/>
            <w:shd w:val="clear" w:color="auto" w:fill="C5EDCE"/>
          </w:tcPr>
          <w:p w14:paraId="5A8AE335" w14:textId="77777777" w:rsidR="00740F0F" w:rsidRPr="0029070D" w:rsidRDefault="00100B64">
            <w:pPr>
              <w:spacing w:line="214" w:lineRule="exact"/>
              <w:ind w:left="9" w:right="87"/>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1025" w:type="dxa"/>
            <w:shd w:val="clear" w:color="auto" w:fill="C5EDCE"/>
          </w:tcPr>
          <w:p w14:paraId="5A8AE336" w14:textId="77777777" w:rsidR="00740F0F" w:rsidRPr="0029070D" w:rsidRDefault="00100B64">
            <w:pPr>
              <w:spacing w:line="214" w:lineRule="exact"/>
              <w:ind w:left="9" w:right="152"/>
              <w:jc w:val="center"/>
              <w:rPr>
                <w:rFonts w:ascii="Times New Roman" w:eastAsia="Times New Roman" w:hAnsi="Times New Roman" w:cs="Times New Roman"/>
                <w:noProof/>
                <w:sz w:val="18"/>
                <w:szCs w:val="18"/>
              </w:rPr>
            </w:pPr>
            <w:r>
              <w:rPr>
                <w:rFonts w:ascii="Times New Roman" w:hAnsi="Times New Roman"/>
                <w:noProof/>
                <w:sz w:val="18"/>
              </w:rPr>
              <w:t>1 291</w:t>
            </w:r>
          </w:p>
        </w:tc>
        <w:tc>
          <w:tcPr>
            <w:tcW w:w="929" w:type="dxa"/>
            <w:shd w:val="clear" w:color="auto" w:fill="C5EDCE"/>
          </w:tcPr>
          <w:p w14:paraId="5A8AE33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4 200</w:t>
            </w:r>
          </w:p>
        </w:tc>
        <w:tc>
          <w:tcPr>
            <w:tcW w:w="843" w:type="dxa"/>
            <w:shd w:val="clear" w:color="auto" w:fill="C5EDCE"/>
          </w:tcPr>
          <w:p w14:paraId="5A8AE338" w14:textId="77777777" w:rsidR="00740F0F" w:rsidRPr="0029070D" w:rsidRDefault="00100B64">
            <w:pPr>
              <w:spacing w:line="214" w:lineRule="exact"/>
              <w:ind w:left="9" w:right="29"/>
              <w:jc w:val="center"/>
              <w:rPr>
                <w:rFonts w:ascii="Times New Roman" w:eastAsia="Times New Roman" w:hAnsi="Times New Roman" w:cs="Times New Roman"/>
                <w:noProof/>
                <w:sz w:val="18"/>
                <w:szCs w:val="18"/>
              </w:rPr>
            </w:pPr>
            <w:r>
              <w:rPr>
                <w:rFonts w:ascii="Times New Roman" w:hAnsi="Times New Roman"/>
                <w:noProof/>
                <w:sz w:val="18"/>
              </w:rPr>
              <w:t>T3</w:t>
            </w:r>
          </w:p>
        </w:tc>
        <w:tc>
          <w:tcPr>
            <w:tcW w:w="1140" w:type="dxa"/>
            <w:shd w:val="clear" w:color="auto" w:fill="C5EDCE"/>
          </w:tcPr>
          <w:p w14:paraId="5A8AE339" w14:textId="77777777" w:rsidR="00740F0F" w:rsidRPr="0029070D" w:rsidRDefault="00100B64">
            <w:pPr>
              <w:spacing w:line="214" w:lineRule="exact"/>
              <w:ind w:left="9" w:right="171"/>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4154" w:type="dxa"/>
            <w:shd w:val="clear" w:color="auto" w:fill="C5EDCE"/>
          </w:tcPr>
          <w:p w14:paraId="5A8AE33A" w14:textId="77777777" w:rsidR="00740F0F" w:rsidRPr="0029070D" w:rsidRDefault="00100B64">
            <w:pPr>
              <w:spacing w:line="214" w:lineRule="exact"/>
              <w:ind w:left="9" w:right="1"/>
              <w:rPr>
                <w:rFonts w:ascii="Times New Roman" w:eastAsia="Times New Roman" w:hAnsi="Times New Roman" w:cs="Times New Roman"/>
                <w:noProof/>
                <w:sz w:val="18"/>
                <w:szCs w:val="18"/>
              </w:rPr>
            </w:pPr>
            <w:r>
              <w:rPr>
                <w:rFonts w:ascii="Times New Roman" w:hAnsi="Times New Roman"/>
                <w:noProof/>
                <w:sz w:val="18"/>
              </w:rPr>
              <w:t>Véhicules électriques et hybrides rechargeables au total pour le ministère de l’intérieur, la direction générale des douanes et droits indirects et le ministère de la justice (en cumulé).</w:t>
            </w:r>
          </w:p>
        </w:tc>
      </w:tr>
      <w:tr w:rsidR="00782477" w:rsidRPr="0029070D" w14:paraId="5A8AE348" w14:textId="77777777" w:rsidTr="4A5B8411">
        <w:trPr>
          <w:trHeight w:val="950"/>
          <w:jc w:val="center"/>
        </w:trPr>
        <w:tc>
          <w:tcPr>
            <w:tcW w:w="1119" w:type="dxa"/>
            <w:shd w:val="clear" w:color="auto" w:fill="C5EDCE"/>
          </w:tcPr>
          <w:p w14:paraId="5A8AE33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3-29</w:t>
            </w:r>
          </w:p>
        </w:tc>
        <w:tc>
          <w:tcPr>
            <w:tcW w:w="1116" w:type="dxa"/>
            <w:shd w:val="clear" w:color="auto" w:fill="C5EDCE"/>
          </w:tcPr>
          <w:p w14:paraId="5A8AE33D"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C3.I6</w:t>
            </w:r>
          </w:p>
          <w:p w14:paraId="5A8AE33E" w14:textId="77777777" w:rsidR="00740F0F" w:rsidRPr="0029070D" w:rsidRDefault="00100B64">
            <w:pPr>
              <w:spacing w:line="214" w:lineRule="exact"/>
              <w:ind w:left="9" w:right="32"/>
              <w:jc w:val="center"/>
              <w:rPr>
                <w:rFonts w:ascii="Times New Roman" w:eastAsia="Times New Roman" w:hAnsi="Times New Roman" w:cs="Times New Roman"/>
                <w:noProof/>
                <w:sz w:val="18"/>
                <w:szCs w:val="18"/>
              </w:rPr>
            </w:pPr>
            <w:r>
              <w:rPr>
                <w:rFonts w:ascii="Times New Roman" w:hAnsi="Times New Roman"/>
                <w:noProof/>
                <w:sz w:val="18"/>
              </w:rPr>
              <w:t>Verdissement des ports</w:t>
            </w:r>
          </w:p>
        </w:tc>
        <w:tc>
          <w:tcPr>
            <w:tcW w:w="1116" w:type="dxa"/>
            <w:shd w:val="clear" w:color="auto" w:fill="C5EDCE"/>
          </w:tcPr>
          <w:p w14:paraId="5A8AE33F"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41" w:type="dxa"/>
            <w:shd w:val="clear" w:color="auto" w:fill="C5EDCE"/>
          </w:tcPr>
          <w:p w14:paraId="5A8AE340" w14:textId="77777777" w:rsidR="00740F0F" w:rsidRPr="0029070D" w:rsidRDefault="00100B64">
            <w:pPr>
              <w:spacing w:line="214" w:lineRule="exact"/>
              <w:ind w:left="9" w:right="650"/>
              <w:rPr>
                <w:rFonts w:ascii="Times New Roman" w:eastAsia="Times New Roman" w:hAnsi="Times New Roman" w:cs="Times New Roman"/>
                <w:noProof/>
                <w:sz w:val="18"/>
                <w:szCs w:val="18"/>
              </w:rPr>
            </w:pPr>
            <w:r>
              <w:rPr>
                <w:rFonts w:ascii="Times New Roman" w:hAnsi="Times New Roman"/>
                <w:noProof/>
                <w:sz w:val="18"/>
              </w:rPr>
              <w:t>Conventions de financement de l’AFITF</w:t>
            </w:r>
          </w:p>
        </w:tc>
        <w:tc>
          <w:tcPr>
            <w:tcW w:w="1255" w:type="dxa"/>
            <w:shd w:val="clear" w:color="auto" w:fill="C5EDCE"/>
          </w:tcPr>
          <w:p w14:paraId="5A8AE341" w14:textId="77777777" w:rsidR="00740F0F" w:rsidRPr="0029070D" w:rsidRDefault="00100B64">
            <w:pPr>
              <w:spacing w:line="214" w:lineRule="exact"/>
              <w:ind w:left="9" w:right="145"/>
              <w:rPr>
                <w:rFonts w:ascii="Times New Roman" w:eastAsia="Times New Roman" w:hAnsi="Times New Roman" w:cs="Times New Roman"/>
                <w:noProof/>
                <w:sz w:val="18"/>
                <w:szCs w:val="18"/>
              </w:rPr>
            </w:pPr>
            <w:r>
              <w:rPr>
                <w:rFonts w:ascii="Times New Roman" w:hAnsi="Times New Roman"/>
                <w:noProof/>
                <w:sz w:val="18"/>
              </w:rPr>
              <w:t>Adoption par le conseil d’administration de l’AFITF</w:t>
            </w:r>
          </w:p>
        </w:tc>
        <w:tc>
          <w:tcPr>
            <w:tcW w:w="888" w:type="dxa"/>
            <w:shd w:val="clear" w:color="auto" w:fill="C5EDCE"/>
          </w:tcPr>
          <w:p w14:paraId="5A8AE342"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1025" w:type="dxa"/>
            <w:shd w:val="clear" w:color="auto" w:fill="C5EDCE"/>
          </w:tcPr>
          <w:p w14:paraId="5A8AE343"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29" w:type="dxa"/>
            <w:shd w:val="clear" w:color="auto" w:fill="C5EDCE"/>
          </w:tcPr>
          <w:p w14:paraId="5A8AE344"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43" w:type="dxa"/>
            <w:shd w:val="clear" w:color="auto" w:fill="C5EDCE"/>
          </w:tcPr>
          <w:p w14:paraId="5A8AE345" w14:textId="77777777" w:rsidR="00740F0F" w:rsidRPr="0029070D" w:rsidRDefault="00100B64">
            <w:pPr>
              <w:spacing w:line="214" w:lineRule="exact"/>
              <w:ind w:left="9" w:right="29"/>
              <w:jc w:val="center"/>
              <w:rPr>
                <w:rFonts w:ascii="Times New Roman" w:eastAsia="Times New Roman" w:hAnsi="Times New Roman" w:cs="Times New Roman"/>
                <w:noProof/>
                <w:sz w:val="18"/>
                <w:szCs w:val="18"/>
              </w:rPr>
            </w:pPr>
            <w:r>
              <w:rPr>
                <w:rFonts w:ascii="Times New Roman" w:hAnsi="Times New Roman"/>
                <w:noProof/>
                <w:sz w:val="18"/>
              </w:rPr>
              <w:t>T1</w:t>
            </w:r>
          </w:p>
        </w:tc>
        <w:tc>
          <w:tcPr>
            <w:tcW w:w="1140" w:type="dxa"/>
            <w:shd w:val="clear" w:color="auto" w:fill="C5EDCE"/>
          </w:tcPr>
          <w:p w14:paraId="5A8AE346" w14:textId="77777777" w:rsidR="00740F0F" w:rsidRPr="0029070D" w:rsidRDefault="00100B64">
            <w:pPr>
              <w:spacing w:line="214" w:lineRule="exact"/>
              <w:ind w:left="9" w:right="171"/>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4154" w:type="dxa"/>
            <w:shd w:val="clear" w:color="auto" w:fill="C5EDCE"/>
          </w:tcPr>
          <w:p w14:paraId="5A8AE347" w14:textId="77777777" w:rsidR="00740F0F" w:rsidRPr="0029070D" w:rsidRDefault="00100B64">
            <w:pPr>
              <w:spacing w:line="214" w:lineRule="exact"/>
              <w:ind w:left="9" w:right="118"/>
              <w:rPr>
                <w:rFonts w:ascii="Times New Roman" w:eastAsia="Times New Roman" w:hAnsi="Times New Roman" w:cs="Times New Roman"/>
                <w:noProof/>
                <w:sz w:val="18"/>
                <w:szCs w:val="18"/>
              </w:rPr>
            </w:pPr>
            <w:r>
              <w:rPr>
                <w:rFonts w:ascii="Times New Roman" w:hAnsi="Times New Roman"/>
                <w:noProof/>
                <w:sz w:val="18"/>
              </w:rPr>
              <w:t>Adoption par le conseil d’administration de l’AFITF des conventions de financement.</w:t>
            </w:r>
          </w:p>
        </w:tc>
      </w:tr>
      <w:tr w:rsidR="00782477" w:rsidRPr="0029070D" w14:paraId="5A8AE355" w14:textId="77777777" w:rsidTr="4A5B8411">
        <w:trPr>
          <w:trHeight w:val="1096"/>
          <w:jc w:val="center"/>
        </w:trPr>
        <w:tc>
          <w:tcPr>
            <w:tcW w:w="1119" w:type="dxa"/>
            <w:shd w:val="clear" w:color="auto" w:fill="C5EDCE"/>
          </w:tcPr>
          <w:p w14:paraId="5A8AE34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3-30</w:t>
            </w:r>
          </w:p>
        </w:tc>
        <w:tc>
          <w:tcPr>
            <w:tcW w:w="1116" w:type="dxa"/>
            <w:shd w:val="clear" w:color="auto" w:fill="C5EDCE"/>
          </w:tcPr>
          <w:p w14:paraId="5A8AE34A"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C3.I6</w:t>
            </w:r>
          </w:p>
          <w:p w14:paraId="5A8AE34B" w14:textId="77777777" w:rsidR="00740F0F" w:rsidRPr="0029070D" w:rsidRDefault="00100B64">
            <w:pPr>
              <w:spacing w:line="214" w:lineRule="exact"/>
              <w:ind w:left="9" w:right="4"/>
              <w:jc w:val="center"/>
              <w:rPr>
                <w:rFonts w:ascii="Times New Roman" w:eastAsia="Times New Roman" w:hAnsi="Times New Roman" w:cs="Times New Roman"/>
                <w:noProof/>
                <w:sz w:val="18"/>
                <w:szCs w:val="18"/>
              </w:rPr>
            </w:pPr>
            <w:r>
              <w:rPr>
                <w:rFonts w:ascii="Times New Roman" w:hAnsi="Times New Roman"/>
                <w:noProof/>
                <w:sz w:val="18"/>
              </w:rPr>
              <w:t>Verdissement des ports</w:t>
            </w:r>
          </w:p>
        </w:tc>
        <w:tc>
          <w:tcPr>
            <w:tcW w:w="1116" w:type="dxa"/>
            <w:shd w:val="clear" w:color="auto" w:fill="C5EDCE"/>
          </w:tcPr>
          <w:p w14:paraId="5A8AE34C"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1" w:type="dxa"/>
            <w:shd w:val="clear" w:color="auto" w:fill="C5EDCE"/>
          </w:tcPr>
          <w:p w14:paraId="5A8AE34D" w14:textId="77777777" w:rsidR="00740F0F" w:rsidRPr="0029070D" w:rsidRDefault="00100B64">
            <w:pPr>
              <w:spacing w:line="214" w:lineRule="exact"/>
              <w:ind w:left="9" w:right="151"/>
              <w:rPr>
                <w:rFonts w:ascii="Times New Roman" w:eastAsia="Times New Roman" w:hAnsi="Times New Roman" w:cs="Times New Roman"/>
                <w:noProof/>
                <w:sz w:val="18"/>
                <w:szCs w:val="18"/>
              </w:rPr>
            </w:pPr>
            <w:r>
              <w:rPr>
                <w:rFonts w:ascii="Times New Roman" w:hAnsi="Times New Roman"/>
                <w:noProof/>
                <w:sz w:val="18"/>
              </w:rPr>
              <w:t>Nouveaux branchements électriques à quai</w:t>
            </w:r>
          </w:p>
        </w:tc>
        <w:tc>
          <w:tcPr>
            <w:tcW w:w="1255" w:type="dxa"/>
            <w:shd w:val="clear" w:color="auto" w:fill="C5EDCE"/>
          </w:tcPr>
          <w:p w14:paraId="5A8AE34E"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88" w:type="dxa"/>
            <w:shd w:val="clear" w:color="auto" w:fill="C5EDCE"/>
          </w:tcPr>
          <w:p w14:paraId="5A8AE34F" w14:textId="77777777" w:rsidR="00740F0F" w:rsidRPr="0029070D" w:rsidRDefault="00100B64">
            <w:pPr>
              <w:spacing w:line="214" w:lineRule="exact"/>
              <w:ind w:left="9" w:right="87"/>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1025" w:type="dxa"/>
            <w:shd w:val="clear" w:color="auto" w:fill="C5EDCE"/>
          </w:tcPr>
          <w:p w14:paraId="5A8AE35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929" w:type="dxa"/>
            <w:shd w:val="clear" w:color="auto" w:fill="C5EDCE"/>
          </w:tcPr>
          <w:p w14:paraId="5A8AE35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9</w:t>
            </w:r>
          </w:p>
        </w:tc>
        <w:tc>
          <w:tcPr>
            <w:tcW w:w="843" w:type="dxa"/>
            <w:shd w:val="clear" w:color="auto" w:fill="C5EDCE"/>
          </w:tcPr>
          <w:p w14:paraId="5A8AE352" w14:textId="77777777" w:rsidR="00740F0F" w:rsidRPr="0029070D" w:rsidRDefault="00100B64">
            <w:pPr>
              <w:spacing w:line="214" w:lineRule="exact"/>
              <w:ind w:left="9" w:right="2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40" w:type="dxa"/>
            <w:shd w:val="clear" w:color="auto" w:fill="C5EDCE"/>
          </w:tcPr>
          <w:p w14:paraId="5A8AE353" w14:textId="77777777" w:rsidR="00740F0F" w:rsidRPr="0029070D" w:rsidRDefault="00100B64">
            <w:pPr>
              <w:spacing w:line="214" w:lineRule="exact"/>
              <w:ind w:left="9" w:right="171"/>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4154" w:type="dxa"/>
            <w:shd w:val="clear" w:color="auto" w:fill="C5EDCE"/>
          </w:tcPr>
          <w:p w14:paraId="5A8AE354" w14:textId="77777777" w:rsidR="00740F0F" w:rsidRPr="0029070D" w:rsidRDefault="00100B64">
            <w:pPr>
              <w:spacing w:line="214" w:lineRule="exact"/>
              <w:ind w:left="9" w:right="20"/>
              <w:rPr>
                <w:rFonts w:ascii="Times New Roman" w:eastAsia="Times New Roman" w:hAnsi="Times New Roman" w:cs="Times New Roman"/>
                <w:noProof/>
                <w:sz w:val="18"/>
                <w:szCs w:val="18"/>
              </w:rPr>
            </w:pPr>
            <w:r>
              <w:rPr>
                <w:rFonts w:ascii="Times New Roman" w:hAnsi="Times New Roman"/>
                <w:noProof/>
                <w:sz w:val="18"/>
              </w:rPr>
              <w:t>Finalisation de la mise en place de nouvelles bornes électriques sur des quais comme ceux du réseau Havre-Rouen-Paris, du port de Marseille ou de la Pointe des Grives du port de la Martinique.</w:t>
            </w:r>
          </w:p>
        </w:tc>
      </w:tr>
      <w:tr w:rsidR="00782477" w:rsidRPr="0029070D" w14:paraId="5A8AE362" w14:textId="77777777" w:rsidTr="4A5B8411">
        <w:trPr>
          <w:trHeight w:val="1039"/>
          <w:jc w:val="center"/>
        </w:trPr>
        <w:tc>
          <w:tcPr>
            <w:tcW w:w="1119" w:type="dxa"/>
            <w:shd w:val="clear" w:color="auto" w:fill="C5EDCE"/>
          </w:tcPr>
          <w:p w14:paraId="5A8AE356" w14:textId="77777777" w:rsidR="00740F0F" w:rsidRPr="0029070D" w:rsidRDefault="00100B64">
            <w:pPr>
              <w:spacing w:before="134"/>
              <w:ind w:left="402"/>
              <w:rPr>
                <w:rFonts w:ascii="Times New Roman" w:eastAsia="Times New Roman" w:hAnsi="Times New Roman" w:cs="Times New Roman"/>
                <w:noProof/>
                <w:sz w:val="18"/>
                <w:szCs w:val="18"/>
              </w:rPr>
            </w:pPr>
            <w:r>
              <w:rPr>
                <w:rFonts w:ascii="Times New Roman" w:hAnsi="Times New Roman"/>
                <w:noProof/>
                <w:sz w:val="18"/>
              </w:rPr>
              <w:t>3-31</w:t>
            </w:r>
          </w:p>
        </w:tc>
        <w:tc>
          <w:tcPr>
            <w:tcW w:w="1116" w:type="dxa"/>
            <w:shd w:val="clear" w:color="auto" w:fill="C5EDCE"/>
          </w:tcPr>
          <w:p w14:paraId="5A8AE357" w14:textId="77777777" w:rsidR="00740F0F" w:rsidRPr="0029070D" w:rsidRDefault="00100B64">
            <w:pPr>
              <w:spacing w:before="14"/>
              <w:ind w:left="8" w:right="41"/>
              <w:jc w:val="center"/>
              <w:rPr>
                <w:rFonts w:ascii="Times New Roman" w:eastAsia="Times New Roman" w:hAnsi="Times New Roman" w:cs="Times New Roman"/>
                <w:noProof/>
                <w:sz w:val="18"/>
                <w:szCs w:val="18"/>
              </w:rPr>
            </w:pPr>
            <w:r>
              <w:rPr>
                <w:rFonts w:ascii="Times New Roman" w:hAnsi="Times New Roman"/>
                <w:noProof/>
                <w:sz w:val="18"/>
              </w:rPr>
              <w:t>C3.I6</w:t>
            </w:r>
          </w:p>
          <w:p w14:paraId="5A8AE358" w14:textId="77777777" w:rsidR="00740F0F" w:rsidRPr="0029070D" w:rsidRDefault="00100B64">
            <w:pPr>
              <w:spacing w:before="7" w:line="264" w:lineRule="auto"/>
              <w:ind w:left="8" w:right="3"/>
              <w:jc w:val="center"/>
              <w:rPr>
                <w:rFonts w:ascii="Times New Roman" w:eastAsia="Times New Roman" w:hAnsi="Times New Roman" w:cs="Times New Roman"/>
                <w:noProof/>
                <w:sz w:val="18"/>
                <w:szCs w:val="18"/>
              </w:rPr>
            </w:pPr>
            <w:r>
              <w:rPr>
                <w:rFonts w:ascii="Times New Roman" w:hAnsi="Times New Roman"/>
                <w:noProof/>
                <w:sz w:val="18"/>
              </w:rPr>
              <w:t>Verdissement des ports</w:t>
            </w:r>
          </w:p>
        </w:tc>
        <w:tc>
          <w:tcPr>
            <w:tcW w:w="1116" w:type="dxa"/>
            <w:shd w:val="clear" w:color="auto" w:fill="C5EDCE"/>
          </w:tcPr>
          <w:p w14:paraId="5A8AE359" w14:textId="77777777" w:rsidR="00740F0F" w:rsidRPr="0029070D" w:rsidRDefault="00100B64" w:rsidP="00D4076D">
            <w:pPr>
              <w:ind w:left="27"/>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1" w:type="dxa"/>
            <w:shd w:val="clear" w:color="auto" w:fill="C5EDCE"/>
          </w:tcPr>
          <w:p w14:paraId="5A8AE35A" w14:textId="77777777" w:rsidR="00740F0F" w:rsidRPr="0029070D" w:rsidRDefault="00100B64" w:rsidP="00D4076D">
            <w:pPr>
              <w:ind w:left="47"/>
              <w:rPr>
                <w:rFonts w:ascii="Times New Roman" w:eastAsia="Times New Roman" w:hAnsi="Times New Roman" w:cs="Times New Roman"/>
                <w:noProof/>
                <w:sz w:val="18"/>
                <w:szCs w:val="18"/>
              </w:rPr>
            </w:pPr>
            <w:r>
              <w:rPr>
                <w:rFonts w:ascii="Times New Roman" w:hAnsi="Times New Roman"/>
                <w:noProof/>
                <w:sz w:val="18"/>
              </w:rPr>
              <w:t>Enregistrement de navires</w:t>
            </w:r>
          </w:p>
        </w:tc>
        <w:tc>
          <w:tcPr>
            <w:tcW w:w="1255" w:type="dxa"/>
            <w:shd w:val="clear" w:color="auto" w:fill="C5EDCE"/>
          </w:tcPr>
          <w:p w14:paraId="5A8AE35B" w14:textId="77777777" w:rsidR="00740F0F" w:rsidRPr="0029070D" w:rsidRDefault="00740F0F">
            <w:pPr>
              <w:spacing w:before="134" w:line="247" w:lineRule="auto"/>
              <w:ind w:left="402" w:right="192" w:hanging="152"/>
              <w:jc w:val="both"/>
              <w:rPr>
                <w:rFonts w:ascii="Times New Roman" w:eastAsia="Times New Roman" w:hAnsi="Times New Roman" w:cs="Times New Roman"/>
                <w:noProof/>
                <w:sz w:val="18"/>
                <w:szCs w:val="18"/>
              </w:rPr>
            </w:pPr>
          </w:p>
        </w:tc>
        <w:tc>
          <w:tcPr>
            <w:tcW w:w="888" w:type="dxa"/>
            <w:shd w:val="clear" w:color="auto" w:fill="C5EDCE"/>
          </w:tcPr>
          <w:p w14:paraId="5A8AE35C" w14:textId="77777777" w:rsidR="00740F0F" w:rsidRPr="0029070D" w:rsidRDefault="00100B64">
            <w:pPr>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1025" w:type="dxa"/>
            <w:shd w:val="clear" w:color="auto" w:fill="C5EDCE"/>
          </w:tcPr>
          <w:p w14:paraId="5A8AE35D" w14:textId="77777777" w:rsidR="00740F0F" w:rsidRPr="0029070D" w:rsidRDefault="00100B64">
            <w:pPr>
              <w:ind w:left="33"/>
              <w:jc w:val="center"/>
              <w:rPr>
                <w:rFonts w:ascii="Times New Roman" w:eastAsia="Times New Roman" w:hAnsi="Times New Roman" w:cs="Times New Roman"/>
                <w:noProof/>
                <w:sz w:val="18"/>
                <w:szCs w:val="18"/>
              </w:rPr>
            </w:pPr>
            <w:r>
              <w:rPr>
                <w:rFonts w:ascii="Times New Roman" w:hAnsi="Times New Roman"/>
                <w:noProof/>
                <w:sz w:val="18"/>
              </w:rPr>
              <w:t>0</w:t>
            </w:r>
          </w:p>
        </w:tc>
        <w:tc>
          <w:tcPr>
            <w:tcW w:w="929" w:type="dxa"/>
            <w:shd w:val="clear" w:color="auto" w:fill="C5EDCE"/>
          </w:tcPr>
          <w:p w14:paraId="5A8AE35E" w14:textId="77777777" w:rsidR="00740F0F" w:rsidRPr="0029070D" w:rsidRDefault="00100B64" w:rsidP="00D4076D">
            <w:pPr>
              <w:ind w:left="402"/>
              <w:rPr>
                <w:rFonts w:ascii="Times New Roman" w:eastAsia="Times New Roman" w:hAnsi="Times New Roman" w:cs="Times New Roman"/>
                <w:noProof/>
                <w:sz w:val="18"/>
                <w:szCs w:val="18"/>
              </w:rPr>
            </w:pPr>
            <w:r>
              <w:rPr>
                <w:rFonts w:ascii="Times New Roman" w:hAnsi="Times New Roman"/>
                <w:noProof/>
                <w:sz w:val="18"/>
              </w:rPr>
              <w:t>2</w:t>
            </w:r>
          </w:p>
        </w:tc>
        <w:tc>
          <w:tcPr>
            <w:tcW w:w="843" w:type="dxa"/>
            <w:shd w:val="clear" w:color="auto" w:fill="C5EDCE"/>
          </w:tcPr>
          <w:p w14:paraId="5A8AE35F" w14:textId="77777777" w:rsidR="00740F0F" w:rsidRPr="0029070D" w:rsidRDefault="00100B64" w:rsidP="00D4076D">
            <w:pPr>
              <w:ind w:right="29"/>
              <w:jc w:val="center"/>
              <w:rPr>
                <w:rFonts w:ascii="Times New Roman" w:eastAsia="Times New Roman" w:hAnsi="Times New Roman" w:cs="Times New Roman"/>
                <w:noProof/>
                <w:sz w:val="18"/>
                <w:szCs w:val="18"/>
              </w:rPr>
            </w:pPr>
            <w:r>
              <w:rPr>
                <w:rFonts w:ascii="Times New Roman" w:hAnsi="Times New Roman"/>
                <w:noProof/>
                <w:sz w:val="18"/>
              </w:rPr>
              <w:t>T1</w:t>
            </w:r>
          </w:p>
        </w:tc>
        <w:tc>
          <w:tcPr>
            <w:tcW w:w="1140" w:type="dxa"/>
            <w:shd w:val="clear" w:color="auto" w:fill="C5EDCE"/>
          </w:tcPr>
          <w:p w14:paraId="5A8AE360" w14:textId="77777777" w:rsidR="00740F0F" w:rsidRPr="0029070D" w:rsidRDefault="00100B64" w:rsidP="00D4076D">
            <w:pPr>
              <w:ind w:right="171"/>
              <w:jc w:val="center"/>
              <w:rPr>
                <w:rFonts w:ascii="Times New Roman" w:eastAsia="Times New Roman" w:hAnsi="Times New Roman" w:cs="Times New Roman"/>
                <w:noProof/>
                <w:sz w:val="18"/>
                <w:szCs w:val="18"/>
              </w:rPr>
            </w:pPr>
            <w:r>
              <w:rPr>
                <w:rFonts w:ascii="Times New Roman" w:hAnsi="Times New Roman"/>
                <w:noProof/>
                <w:sz w:val="18"/>
              </w:rPr>
              <w:t>2025</w:t>
            </w:r>
          </w:p>
        </w:tc>
        <w:tc>
          <w:tcPr>
            <w:tcW w:w="4154" w:type="dxa"/>
            <w:shd w:val="clear" w:color="auto" w:fill="C5EDCE"/>
          </w:tcPr>
          <w:p w14:paraId="5A8AE361" w14:textId="77777777" w:rsidR="00740F0F" w:rsidRPr="0029070D" w:rsidRDefault="00100B64" w:rsidP="00D4076D">
            <w:pPr>
              <w:spacing w:line="247" w:lineRule="auto"/>
              <w:ind w:left="57" w:right="567"/>
              <w:rPr>
                <w:rFonts w:ascii="Times New Roman" w:eastAsia="Times New Roman" w:hAnsi="Times New Roman" w:cs="Times New Roman"/>
                <w:noProof/>
                <w:sz w:val="18"/>
                <w:szCs w:val="18"/>
              </w:rPr>
            </w:pPr>
            <w:r>
              <w:rPr>
                <w:rFonts w:ascii="Times New Roman" w:hAnsi="Times New Roman"/>
                <w:noProof/>
                <w:sz w:val="18"/>
              </w:rPr>
              <w:t>Des navires baliseurs électriques hybrides ont été enregistrés. La date de construction se situe entre février 2020 et août 2026. Le propriétaire enregistré est le service «Armement des phares et balises» (APB).</w:t>
            </w:r>
          </w:p>
        </w:tc>
      </w:tr>
      <w:tr w:rsidR="00782477" w:rsidRPr="0029070D" w14:paraId="5A8AE36F" w14:textId="77777777" w:rsidTr="4A5B8411">
        <w:trPr>
          <w:trHeight w:val="1633"/>
          <w:jc w:val="center"/>
        </w:trPr>
        <w:tc>
          <w:tcPr>
            <w:tcW w:w="1119" w:type="dxa"/>
            <w:shd w:val="clear" w:color="auto" w:fill="C5EDCE"/>
          </w:tcPr>
          <w:p w14:paraId="5A8AE363" w14:textId="77777777" w:rsidR="00740F0F" w:rsidRPr="0029070D" w:rsidRDefault="00100B64">
            <w:pPr>
              <w:spacing w:before="134"/>
              <w:ind w:left="402"/>
              <w:rPr>
                <w:rFonts w:ascii="Times New Roman" w:eastAsia="Times New Roman" w:hAnsi="Times New Roman" w:cs="Times New Roman"/>
                <w:noProof/>
                <w:sz w:val="18"/>
                <w:szCs w:val="18"/>
              </w:rPr>
            </w:pPr>
            <w:r>
              <w:rPr>
                <w:rFonts w:ascii="Times New Roman" w:hAnsi="Times New Roman"/>
                <w:noProof/>
                <w:sz w:val="18"/>
              </w:rPr>
              <w:t>3-32</w:t>
            </w:r>
          </w:p>
        </w:tc>
        <w:tc>
          <w:tcPr>
            <w:tcW w:w="1116" w:type="dxa"/>
            <w:shd w:val="clear" w:color="auto" w:fill="C5EDCE"/>
          </w:tcPr>
          <w:p w14:paraId="5A8AE364" w14:textId="77777777" w:rsidR="00740F0F" w:rsidRPr="0029070D" w:rsidRDefault="00100B64">
            <w:pPr>
              <w:spacing w:before="14"/>
              <w:ind w:left="70" w:right="41"/>
              <w:jc w:val="center"/>
              <w:rPr>
                <w:rFonts w:ascii="Times New Roman" w:eastAsia="Times New Roman" w:hAnsi="Times New Roman" w:cs="Times New Roman"/>
                <w:noProof/>
                <w:sz w:val="18"/>
                <w:szCs w:val="18"/>
              </w:rPr>
            </w:pPr>
            <w:r>
              <w:rPr>
                <w:rFonts w:ascii="Times New Roman" w:hAnsi="Times New Roman"/>
                <w:noProof/>
                <w:sz w:val="18"/>
              </w:rPr>
              <w:t>C3.I7</w:t>
            </w:r>
          </w:p>
          <w:p w14:paraId="5A8AE365" w14:textId="77777777" w:rsidR="00740F0F" w:rsidRPr="0029070D" w:rsidRDefault="00100B64">
            <w:pPr>
              <w:spacing w:line="215" w:lineRule="exact"/>
              <w:ind w:left="6" w:right="41"/>
              <w:jc w:val="center"/>
              <w:rPr>
                <w:rFonts w:ascii="Times New Roman" w:eastAsia="Times New Roman" w:hAnsi="Times New Roman" w:cs="Times New Roman"/>
                <w:noProof/>
                <w:sz w:val="18"/>
                <w:szCs w:val="18"/>
              </w:rPr>
            </w:pPr>
            <w:r>
              <w:rPr>
                <w:rFonts w:ascii="Times New Roman" w:hAnsi="Times New Roman"/>
                <w:noProof/>
                <w:sz w:val="18"/>
              </w:rPr>
              <w:t>Renforcement de la résilience des réseaux électriques</w:t>
            </w:r>
          </w:p>
        </w:tc>
        <w:tc>
          <w:tcPr>
            <w:tcW w:w="1116" w:type="dxa"/>
            <w:shd w:val="clear" w:color="auto" w:fill="C5EDCE"/>
          </w:tcPr>
          <w:p w14:paraId="5A8AE366" w14:textId="77777777" w:rsidR="00740F0F" w:rsidRPr="0029070D" w:rsidRDefault="00100B64" w:rsidP="00D4076D">
            <w:pPr>
              <w:ind w:left="27"/>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41" w:type="dxa"/>
            <w:shd w:val="clear" w:color="auto" w:fill="C5EDCE"/>
          </w:tcPr>
          <w:p w14:paraId="5A8AE367" w14:textId="77777777" w:rsidR="00740F0F" w:rsidRPr="0029070D" w:rsidRDefault="00100B64" w:rsidP="00D4076D">
            <w:pPr>
              <w:ind w:left="28"/>
              <w:rPr>
                <w:rFonts w:ascii="Times New Roman" w:eastAsia="Times New Roman" w:hAnsi="Times New Roman" w:cs="Times New Roman"/>
                <w:noProof/>
                <w:sz w:val="18"/>
                <w:szCs w:val="18"/>
              </w:rPr>
            </w:pPr>
            <w:r>
              <w:rPr>
                <w:rFonts w:ascii="Times New Roman" w:hAnsi="Times New Roman"/>
                <w:noProof/>
                <w:sz w:val="18"/>
              </w:rPr>
              <w:t>Début des projets</w:t>
            </w:r>
          </w:p>
        </w:tc>
        <w:tc>
          <w:tcPr>
            <w:tcW w:w="1255" w:type="dxa"/>
            <w:shd w:val="clear" w:color="auto" w:fill="C5EDCE"/>
          </w:tcPr>
          <w:p w14:paraId="5A8AE368" w14:textId="77777777" w:rsidR="00740F0F" w:rsidRPr="0029070D" w:rsidRDefault="00100B64" w:rsidP="00D4076D">
            <w:pPr>
              <w:spacing w:line="264" w:lineRule="auto"/>
              <w:ind w:right="-14" w:hanging="3"/>
              <w:rPr>
                <w:rFonts w:ascii="Times New Roman" w:eastAsia="Times New Roman" w:hAnsi="Times New Roman" w:cs="Times New Roman"/>
                <w:noProof/>
                <w:sz w:val="18"/>
                <w:szCs w:val="18"/>
              </w:rPr>
            </w:pPr>
            <w:r>
              <w:rPr>
                <w:rFonts w:ascii="Times New Roman" w:hAnsi="Times New Roman"/>
                <w:noProof/>
                <w:sz w:val="18"/>
              </w:rPr>
              <w:t>Rapport attestant du début des projets</w:t>
            </w:r>
          </w:p>
        </w:tc>
        <w:tc>
          <w:tcPr>
            <w:tcW w:w="888" w:type="dxa"/>
            <w:shd w:val="clear" w:color="auto" w:fill="C5EDCE"/>
          </w:tcPr>
          <w:p w14:paraId="5A8AE369" w14:textId="77777777" w:rsidR="00740F0F" w:rsidRPr="0029070D" w:rsidRDefault="00740F0F" w:rsidP="00D4076D">
            <w:pPr>
              <w:jc w:val="center"/>
              <w:rPr>
                <w:rFonts w:ascii="Times New Roman" w:eastAsia="Times New Roman" w:hAnsi="Times New Roman" w:cs="Times New Roman"/>
                <w:noProof/>
                <w:sz w:val="18"/>
                <w:szCs w:val="18"/>
              </w:rPr>
            </w:pPr>
          </w:p>
        </w:tc>
        <w:tc>
          <w:tcPr>
            <w:tcW w:w="1025" w:type="dxa"/>
            <w:shd w:val="clear" w:color="auto" w:fill="C5EDCE"/>
          </w:tcPr>
          <w:p w14:paraId="5A8AE36A" w14:textId="77777777" w:rsidR="00740F0F" w:rsidRPr="0029070D" w:rsidRDefault="00740F0F" w:rsidP="00D4076D">
            <w:pPr>
              <w:jc w:val="center"/>
              <w:rPr>
                <w:rFonts w:ascii="Times New Roman" w:eastAsia="Times New Roman" w:hAnsi="Times New Roman" w:cs="Times New Roman"/>
                <w:noProof/>
                <w:sz w:val="18"/>
                <w:szCs w:val="18"/>
              </w:rPr>
            </w:pPr>
          </w:p>
        </w:tc>
        <w:tc>
          <w:tcPr>
            <w:tcW w:w="929" w:type="dxa"/>
            <w:shd w:val="clear" w:color="auto" w:fill="C5EDCE"/>
          </w:tcPr>
          <w:p w14:paraId="5A8AE36B" w14:textId="77777777" w:rsidR="00740F0F" w:rsidRPr="0029070D" w:rsidRDefault="00740F0F" w:rsidP="00D4076D">
            <w:pPr>
              <w:jc w:val="center"/>
              <w:rPr>
                <w:rFonts w:ascii="Times New Roman" w:eastAsia="Times New Roman" w:hAnsi="Times New Roman" w:cs="Times New Roman"/>
                <w:noProof/>
                <w:sz w:val="18"/>
                <w:szCs w:val="18"/>
              </w:rPr>
            </w:pPr>
          </w:p>
        </w:tc>
        <w:tc>
          <w:tcPr>
            <w:tcW w:w="843" w:type="dxa"/>
            <w:shd w:val="clear" w:color="auto" w:fill="C5EDCE"/>
          </w:tcPr>
          <w:p w14:paraId="5A8AE36C" w14:textId="77777777" w:rsidR="00740F0F" w:rsidRPr="0029070D" w:rsidRDefault="00100B64" w:rsidP="00D4076D">
            <w:pPr>
              <w:ind w:left="80" w:right="2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40" w:type="dxa"/>
            <w:shd w:val="clear" w:color="auto" w:fill="C5EDCE"/>
          </w:tcPr>
          <w:p w14:paraId="5A8AE36D" w14:textId="77777777" w:rsidR="00740F0F" w:rsidRPr="0029070D" w:rsidRDefault="00100B64" w:rsidP="00D4076D">
            <w:pPr>
              <w:ind w:left="213" w:right="171"/>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4154" w:type="dxa"/>
            <w:shd w:val="clear" w:color="auto" w:fill="C5EDCE"/>
          </w:tcPr>
          <w:p w14:paraId="5A8AE36E" w14:textId="77777777" w:rsidR="00740F0F" w:rsidRPr="0029070D" w:rsidRDefault="00100B64" w:rsidP="00D4076D">
            <w:pPr>
              <w:spacing w:line="264" w:lineRule="auto"/>
              <w:ind w:left="34" w:right="119"/>
              <w:rPr>
                <w:rFonts w:ascii="Times New Roman" w:eastAsia="Times New Roman" w:hAnsi="Times New Roman" w:cs="Times New Roman"/>
                <w:noProof/>
                <w:sz w:val="18"/>
                <w:szCs w:val="18"/>
              </w:rPr>
            </w:pPr>
            <w:r>
              <w:rPr>
                <w:rFonts w:ascii="Times New Roman" w:hAnsi="Times New Roman"/>
                <w:noProof/>
                <w:sz w:val="18"/>
              </w:rPr>
              <w:t xml:space="preserve">Début des projets relatifs aux réseaux électriques dans les zones rurales. </w:t>
            </w:r>
          </w:p>
        </w:tc>
      </w:tr>
    </w:tbl>
    <w:p w14:paraId="5A8AE370" w14:textId="77777777" w:rsidR="00740F0F" w:rsidRPr="0029070D" w:rsidRDefault="00740F0F">
      <w:pPr>
        <w:spacing w:before="120" w:after="120" w:line="264" w:lineRule="auto"/>
        <w:rPr>
          <w:rFonts w:ascii="Times New Roman" w:eastAsia="Calibri" w:hAnsi="Times New Roman" w:cs="Times New Roman"/>
          <w:noProof/>
          <w:kern w:val="0"/>
          <w:sz w:val="19"/>
          <w:szCs w:val="22"/>
          <w14:ligatures w14:val="none"/>
        </w:rPr>
        <w:sectPr w:rsidR="00740F0F" w:rsidRPr="0029070D">
          <w:headerReference w:type="even" r:id="rId48"/>
          <w:headerReference w:type="default" r:id="rId49"/>
          <w:footerReference w:type="even" r:id="rId50"/>
          <w:footerReference w:type="default" r:id="rId51"/>
          <w:headerReference w:type="first" r:id="rId52"/>
          <w:footerReference w:type="first" r:id="rId53"/>
          <w:pgSz w:w="16860" w:h="11920" w:orient="landscape"/>
          <w:pgMar w:top="1134" w:right="1134" w:bottom="1134" w:left="1134" w:header="567" w:footer="567" w:gutter="0"/>
          <w:cols w:space="720"/>
          <w:docGrid w:linePitch="326"/>
        </w:sectPr>
      </w:pPr>
    </w:p>
    <w:p w14:paraId="5A8AE371" w14:textId="77777777" w:rsidR="00740F0F" w:rsidRPr="0029070D" w:rsidRDefault="00100B64">
      <w:pPr>
        <w:widowControl w:val="0"/>
        <w:numPr>
          <w:ilvl w:val="1"/>
          <w:numId w:val="1"/>
        </w:numPr>
        <w:tabs>
          <w:tab w:val="left" w:pos="521"/>
        </w:tabs>
        <w:autoSpaceDE w:val="0"/>
        <w:autoSpaceDN w:val="0"/>
        <w:spacing w:before="109" w:after="0" w:line="240" w:lineRule="auto"/>
        <w:ind w:left="520"/>
        <w:jc w:val="both"/>
        <w:rPr>
          <w:rFonts w:ascii="Times New Roman" w:eastAsia="Times New Roman" w:hAnsi="Times New Roman" w:cs="Times New Roman"/>
          <w:b/>
          <w:noProof/>
          <w:kern w:val="0"/>
          <w:szCs w:val="20"/>
          <w14:ligatures w14:val="none"/>
        </w:rPr>
      </w:pPr>
      <w:r>
        <w:rPr>
          <w:rFonts w:ascii="Times New Roman" w:hAnsi="Times New Roman"/>
          <w:b/>
          <w:noProof/>
        </w:rPr>
        <w:t>COMPOSANTE 4: Énergies et technologies vertes</w:t>
      </w:r>
    </w:p>
    <w:p w14:paraId="5A8AE372" w14:textId="77777777" w:rsidR="00740F0F" w:rsidRPr="0029070D" w:rsidRDefault="00100B64">
      <w:pPr>
        <w:widowControl w:val="0"/>
        <w:autoSpaceDE w:val="0"/>
        <w:autoSpaceDN w:val="0"/>
        <w:spacing w:before="109" w:after="0" w:line="242" w:lineRule="auto"/>
        <w:ind w:left="220" w:right="236"/>
        <w:jc w:val="both"/>
        <w:rPr>
          <w:rFonts w:ascii="Times New Roman" w:eastAsia="Times New Roman" w:hAnsi="Times New Roman" w:cs="Times New Roman"/>
          <w:noProof/>
          <w:kern w:val="0"/>
          <w:szCs w:val="20"/>
          <w14:ligatures w14:val="none"/>
        </w:rPr>
      </w:pPr>
      <w:r>
        <w:rPr>
          <w:rFonts w:ascii="Times New Roman" w:hAnsi="Times New Roman"/>
          <w:noProof/>
        </w:rPr>
        <w:t>La France s’est fixé pour objectif de réduire ses émissions de gaz à effet de serre de 40 % d’ici 2030 par rapport aux niveaux de 1990, et d’atteindre la neutralité climatique d’ici 2050. Pour y parvenir, elle doit renforcer ses efforts de recherche et d’innovation afin de développer des technologies vertes. L’investissement dans des technologies durables clés contribuera à placer l’industrie française dans une position favorable vis-à-vis des marchés verts émergents.</w:t>
      </w:r>
    </w:p>
    <w:p w14:paraId="5A8AE373" w14:textId="77777777" w:rsidR="00740F0F" w:rsidRPr="0029070D" w:rsidRDefault="00100B64">
      <w:pPr>
        <w:widowControl w:val="0"/>
        <w:autoSpaceDE w:val="0"/>
        <w:autoSpaceDN w:val="0"/>
        <w:spacing w:before="108" w:after="0" w:line="240" w:lineRule="auto"/>
        <w:ind w:left="220" w:right="239"/>
        <w:jc w:val="both"/>
        <w:rPr>
          <w:rFonts w:ascii="Times New Roman" w:eastAsia="Times New Roman" w:hAnsi="Times New Roman" w:cs="Times New Roman"/>
          <w:noProof/>
          <w:kern w:val="0"/>
          <w:szCs w:val="20"/>
          <w14:ligatures w14:val="none"/>
        </w:rPr>
      </w:pPr>
      <w:r>
        <w:rPr>
          <w:rFonts w:ascii="Times New Roman" w:hAnsi="Times New Roman"/>
          <w:noProof/>
        </w:rPr>
        <w:t>Dans ce contexte, cette composante du plan français de relance et de résilience prévoit des investissements pour soutenir l’innovation dans les technologies vertes, dans le cadre du quatrième Programme d’investissements d’avenir (PIA4), en définissant des stratégies dans des secteurs clés sélectionnés liés à la transition verte, et en aidant l’industrie à prendre des mesures pour mettre en œuvre ces stratégies. De plus, une réforme de la gouvernance du PIA visant à accroître son efficacité devrait avoir des retombées positives non seulement pour les actions du PIA4 en matière d’innovation verte, mais aussi dans d’autres domaines (par exemple, innovation numérique, entreprises innovantes et soutien aux écosystèmes d’enseignement, de recherche, de valorisation et d’innovation – voir les mesures au titre des composantes 6 et 9).</w:t>
      </w:r>
    </w:p>
    <w:p w14:paraId="5A8AE374" w14:textId="77777777" w:rsidR="00740F0F" w:rsidRPr="0029070D" w:rsidRDefault="00100B64">
      <w:pPr>
        <w:widowControl w:val="0"/>
        <w:autoSpaceDE w:val="0"/>
        <w:autoSpaceDN w:val="0"/>
        <w:spacing w:before="119" w:after="0" w:line="240" w:lineRule="auto"/>
        <w:ind w:left="220" w:right="246"/>
        <w:jc w:val="both"/>
        <w:rPr>
          <w:rFonts w:ascii="Times New Roman" w:eastAsia="Times New Roman" w:hAnsi="Times New Roman" w:cs="Times New Roman"/>
          <w:noProof/>
          <w:kern w:val="0"/>
          <w:szCs w:val="20"/>
          <w14:ligatures w14:val="none"/>
        </w:rPr>
      </w:pPr>
      <w:r>
        <w:rPr>
          <w:rFonts w:ascii="Times New Roman" w:hAnsi="Times New Roman"/>
          <w:noProof/>
        </w:rPr>
        <w:t>Cette composante contient également deux mesures d’investissement plus ciblées, i) pour promouvoir le développement de l’hydrogène renouvelable et bas carbone, comme moyen de soutenir la décarbonation de l’économie, et ii) pour aider l’industrie aéronautique à surmonter les difficultés économiques actuelles et à effectuer la transition vers une industrie à faible teneur en carbone.</w:t>
      </w:r>
    </w:p>
    <w:p w14:paraId="5A8AE375" w14:textId="77777777" w:rsidR="00740F0F" w:rsidRPr="0029070D" w:rsidRDefault="00100B64">
      <w:pPr>
        <w:widowControl w:val="0"/>
        <w:autoSpaceDE w:val="0"/>
        <w:autoSpaceDN w:val="0"/>
        <w:spacing w:before="129" w:after="0" w:line="237" w:lineRule="auto"/>
        <w:ind w:left="220" w:right="251"/>
        <w:jc w:val="both"/>
        <w:rPr>
          <w:rFonts w:ascii="Times New Roman" w:eastAsia="Times New Roman" w:hAnsi="Times New Roman" w:cs="Times New Roman"/>
          <w:noProof/>
          <w:kern w:val="0"/>
          <w:szCs w:val="20"/>
          <w14:ligatures w14:val="none"/>
        </w:rPr>
      </w:pPr>
      <w:r>
        <w:rPr>
          <w:rFonts w:ascii="Times New Roman" w:hAnsi="Times New Roman"/>
          <w:noProof/>
        </w:rPr>
        <w:t>Ces mesures contribuent à l’objectif de transition écologique et à la réalisation de l’objectif climatique. Elles contribuent également à répondre aux recommandations par pays adressées à la France sur la nécessité d’axer la politique économique en matière d’investissements sur la transition verte et numérique, en particulier sur les transports durables, une production et une consommation d’énergie propre et efficace, ainsi que la recherche et l’innovation (recommandation 3 de 2019 et recommandation 3 de 2020).</w:t>
      </w:r>
    </w:p>
    <w:p w14:paraId="5A8AE376" w14:textId="77777777" w:rsidR="00740F0F" w:rsidRPr="0029070D" w:rsidRDefault="00100B64">
      <w:pPr>
        <w:widowControl w:val="0"/>
        <w:autoSpaceDE w:val="0"/>
        <w:autoSpaceDN w:val="0"/>
        <w:spacing w:before="130" w:after="0" w:line="240" w:lineRule="auto"/>
        <w:ind w:left="220" w:right="254"/>
        <w:jc w:val="both"/>
        <w:rPr>
          <w:rFonts w:ascii="Times New Roman" w:eastAsia="Times New Roman" w:hAnsi="Times New Roman" w:cs="Times New Roman"/>
          <w:noProof/>
          <w:kern w:val="0"/>
          <w:szCs w:val="20"/>
          <w14:ligatures w14:val="none"/>
        </w:rPr>
      </w:pPr>
      <w:r>
        <w:rPr>
          <w:rFonts w:ascii="Times New Roman" w:hAnsi="Times New Roman"/>
          <w:noProof/>
        </w:rPr>
        <w:t>Aucune mesure relevant de cette composante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w:t>
      </w:r>
    </w:p>
    <w:p w14:paraId="5A8AE377" w14:textId="77777777" w:rsidR="00740F0F" w:rsidRPr="0029070D" w:rsidRDefault="00740F0F">
      <w:pPr>
        <w:widowControl w:val="0"/>
        <w:autoSpaceDE w:val="0"/>
        <w:autoSpaceDN w:val="0"/>
        <w:spacing w:before="6" w:after="0" w:line="240" w:lineRule="auto"/>
        <w:rPr>
          <w:rFonts w:ascii="Times New Roman" w:eastAsia="Times New Roman" w:hAnsi="Times New Roman" w:cs="Times New Roman"/>
          <w:noProof/>
          <w:kern w:val="0"/>
          <w:sz w:val="45"/>
          <w:szCs w:val="20"/>
          <w14:ligatures w14:val="none"/>
        </w:rPr>
      </w:pPr>
    </w:p>
    <w:p w14:paraId="5A8AE378" w14:textId="77777777" w:rsidR="00740F0F" w:rsidRPr="00E409C3" w:rsidRDefault="00100B64" w:rsidP="00413061">
      <w:pPr>
        <w:widowControl w:val="0"/>
        <w:numPr>
          <w:ilvl w:val="2"/>
          <w:numId w:val="1"/>
        </w:numPr>
        <w:autoSpaceDE w:val="0"/>
        <w:autoSpaceDN w:val="0"/>
        <w:spacing w:before="120" w:after="0" w:line="240" w:lineRule="auto"/>
        <w:ind w:left="993" w:hanging="723"/>
        <w:jc w:val="both"/>
        <w:outlineLvl w:val="1"/>
        <w:rPr>
          <w:rFonts w:ascii="Times New Roman" w:eastAsia="Times New Roman" w:hAnsi="Times New Roman" w:cs="Times New Roman"/>
          <w:b/>
          <w:noProof/>
          <w:kern w:val="0"/>
          <w:szCs w:val="20"/>
          <w:u w:val="single"/>
          <w14:ligatures w14:val="none"/>
        </w:rPr>
      </w:pPr>
      <w:r>
        <w:rPr>
          <w:rFonts w:ascii="Times New Roman" w:hAnsi="Times New Roman"/>
          <w:b/>
          <w:noProof/>
          <w:u w:val="single"/>
        </w:rPr>
        <w:t>Description des réformes et des investissements en vue du soutien financier non remboursable</w:t>
      </w:r>
    </w:p>
    <w:p w14:paraId="5A8AE379" w14:textId="77777777" w:rsidR="00740F0F" w:rsidRPr="0029070D" w:rsidRDefault="00100B64">
      <w:pPr>
        <w:spacing w:before="108" w:after="120" w:line="360" w:lineRule="auto"/>
        <w:ind w:left="220"/>
        <w:jc w:val="both"/>
        <w:rPr>
          <w:rFonts w:ascii="Times New Roman" w:eastAsia="Calibri" w:hAnsi="Times New Roman" w:cs="Times New Roman"/>
          <w:noProof/>
          <w:kern w:val="0"/>
          <w:szCs w:val="22"/>
          <w14:ligatures w14:val="none"/>
        </w:rPr>
      </w:pPr>
      <w:r>
        <w:rPr>
          <w:rFonts w:ascii="Times New Roman" w:hAnsi="Times New Roman"/>
          <w:noProof/>
          <w:u w:val="single"/>
        </w:rPr>
        <w:t>Réforme 1 (C4.R1): gouvernance du Programme d’investissements d’avenir (PIA)</w:t>
      </w:r>
    </w:p>
    <w:p w14:paraId="5A8AE37A" w14:textId="77777777" w:rsidR="00740F0F" w:rsidRPr="0029070D" w:rsidRDefault="00100B64">
      <w:pPr>
        <w:spacing w:before="132" w:after="120" w:line="235" w:lineRule="auto"/>
        <w:ind w:left="220" w:right="241"/>
        <w:jc w:val="both"/>
        <w:rPr>
          <w:rFonts w:ascii="Times New Roman" w:eastAsia="Calibri" w:hAnsi="Times New Roman" w:cs="Times New Roman"/>
          <w:noProof/>
          <w:kern w:val="0"/>
          <w:szCs w:val="22"/>
          <w14:ligatures w14:val="none"/>
        </w:rPr>
      </w:pPr>
      <w:r>
        <w:rPr>
          <w:rFonts w:ascii="Times New Roman" w:hAnsi="Times New Roman"/>
          <w:noProof/>
        </w:rPr>
        <w:t>Cette réforme vise à améliorer la gouvernance du Programme d’investissements d’avenir (PIA), en s’appuyant sur le retour d’expérience des programmes antérieurs.</w:t>
      </w:r>
    </w:p>
    <w:p w14:paraId="5A8AE37B" w14:textId="77777777" w:rsidR="00740F0F" w:rsidRPr="0029070D" w:rsidRDefault="00100B64">
      <w:pPr>
        <w:widowControl w:val="0"/>
        <w:autoSpaceDE w:val="0"/>
        <w:autoSpaceDN w:val="0"/>
        <w:spacing w:before="117" w:after="0" w:line="240" w:lineRule="auto"/>
        <w:ind w:left="220" w:right="243"/>
        <w:jc w:val="both"/>
        <w:rPr>
          <w:rFonts w:ascii="Times New Roman" w:eastAsia="Times New Roman" w:hAnsi="Times New Roman" w:cs="Times New Roman"/>
          <w:noProof/>
          <w:kern w:val="0"/>
          <w:szCs w:val="20"/>
          <w14:ligatures w14:val="none"/>
        </w:rPr>
      </w:pPr>
      <w:r>
        <w:rPr>
          <w:rFonts w:ascii="Times New Roman" w:hAnsi="Times New Roman"/>
          <w:noProof/>
        </w:rPr>
        <w:t>La France a lancé les PIA en 2010, dans le but de favoriser et de financer l’innovation dans des domaines stratégiques, de l’émergence d’idées à la diffusion de nouveaux services et produits sur les marchés. Elle a lancé son quatrième Programme d’investissements d’avenir (PIA4), qui couvre une période de cinq ans entre 2021 et 2025, dans le but de contribuer à façonner l’avenir de la France à l’horizon 2030. Le PIA4 comprend deux parties: le volet dirigé, destiné à financer des investissements exceptionnels dans des secteurs prioritaires et des technologies clés pour l’avenir; et un volet structurel, destiné à financer les investissements structurels et l’innovation dans les écosystèmes de l’enseignement supérieur et de la recherche.</w:t>
      </w:r>
    </w:p>
    <w:p w14:paraId="5A8AE37C" w14:textId="77777777" w:rsidR="00740F0F" w:rsidRPr="0029070D" w:rsidRDefault="00100B64">
      <w:pPr>
        <w:spacing w:before="135" w:after="120" w:line="274" w:lineRule="exact"/>
        <w:ind w:left="220" w:right="296"/>
        <w:jc w:val="both"/>
        <w:rPr>
          <w:rFonts w:ascii="Times New Roman" w:eastAsia="Calibri" w:hAnsi="Times New Roman" w:cs="Times New Roman"/>
          <w:noProof/>
          <w:kern w:val="0"/>
          <w:szCs w:val="22"/>
          <w14:ligatures w14:val="none"/>
        </w:rPr>
      </w:pPr>
      <w:r>
        <w:rPr>
          <w:rFonts w:ascii="Times New Roman" w:hAnsi="Times New Roman"/>
          <w:noProof/>
        </w:rPr>
        <w:t>Dans le cadre de la présente réforme, sur la base des recommandations formulées par le Comité de surveillance des investissements d’avenir, le PIA4 bénéficie d’une orientation stratégique plus claire, grâce à la création d’un Conseil interministériel de l’innovation de haut niveau, réunissant les ministres compétents autour du Premier ministre pour décider des orientations et des priorités de la politique de l’innovation. Les missions du Comité de surveillance des investissements d’avenir sont elles-mêmes élargies à un rôle de conseil auprès du Conseil interministériel de l’innovation dans l’élaboration des politiques d’innovation et l’identification de nouvelles priorités d’investissement.</w:t>
      </w:r>
    </w:p>
    <w:p w14:paraId="5A8AE37D" w14:textId="77777777" w:rsidR="00740F0F" w:rsidRPr="0029070D" w:rsidRDefault="00100B64">
      <w:pPr>
        <w:widowControl w:val="0"/>
        <w:autoSpaceDE w:val="0"/>
        <w:autoSpaceDN w:val="0"/>
        <w:spacing w:before="113" w:after="0" w:line="242" w:lineRule="auto"/>
        <w:ind w:left="220" w:right="233"/>
        <w:jc w:val="both"/>
        <w:rPr>
          <w:rFonts w:ascii="Times New Roman" w:eastAsia="Times New Roman" w:hAnsi="Times New Roman" w:cs="Times New Roman"/>
          <w:noProof/>
          <w:kern w:val="0"/>
          <w:szCs w:val="20"/>
          <w14:ligatures w14:val="none"/>
        </w:rPr>
      </w:pPr>
      <w:r>
        <w:rPr>
          <w:rFonts w:ascii="Times New Roman" w:hAnsi="Times New Roman"/>
          <w:noProof/>
        </w:rPr>
        <w:t>L’innovation est encouragée par des stratégies d’accélération élaborées par des équipes projet («task forces») dédiées composées d’experts scientifiques pour les technologies et les marchés prioritaires à fort potentiel de croissance. Une fois les stratégies d’accélération validées, des appels à manifestation d’intérêt et/ou des appels à propositions, adaptés aux besoins spécifiques de chaque stratégie, sont lancés. Les projets sont ensuite sélectionnés par le biais de procédures de mise en concurrence. Les fonds sont engagés au fur et à mesure que les appels à projets sont lancés et que les projets sont sélectionnés. Dans le cadre de la présente réforme, les processus d’élaboration et de mise en œuvre des stratégies d’accélération sont rationalisés pour garantir une approche plus articulée et intégrée (réglementaire, fiscale, axée sur le soutien, etc.) des problèmes identifiés et pour contribuer à la qualité des investissements, grâce à des processus rigoureux de sélection, de suivi et d’évaluation systématique.</w:t>
      </w:r>
    </w:p>
    <w:p w14:paraId="5A8AE37E" w14:textId="77777777" w:rsidR="00740F0F" w:rsidRPr="0029070D" w:rsidRDefault="00100B64">
      <w:pPr>
        <w:widowControl w:val="0"/>
        <w:autoSpaceDE w:val="0"/>
        <w:autoSpaceDN w:val="0"/>
        <w:spacing w:before="101" w:after="0" w:line="242" w:lineRule="auto"/>
        <w:ind w:left="220" w:right="237"/>
        <w:jc w:val="both"/>
        <w:rPr>
          <w:rFonts w:ascii="Times New Roman" w:eastAsia="Times New Roman" w:hAnsi="Times New Roman" w:cs="Times New Roman"/>
          <w:noProof/>
          <w:kern w:val="0"/>
          <w:szCs w:val="20"/>
          <w14:ligatures w14:val="none"/>
        </w:rPr>
      </w:pPr>
      <w:r>
        <w:rPr>
          <w:rFonts w:ascii="Times New Roman" w:hAnsi="Times New Roman"/>
          <w:noProof/>
        </w:rPr>
        <w:t>La France a inclus plusieurs mesures liées au PIA4 dans son plan de relance et de résilience, et cette réforme vise à apporter des bénéfices à travers ces mesures – non seulement en ce qui concerne l’investissement 1 de soutien à l’innovation verte dans le cadre de la présente composante, mais aussi dans d’autres domaines (innovation numérique, entreprises innovantes, et soutien aux écosystèmes d’enseignement, de recherche, de valorisation et d’innovation – voir les mesures des composantes 6 et 9).</w:t>
      </w:r>
    </w:p>
    <w:p w14:paraId="5A8AE37F" w14:textId="77777777" w:rsidR="00740F0F" w:rsidRPr="0029070D" w:rsidRDefault="00100B64">
      <w:pPr>
        <w:widowControl w:val="0"/>
        <w:autoSpaceDE w:val="0"/>
        <w:autoSpaceDN w:val="0"/>
        <w:spacing w:before="197"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1 (C4.I1): innover pour la transition écologique</w:t>
      </w:r>
    </w:p>
    <w:p w14:paraId="5A8AE380" w14:textId="77777777" w:rsidR="00740F0F" w:rsidRPr="0029070D" w:rsidRDefault="00100B64">
      <w:pPr>
        <w:spacing w:before="132" w:after="120" w:line="235" w:lineRule="auto"/>
        <w:ind w:left="220" w:right="261"/>
        <w:jc w:val="both"/>
        <w:rPr>
          <w:rFonts w:ascii="Times New Roman" w:eastAsia="Calibri" w:hAnsi="Times New Roman" w:cs="Times New Roman"/>
          <w:noProof/>
          <w:kern w:val="0"/>
          <w:szCs w:val="22"/>
          <w14:ligatures w14:val="none"/>
        </w:rPr>
      </w:pPr>
      <w:r>
        <w:rPr>
          <w:rFonts w:ascii="Times New Roman" w:hAnsi="Times New Roman"/>
          <w:noProof/>
        </w:rPr>
        <w:t>Cet investissement vise à accélérer et à renforcer les investissements dans les technologies avancées pour la transition écologique, dans le cadre du quatrième Programme d’investissements d’avenir (PIA4).</w:t>
      </w:r>
    </w:p>
    <w:p w14:paraId="5A8AE381" w14:textId="77777777" w:rsidR="00740F0F" w:rsidRPr="0029070D" w:rsidRDefault="00100B64">
      <w:pPr>
        <w:widowControl w:val="0"/>
        <w:autoSpaceDE w:val="0"/>
        <w:autoSpaceDN w:val="0"/>
        <w:spacing w:before="138" w:after="0" w:line="232" w:lineRule="auto"/>
        <w:ind w:left="220" w:right="262"/>
        <w:jc w:val="both"/>
        <w:rPr>
          <w:rFonts w:ascii="Times New Roman" w:eastAsia="Times New Roman" w:hAnsi="Times New Roman" w:cs="Times New Roman"/>
          <w:noProof/>
          <w:kern w:val="0"/>
          <w:szCs w:val="20"/>
          <w14:ligatures w14:val="none"/>
        </w:rPr>
      </w:pPr>
      <w:r>
        <w:rPr>
          <w:rFonts w:ascii="Times New Roman" w:hAnsi="Times New Roman"/>
          <w:noProof/>
        </w:rPr>
        <w:t>Cet investissement finance des projets d’innovation, en s’appuyant sur sept stratégies d’accélération de la transition écologique, élaborées dans le cadre du volet dirigé du PIA4.</w:t>
      </w:r>
    </w:p>
    <w:p w14:paraId="5A8AE382" w14:textId="77777777" w:rsidR="00740F0F" w:rsidRPr="0029070D" w:rsidRDefault="00100B64">
      <w:pPr>
        <w:keepNext/>
        <w:widowControl w:val="0"/>
        <w:autoSpaceDE w:val="0"/>
        <w:autoSpaceDN w:val="0"/>
        <w:spacing w:before="118" w:after="0" w:line="245" w:lineRule="auto"/>
        <w:ind w:left="221" w:right="232"/>
        <w:jc w:val="both"/>
        <w:rPr>
          <w:rFonts w:ascii="Times New Roman" w:eastAsia="Times New Roman" w:hAnsi="Times New Roman" w:cs="Times New Roman"/>
          <w:noProof/>
          <w:kern w:val="0"/>
          <w:szCs w:val="20"/>
          <w14:ligatures w14:val="none"/>
        </w:rPr>
      </w:pPr>
      <w:r>
        <w:rPr>
          <w:rFonts w:ascii="Times New Roman" w:hAnsi="Times New Roman"/>
          <w:noProof/>
        </w:rPr>
        <w:t>La première de ces stratégies d’accélération concerne l’</w:t>
      </w:r>
      <w:r>
        <w:rPr>
          <w:rFonts w:ascii="Times New Roman" w:hAnsi="Times New Roman"/>
          <w:b/>
          <w:noProof/>
        </w:rPr>
        <w:t>hydrogène décarboné</w:t>
      </w:r>
      <w:r>
        <w:rPr>
          <w:rFonts w:ascii="Times New Roman" w:hAnsi="Times New Roman"/>
          <w:noProof/>
        </w:rPr>
        <w:t>. Elle a déjà été validée en septembre 2020 et conduit à des actions opérationnelles, i) un appel à projets « Briques technologiques et démonstrateurs », qui vise à développer ou améliorer les composants et systèmes liés à la production, au transport et à l’utilisation de l’hydrogène, et à soutenir des projets de démonstration, et ii) la construction de projets importants d’intérêt européen commun (PIIEC) sur l’hydrogène (cf. investissement 2), à laquelle le cadre PIA4 contribue.</w:t>
      </w:r>
    </w:p>
    <w:p w14:paraId="5A8AE383" w14:textId="77777777" w:rsidR="00740F0F" w:rsidRPr="0029070D" w:rsidRDefault="00100B64">
      <w:pPr>
        <w:widowControl w:val="0"/>
        <w:autoSpaceDE w:val="0"/>
        <w:autoSpaceDN w:val="0"/>
        <w:spacing w:before="116"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rPr>
        <w:t>Les six stratégies d’accélération suivantes sont mises en place:</w:t>
      </w:r>
    </w:p>
    <w:p w14:paraId="5A8AE384" w14:textId="77777777" w:rsidR="00740F0F" w:rsidRPr="0029070D" w:rsidRDefault="00100B64">
      <w:pPr>
        <w:pStyle w:val="ListParagraph"/>
        <w:widowControl w:val="0"/>
        <w:numPr>
          <w:ilvl w:val="0"/>
          <w:numId w:val="30"/>
        </w:numPr>
        <w:autoSpaceDE w:val="0"/>
        <w:autoSpaceDN w:val="0"/>
        <w:spacing w:before="116" w:after="0" w:line="240" w:lineRule="auto"/>
        <w:jc w:val="both"/>
        <w:rPr>
          <w:rFonts w:ascii="Times New Roman" w:eastAsia="Times New Roman" w:hAnsi="Times New Roman" w:cs="Times New Roman"/>
          <w:noProof/>
          <w:kern w:val="0"/>
          <w:szCs w:val="20"/>
          <w14:ligatures w14:val="none"/>
        </w:rPr>
      </w:pPr>
      <w:r>
        <w:rPr>
          <w:rFonts w:ascii="Times New Roman" w:hAnsi="Times New Roman"/>
          <w:b/>
          <w:noProof/>
        </w:rPr>
        <w:t>Décarbonation de l’industrie</w:t>
      </w:r>
      <w:r>
        <w:rPr>
          <w:rFonts w:ascii="Times New Roman" w:hAnsi="Times New Roman"/>
          <w:noProof/>
        </w:rPr>
        <w:t>, visant à déployer et à faire monter en puissance des solutions technologiques déjà existantes ainsi que des technologies de rupture pour lesquelles l’enjeu est d’industrialiser un démonstrateur, de breveter et de commercialiser une solution innovante. La stratégie cible plus précisément l’amélioration de l’efficacité énergétique des procédés, la décarbonation du mix énergétique des industriels (en particulier en matière de chaleur) ainsi que le déploiement de procédés décarbonés et le captage du carbone et son stockage ou sa valorisation.</w:t>
      </w:r>
    </w:p>
    <w:p w14:paraId="5A8AE385" w14:textId="77777777" w:rsidR="00740F0F" w:rsidRPr="0029070D" w:rsidRDefault="00100B64">
      <w:pPr>
        <w:pStyle w:val="ListParagraph"/>
        <w:widowControl w:val="0"/>
        <w:numPr>
          <w:ilvl w:val="0"/>
          <w:numId w:val="30"/>
        </w:numPr>
        <w:autoSpaceDE w:val="0"/>
        <w:autoSpaceDN w:val="0"/>
        <w:spacing w:before="116" w:after="0" w:line="240" w:lineRule="auto"/>
        <w:jc w:val="both"/>
        <w:rPr>
          <w:rFonts w:ascii="Times New Roman" w:eastAsia="Times New Roman" w:hAnsi="Times New Roman" w:cs="Times New Roman"/>
          <w:noProof/>
          <w:kern w:val="0"/>
          <w:szCs w:val="20"/>
          <w14:ligatures w14:val="none"/>
        </w:rPr>
      </w:pPr>
      <w:r>
        <w:rPr>
          <w:rFonts w:ascii="Times New Roman" w:hAnsi="Times New Roman"/>
          <w:b/>
          <w:noProof/>
        </w:rPr>
        <w:t>Systèmes agricoles durables</w:t>
      </w:r>
      <w:r>
        <w:rPr>
          <w:rFonts w:ascii="Times New Roman" w:hAnsi="Times New Roman"/>
          <w:noProof/>
        </w:rPr>
        <w:t>, soutenant également les équipements agricoles contribuant à la transition écologique en permettant de passer de la mécanisation à des équipements agricoles intelligents et connectés, de remplacer ou limiter le recours à des intrants fossiles ou de synthèse et de faire évoluer la sélection de populations animales et végétales multi-performantes et résilientes.</w:t>
      </w:r>
    </w:p>
    <w:p w14:paraId="5A8AE386" w14:textId="77777777" w:rsidR="00740F0F" w:rsidRPr="0029070D" w:rsidRDefault="00100B64">
      <w:pPr>
        <w:pStyle w:val="ListParagraph"/>
        <w:widowControl w:val="0"/>
        <w:numPr>
          <w:ilvl w:val="0"/>
          <w:numId w:val="30"/>
        </w:numPr>
        <w:autoSpaceDE w:val="0"/>
        <w:autoSpaceDN w:val="0"/>
        <w:spacing w:before="116" w:after="0" w:line="240" w:lineRule="auto"/>
        <w:jc w:val="both"/>
        <w:rPr>
          <w:rFonts w:ascii="Times New Roman" w:eastAsia="Times New Roman" w:hAnsi="Times New Roman" w:cs="Times New Roman"/>
          <w:noProof/>
          <w:kern w:val="0"/>
          <w:szCs w:val="20"/>
          <w14:ligatures w14:val="none"/>
        </w:rPr>
      </w:pPr>
      <w:r>
        <w:rPr>
          <w:rFonts w:ascii="Times New Roman" w:hAnsi="Times New Roman"/>
          <w:b/>
          <w:noProof/>
        </w:rPr>
        <w:t>Recyclage et réincorporation de matériaux recyclés</w:t>
      </w:r>
      <w:r>
        <w:rPr>
          <w:rFonts w:ascii="Times New Roman" w:hAnsi="Times New Roman"/>
          <w:noProof/>
        </w:rPr>
        <w:t>, visant l’émergence d’un modèle dans le domaine des matières premières recyclées, en substitution aux matières premières vierges, et reposant sur une chaîne de valeur du recyclage cohérente et intégrée. Cinq matériaux sont identifiés comme prioritaires à ce stade: métaux stratégiques, plastiques, composites, papier/carton et textiles.</w:t>
      </w:r>
    </w:p>
    <w:p w14:paraId="5A8AE387" w14:textId="77777777" w:rsidR="00740F0F" w:rsidRPr="0029070D" w:rsidRDefault="00100B64">
      <w:pPr>
        <w:pStyle w:val="ListParagraph"/>
        <w:widowControl w:val="0"/>
        <w:numPr>
          <w:ilvl w:val="0"/>
          <w:numId w:val="30"/>
        </w:numPr>
        <w:autoSpaceDE w:val="0"/>
        <w:autoSpaceDN w:val="0"/>
        <w:spacing w:before="116" w:after="0" w:line="240" w:lineRule="auto"/>
        <w:jc w:val="both"/>
        <w:rPr>
          <w:rFonts w:ascii="Times New Roman" w:eastAsia="Times New Roman" w:hAnsi="Times New Roman" w:cs="Times New Roman"/>
          <w:noProof/>
          <w:kern w:val="0"/>
          <w:szCs w:val="20"/>
          <w14:ligatures w14:val="none"/>
        </w:rPr>
      </w:pPr>
      <w:r>
        <w:rPr>
          <w:rFonts w:ascii="Times New Roman" w:hAnsi="Times New Roman"/>
          <w:b/>
          <w:noProof/>
        </w:rPr>
        <w:t>Solutions pour la ville durable et les bâtiments innovants</w:t>
      </w:r>
      <w:r>
        <w:rPr>
          <w:rFonts w:ascii="Times New Roman" w:hAnsi="Times New Roman"/>
          <w:noProof/>
        </w:rPr>
        <w:t>. Visant à réduire l’étalement urbain au détriment des terres agricoles et des espaces naturels, et à relever le défi de la sobriété, de la résilience, de l’inclusion et de la productivité pour les villes, cette stratégie soutient des démonstrateurs territoriaux innovants et reproductibles, en mettant notamment l’accent sur la définition des outils et modalités permettant de favoriser la massification de la rénovation thermique des bâtiments; la structuration de la filière bois et matériaux géosourcés dans la perspective de la neutralité carbone; et la transition numérique des villes et l’intelligence artificielle.</w:t>
      </w:r>
    </w:p>
    <w:p w14:paraId="5A8AE388" w14:textId="77777777" w:rsidR="00740F0F" w:rsidRPr="0029070D" w:rsidRDefault="00100B64">
      <w:pPr>
        <w:pStyle w:val="ListParagraph"/>
        <w:widowControl w:val="0"/>
        <w:numPr>
          <w:ilvl w:val="0"/>
          <w:numId w:val="30"/>
        </w:numPr>
        <w:autoSpaceDE w:val="0"/>
        <w:autoSpaceDN w:val="0"/>
        <w:spacing w:before="116" w:after="0" w:line="240" w:lineRule="auto"/>
        <w:jc w:val="both"/>
        <w:rPr>
          <w:rFonts w:ascii="Times New Roman" w:eastAsia="Times New Roman" w:hAnsi="Times New Roman" w:cs="Times New Roman"/>
          <w:noProof/>
          <w:kern w:val="0"/>
          <w:szCs w:val="20"/>
          <w14:ligatures w14:val="none"/>
        </w:rPr>
      </w:pPr>
      <w:r>
        <w:rPr>
          <w:rFonts w:ascii="Times New Roman" w:hAnsi="Times New Roman"/>
          <w:b/>
          <w:noProof/>
        </w:rPr>
        <w:t>Digitalisation et décarbonation des mobilités</w:t>
      </w:r>
      <w:r>
        <w:rPr>
          <w:rFonts w:ascii="Times New Roman" w:hAnsi="Times New Roman"/>
          <w:noProof/>
        </w:rPr>
        <w:t>, visant à maîtriser les émissions de gaz à effet de serre en accélérant la transition écologique du secteur, tout en développant et améliorant l’offre de transports du quotidien dans tous les territoires. Les axes prioritaires de la stratégie sont l’optimisation de l’exploitation et des infrastructures, la transformation numérique et l’automatisation. Tous les modes de transport sont concernés : le transport de passagers mais aussi la logistique. La stratégie met l’accent en particulier sur les démonstrateurs et pilotes de systèmes et services, afin de lever les verrous du passage à l’échelle, d’éprouver les modèles économiques et de préparer l’adaptation du cadre réglementaire si besoin.</w:t>
      </w:r>
    </w:p>
    <w:p w14:paraId="5A8AE389" w14:textId="77777777" w:rsidR="00740F0F" w:rsidRPr="0029070D" w:rsidRDefault="00100B64">
      <w:pPr>
        <w:pStyle w:val="ListParagraph"/>
        <w:widowControl w:val="0"/>
        <w:numPr>
          <w:ilvl w:val="0"/>
          <w:numId w:val="30"/>
        </w:numPr>
        <w:autoSpaceDE w:val="0"/>
        <w:autoSpaceDN w:val="0"/>
        <w:spacing w:before="116" w:after="0" w:line="240" w:lineRule="auto"/>
        <w:jc w:val="both"/>
        <w:rPr>
          <w:rFonts w:ascii="Times New Roman" w:eastAsia="Times New Roman" w:hAnsi="Times New Roman" w:cs="Times New Roman"/>
          <w:noProof/>
          <w:kern w:val="0"/>
          <w:szCs w:val="20"/>
          <w14:ligatures w14:val="none"/>
        </w:rPr>
      </w:pPr>
      <w:r>
        <w:rPr>
          <w:rFonts w:ascii="Times New Roman" w:hAnsi="Times New Roman"/>
          <w:b/>
          <w:noProof/>
        </w:rPr>
        <w:t>Produits biosourcés et biotechnologies industrielles – Carburants durables</w:t>
      </w:r>
      <w:r>
        <w:rPr>
          <w:rFonts w:ascii="Times New Roman" w:hAnsi="Times New Roman"/>
          <w:noProof/>
        </w:rPr>
        <w:t>, visant à favoriser le développement des biotechnologies industrielles en France et des produits biosourcés venant notamment se substituer aux produits pétroliers. La stratégie ambitionne ainsi de développer une filière industrielle française des produits biosourcés et carburants durables, notamment à destination du secteur aéronautique. Elle s’attaque également à la demande en produits biosourcés.</w:t>
      </w:r>
    </w:p>
    <w:p w14:paraId="5A8AE38A" w14:textId="77777777" w:rsidR="00740F0F" w:rsidRPr="0029070D" w:rsidRDefault="00100B64">
      <w:pPr>
        <w:widowControl w:val="0"/>
        <w:autoSpaceDE w:val="0"/>
        <w:autoSpaceDN w:val="0"/>
        <w:spacing w:before="131" w:after="0" w:line="240" w:lineRule="auto"/>
        <w:ind w:left="220" w:right="262"/>
        <w:jc w:val="both"/>
        <w:rPr>
          <w:rFonts w:ascii="Times New Roman" w:eastAsia="Times New Roman" w:hAnsi="Times New Roman" w:cs="Times New Roman"/>
          <w:noProof/>
          <w:kern w:val="0"/>
          <w:szCs w:val="20"/>
          <w14:ligatures w14:val="none"/>
        </w:rPr>
      </w:pPr>
      <w:r>
        <w:rPr>
          <w:rFonts w:ascii="Times New Roman" w:hAnsi="Times New Roman"/>
          <w:noProof/>
        </w:rPr>
        <w:t>Une fois validées d’ici fin 2021, ces stratégies donneront lieu à des appels à projets ou à manifestation d’intérêt (à lancer d’ici fin 2022), pour sélectionner et soutenir la mise en œuvre d’actions concrètes. L’investissement dans le plan français de relance et de résilience vise à prendre en charge une partie des coûts associés.</w:t>
      </w:r>
    </w:p>
    <w:p w14:paraId="5A8AE38B" w14:textId="77777777" w:rsidR="00740F0F" w:rsidRPr="0029070D" w:rsidRDefault="00100B64">
      <w:pPr>
        <w:widowControl w:val="0"/>
        <w:autoSpaceDE w:val="0"/>
        <w:autoSpaceDN w:val="0"/>
        <w:spacing w:before="115" w:after="0" w:line="237" w:lineRule="auto"/>
        <w:ind w:left="220" w:right="223"/>
        <w:jc w:val="both"/>
        <w:rPr>
          <w:rFonts w:ascii="Times New Roman" w:eastAsia="Times New Roman" w:hAnsi="Times New Roman" w:cs="Times New Roman"/>
          <w:noProof/>
          <w:kern w:val="0"/>
          <w:szCs w:val="20"/>
          <w14:ligatures w14:val="none"/>
        </w:rPr>
      </w:pPr>
      <w:r>
        <w:rPr>
          <w:rFonts w:ascii="Times New Roman" w:hAnsi="Times New Roman"/>
          <w:noProof/>
        </w:rPr>
        <w:t>Les cahiers des charges des futurs appels à projets intègrent des critères d’éligibilité permettant d’assurer la neutralité environnementale des applications de la solution financée, de sorte que la mesure soit conforme au principe consistant à «ne pas causer de préjudice important» du règlement (UE) 2021/241. De plus, le cas échéant, les critères environnementaux font partie des critères de sélection des projets, et les opérateurs sont tenus de produire une analyse critique de leurs propositions sur la base d’une expertise interne et externe; la transition écologique est inscrite dans la loi comme l’un des objectifs du PIA, et les instances dirigeantes du PIA doivent veiller à l’application de ces objectifs, comme contrôlé par un indicateur dédié. Cela conduit à exclure i) les activités liées aux combustibles fossiles, y compris leur utilisation en aval</w:t>
      </w:r>
      <w:r w:rsidRPr="0029070D">
        <w:rPr>
          <w:rStyle w:val="FootnoteReference"/>
          <w:rFonts w:ascii="Times New Roman" w:eastAsia="Times New Roman" w:hAnsi="Times New Roman" w:cs="Times New Roman"/>
          <w:b w:val="0"/>
          <w:bCs/>
          <w:noProof/>
          <w:kern w:val="0"/>
        </w:rPr>
        <w:footnoteReference w:id="10"/>
      </w:r>
      <w:r>
        <w:rPr>
          <w:rFonts w:ascii="Times New Roman" w:hAnsi="Times New Roman"/>
          <w:noProof/>
        </w:rPr>
        <w:t>; ii) d’activités relevant du système d’échange de quotas d’émission de l’UE (SEQE) permettant d’atteindre les émissions de gaz à effet de serre prévues qui ne sont pas inférieures aux référentiels pertinents</w:t>
      </w:r>
      <w:r w:rsidRPr="0029070D">
        <w:rPr>
          <w:rStyle w:val="FootnoteReference"/>
          <w:rFonts w:ascii="Times New Roman" w:eastAsia="Times New Roman" w:hAnsi="Times New Roman" w:cs="Times New Roman"/>
          <w:b w:val="0"/>
          <w:bCs/>
          <w:noProof/>
          <w:kern w:val="0"/>
        </w:rPr>
        <w:footnoteReference w:id="11"/>
      </w:r>
      <w:r>
        <w:rPr>
          <w:rFonts w:ascii="Times New Roman" w:hAnsi="Times New Roman"/>
          <w:noProof/>
        </w:rPr>
        <w:t>; iii) les activités liées aux décharges de déchets, aux incinérateurs</w:t>
      </w:r>
      <w:r w:rsidRPr="0029070D">
        <w:rPr>
          <w:rStyle w:val="FootnoteReference"/>
          <w:rFonts w:ascii="Times New Roman" w:eastAsia="Times New Roman" w:hAnsi="Times New Roman" w:cs="Times New Roman"/>
          <w:b w:val="0"/>
          <w:bCs/>
          <w:noProof/>
          <w:kern w:val="0"/>
        </w:rPr>
        <w:footnoteReference w:id="12"/>
      </w:r>
      <w:r>
        <w:rPr>
          <w:rFonts w:ascii="Times New Roman" w:hAnsi="Times New Roman"/>
          <w:noProof/>
        </w:rPr>
        <w:t xml:space="preserve"> et aux installations de traitement mécanique biologique</w:t>
      </w:r>
      <w:r w:rsidRPr="0029070D">
        <w:rPr>
          <w:rStyle w:val="FootnoteReference"/>
          <w:rFonts w:ascii="Times New Roman" w:eastAsia="Times New Roman" w:hAnsi="Times New Roman" w:cs="Times New Roman"/>
          <w:b w:val="0"/>
          <w:bCs/>
          <w:noProof/>
          <w:kern w:val="0"/>
        </w:rPr>
        <w:footnoteReference w:id="13"/>
      </w:r>
      <w:r>
        <w:rPr>
          <w:rFonts w:ascii="Times New Roman" w:hAnsi="Times New Roman"/>
          <w:noProof/>
        </w:rPr>
        <w:t>; et iv) les activités pour lesquelles l’élimination à long terme des déchets peut nuire à l’environnement.</w:t>
      </w:r>
    </w:p>
    <w:p w14:paraId="5A8AE38C" w14:textId="77777777" w:rsidR="00740F0F" w:rsidRPr="0029070D" w:rsidRDefault="00100B64">
      <w:pPr>
        <w:widowControl w:val="0"/>
        <w:autoSpaceDE w:val="0"/>
        <w:autoSpaceDN w:val="0"/>
        <w:spacing w:before="221" w:after="0" w:line="240" w:lineRule="auto"/>
        <w:ind w:left="220"/>
        <w:jc w:val="both"/>
        <w:rPr>
          <w:rFonts w:ascii="Times New Roman" w:eastAsia="Times New Roman" w:hAnsi="Times New Roman" w:cs="Times New Roman"/>
          <w:noProof/>
          <w:spacing w:val="-2"/>
          <w:kern w:val="0"/>
          <w:szCs w:val="20"/>
          <w:u w:val="single"/>
          <w14:ligatures w14:val="none"/>
        </w:rPr>
      </w:pPr>
      <w:r>
        <w:rPr>
          <w:rFonts w:ascii="Times New Roman" w:hAnsi="Times New Roman"/>
          <w:noProof/>
          <w:u w:val="single"/>
        </w:rPr>
        <w:t>Investissement 2 (C4.I2): développer l’hydrogène décarboné</w:t>
      </w:r>
    </w:p>
    <w:p w14:paraId="5A8AE38D" w14:textId="77777777" w:rsidR="00740F0F" w:rsidRPr="0029070D" w:rsidRDefault="00100B64">
      <w:pPr>
        <w:widowControl w:val="0"/>
        <w:autoSpaceDE w:val="0"/>
        <w:autoSpaceDN w:val="0"/>
        <w:spacing w:before="221"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rPr>
        <w:t xml:space="preserve">L’objectif de cette mesure est de renforcer les chaînes de valeur françaises pour la production d’hydrogène renouvelable et bas carbone, ainsi que pour l’utilisation de cet hydrogène dans les secteurs d’utilisation finale en aval, tels que les transports et l’industrie. </w:t>
      </w:r>
    </w:p>
    <w:p w14:paraId="5A8AE38E" w14:textId="77777777" w:rsidR="00740F0F" w:rsidRPr="0029070D" w:rsidRDefault="00100B64">
      <w:pPr>
        <w:widowControl w:val="0"/>
        <w:autoSpaceDE w:val="0"/>
        <w:autoSpaceDN w:val="0"/>
        <w:spacing w:before="221"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rPr>
        <w:t>La mesure consiste à apporter un soutien financier dans le cadre des projets importants d’intérêt européen commun (PIIEC) sur l’hydrogène.</w:t>
      </w:r>
    </w:p>
    <w:p w14:paraId="5A8AE38F" w14:textId="77777777" w:rsidR="00740F0F" w:rsidRPr="0029070D" w:rsidRDefault="00740F0F">
      <w:pPr>
        <w:widowControl w:val="0"/>
        <w:autoSpaceDE w:val="0"/>
        <w:autoSpaceDN w:val="0"/>
        <w:spacing w:before="74" w:after="0" w:line="240" w:lineRule="auto"/>
        <w:ind w:left="220"/>
        <w:jc w:val="both"/>
        <w:rPr>
          <w:rFonts w:ascii="Times New Roman" w:eastAsia="Times New Roman" w:hAnsi="Times New Roman" w:cs="Times New Roman"/>
          <w:noProof/>
          <w:spacing w:val="-3"/>
          <w:kern w:val="0"/>
          <w:szCs w:val="20"/>
          <w:u w:val="single"/>
          <w14:ligatures w14:val="none"/>
        </w:rPr>
      </w:pPr>
    </w:p>
    <w:p w14:paraId="5A8AE390" w14:textId="77777777" w:rsidR="00740F0F" w:rsidRPr="0029070D" w:rsidRDefault="00100B64">
      <w:pPr>
        <w:widowControl w:val="0"/>
        <w:autoSpaceDE w:val="0"/>
        <w:autoSpaceDN w:val="0"/>
        <w:spacing w:before="74" w:after="0" w:line="240" w:lineRule="auto"/>
        <w:ind w:left="220"/>
        <w:jc w:val="both"/>
        <w:rPr>
          <w:rFonts w:ascii="Times New Roman" w:eastAsia="Times New Roman" w:hAnsi="Times New Roman" w:cs="Times New Roman"/>
          <w:noProof/>
          <w:spacing w:val="-2"/>
          <w:kern w:val="0"/>
          <w:szCs w:val="20"/>
          <w:u w:val="single"/>
          <w14:ligatures w14:val="none"/>
        </w:rPr>
      </w:pPr>
      <w:r>
        <w:rPr>
          <w:rFonts w:ascii="Times New Roman" w:hAnsi="Times New Roman"/>
          <w:noProof/>
          <w:u w:val="single"/>
        </w:rPr>
        <w:t>Investissement 3 (C4.I3): plan de soutien au secteur de l’aéronautique</w:t>
      </w:r>
    </w:p>
    <w:p w14:paraId="5A8AE391" w14:textId="77777777" w:rsidR="00740F0F" w:rsidRPr="0029070D" w:rsidRDefault="00100B64">
      <w:pPr>
        <w:widowControl w:val="0"/>
        <w:autoSpaceDE w:val="0"/>
        <w:autoSpaceDN w:val="0"/>
        <w:spacing w:before="74"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rPr>
        <w:t>L’objectif de cette mesure est d’aider l’industrie aéronautique à surmonter les défis économiques actuels en maintenant et en diversifiant ses capacités, et en augmentant ses performances environnementales et numériques; et d’investir dans la recherche et développement (R&amp;D) de transformation pour décarboner le transport aérien.</w:t>
      </w:r>
    </w:p>
    <w:p w14:paraId="5A8AE392" w14:textId="7AB8C728" w:rsidR="00740F0F" w:rsidRPr="0029070D" w:rsidRDefault="00100B64">
      <w:pPr>
        <w:widowControl w:val="0"/>
        <w:autoSpaceDE w:val="0"/>
        <w:autoSpaceDN w:val="0"/>
        <w:spacing w:before="74"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rPr>
        <w:t>La mesure consiste en: i) un soutien à la diversification, à la modernisation ainsi qu’à la transformation numérique et environnementale des entreprises du secteur aéronautique, et ii) un soutien à la R&amp;D axés sur la préparation technologique d’une nouvelle génération d’aéronefs «ultrasobres» voire «zéro émission».</w:t>
      </w:r>
    </w:p>
    <w:p w14:paraId="5A8AE393" w14:textId="77777777" w:rsidR="00740F0F" w:rsidRPr="0029070D" w:rsidRDefault="00740F0F">
      <w:pPr>
        <w:spacing w:before="120" w:after="120" w:line="247" w:lineRule="auto"/>
        <w:rPr>
          <w:rFonts w:ascii="Times New Roman" w:eastAsia="Calibri" w:hAnsi="Times New Roman" w:cs="Times New Roman"/>
          <w:noProof/>
          <w:kern w:val="0"/>
          <w:szCs w:val="22"/>
          <w14:ligatures w14:val="none"/>
        </w:rPr>
        <w:sectPr w:rsidR="00740F0F" w:rsidRPr="0029070D">
          <w:headerReference w:type="even" r:id="rId54"/>
          <w:headerReference w:type="default" r:id="rId55"/>
          <w:footerReference w:type="even" r:id="rId56"/>
          <w:footerReference w:type="default" r:id="rId57"/>
          <w:headerReference w:type="first" r:id="rId58"/>
          <w:footerReference w:type="first" r:id="rId59"/>
          <w:pgSz w:w="11920" w:h="16860"/>
          <w:pgMar w:top="1134" w:right="1134" w:bottom="1134" w:left="1134" w:header="567" w:footer="567" w:gutter="0"/>
          <w:cols w:space="720"/>
          <w:docGrid w:linePitch="326"/>
        </w:sectPr>
      </w:pPr>
    </w:p>
    <w:p w14:paraId="5A8AE394" w14:textId="77777777" w:rsidR="00740F0F" w:rsidRPr="00B46C4C" w:rsidRDefault="00100B64">
      <w:pPr>
        <w:widowControl w:val="0"/>
        <w:numPr>
          <w:ilvl w:val="2"/>
          <w:numId w:val="1"/>
        </w:numPr>
        <w:tabs>
          <w:tab w:val="left" w:pos="1084"/>
          <w:tab w:val="left" w:pos="1085"/>
        </w:tabs>
        <w:autoSpaceDE w:val="0"/>
        <w:autoSpaceDN w:val="0"/>
        <w:spacing w:before="208" w:after="0" w:line="240" w:lineRule="auto"/>
        <w:ind w:left="1084" w:hanging="724"/>
        <w:jc w:val="center"/>
        <w:outlineLvl w:val="1"/>
        <w:rPr>
          <w:rFonts w:ascii="Times New Roman" w:eastAsia="Times New Roman" w:hAnsi="Times New Roman" w:cs="Times New Roman"/>
          <w:b/>
          <w:noProof/>
          <w:kern w:val="0"/>
          <w:szCs w:val="20"/>
          <w:u w:val="single"/>
          <w14:ligatures w14:val="none"/>
        </w:rPr>
      </w:pPr>
      <w:r>
        <w:rPr>
          <w:rFonts w:ascii="Times New Roman" w:hAnsi="Times New Roman"/>
          <w:b/>
          <w:noProof/>
          <w:u w:val="single"/>
        </w:rPr>
        <w:t>Jalons, cibles, indicateurs et calendrier de suivi et de mise en œuvre en vue du soutien financier non remboursable</w:t>
      </w:r>
    </w:p>
    <w:p w14:paraId="5A8AE395" w14:textId="77777777" w:rsidR="00740F0F" w:rsidRPr="0029070D" w:rsidRDefault="00740F0F">
      <w:pPr>
        <w:widowControl w:val="0"/>
        <w:autoSpaceDE w:val="0"/>
        <w:autoSpaceDN w:val="0"/>
        <w:spacing w:before="8" w:after="0" w:line="240" w:lineRule="auto"/>
        <w:rPr>
          <w:rFonts w:ascii="Times New Roman" w:eastAsia="Times New Roman" w:hAnsi="Times New Roman" w:cs="Times New Roman"/>
          <w:b/>
          <w:noProof/>
          <w:kern w:val="0"/>
          <w:sz w:val="19"/>
          <w:szCs w:val="20"/>
          <w14:ligatures w14:val="none"/>
        </w:rPr>
      </w:pPr>
    </w:p>
    <w:tbl>
      <w:tblPr>
        <w:tblStyle w:val="NormalTable0"/>
        <w:tblW w:w="1543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8"/>
        <w:gridCol w:w="1277"/>
        <w:gridCol w:w="1134"/>
        <w:gridCol w:w="1985"/>
        <w:gridCol w:w="1275"/>
        <w:gridCol w:w="993"/>
        <w:gridCol w:w="850"/>
        <w:gridCol w:w="1134"/>
        <w:gridCol w:w="851"/>
        <w:gridCol w:w="850"/>
        <w:gridCol w:w="3954"/>
      </w:tblGrid>
      <w:tr w:rsidR="00782477" w:rsidRPr="0029070D" w14:paraId="5A8AE39E" w14:textId="77777777" w:rsidTr="00FB041E">
        <w:trPr>
          <w:trHeight w:val="916"/>
          <w:tblHeader/>
          <w:jc w:val="center"/>
        </w:trPr>
        <w:tc>
          <w:tcPr>
            <w:tcW w:w="1128" w:type="dxa"/>
            <w:vMerge w:val="restart"/>
            <w:tcBorders>
              <w:left w:val="single" w:sz="4" w:space="0" w:color="000000" w:themeColor="text1"/>
              <w:right w:val="single" w:sz="4" w:space="0" w:color="000000" w:themeColor="text1"/>
            </w:tcBorders>
            <w:shd w:val="clear" w:color="auto" w:fill="C5D9EF"/>
            <w:vAlign w:val="center"/>
          </w:tcPr>
          <w:p w14:paraId="5A8AE396" w14:textId="77777777" w:rsidR="00740F0F" w:rsidRPr="00FB041E" w:rsidRDefault="00100B64">
            <w:pPr>
              <w:spacing w:before="189" w:line="244" w:lineRule="auto"/>
              <w:ind w:left="232" w:right="177" w:hanging="137"/>
              <w:jc w:val="center"/>
              <w:rPr>
                <w:rFonts w:ascii="Times New Roman" w:eastAsia="Times New Roman" w:hAnsi="Times New Roman" w:cs="Times New Roman"/>
                <w:b/>
                <w:noProof/>
                <w:sz w:val="16"/>
                <w:szCs w:val="18"/>
              </w:rPr>
            </w:pPr>
            <w:r w:rsidRPr="00FB041E">
              <w:rPr>
                <w:rFonts w:ascii="Times New Roman" w:hAnsi="Times New Roman"/>
                <w:b/>
                <w:noProof/>
                <w:sz w:val="16"/>
                <w:szCs w:val="18"/>
              </w:rPr>
              <w:t>Numéro séquentiel</w:t>
            </w:r>
          </w:p>
        </w:tc>
        <w:tc>
          <w:tcPr>
            <w:tcW w:w="1277" w:type="dxa"/>
            <w:vMerge w:val="restart"/>
            <w:tcBorders>
              <w:left w:val="single" w:sz="4" w:space="0" w:color="000000" w:themeColor="text1"/>
              <w:right w:val="single" w:sz="4" w:space="0" w:color="000000" w:themeColor="text1"/>
            </w:tcBorders>
            <w:shd w:val="clear" w:color="auto" w:fill="C5D9EF"/>
            <w:vAlign w:val="center"/>
          </w:tcPr>
          <w:p w14:paraId="5A8AE397" w14:textId="77777777" w:rsidR="00740F0F" w:rsidRPr="0029070D" w:rsidRDefault="00100B64">
            <w:pPr>
              <w:ind w:left="237"/>
              <w:jc w:val="center"/>
              <w:rPr>
                <w:rFonts w:ascii="Times New Roman" w:eastAsia="Times New Roman" w:hAnsi="Times New Roman" w:cs="Times New Roman"/>
                <w:b/>
                <w:noProof/>
                <w:sz w:val="18"/>
                <w:szCs w:val="18"/>
              </w:rPr>
            </w:pPr>
            <w:r>
              <w:rPr>
                <w:rFonts w:ascii="Times New Roman" w:hAnsi="Times New Roman"/>
                <w:b/>
                <w:noProof/>
                <w:sz w:val="18"/>
              </w:rPr>
              <w:t>Mesure</w:t>
            </w:r>
          </w:p>
        </w:tc>
        <w:tc>
          <w:tcPr>
            <w:tcW w:w="1134" w:type="dxa"/>
            <w:vMerge w:val="restart"/>
            <w:tcBorders>
              <w:left w:val="single" w:sz="4" w:space="0" w:color="000000" w:themeColor="text1"/>
              <w:right w:val="single" w:sz="4" w:space="0" w:color="000000" w:themeColor="text1"/>
            </w:tcBorders>
            <w:shd w:val="clear" w:color="auto" w:fill="C5D9EF"/>
            <w:vAlign w:val="center"/>
          </w:tcPr>
          <w:p w14:paraId="5A8AE398" w14:textId="77777777" w:rsidR="00740F0F" w:rsidRPr="0029070D" w:rsidRDefault="00100B64">
            <w:pPr>
              <w:spacing w:before="172"/>
              <w:jc w:val="center"/>
              <w:rPr>
                <w:rFonts w:ascii="Times New Roman" w:eastAsia="Times New Roman" w:hAnsi="Times New Roman" w:cs="Times New Roman"/>
                <w:b/>
                <w:noProof/>
                <w:sz w:val="18"/>
                <w:szCs w:val="18"/>
              </w:rPr>
            </w:pPr>
            <w:r>
              <w:rPr>
                <w:rFonts w:ascii="Times New Roman" w:hAnsi="Times New Roman"/>
                <w:b/>
                <w:noProof/>
                <w:sz w:val="18"/>
              </w:rPr>
              <w:t>Jalon / Cible</w:t>
            </w:r>
          </w:p>
        </w:tc>
        <w:tc>
          <w:tcPr>
            <w:tcW w:w="1701" w:type="dxa"/>
            <w:vMerge w:val="restart"/>
            <w:tcBorders>
              <w:left w:val="single" w:sz="4" w:space="0" w:color="000000" w:themeColor="text1"/>
              <w:right w:val="single" w:sz="4" w:space="0" w:color="000000" w:themeColor="text1"/>
            </w:tcBorders>
            <w:shd w:val="clear" w:color="auto" w:fill="C5D9EF"/>
            <w:vAlign w:val="center"/>
          </w:tcPr>
          <w:p w14:paraId="5A8AE399" w14:textId="77777777" w:rsidR="00740F0F" w:rsidRPr="0029070D" w:rsidRDefault="00100B64">
            <w:pPr>
              <w:ind w:left="676" w:right="659"/>
              <w:jc w:val="center"/>
              <w:rPr>
                <w:rFonts w:ascii="Times New Roman" w:eastAsia="Times New Roman" w:hAnsi="Times New Roman" w:cs="Times New Roman"/>
                <w:b/>
                <w:noProof/>
                <w:sz w:val="18"/>
                <w:szCs w:val="18"/>
              </w:rPr>
            </w:pPr>
            <w:r w:rsidRPr="00FB041E">
              <w:rPr>
                <w:rFonts w:ascii="Times New Roman" w:hAnsi="Times New Roman"/>
                <w:b/>
                <w:noProof/>
                <w:sz w:val="18"/>
              </w:rPr>
              <w:t>Dénomination</w:t>
            </w:r>
          </w:p>
        </w:tc>
        <w:tc>
          <w:tcPr>
            <w:tcW w:w="1275" w:type="dxa"/>
            <w:vMerge w:val="restart"/>
            <w:tcBorders>
              <w:left w:val="single" w:sz="4" w:space="0" w:color="000000" w:themeColor="text1"/>
            </w:tcBorders>
            <w:shd w:val="clear" w:color="auto" w:fill="C5D9EF"/>
            <w:vAlign w:val="center"/>
          </w:tcPr>
          <w:p w14:paraId="5A8AE39A" w14:textId="77777777" w:rsidR="00740F0F" w:rsidRPr="0029070D" w:rsidRDefault="00100B64">
            <w:pPr>
              <w:spacing w:line="247" w:lineRule="auto"/>
              <w:ind w:left="184" w:right="177" w:hanging="8"/>
              <w:jc w:val="center"/>
              <w:rPr>
                <w:rFonts w:ascii="Times New Roman" w:eastAsia="Times New Roman" w:hAnsi="Times New Roman" w:cs="Times New Roman"/>
                <w:b/>
                <w:noProof/>
                <w:sz w:val="18"/>
                <w:szCs w:val="18"/>
              </w:rPr>
            </w:pPr>
            <w:r>
              <w:rPr>
                <w:rFonts w:ascii="Times New Roman" w:hAnsi="Times New Roman"/>
                <w:b/>
                <w:noProof/>
                <w:sz w:val="18"/>
              </w:rPr>
              <w:t>Indicateurs qualitatifs (pour les jalons)</w:t>
            </w:r>
          </w:p>
        </w:tc>
        <w:tc>
          <w:tcPr>
            <w:tcW w:w="2977" w:type="dxa"/>
            <w:gridSpan w:val="3"/>
            <w:shd w:val="clear" w:color="auto" w:fill="C5D9EF"/>
            <w:vAlign w:val="center"/>
          </w:tcPr>
          <w:p w14:paraId="5A8AE39B" w14:textId="77777777" w:rsidR="00740F0F" w:rsidRPr="0029070D" w:rsidRDefault="00100B64">
            <w:pPr>
              <w:spacing w:line="247" w:lineRule="auto"/>
              <w:ind w:left="1113" w:right="267" w:hanging="826"/>
              <w:jc w:val="center"/>
              <w:rPr>
                <w:rFonts w:ascii="Times New Roman" w:eastAsia="Times New Roman" w:hAnsi="Times New Roman" w:cs="Times New Roman"/>
                <w:b/>
                <w:noProof/>
                <w:sz w:val="18"/>
                <w:szCs w:val="18"/>
              </w:rPr>
            </w:pPr>
            <w:r>
              <w:rPr>
                <w:rFonts w:ascii="Times New Roman" w:hAnsi="Times New Roman"/>
                <w:b/>
                <w:noProof/>
                <w:sz w:val="18"/>
              </w:rPr>
              <w:t>Indicateurs quantitatifs (pour les cibles)</w:t>
            </w:r>
          </w:p>
        </w:tc>
        <w:tc>
          <w:tcPr>
            <w:tcW w:w="1701" w:type="dxa"/>
            <w:gridSpan w:val="2"/>
            <w:shd w:val="clear" w:color="auto" w:fill="C5D9EF"/>
            <w:vAlign w:val="center"/>
          </w:tcPr>
          <w:p w14:paraId="5A8AE39C" w14:textId="77777777" w:rsidR="00740F0F" w:rsidRPr="0029070D" w:rsidRDefault="00100B64">
            <w:pPr>
              <w:spacing w:before="168" w:line="256" w:lineRule="auto"/>
              <w:ind w:left="375" w:right="373" w:firstLine="16"/>
              <w:jc w:val="center"/>
              <w:rPr>
                <w:rFonts w:ascii="Times New Roman" w:eastAsia="Times New Roman" w:hAnsi="Times New Roman" w:cs="Times New Roman"/>
                <w:b/>
                <w:noProof/>
                <w:sz w:val="18"/>
                <w:szCs w:val="18"/>
              </w:rPr>
            </w:pPr>
            <w:r>
              <w:rPr>
                <w:rFonts w:ascii="Times New Roman" w:hAnsi="Times New Roman"/>
                <w:b/>
                <w:noProof/>
                <w:sz w:val="18"/>
              </w:rPr>
              <w:t>Calendrier indicatif de réalisation</w:t>
            </w:r>
          </w:p>
        </w:tc>
        <w:tc>
          <w:tcPr>
            <w:tcW w:w="3954" w:type="dxa"/>
            <w:vMerge w:val="restart"/>
            <w:tcBorders>
              <w:right w:val="single" w:sz="4" w:space="0" w:color="000000" w:themeColor="text1"/>
            </w:tcBorders>
            <w:shd w:val="clear" w:color="auto" w:fill="C5D9EF"/>
            <w:vAlign w:val="center"/>
          </w:tcPr>
          <w:p w14:paraId="5A8AE39D" w14:textId="77777777" w:rsidR="00740F0F" w:rsidRPr="0029070D" w:rsidRDefault="00100B64">
            <w:pPr>
              <w:ind w:left="491"/>
              <w:rPr>
                <w:rFonts w:ascii="Times New Roman" w:eastAsia="Times New Roman" w:hAnsi="Times New Roman" w:cs="Times New Roman"/>
                <w:b/>
                <w:noProof/>
                <w:sz w:val="18"/>
                <w:szCs w:val="18"/>
              </w:rPr>
            </w:pPr>
            <w:r>
              <w:rPr>
                <w:rFonts w:ascii="Times New Roman" w:hAnsi="Times New Roman"/>
                <w:b/>
                <w:noProof/>
                <w:sz w:val="18"/>
              </w:rPr>
              <w:t>Description de chaque jalon et cible</w:t>
            </w:r>
          </w:p>
        </w:tc>
      </w:tr>
      <w:tr w:rsidR="00782477" w:rsidRPr="0029070D" w14:paraId="5A8AE3AA" w14:textId="77777777" w:rsidTr="00FB041E">
        <w:trPr>
          <w:trHeight w:val="842"/>
          <w:tblHeader/>
          <w:jc w:val="center"/>
        </w:trPr>
        <w:tc>
          <w:tcPr>
            <w:tcW w:w="1128" w:type="dxa"/>
            <w:vMerge/>
          </w:tcPr>
          <w:p w14:paraId="5A8AE39F" w14:textId="77777777" w:rsidR="00740F0F" w:rsidRPr="0029070D" w:rsidRDefault="00740F0F">
            <w:pPr>
              <w:spacing w:before="120" w:after="120" w:line="360" w:lineRule="auto"/>
              <w:rPr>
                <w:rFonts w:ascii="Times New Roman" w:eastAsia="Calibri" w:hAnsi="Times New Roman" w:cs="Times New Roman"/>
                <w:noProof/>
                <w:sz w:val="18"/>
                <w:szCs w:val="18"/>
              </w:rPr>
            </w:pPr>
          </w:p>
        </w:tc>
        <w:tc>
          <w:tcPr>
            <w:tcW w:w="1277" w:type="dxa"/>
            <w:vMerge/>
          </w:tcPr>
          <w:p w14:paraId="5A8AE3A0" w14:textId="77777777" w:rsidR="00740F0F" w:rsidRPr="0029070D" w:rsidRDefault="00740F0F">
            <w:pPr>
              <w:spacing w:before="120" w:after="120" w:line="360" w:lineRule="auto"/>
              <w:rPr>
                <w:rFonts w:ascii="Times New Roman" w:eastAsia="Calibri" w:hAnsi="Times New Roman" w:cs="Times New Roman"/>
                <w:noProof/>
                <w:sz w:val="18"/>
                <w:szCs w:val="18"/>
              </w:rPr>
            </w:pPr>
          </w:p>
        </w:tc>
        <w:tc>
          <w:tcPr>
            <w:tcW w:w="1134" w:type="dxa"/>
            <w:vMerge/>
          </w:tcPr>
          <w:p w14:paraId="5A8AE3A1" w14:textId="77777777" w:rsidR="00740F0F" w:rsidRPr="0029070D" w:rsidRDefault="00740F0F">
            <w:pPr>
              <w:spacing w:before="120" w:after="120" w:line="360" w:lineRule="auto"/>
              <w:rPr>
                <w:rFonts w:ascii="Times New Roman" w:eastAsia="Calibri" w:hAnsi="Times New Roman" w:cs="Times New Roman"/>
                <w:noProof/>
                <w:sz w:val="18"/>
                <w:szCs w:val="18"/>
              </w:rPr>
            </w:pPr>
          </w:p>
        </w:tc>
        <w:tc>
          <w:tcPr>
            <w:tcW w:w="1985" w:type="dxa"/>
            <w:vMerge/>
          </w:tcPr>
          <w:p w14:paraId="5A8AE3A2" w14:textId="77777777" w:rsidR="00740F0F" w:rsidRPr="0029070D" w:rsidRDefault="00740F0F">
            <w:pPr>
              <w:spacing w:before="120" w:after="120" w:line="360" w:lineRule="auto"/>
              <w:rPr>
                <w:rFonts w:ascii="Times New Roman" w:eastAsia="Calibri" w:hAnsi="Times New Roman" w:cs="Times New Roman"/>
                <w:noProof/>
                <w:sz w:val="18"/>
                <w:szCs w:val="18"/>
              </w:rPr>
            </w:pPr>
          </w:p>
        </w:tc>
        <w:tc>
          <w:tcPr>
            <w:tcW w:w="1275" w:type="dxa"/>
            <w:vMerge/>
          </w:tcPr>
          <w:p w14:paraId="5A8AE3A3" w14:textId="77777777" w:rsidR="00740F0F" w:rsidRPr="0029070D" w:rsidRDefault="00740F0F">
            <w:pPr>
              <w:spacing w:before="120" w:after="120" w:line="360" w:lineRule="auto"/>
              <w:rPr>
                <w:rFonts w:ascii="Times New Roman" w:eastAsia="Calibri" w:hAnsi="Times New Roman" w:cs="Times New Roman"/>
                <w:noProof/>
                <w:sz w:val="18"/>
                <w:szCs w:val="18"/>
              </w:rPr>
            </w:pPr>
          </w:p>
        </w:tc>
        <w:tc>
          <w:tcPr>
            <w:tcW w:w="993" w:type="dxa"/>
            <w:shd w:val="clear" w:color="auto" w:fill="C5D9EF"/>
            <w:vAlign w:val="center"/>
          </w:tcPr>
          <w:p w14:paraId="5A8AE3A4" w14:textId="77777777" w:rsidR="00740F0F" w:rsidRPr="0029070D" w:rsidRDefault="00100B64">
            <w:pPr>
              <w:spacing w:line="244" w:lineRule="auto"/>
              <w:ind w:left="148" w:right="166" w:firstLine="60"/>
              <w:jc w:val="center"/>
              <w:rPr>
                <w:rFonts w:ascii="Times New Roman" w:eastAsia="Times New Roman" w:hAnsi="Times New Roman" w:cs="Times New Roman"/>
                <w:b/>
                <w:noProof/>
                <w:sz w:val="18"/>
                <w:szCs w:val="18"/>
              </w:rPr>
            </w:pPr>
            <w:r>
              <w:rPr>
                <w:rFonts w:ascii="Times New Roman" w:hAnsi="Times New Roman"/>
                <w:b/>
                <w:noProof/>
                <w:sz w:val="18"/>
              </w:rPr>
              <w:t>Unité de mesure</w:t>
            </w:r>
          </w:p>
        </w:tc>
        <w:tc>
          <w:tcPr>
            <w:tcW w:w="850" w:type="dxa"/>
            <w:shd w:val="clear" w:color="auto" w:fill="C5D9EF"/>
            <w:vAlign w:val="center"/>
          </w:tcPr>
          <w:p w14:paraId="5A8AE3A5" w14:textId="77777777" w:rsidR="00740F0F" w:rsidRPr="0029070D" w:rsidRDefault="00100B64">
            <w:pPr>
              <w:ind w:left="5"/>
              <w:jc w:val="center"/>
              <w:rPr>
                <w:rFonts w:ascii="Times New Roman" w:eastAsia="Times New Roman" w:hAnsi="Times New Roman" w:cs="Times New Roman"/>
                <w:b/>
                <w:noProof/>
                <w:sz w:val="18"/>
                <w:szCs w:val="18"/>
              </w:rPr>
            </w:pPr>
            <w:r>
              <w:rPr>
                <w:rFonts w:ascii="Times New Roman" w:hAnsi="Times New Roman"/>
                <w:b/>
                <w:noProof/>
                <w:sz w:val="18"/>
              </w:rPr>
              <w:t>Base de référence</w:t>
            </w:r>
          </w:p>
        </w:tc>
        <w:tc>
          <w:tcPr>
            <w:tcW w:w="1134" w:type="dxa"/>
            <w:shd w:val="clear" w:color="auto" w:fill="C5D9EF"/>
            <w:vAlign w:val="center"/>
          </w:tcPr>
          <w:p w14:paraId="5A8AE3A6" w14:textId="77777777" w:rsidR="00740F0F" w:rsidRPr="0029070D" w:rsidRDefault="00100B64">
            <w:pPr>
              <w:ind w:left="258" w:right="249"/>
              <w:jc w:val="center"/>
              <w:rPr>
                <w:rFonts w:ascii="Times New Roman" w:eastAsia="Times New Roman" w:hAnsi="Times New Roman" w:cs="Times New Roman"/>
                <w:b/>
                <w:noProof/>
                <w:sz w:val="18"/>
                <w:szCs w:val="18"/>
              </w:rPr>
            </w:pPr>
            <w:r w:rsidRPr="00FB041E">
              <w:rPr>
                <w:rFonts w:ascii="Times New Roman" w:hAnsi="Times New Roman"/>
                <w:b/>
                <w:noProof/>
                <w:sz w:val="16"/>
                <w:szCs w:val="18"/>
              </w:rPr>
              <w:t>Objectif</w:t>
            </w:r>
          </w:p>
        </w:tc>
        <w:tc>
          <w:tcPr>
            <w:tcW w:w="851" w:type="dxa"/>
            <w:shd w:val="clear" w:color="auto" w:fill="C5D9EF"/>
            <w:vAlign w:val="center"/>
          </w:tcPr>
          <w:p w14:paraId="5A8AE3A7" w14:textId="77777777" w:rsidR="00740F0F" w:rsidRPr="00FB041E" w:rsidRDefault="00100B64">
            <w:pPr>
              <w:ind w:left="80" w:right="52"/>
              <w:jc w:val="center"/>
              <w:rPr>
                <w:rFonts w:ascii="Times New Roman" w:eastAsia="Times New Roman" w:hAnsi="Times New Roman" w:cs="Times New Roman"/>
                <w:b/>
                <w:noProof/>
                <w:sz w:val="16"/>
                <w:szCs w:val="18"/>
              </w:rPr>
            </w:pPr>
            <w:r w:rsidRPr="00FB041E">
              <w:rPr>
                <w:rFonts w:ascii="Times New Roman" w:hAnsi="Times New Roman"/>
                <w:b/>
                <w:noProof/>
                <w:sz w:val="16"/>
                <w:szCs w:val="18"/>
              </w:rPr>
              <w:t>Trimestre</w:t>
            </w:r>
          </w:p>
        </w:tc>
        <w:tc>
          <w:tcPr>
            <w:tcW w:w="850" w:type="dxa"/>
            <w:shd w:val="clear" w:color="auto" w:fill="C5D9EF"/>
            <w:vAlign w:val="center"/>
          </w:tcPr>
          <w:p w14:paraId="5A8AE3A8" w14:textId="77777777" w:rsidR="00740F0F" w:rsidRPr="0029070D" w:rsidRDefault="00100B64">
            <w:pPr>
              <w:ind w:left="225"/>
              <w:jc w:val="center"/>
              <w:rPr>
                <w:rFonts w:ascii="Times New Roman" w:eastAsia="Times New Roman" w:hAnsi="Times New Roman" w:cs="Times New Roman"/>
                <w:b/>
                <w:noProof/>
                <w:sz w:val="18"/>
                <w:szCs w:val="18"/>
              </w:rPr>
            </w:pPr>
            <w:r>
              <w:rPr>
                <w:rFonts w:ascii="Times New Roman" w:hAnsi="Times New Roman"/>
                <w:b/>
                <w:noProof/>
                <w:sz w:val="18"/>
              </w:rPr>
              <w:t>Année</w:t>
            </w:r>
          </w:p>
        </w:tc>
        <w:tc>
          <w:tcPr>
            <w:tcW w:w="3954" w:type="dxa"/>
            <w:vMerge/>
          </w:tcPr>
          <w:p w14:paraId="5A8AE3A9" w14:textId="77777777" w:rsidR="00740F0F" w:rsidRPr="0029070D" w:rsidRDefault="00740F0F">
            <w:pPr>
              <w:spacing w:before="120" w:after="120" w:line="360" w:lineRule="auto"/>
              <w:rPr>
                <w:rFonts w:ascii="Times New Roman" w:eastAsia="Calibri" w:hAnsi="Times New Roman" w:cs="Times New Roman"/>
                <w:noProof/>
                <w:sz w:val="18"/>
                <w:szCs w:val="18"/>
              </w:rPr>
            </w:pPr>
          </w:p>
        </w:tc>
      </w:tr>
      <w:tr w:rsidR="00C51A07" w:rsidRPr="0029070D" w14:paraId="5A8AE3B9" w14:textId="77777777" w:rsidTr="00FB041E">
        <w:trPr>
          <w:trHeight w:val="3355"/>
          <w:jc w:val="center"/>
        </w:trPr>
        <w:tc>
          <w:tcPr>
            <w:tcW w:w="1128" w:type="dxa"/>
            <w:shd w:val="clear" w:color="auto" w:fill="C5EDCE"/>
          </w:tcPr>
          <w:p w14:paraId="5A8AE3AB" w14:textId="77777777" w:rsidR="00740F0F" w:rsidRPr="0029070D" w:rsidRDefault="00100B64">
            <w:pPr>
              <w:ind w:left="369" w:right="346"/>
              <w:jc w:val="center"/>
              <w:rPr>
                <w:rFonts w:ascii="Times New Roman" w:eastAsia="Times New Roman" w:hAnsi="Times New Roman" w:cs="Times New Roman"/>
                <w:noProof/>
                <w:sz w:val="18"/>
                <w:szCs w:val="18"/>
              </w:rPr>
            </w:pPr>
            <w:r>
              <w:rPr>
                <w:rFonts w:ascii="Times New Roman" w:hAnsi="Times New Roman"/>
                <w:noProof/>
                <w:sz w:val="18"/>
              </w:rPr>
              <w:t>4-1</w:t>
            </w:r>
          </w:p>
        </w:tc>
        <w:tc>
          <w:tcPr>
            <w:tcW w:w="1277" w:type="dxa"/>
            <w:shd w:val="clear" w:color="auto" w:fill="C5EDCE"/>
          </w:tcPr>
          <w:p w14:paraId="5A8AE3AC" w14:textId="77777777" w:rsidR="00740F0F" w:rsidRPr="0029070D" w:rsidRDefault="00100B64">
            <w:pPr>
              <w:ind w:left="7"/>
              <w:jc w:val="center"/>
              <w:rPr>
                <w:rFonts w:ascii="Times New Roman" w:eastAsia="Times New Roman" w:hAnsi="Times New Roman" w:cs="Times New Roman"/>
                <w:noProof/>
                <w:sz w:val="18"/>
                <w:szCs w:val="18"/>
              </w:rPr>
            </w:pPr>
            <w:r>
              <w:rPr>
                <w:rFonts w:ascii="Times New Roman" w:hAnsi="Times New Roman"/>
                <w:noProof/>
                <w:sz w:val="18"/>
              </w:rPr>
              <w:t>C4.R1</w:t>
            </w:r>
          </w:p>
          <w:p w14:paraId="5A8AE3AD" w14:textId="5D8C0A90" w:rsidR="00740F0F" w:rsidRPr="0029070D" w:rsidRDefault="00100B64">
            <w:pPr>
              <w:jc w:val="center"/>
              <w:rPr>
                <w:rFonts w:ascii="Times New Roman" w:eastAsia="Times New Roman" w:hAnsi="Times New Roman" w:cs="Times New Roman"/>
                <w:noProof/>
                <w:sz w:val="18"/>
                <w:szCs w:val="18"/>
              </w:rPr>
            </w:pPr>
            <w:r>
              <w:rPr>
                <w:rFonts w:ascii="Times New Roman" w:hAnsi="Times New Roman"/>
                <w:noProof/>
                <w:sz w:val="18"/>
              </w:rPr>
              <w:t>Réforme de la gouvernance du Programme d’investissements d’avenir (PIA)</w:t>
            </w:r>
          </w:p>
        </w:tc>
        <w:tc>
          <w:tcPr>
            <w:tcW w:w="1134" w:type="dxa"/>
            <w:shd w:val="clear" w:color="auto" w:fill="C5EDCE"/>
          </w:tcPr>
          <w:p w14:paraId="5A8AE3AE" w14:textId="77777777" w:rsidR="00740F0F" w:rsidRPr="0029070D" w:rsidRDefault="00100B64">
            <w:pPr>
              <w:ind w:left="117"/>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985" w:type="dxa"/>
            <w:shd w:val="clear" w:color="auto" w:fill="C5EDCE"/>
          </w:tcPr>
          <w:p w14:paraId="5A8AE3AF" w14:textId="77777777" w:rsidR="00740F0F" w:rsidRPr="0029070D" w:rsidRDefault="00100B64">
            <w:pPr>
              <w:ind w:left="9" w:right="2"/>
              <w:rPr>
                <w:rFonts w:ascii="Times New Roman" w:eastAsia="Times New Roman" w:hAnsi="Times New Roman" w:cs="Times New Roman"/>
                <w:i/>
                <w:noProof/>
                <w:sz w:val="18"/>
                <w:szCs w:val="18"/>
              </w:rPr>
            </w:pPr>
            <w:r>
              <w:rPr>
                <w:rFonts w:ascii="Times New Roman" w:hAnsi="Times New Roman"/>
                <w:noProof/>
                <w:sz w:val="18"/>
              </w:rPr>
              <w:t>Nouvelle gouvernance du programme d’investissements d’avenir</w:t>
            </w:r>
          </w:p>
        </w:tc>
        <w:tc>
          <w:tcPr>
            <w:tcW w:w="1275" w:type="dxa"/>
            <w:shd w:val="clear" w:color="auto" w:fill="C5EDCE"/>
          </w:tcPr>
          <w:p w14:paraId="5A8AE3B0" w14:textId="77777777" w:rsidR="00740F0F" w:rsidRPr="0029070D" w:rsidRDefault="00100B64" w:rsidP="009E7E07">
            <w:pPr>
              <w:jc w:val="both"/>
              <w:rPr>
                <w:rFonts w:ascii="Times New Roman" w:eastAsia="Times New Roman" w:hAnsi="Times New Roman" w:cs="Times New Roman"/>
                <w:noProof/>
                <w:sz w:val="18"/>
                <w:szCs w:val="18"/>
              </w:rPr>
            </w:pPr>
            <w:r>
              <w:rPr>
                <w:rFonts w:ascii="Times New Roman" w:hAnsi="Times New Roman"/>
                <w:noProof/>
                <w:sz w:val="18"/>
              </w:rPr>
              <w:t>Entrée en vigueur</w:t>
            </w:r>
          </w:p>
        </w:tc>
        <w:tc>
          <w:tcPr>
            <w:tcW w:w="993" w:type="dxa"/>
            <w:shd w:val="clear" w:color="auto" w:fill="C5EDCE"/>
          </w:tcPr>
          <w:p w14:paraId="5A8AE3B1" w14:textId="77777777" w:rsidR="00740F0F" w:rsidRPr="0029070D" w:rsidRDefault="00100B64">
            <w:pPr>
              <w:ind w:left="119"/>
              <w:jc w:val="center"/>
              <w:rPr>
                <w:rFonts w:ascii="Times New Roman" w:eastAsia="Times New Roman" w:hAnsi="Times New Roman" w:cs="Times New Roman"/>
                <w:noProof/>
                <w:sz w:val="18"/>
                <w:szCs w:val="18"/>
              </w:rPr>
            </w:pPr>
            <w:r>
              <w:rPr>
                <w:rFonts w:ascii="Times New Roman" w:hAnsi="Times New Roman"/>
                <w:noProof/>
                <w:sz w:val="18"/>
              </w:rPr>
              <w:t>-</w:t>
            </w:r>
          </w:p>
        </w:tc>
        <w:tc>
          <w:tcPr>
            <w:tcW w:w="850" w:type="dxa"/>
            <w:shd w:val="clear" w:color="auto" w:fill="C5EDCE"/>
          </w:tcPr>
          <w:p w14:paraId="5A8AE3B2" w14:textId="77777777" w:rsidR="00740F0F" w:rsidRPr="0029070D" w:rsidRDefault="00100B64">
            <w:pPr>
              <w:ind w:left="24"/>
              <w:jc w:val="center"/>
              <w:rPr>
                <w:rFonts w:ascii="Times New Roman" w:eastAsia="Times New Roman" w:hAnsi="Times New Roman" w:cs="Times New Roman"/>
                <w:noProof/>
                <w:sz w:val="18"/>
                <w:szCs w:val="18"/>
              </w:rPr>
            </w:pPr>
            <w:r>
              <w:rPr>
                <w:rFonts w:ascii="Times New Roman" w:hAnsi="Times New Roman"/>
                <w:noProof/>
                <w:sz w:val="18"/>
              </w:rPr>
              <w:t>-</w:t>
            </w:r>
          </w:p>
        </w:tc>
        <w:tc>
          <w:tcPr>
            <w:tcW w:w="1134" w:type="dxa"/>
            <w:shd w:val="clear" w:color="auto" w:fill="C5EDCE"/>
          </w:tcPr>
          <w:p w14:paraId="5A8AE3B3" w14:textId="77777777" w:rsidR="00740F0F" w:rsidRPr="0029070D" w:rsidRDefault="00100B64">
            <w:pPr>
              <w:ind w:left="21"/>
              <w:jc w:val="center"/>
              <w:rPr>
                <w:rFonts w:ascii="Times New Roman" w:eastAsia="Times New Roman" w:hAnsi="Times New Roman" w:cs="Times New Roman"/>
                <w:noProof/>
                <w:sz w:val="18"/>
                <w:szCs w:val="18"/>
              </w:rPr>
            </w:pPr>
            <w:r>
              <w:rPr>
                <w:rFonts w:ascii="Times New Roman" w:hAnsi="Times New Roman"/>
                <w:noProof/>
                <w:sz w:val="18"/>
              </w:rPr>
              <w:t>-</w:t>
            </w:r>
          </w:p>
        </w:tc>
        <w:tc>
          <w:tcPr>
            <w:tcW w:w="851" w:type="dxa"/>
            <w:shd w:val="clear" w:color="auto" w:fill="C5EDCE"/>
          </w:tcPr>
          <w:p w14:paraId="5A8AE3B4" w14:textId="77777777" w:rsidR="00740F0F" w:rsidRPr="0029070D" w:rsidRDefault="00100B64">
            <w:pPr>
              <w:ind w:left="67" w:right="52"/>
              <w:jc w:val="center"/>
              <w:rPr>
                <w:rFonts w:ascii="Times New Roman" w:eastAsia="Times New Roman" w:hAnsi="Times New Roman" w:cs="Times New Roman"/>
                <w:noProof/>
                <w:sz w:val="18"/>
                <w:szCs w:val="18"/>
              </w:rPr>
            </w:pPr>
            <w:r>
              <w:rPr>
                <w:rFonts w:ascii="Times New Roman" w:hAnsi="Times New Roman"/>
                <w:noProof/>
                <w:sz w:val="18"/>
              </w:rPr>
              <w:t>T1</w:t>
            </w:r>
          </w:p>
        </w:tc>
        <w:tc>
          <w:tcPr>
            <w:tcW w:w="850" w:type="dxa"/>
            <w:shd w:val="clear" w:color="auto" w:fill="C5EDCE"/>
          </w:tcPr>
          <w:p w14:paraId="5A8AE3B5" w14:textId="77777777" w:rsidR="00740F0F" w:rsidRPr="0029070D" w:rsidRDefault="00100B64">
            <w:pPr>
              <w:ind w:left="156"/>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3954" w:type="dxa"/>
            <w:shd w:val="clear" w:color="auto" w:fill="C5EDCE"/>
          </w:tcPr>
          <w:p w14:paraId="5A8AE3B6" w14:textId="77777777" w:rsidR="00740F0F" w:rsidRPr="0029070D" w:rsidRDefault="00100B64" w:rsidP="009E7E07">
            <w:pPr>
              <w:ind w:left="57" w:right="57"/>
              <w:rPr>
                <w:rFonts w:ascii="Times New Roman" w:eastAsia="Times New Roman" w:hAnsi="Times New Roman" w:cs="Times New Roman"/>
                <w:noProof/>
                <w:sz w:val="18"/>
                <w:szCs w:val="18"/>
              </w:rPr>
            </w:pPr>
            <w:r>
              <w:rPr>
                <w:rFonts w:ascii="Times New Roman" w:hAnsi="Times New Roman"/>
                <w:noProof/>
                <w:sz w:val="18"/>
              </w:rPr>
              <w:t>Entrée en vigueur de la modification législative et de l’accord-cadre mettant en place la nouvelle gouvernance avec, notamment:</w:t>
            </w:r>
          </w:p>
          <w:p w14:paraId="5A8AE3B7" w14:textId="77777777" w:rsidR="00740F0F" w:rsidRPr="0029070D" w:rsidRDefault="00100B64">
            <w:pPr>
              <w:pStyle w:val="ListParagraph"/>
              <w:numPr>
                <w:ilvl w:val="0"/>
                <w:numId w:val="31"/>
              </w:numPr>
              <w:ind w:left="259" w:right="485" w:hanging="141"/>
              <w:rPr>
                <w:rFonts w:ascii="Times New Roman" w:eastAsia="Times New Roman" w:hAnsi="Times New Roman" w:cs="Times New Roman"/>
                <w:noProof/>
                <w:sz w:val="18"/>
                <w:szCs w:val="18"/>
              </w:rPr>
            </w:pPr>
            <w:r>
              <w:rPr>
                <w:rFonts w:ascii="Times New Roman" w:hAnsi="Times New Roman"/>
                <w:noProof/>
                <w:sz w:val="18"/>
              </w:rPr>
              <w:t>la mise en place d’un Conseil interministériel de l’innovation, qui réunit les ministres compétents autour du Premier ministre et décide des orientations et priorités de la politique de l’innovation;</w:t>
            </w:r>
          </w:p>
          <w:p w14:paraId="5A8AE3B8" w14:textId="77777777" w:rsidR="00740F0F" w:rsidRPr="0029070D" w:rsidRDefault="00100B64">
            <w:pPr>
              <w:pStyle w:val="ListParagraph"/>
              <w:numPr>
                <w:ilvl w:val="0"/>
                <w:numId w:val="31"/>
              </w:numPr>
              <w:ind w:left="259" w:right="485" w:hanging="141"/>
              <w:rPr>
                <w:rFonts w:ascii="Times New Roman" w:eastAsia="Times New Roman" w:hAnsi="Times New Roman" w:cs="Times New Roman"/>
                <w:noProof/>
                <w:sz w:val="18"/>
                <w:szCs w:val="18"/>
              </w:rPr>
            </w:pPr>
            <w:r>
              <w:rPr>
                <w:rFonts w:ascii="Times New Roman" w:hAnsi="Times New Roman"/>
                <w:noProof/>
                <w:sz w:val="18"/>
              </w:rPr>
              <w:t>l’élargissement des missions du Comité de surveillance des investissements d’avenir qui conseillera le Conseil interministériel de l’innovation dans l’élaboration des politiques d’innovation et donnera un avis consultatif sur l’identification de nouvelles priorités d’investissement</w:t>
            </w:r>
          </w:p>
        </w:tc>
      </w:tr>
      <w:tr w:rsidR="00C51A07" w:rsidRPr="0029070D" w14:paraId="5A8AE3C8" w14:textId="77777777" w:rsidTr="00FB041E">
        <w:trPr>
          <w:trHeight w:val="1953"/>
          <w:jc w:val="center"/>
        </w:trPr>
        <w:tc>
          <w:tcPr>
            <w:tcW w:w="1128" w:type="dxa"/>
            <w:shd w:val="clear" w:color="auto" w:fill="C5EDCE"/>
          </w:tcPr>
          <w:p w14:paraId="5A8AE3BA" w14:textId="77777777" w:rsidR="00740F0F" w:rsidRPr="0029070D" w:rsidRDefault="00100B64">
            <w:pPr>
              <w:ind w:left="369" w:right="346"/>
              <w:jc w:val="center"/>
              <w:rPr>
                <w:rFonts w:ascii="Times New Roman" w:eastAsia="Times New Roman" w:hAnsi="Times New Roman" w:cs="Times New Roman"/>
                <w:noProof/>
                <w:sz w:val="18"/>
                <w:szCs w:val="18"/>
              </w:rPr>
            </w:pPr>
            <w:r>
              <w:rPr>
                <w:rFonts w:ascii="Times New Roman" w:hAnsi="Times New Roman"/>
                <w:noProof/>
                <w:sz w:val="18"/>
              </w:rPr>
              <w:t>4-2</w:t>
            </w:r>
          </w:p>
        </w:tc>
        <w:tc>
          <w:tcPr>
            <w:tcW w:w="1277" w:type="dxa"/>
            <w:shd w:val="clear" w:color="auto" w:fill="C5EDCE"/>
          </w:tcPr>
          <w:p w14:paraId="5A8AE3BB" w14:textId="77777777" w:rsidR="00740F0F" w:rsidRPr="0029070D" w:rsidRDefault="00100B64">
            <w:pPr>
              <w:ind w:left="7"/>
              <w:jc w:val="center"/>
              <w:rPr>
                <w:rFonts w:ascii="Times New Roman" w:eastAsia="Times New Roman" w:hAnsi="Times New Roman" w:cs="Times New Roman"/>
                <w:noProof/>
                <w:sz w:val="18"/>
                <w:szCs w:val="18"/>
              </w:rPr>
            </w:pPr>
            <w:r>
              <w:rPr>
                <w:rFonts w:ascii="Times New Roman" w:hAnsi="Times New Roman"/>
                <w:noProof/>
                <w:sz w:val="18"/>
              </w:rPr>
              <w:t>C4.I1</w:t>
            </w:r>
          </w:p>
          <w:p w14:paraId="5A8AE3BC" w14:textId="77777777" w:rsidR="00740F0F" w:rsidRPr="0029070D" w:rsidRDefault="00100B64">
            <w:pPr>
              <w:ind w:left="7"/>
              <w:jc w:val="center"/>
              <w:rPr>
                <w:rFonts w:ascii="Times New Roman" w:eastAsia="Times New Roman" w:hAnsi="Times New Roman" w:cs="Times New Roman"/>
                <w:noProof/>
                <w:sz w:val="18"/>
                <w:szCs w:val="18"/>
              </w:rPr>
            </w:pPr>
            <w:r>
              <w:rPr>
                <w:rFonts w:ascii="Times New Roman" w:hAnsi="Times New Roman"/>
                <w:noProof/>
                <w:sz w:val="18"/>
              </w:rPr>
              <w:t>Innover pour la transition écologique</w:t>
            </w:r>
          </w:p>
        </w:tc>
        <w:tc>
          <w:tcPr>
            <w:tcW w:w="1134" w:type="dxa"/>
            <w:shd w:val="clear" w:color="auto" w:fill="C5EDCE"/>
          </w:tcPr>
          <w:p w14:paraId="5A8AE3BD" w14:textId="77777777" w:rsidR="00740F0F" w:rsidRPr="0029070D" w:rsidRDefault="00100B64">
            <w:pPr>
              <w:ind w:left="117"/>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985" w:type="dxa"/>
            <w:shd w:val="clear" w:color="auto" w:fill="C5EDCE"/>
          </w:tcPr>
          <w:p w14:paraId="5A8AE3BE" w14:textId="77777777" w:rsidR="00740F0F" w:rsidRPr="0029070D" w:rsidRDefault="00100B64">
            <w:pPr>
              <w:ind w:left="9" w:right="2"/>
              <w:rPr>
                <w:rFonts w:ascii="Times New Roman" w:eastAsia="Times New Roman" w:hAnsi="Times New Roman" w:cs="Times New Roman"/>
                <w:noProof/>
                <w:sz w:val="18"/>
                <w:szCs w:val="18"/>
              </w:rPr>
            </w:pPr>
            <w:r>
              <w:rPr>
                <w:rFonts w:ascii="Times New Roman" w:hAnsi="Times New Roman"/>
                <w:noProof/>
                <w:sz w:val="18"/>
              </w:rPr>
              <w:t>Nombre de stratégies d’accélération validées</w:t>
            </w:r>
          </w:p>
        </w:tc>
        <w:tc>
          <w:tcPr>
            <w:tcW w:w="1275" w:type="dxa"/>
            <w:shd w:val="clear" w:color="auto" w:fill="C5EDCE"/>
          </w:tcPr>
          <w:p w14:paraId="5A8AE3BF" w14:textId="77777777" w:rsidR="00740F0F" w:rsidRPr="0029070D" w:rsidRDefault="00100B64">
            <w:pPr>
              <w:ind w:left="119"/>
              <w:jc w:val="center"/>
              <w:rPr>
                <w:rFonts w:ascii="Times New Roman" w:eastAsia="Times New Roman" w:hAnsi="Times New Roman" w:cs="Times New Roman"/>
                <w:noProof/>
                <w:sz w:val="18"/>
                <w:szCs w:val="18"/>
              </w:rPr>
            </w:pPr>
            <w:r>
              <w:rPr>
                <w:rFonts w:ascii="Times New Roman" w:hAnsi="Times New Roman"/>
                <w:noProof/>
                <w:sz w:val="18"/>
              </w:rPr>
              <w:t>-</w:t>
            </w:r>
          </w:p>
        </w:tc>
        <w:tc>
          <w:tcPr>
            <w:tcW w:w="993" w:type="dxa"/>
            <w:shd w:val="clear" w:color="auto" w:fill="C5EDCE"/>
          </w:tcPr>
          <w:p w14:paraId="5A8AE3C0" w14:textId="77777777" w:rsidR="00740F0F" w:rsidRPr="0029070D" w:rsidRDefault="00100B64">
            <w:pPr>
              <w:ind w:left="11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850" w:type="dxa"/>
            <w:shd w:val="clear" w:color="auto" w:fill="C5EDCE"/>
          </w:tcPr>
          <w:p w14:paraId="5A8AE3C1" w14:textId="77777777" w:rsidR="00740F0F" w:rsidRPr="0029070D" w:rsidRDefault="00100B64">
            <w:pPr>
              <w:ind w:left="27"/>
              <w:jc w:val="center"/>
              <w:rPr>
                <w:rFonts w:ascii="Times New Roman" w:eastAsia="Times New Roman" w:hAnsi="Times New Roman" w:cs="Times New Roman"/>
                <w:noProof/>
                <w:sz w:val="18"/>
                <w:szCs w:val="18"/>
              </w:rPr>
            </w:pPr>
            <w:r>
              <w:rPr>
                <w:rFonts w:ascii="Times New Roman" w:hAnsi="Times New Roman"/>
                <w:noProof/>
                <w:sz w:val="18"/>
              </w:rPr>
              <w:t>0</w:t>
            </w:r>
          </w:p>
        </w:tc>
        <w:tc>
          <w:tcPr>
            <w:tcW w:w="1134" w:type="dxa"/>
            <w:shd w:val="clear" w:color="auto" w:fill="C5EDCE"/>
          </w:tcPr>
          <w:p w14:paraId="5A8AE3C2" w14:textId="77777777" w:rsidR="00740F0F" w:rsidRPr="0029070D" w:rsidRDefault="00100B64">
            <w:pPr>
              <w:ind w:left="24"/>
              <w:jc w:val="center"/>
              <w:rPr>
                <w:rFonts w:ascii="Times New Roman" w:eastAsia="Times New Roman" w:hAnsi="Times New Roman" w:cs="Times New Roman"/>
                <w:noProof/>
                <w:sz w:val="18"/>
                <w:szCs w:val="18"/>
              </w:rPr>
            </w:pPr>
            <w:r>
              <w:rPr>
                <w:rFonts w:ascii="Times New Roman" w:hAnsi="Times New Roman"/>
                <w:noProof/>
                <w:sz w:val="18"/>
              </w:rPr>
              <w:t>7</w:t>
            </w:r>
          </w:p>
        </w:tc>
        <w:tc>
          <w:tcPr>
            <w:tcW w:w="851" w:type="dxa"/>
            <w:shd w:val="clear" w:color="auto" w:fill="C5EDCE"/>
          </w:tcPr>
          <w:p w14:paraId="5A8AE3C3" w14:textId="77777777" w:rsidR="00740F0F" w:rsidRPr="0029070D" w:rsidRDefault="00100B64">
            <w:pPr>
              <w:ind w:left="67" w:right="52"/>
              <w:jc w:val="center"/>
              <w:rPr>
                <w:rFonts w:ascii="Times New Roman" w:eastAsia="Times New Roman" w:hAnsi="Times New Roman" w:cs="Times New Roman"/>
                <w:noProof/>
                <w:sz w:val="18"/>
                <w:szCs w:val="18"/>
              </w:rPr>
            </w:pPr>
            <w:r>
              <w:rPr>
                <w:rFonts w:ascii="Times New Roman" w:hAnsi="Times New Roman"/>
                <w:noProof/>
                <w:sz w:val="18"/>
              </w:rPr>
              <w:t>T4</w:t>
            </w:r>
          </w:p>
        </w:tc>
        <w:tc>
          <w:tcPr>
            <w:tcW w:w="850" w:type="dxa"/>
            <w:shd w:val="clear" w:color="auto" w:fill="C5EDCE"/>
          </w:tcPr>
          <w:p w14:paraId="5A8AE3C4" w14:textId="77777777" w:rsidR="00740F0F" w:rsidRPr="0029070D" w:rsidRDefault="00100B64">
            <w:pPr>
              <w:ind w:left="156"/>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3954" w:type="dxa"/>
            <w:shd w:val="clear" w:color="auto" w:fill="C5EDCE"/>
          </w:tcPr>
          <w:p w14:paraId="5A8AE3C5" w14:textId="77777777" w:rsidR="00740F0F" w:rsidRPr="0029070D" w:rsidRDefault="00100B64" w:rsidP="009E7E07">
            <w:pPr>
              <w:ind w:left="57" w:right="57"/>
              <w:rPr>
                <w:rFonts w:ascii="Times New Roman" w:eastAsia="Times New Roman" w:hAnsi="Times New Roman" w:cs="Times New Roman"/>
                <w:noProof/>
                <w:sz w:val="18"/>
                <w:szCs w:val="18"/>
              </w:rPr>
            </w:pPr>
            <w:r>
              <w:rPr>
                <w:rFonts w:ascii="Times New Roman" w:hAnsi="Times New Roman"/>
                <w:noProof/>
                <w:sz w:val="18"/>
              </w:rPr>
              <w:t>Nombre de stratégies d’accélération validées (hydrogène décarboné, décarbonation de l’industrie, systèmes agricoles durables, recyclage et réincorporation de matériaux recyclés, villes durables et bâtiments innovants,</w:t>
            </w:r>
          </w:p>
          <w:p w14:paraId="5A8AE3C6" w14:textId="77777777" w:rsidR="00740F0F" w:rsidRPr="0029070D" w:rsidRDefault="00100B64" w:rsidP="009E7E07">
            <w:pPr>
              <w:ind w:left="57" w:right="57"/>
              <w:rPr>
                <w:rFonts w:ascii="Times New Roman" w:eastAsia="Times New Roman" w:hAnsi="Times New Roman" w:cs="Times New Roman"/>
                <w:noProof/>
                <w:sz w:val="18"/>
                <w:szCs w:val="18"/>
              </w:rPr>
            </w:pPr>
            <w:r>
              <w:rPr>
                <w:rFonts w:ascii="Times New Roman" w:hAnsi="Times New Roman"/>
                <w:noProof/>
                <w:sz w:val="18"/>
              </w:rPr>
              <w:t>numérisation et décarbonation des mobilités,</w:t>
            </w:r>
          </w:p>
          <w:p w14:paraId="5A8AE3C7" w14:textId="77777777" w:rsidR="00740F0F" w:rsidRPr="0029070D" w:rsidRDefault="00100B64" w:rsidP="009E7E07">
            <w:pPr>
              <w:ind w:left="57" w:right="57"/>
              <w:rPr>
                <w:rFonts w:ascii="Times New Roman" w:eastAsia="Times New Roman" w:hAnsi="Times New Roman" w:cs="Times New Roman"/>
                <w:noProof/>
                <w:sz w:val="18"/>
                <w:szCs w:val="18"/>
              </w:rPr>
            </w:pPr>
            <w:r>
              <w:rPr>
                <w:rFonts w:ascii="Times New Roman" w:hAnsi="Times New Roman"/>
                <w:noProof/>
                <w:sz w:val="18"/>
              </w:rPr>
              <w:t>produits biosourcés et biotechnologies industrielles – carburants durables).</w:t>
            </w:r>
          </w:p>
        </w:tc>
      </w:tr>
      <w:tr w:rsidR="00C51A07" w:rsidRPr="0029070D" w14:paraId="5A8AE3D6" w14:textId="77777777" w:rsidTr="00FB041E">
        <w:trPr>
          <w:trHeight w:val="1512"/>
          <w:jc w:val="center"/>
        </w:trPr>
        <w:tc>
          <w:tcPr>
            <w:tcW w:w="1128" w:type="dxa"/>
            <w:shd w:val="clear" w:color="auto" w:fill="C5EDCE"/>
          </w:tcPr>
          <w:p w14:paraId="5A8AE3C9" w14:textId="77777777" w:rsidR="00740F0F" w:rsidRPr="0029070D" w:rsidRDefault="00100B64">
            <w:pPr>
              <w:ind w:left="369" w:right="346"/>
              <w:jc w:val="center"/>
              <w:rPr>
                <w:rFonts w:ascii="Times New Roman" w:eastAsia="Times New Roman" w:hAnsi="Times New Roman" w:cs="Times New Roman"/>
                <w:noProof/>
                <w:sz w:val="18"/>
                <w:szCs w:val="18"/>
              </w:rPr>
            </w:pPr>
            <w:r>
              <w:rPr>
                <w:rFonts w:ascii="Times New Roman" w:hAnsi="Times New Roman"/>
                <w:noProof/>
                <w:sz w:val="18"/>
              </w:rPr>
              <w:t>4-3</w:t>
            </w:r>
          </w:p>
        </w:tc>
        <w:tc>
          <w:tcPr>
            <w:tcW w:w="1277" w:type="dxa"/>
            <w:shd w:val="clear" w:color="auto" w:fill="C5EDCE"/>
          </w:tcPr>
          <w:p w14:paraId="5A8AE3CA" w14:textId="77777777" w:rsidR="00740F0F" w:rsidRPr="0029070D" w:rsidRDefault="00100B64">
            <w:pPr>
              <w:ind w:left="103"/>
              <w:jc w:val="center"/>
              <w:rPr>
                <w:rFonts w:ascii="Times New Roman" w:eastAsia="Times New Roman" w:hAnsi="Times New Roman" w:cs="Times New Roman"/>
                <w:noProof/>
                <w:sz w:val="18"/>
                <w:szCs w:val="18"/>
              </w:rPr>
            </w:pPr>
            <w:r>
              <w:rPr>
                <w:rFonts w:ascii="Times New Roman" w:hAnsi="Times New Roman"/>
                <w:noProof/>
                <w:sz w:val="18"/>
              </w:rPr>
              <w:t>C4.I1</w:t>
            </w:r>
          </w:p>
          <w:p w14:paraId="5A8AE3CB" w14:textId="77777777" w:rsidR="00740F0F" w:rsidRPr="0029070D" w:rsidRDefault="00100B64">
            <w:pPr>
              <w:ind w:left="103"/>
              <w:jc w:val="center"/>
              <w:rPr>
                <w:rFonts w:ascii="Times New Roman" w:eastAsia="Times New Roman" w:hAnsi="Times New Roman" w:cs="Times New Roman"/>
                <w:noProof/>
                <w:sz w:val="18"/>
                <w:szCs w:val="18"/>
              </w:rPr>
            </w:pPr>
            <w:r>
              <w:rPr>
                <w:rFonts w:ascii="Times New Roman" w:hAnsi="Times New Roman"/>
                <w:noProof/>
                <w:sz w:val="18"/>
              </w:rPr>
              <w:t>Innover pour la transition écologique</w:t>
            </w:r>
          </w:p>
        </w:tc>
        <w:tc>
          <w:tcPr>
            <w:tcW w:w="1134" w:type="dxa"/>
            <w:shd w:val="clear" w:color="auto" w:fill="C5EDCE"/>
          </w:tcPr>
          <w:p w14:paraId="5A8AE3CC" w14:textId="77777777" w:rsidR="00740F0F" w:rsidRPr="0029070D" w:rsidRDefault="00100B64">
            <w:pPr>
              <w:ind w:left="117"/>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985" w:type="dxa"/>
            <w:shd w:val="clear" w:color="auto" w:fill="C5EDCE"/>
          </w:tcPr>
          <w:p w14:paraId="5A8AE3CD" w14:textId="77777777" w:rsidR="00740F0F" w:rsidRPr="0029070D" w:rsidRDefault="00100B64">
            <w:pPr>
              <w:ind w:left="9" w:right="2"/>
              <w:rPr>
                <w:rFonts w:ascii="Times New Roman" w:eastAsia="Times New Roman" w:hAnsi="Times New Roman" w:cs="Times New Roman"/>
                <w:noProof/>
                <w:sz w:val="18"/>
                <w:szCs w:val="18"/>
              </w:rPr>
            </w:pPr>
            <w:r>
              <w:rPr>
                <w:rFonts w:ascii="Times New Roman" w:hAnsi="Times New Roman"/>
                <w:noProof/>
                <w:sz w:val="18"/>
              </w:rPr>
              <w:t>Lancement d’appels à propositions ou à manifestation d’intérêt</w:t>
            </w:r>
          </w:p>
        </w:tc>
        <w:tc>
          <w:tcPr>
            <w:tcW w:w="1275" w:type="dxa"/>
            <w:shd w:val="clear" w:color="auto" w:fill="C5EDCE"/>
          </w:tcPr>
          <w:p w14:paraId="5A8AE3CE" w14:textId="77777777" w:rsidR="00740F0F" w:rsidRPr="009447E5" w:rsidRDefault="00100B64">
            <w:pPr>
              <w:ind w:left="-2"/>
              <w:rPr>
                <w:rFonts w:ascii="Times New Roman" w:eastAsia="Times New Roman" w:hAnsi="Times New Roman" w:cs="Times New Roman"/>
                <w:noProof/>
                <w:sz w:val="18"/>
                <w:szCs w:val="18"/>
              </w:rPr>
            </w:pPr>
            <w:r>
              <w:rPr>
                <w:rFonts w:ascii="Times New Roman" w:hAnsi="Times New Roman"/>
                <w:noProof/>
                <w:sz w:val="18"/>
              </w:rPr>
              <w:t>Publication sur le site web du secrétariat général pour l’investissement (SGPI)</w:t>
            </w:r>
          </w:p>
        </w:tc>
        <w:tc>
          <w:tcPr>
            <w:tcW w:w="993" w:type="dxa"/>
            <w:shd w:val="clear" w:color="auto" w:fill="C5EDCE"/>
          </w:tcPr>
          <w:p w14:paraId="5A8AE3CF" w14:textId="77777777" w:rsidR="00740F0F" w:rsidRPr="0029070D" w:rsidRDefault="00100B64">
            <w:pPr>
              <w:jc w:val="center"/>
              <w:rPr>
                <w:rFonts w:ascii="Times New Roman" w:eastAsia="Times New Roman" w:hAnsi="Times New Roman" w:cs="Times New Roman"/>
                <w:noProof/>
                <w:sz w:val="18"/>
                <w:szCs w:val="18"/>
              </w:rPr>
            </w:pPr>
            <w:r>
              <w:rPr>
                <w:rFonts w:ascii="Times New Roman" w:hAnsi="Times New Roman"/>
                <w:noProof/>
                <w:sz w:val="18"/>
              </w:rPr>
              <w:t>-</w:t>
            </w:r>
          </w:p>
        </w:tc>
        <w:tc>
          <w:tcPr>
            <w:tcW w:w="850" w:type="dxa"/>
            <w:shd w:val="clear" w:color="auto" w:fill="C5EDCE"/>
          </w:tcPr>
          <w:p w14:paraId="5A8AE3D0" w14:textId="77777777" w:rsidR="00740F0F" w:rsidRPr="0029070D" w:rsidRDefault="00100B64">
            <w:pPr>
              <w:ind w:left="24"/>
              <w:jc w:val="center"/>
              <w:rPr>
                <w:rFonts w:ascii="Times New Roman" w:eastAsia="Times New Roman" w:hAnsi="Times New Roman" w:cs="Times New Roman"/>
                <w:noProof/>
                <w:sz w:val="18"/>
                <w:szCs w:val="18"/>
              </w:rPr>
            </w:pPr>
            <w:r>
              <w:rPr>
                <w:rFonts w:ascii="Times New Roman" w:hAnsi="Times New Roman"/>
                <w:noProof/>
                <w:sz w:val="18"/>
              </w:rPr>
              <w:t>-</w:t>
            </w:r>
          </w:p>
        </w:tc>
        <w:tc>
          <w:tcPr>
            <w:tcW w:w="1134" w:type="dxa"/>
            <w:shd w:val="clear" w:color="auto" w:fill="C5EDCE"/>
          </w:tcPr>
          <w:p w14:paraId="5A8AE3D1" w14:textId="77777777" w:rsidR="00740F0F" w:rsidRPr="0029070D" w:rsidRDefault="00100B64">
            <w:pPr>
              <w:ind w:left="21"/>
              <w:jc w:val="center"/>
              <w:rPr>
                <w:rFonts w:ascii="Times New Roman" w:eastAsia="Times New Roman" w:hAnsi="Times New Roman" w:cs="Times New Roman"/>
                <w:noProof/>
                <w:sz w:val="18"/>
                <w:szCs w:val="18"/>
              </w:rPr>
            </w:pPr>
            <w:r>
              <w:rPr>
                <w:rFonts w:ascii="Times New Roman" w:hAnsi="Times New Roman"/>
                <w:noProof/>
                <w:sz w:val="18"/>
              </w:rPr>
              <w:t>-</w:t>
            </w:r>
          </w:p>
        </w:tc>
        <w:tc>
          <w:tcPr>
            <w:tcW w:w="851" w:type="dxa"/>
            <w:shd w:val="clear" w:color="auto" w:fill="C5EDCE"/>
          </w:tcPr>
          <w:p w14:paraId="5A8AE3D2" w14:textId="77777777" w:rsidR="00740F0F" w:rsidRPr="0029070D" w:rsidRDefault="00100B64">
            <w:pPr>
              <w:ind w:left="67" w:right="52"/>
              <w:jc w:val="center"/>
              <w:rPr>
                <w:rFonts w:ascii="Times New Roman" w:eastAsia="Times New Roman" w:hAnsi="Times New Roman" w:cs="Times New Roman"/>
                <w:noProof/>
                <w:sz w:val="18"/>
                <w:szCs w:val="18"/>
              </w:rPr>
            </w:pPr>
            <w:r>
              <w:rPr>
                <w:rFonts w:ascii="Times New Roman" w:hAnsi="Times New Roman"/>
                <w:noProof/>
                <w:sz w:val="18"/>
              </w:rPr>
              <w:t>T4</w:t>
            </w:r>
          </w:p>
        </w:tc>
        <w:tc>
          <w:tcPr>
            <w:tcW w:w="850" w:type="dxa"/>
            <w:shd w:val="clear" w:color="auto" w:fill="C5EDCE"/>
          </w:tcPr>
          <w:p w14:paraId="5A8AE3D3" w14:textId="77777777" w:rsidR="00740F0F" w:rsidRPr="0029070D" w:rsidRDefault="00100B64">
            <w:pPr>
              <w:ind w:left="156"/>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3954" w:type="dxa"/>
            <w:shd w:val="clear" w:color="auto" w:fill="C5EDCE"/>
          </w:tcPr>
          <w:p w14:paraId="5A8AE3D4" w14:textId="77777777" w:rsidR="00740F0F" w:rsidRPr="0029070D" w:rsidRDefault="00100B64">
            <w:pPr>
              <w:ind w:right="225"/>
              <w:rPr>
                <w:rFonts w:ascii="Times New Roman" w:eastAsia="Times New Roman" w:hAnsi="Times New Roman" w:cs="Times New Roman"/>
                <w:noProof/>
                <w:sz w:val="18"/>
                <w:szCs w:val="18"/>
              </w:rPr>
            </w:pPr>
            <w:r>
              <w:rPr>
                <w:rFonts w:ascii="Times New Roman" w:hAnsi="Times New Roman"/>
                <w:noProof/>
                <w:sz w:val="18"/>
              </w:rPr>
              <w:t>Lancement de tous les appels à propositions ou à manifestation d’intérêt au titre de cette mesure pour les stratégies adoptées dans le cadre de la cible 4-2,</w:t>
            </w:r>
          </w:p>
          <w:p w14:paraId="5A8AE3D5" w14:textId="77777777" w:rsidR="00740F0F" w:rsidRPr="0029070D" w:rsidRDefault="00100B64">
            <w:pPr>
              <w:ind w:right="362"/>
              <w:rPr>
                <w:rFonts w:ascii="Times New Roman" w:eastAsia="Times New Roman" w:hAnsi="Times New Roman" w:cs="Times New Roman"/>
                <w:noProof/>
                <w:sz w:val="18"/>
                <w:szCs w:val="18"/>
              </w:rPr>
            </w:pPr>
            <w:r>
              <w:rPr>
                <w:rFonts w:ascii="Times New Roman" w:hAnsi="Times New Roman"/>
                <w:noProof/>
                <w:sz w:val="18"/>
              </w:rPr>
              <w:t>avec des cahiers des charges intégrant un critère d’éligibilité permettant d’assurer la neutralité environnementale des applications de la solution financée.</w:t>
            </w:r>
          </w:p>
        </w:tc>
      </w:tr>
      <w:tr w:rsidR="00C51A07" w:rsidRPr="0029070D" w14:paraId="5A8AE3E3" w14:textId="77777777" w:rsidTr="00FB041E">
        <w:trPr>
          <w:trHeight w:val="1480"/>
          <w:jc w:val="center"/>
        </w:trPr>
        <w:tc>
          <w:tcPr>
            <w:tcW w:w="1128" w:type="dxa"/>
            <w:shd w:val="clear" w:color="auto" w:fill="C5EDCE"/>
          </w:tcPr>
          <w:p w14:paraId="5A8AE3D7" w14:textId="77777777" w:rsidR="00740F0F" w:rsidRPr="0029070D" w:rsidRDefault="00100B64">
            <w:pPr>
              <w:ind w:left="369" w:right="346"/>
              <w:jc w:val="center"/>
              <w:rPr>
                <w:rFonts w:ascii="Times New Roman" w:eastAsia="Times New Roman" w:hAnsi="Times New Roman" w:cs="Times New Roman"/>
                <w:noProof/>
                <w:sz w:val="18"/>
                <w:szCs w:val="18"/>
              </w:rPr>
            </w:pPr>
            <w:r>
              <w:rPr>
                <w:rFonts w:ascii="Times New Roman" w:hAnsi="Times New Roman"/>
                <w:noProof/>
                <w:sz w:val="18"/>
              </w:rPr>
              <w:t>4-4</w:t>
            </w:r>
          </w:p>
        </w:tc>
        <w:tc>
          <w:tcPr>
            <w:tcW w:w="1277" w:type="dxa"/>
            <w:shd w:val="clear" w:color="auto" w:fill="C5EDCE"/>
          </w:tcPr>
          <w:p w14:paraId="5A8AE3D8" w14:textId="77777777" w:rsidR="00740F0F" w:rsidRPr="0029070D" w:rsidRDefault="00100B64">
            <w:pPr>
              <w:ind w:left="103"/>
              <w:jc w:val="center"/>
              <w:rPr>
                <w:rFonts w:ascii="Times New Roman" w:eastAsia="Times New Roman" w:hAnsi="Times New Roman" w:cs="Times New Roman"/>
                <w:noProof/>
                <w:sz w:val="18"/>
                <w:szCs w:val="18"/>
              </w:rPr>
            </w:pPr>
            <w:r>
              <w:rPr>
                <w:rFonts w:ascii="Times New Roman" w:hAnsi="Times New Roman"/>
                <w:noProof/>
                <w:sz w:val="18"/>
              </w:rPr>
              <w:t>C4.I1</w:t>
            </w:r>
          </w:p>
          <w:p w14:paraId="5A8AE3D9" w14:textId="77777777" w:rsidR="00740F0F" w:rsidRPr="0029070D" w:rsidRDefault="00100B64">
            <w:pPr>
              <w:ind w:left="103" w:right="80"/>
              <w:jc w:val="center"/>
              <w:rPr>
                <w:rFonts w:ascii="Times New Roman" w:eastAsia="Times New Roman" w:hAnsi="Times New Roman" w:cs="Times New Roman"/>
                <w:noProof/>
                <w:sz w:val="18"/>
                <w:szCs w:val="18"/>
              </w:rPr>
            </w:pPr>
            <w:r>
              <w:rPr>
                <w:rFonts w:ascii="Times New Roman" w:hAnsi="Times New Roman"/>
                <w:noProof/>
                <w:sz w:val="18"/>
              </w:rPr>
              <w:t>Innover pour la transition écologique</w:t>
            </w:r>
          </w:p>
        </w:tc>
        <w:tc>
          <w:tcPr>
            <w:tcW w:w="1134" w:type="dxa"/>
            <w:shd w:val="clear" w:color="auto" w:fill="C5EDCE"/>
          </w:tcPr>
          <w:p w14:paraId="5A8AE3DA" w14:textId="77777777" w:rsidR="00740F0F" w:rsidRPr="0029070D" w:rsidRDefault="00100B64">
            <w:pPr>
              <w:ind w:left="117"/>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985" w:type="dxa"/>
            <w:shd w:val="clear" w:color="auto" w:fill="C5EDCE"/>
          </w:tcPr>
          <w:p w14:paraId="5A8AE3DB" w14:textId="77777777" w:rsidR="00740F0F" w:rsidRPr="0029070D" w:rsidRDefault="00100B64">
            <w:pPr>
              <w:ind w:left="9" w:right="144"/>
              <w:jc w:val="both"/>
              <w:rPr>
                <w:rFonts w:ascii="Times New Roman" w:eastAsia="Times New Roman" w:hAnsi="Times New Roman" w:cs="Times New Roman"/>
                <w:noProof/>
                <w:sz w:val="18"/>
                <w:szCs w:val="18"/>
              </w:rPr>
            </w:pPr>
            <w:r>
              <w:rPr>
                <w:rFonts w:ascii="Times New Roman" w:hAnsi="Times New Roman"/>
                <w:noProof/>
                <w:sz w:val="18"/>
              </w:rPr>
              <w:t>Attribution des marchés – décision d’exécution du Premier ministre</w:t>
            </w:r>
          </w:p>
        </w:tc>
        <w:tc>
          <w:tcPr>
            <w:tcW w:w="1275" w:type="dxa"/>
            <w:shd w:val="clear" w:color="auto" w:fill="C5EDCE"/>
          </w:tcPr>
          <w:p w14:paraId="5A8AE3DC" w14:textId="14B2A949" w:rsidR="00740F0F" w:rsidRPr="009447E5" w:rsidRDefault="00100B64">
            <w:pPr>
              <w:ind w:left="-2" w:right="169"/>
              <w:rPr>
                <w:rFonts w:ascii="Times New Roman" w:eastAsia="Times New Roman" w:hAnsi="Times New Roman" w:cs="Times New Roman"/>
                <w:noProof/>
                <w:sz w:val="18"/>
                <w:szCs w:val="18"/>
              </w:rPr>
            </w:pPr>
            <w:r>
              <w:rPr>
                <w:rFonts w:ascii="Times New Roman" w:hAnsi="Times New Roman"/>
                <w:noProof/>
                <w:sz w:val="18"/>
              </w:rPr>
              <w:t>Rapport du secrétariat général pour l’Investissement (SGPI)</w:t>
            </w:r>
          </w:p>
        </w:tc>
        <w:tc>
          <w:tcPr>
            <w:tcW w:w="993" w:type="dxa"/>
            <w:shd w:val="clear" w:color="auto" w:fill="C5EDCE"/>
          </w:tcPr>
          <w:p w14:paraId="5A8AE3DD" w14:textId="77777777" w:rsidR="00740F0F" w:rsidRPr="0029070D" w:rsidRDefault="00100B64">
            <w:pPr>
              <w:jc w:val="center"/>
              <w:rPr>
                <w:rFonts w:ascii="Times New Roman" w:eastAsia="Times New Roman" w:hAnsi="Times New Roman" w:cs="Times New Roman"/>
                <w:noProof/>
                <w:sz w:val="18"/>
                <w:szCs w:val="18"/>
              </w:rPr>
            </w:pPr>
            <w:r>
              <w:rPr>
                <w:rFonts w:ascii="Times New Roman" w:hAnsi="Times New Roman"/>
                <w:noProof/>
                <w:sz w:val="18"/>
              </w:rPr>
              <w:t>-</w:t>
            </w:r>
          </w:p>
        </w:tc>
        <w:tc>
          <w:tcPr>
            <w:tcW w:w="850" w:type="dxa"/>
            <w:shd w:val="clear" w:color="auto" w:fill="C5EDCE"/>
          </w:tcPr>
          <w:p w14:paraId="5A8AE3DE" w14:textId="77777777" w:rsidR="00740F0F" w:rsidRPr="0029070D" w:rsidRDefault="00100B64">
            <w:pPr>
              <w:ind w:left="24"/>
              <w:jc w:val="center"/>
              <w:rPr>
                <w:rFonts w:ascii="Times New Roman" w:eastAsia="Times New Roman" w:hAnsi="Times New Roman" w:cs="Times New Roman"/>
                <w:noProof/>
                <w:sz w:val="18"/>
                <w:szCs w:val="18"/>
              </w:rPr>
            </w:pPr>
            <w:r>
              <w:rPr>
                <w:rFonts w:ascii="Times New Roman" w:hAnsi="Times New Roman"/>
                <w:noProof/>
                <w:sz w:val="18"/>
              </w:rPr>
              <w:t>-</w:t>
            </w:r>
          </w:p>
        </w:tc>
        <w:tc>
          <w:tcPr>
            <w:tcW w:w="1134" w:type="dxa"/>
            <w:shd w:val="clear" w:color="auto" w:fill="C5EDCE"/>
          </w:tcPr>
          <w:p w14:paraId="5A8AE3DF" w14:textId="77777777" w:rsidR="00740F0F" w:rsidRPr="0029070D" w:rsidRDefault="00100B64">
            <w:pPr>
              <w:ind w:left="21"/>
              <w:jc w:val="center"/>
              <w:rPr>
                <w:rFonts w:ascii="Times New Roman" w:eastAsia="Times New Roman" w:hAnsi="Times New Roman" w:cs="Times New Roman"/>
                <w:noProof/>
                <w:sz w:val="18"/>
                <w:szCs w:val="18"/>
              </w:rPr>
            </w:pPr>
            <w:r>
              <w:rPr>
                <w:rFonts w:ascii="Times New Roman" w:hAnsi="Times New Roman"/>
                <w:noProof/>
                <w:sz w:val="18"/>
              </w:rPr>
              <w:t>-</w:t>
            </w:r>
          </w:p>
        </w:tc>
        <w:tc>
          <w:tcPr>
            <w:tcW w:w="851" w:type="dxa"/>
            <w:shd w:val="clear" w:color="auto" w:fill="C5EDCE"/>
          </w:tcPr>
          <w:p w14:paraId="5A8AE3E0" w14:textId="77777777" w:rsidR="00740F0F" w:rsidRPr="0029070D" w:rsidRDefault="00100B64">
            <w:pPr>
              <w:ind w:left="67" w:right="52"/>
              <w:jc w:val="center"/>
              <w:rPr>
                <w:rFonts w:ascii="Times New Roman" w:eastAsia="Times New Roman" w:hAnsi="Times New Roman" w:cs="Times New Roman"/>
                <w:noProof/>
                <w:sz w:val="18"/>
                <w:szCs w:val="18"/>
              </w:rPr>
            </w:pPr>
            <w:r>
              <w:rPr>
                <w:rFonts w:ascii="Times New Roman" w:hAnsi="Times New Roman"/>
                <w:noProof/>
                <w:sz w:val="18"/>
              </w:rPr>
              <w:t>T4</w:t>
            </w:r>
          </w:p>
        </w:tc>
        <w:tc>
          <w:tcPr>
            <w:tcW w:w="850" w:type="dxa"/>
            <w:shd w:val="clear" w:color="auto" w:fill="C5EDCE"/>
          </w:tcPr>
          <w:p w14:paraId="5A8AE3E1" w14:textId="77777777" w:rsidR="00740F0F" w:rsidRPr="0029070D" w:rsidRDefault="00100B64">
            <w:pPr>
              <w:ind w:left="156"/>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3954" w:type="dxa"/>
            <w:shd w:val="clear" w:color="auto" w:fill="C5EDCE"/>
          </w:tcPr>
          <w:p w14:paraId="5A8AE3E2" w14:textId="77777777" w:rsidR="00740F0F" w:rsidRPr="0029070D" w:rsidRDefault="00100B64">
            <w:pPr>
              <w:ind w:right="54"/>
              <w:rPr>
                <w:rFonts w:ascii="Times New Roman" w:eastAsia="Times New Roman" w:hAnsi="Times New Roman" w:cs="Times New Roman"/>
                <w:noProof/>
                <w:sz w:val="18"/>
                <w:szCs w:val="18"/>
              </w:rPr>
            </w:pPr>
            <w:r>
              <w:rPr>
                <w:rFonts w:ascii="Times New Roman" w:hAnsi="Times New Roman"/>
                <w:noProof/>
                <w:sz w:val="18"/>
              </w:rPr>
              <w:t>Décision d’exécution du Premier ministre à l’issue des appels à propositions/appels à manifestation d’intérêt lancés dans le cadre du jalon 4-3; en vue de permettre la contractualisation avec les bénéficiaires au moyen de conventions ou d’autres contrats d’octroi de fonds.</w:t>
            </w:r>
          </w:p>
        </w:tc>
      </w:tr>
      <w:tr w:rsidR="00C51A07" w:rsidRPr="0029070D" w14:paraId="5A8AE3F0" w14:textId="77777777" w:rsidTr="00FB041E">
        <w:trPr>
          <w:trHeight w:val="1234"/>
          <w:jc w:val="center"/>
        </w:trPr>
        <w:tc>
          <w:tcPr>
            <w:tcW w:w="1128" w:type="dxa"/>
            <w:shd w:val="clear" w:color="auto" w:fill="C5EDCE"/>
          </w:tcPr>
          <w:p w14:paraId="5A8AE3E4" w14:textId="77777777" w:rsidR="00740F0F" w:rsidRPr="0029070D" w:rsidRDefault="00100B64">
            <w:pPr>
              <w:spacing w:before="117"/>
              <w:ind w:right="423"/>
              <w:jc w:val="right"/>
              <w:rPr>
                <w:rFonts w:ascii="Times New Roman" w:eastAsia="Times New Roman" w:hAnsi="Times New Roman" w:cs="Times New Roman"/>
                <w:noProof/>
                <w:sz w:val="18"/>
                <w:szCs w:val="18"/>
              </w:rPr>
            </w:pPr>
            <w:r>
              <w:rPr>
                <w:rFonts w:ascii="Times New Roman" w:hAnsi="Times New Roman"/>
                <w:noProof/>
                <w:sz w:val="18"/>
              </w:rPr>
              <w:t>4-8</w:t>
            </w:r>
          </w:p>
        </w:tc>
        <w:tc>
          <w:tcPr>
            <w:tcW w:w="1277" w:type="dxa"/>
            <w:shd w:val="clear" w:color="auto" w:fill="C5EDCE"/>
          </w:tcPr>
          <w:p w14:paraId="5A8AE3E5" w14:textId="77777777" w:rsidR="00740F0F" w:rsidRPr="0029070D" w:rsidRDefault="00100B64">
            <w:pPr>
              <w:ind w:left="103"/>
              <w:jc w:val="center"/>
              <w:rPr>
                <w:rFonts w:ascii="Times New Roman" w:eastAsia="Times New Roman" w:hAnsi="Times New Roman" w:cs="Times New Roman"/>
                <w:noProof/>
                <w:sz w:val="18"/>
                <w:szCs w:val="18"/>
              </w:rPr>
            </w:pPr>
            <w:r>
              <w:rPr>
                <w:rFonts w:ascii="Times New Roman" w:hAnsi="Times New Roman"/>
                <w:noProof/>
                <w:sz w:val="18"/>
              </w:rPr>
              <w:t>C4.I2</w:t>
            </w:r>
          </w:p>
          <w:p w14:paraId="5A8AE3E6" w14:textId="77777777" w:rsidR="00740F0F" w:rsidRPr="0029070D" w:rsidRDefault="00100B64">
            <w:pPr>
              <w:ind w:left="103"/>
              <w:jc w:val="center"/>
              <w:rPr>
                <w:rFonts w:ascii="Times New Roman" w:eastAsia="Times New Roman" w:hAnsi="Times New Roman" w:cs="Times New Roman"/>
                <w:noProof/>
                <w:sz w:val="18"/>
                <w:szCs w:val="18"/>
              </w:rPr>
            </w:pPr>
            <w:r>
              <w:rPr>
                <w:rFonts w:ascii="Times New Roman" w:hAnsi="Times New Roman"/>
                <w:noProof/>
                <w:sz w:val="18"/>
              </w:rPr>
              <w:t>Développer l’hydrogène décarboné</w:t>
            </w:r>
          </w:p>
        </w:tc>
        <w:tc>
          <w:tcPr>
            <w:tcW w:w="1134" w:type="dxa"/>
            <w:shd w:val="clear" w:color="auto" w:fill="C5EDCE"/>
          </w:tcPr>
          <w:p w14:paraId="5A8AE3E7" w14:textId="77777777" w:rsidR="00740F0F" w:rsidRPr="0029070D" w:rsidRDefault="00100B64">
            <w:pPr>
              <w:ind w:left="117"/>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985" w:type="dxa"/>
            <w:shd w:val="clear" w:color="auto" w:fill="C5EDCE"/>
          </w:tcPr>
          <w:p w14:paraId="5A8AE3E8" w14:textId="77777777" w:rsidR="00740F0F" w:rsidRPr="0029070D" w:rsidRDefault="00100B64">
            <w:pPr>
              <w:ind w:left="9" w:right="2"/>
              <w:rPr>
                <w:rFonts w:ascii="Times New Roman" w:eastAsia="Times New Roman" w:hAnsi="Times New Roman" w:cs="Times New Roman"/>
                <w:noProof/>
                <w:sz w:val="18"/>
                <w:szCs w:val="18"/>
              </w:rPr>
            </w:pPr>
            <w:r>
              <w:rPr>
                <w:rFonts w:ascii="Times New Roman" w:hAnsi="Times New Roman"/>
                <w:noProof/>
                <w:sz w:val="18"/>
              </w:rPr>
              <w:t>Signature de la décision d’attribuer un soutien financier aux promoteurs privés dans le cadre du PIIEC sur l’hydrogène</w:t>
            </w:r>
          </w:p>
        </w:tc>
        <w:tc>
          <w:tcPr>
            <w:tcW w:w="1275" w:type="dxa"/>
            <w:shd w:val="clear" w:color="auto" w:fill="C5EDCE"/>
          </w:tcPr>
          <w:p w14:paraId="5A8AE3E9" w14:textId="77777777" w:rsidR="00740F0F" w:rsidRPr="0029070D" w:rsidRDefault="00100B64">
            <w:pPr>
              <w:ind w:left="-2" w:right="13"/>
              <w:rPr>
                <w:rFonts w:ascii="Times New Roman" w:eastAsia="Times New Roman" w:hAnsi="Times New Roman" w:cs="Times New Roman"/>
                <w:noProof/>
                <w:sz w:val="18"/>
                <w:szCs w:val="18"/>
              </w:rPr>
            </w:pPr>
            <w:r>
              <w:rPr>
                <w:rFonts w:ascii="Times New Roman" w:hAnsi="Times New Roman"/>
                <w:noProof/>
                <w:sz w:val="18"/>
              </w:rPr>
              <w:t>Publication sur la page web</w:t>
            </w:r>
          </w:p>
        </w:tc>
        <w:tc>
          <w:tcPr>
            <w:tcW w:w="993" w:type="dxa"/>
            <w:shd w:val="clear" w:color="auto" w:fill="C5EDCE"/>
          </w:tcPr>
          <w:p w14:paraId="5A8AE3EA" w14:textId="77777777" w:rsidR="00740F0F" w:rsidRPr="0029070D" w:rsidRDefault="00100B64">
            <w:pPr>
              <w:jc w:val="center"/>
              <w:rPr>
                <w:rFonts w:ascii="Times New Roman" w:eastAsia="Times New Roman" w:hAnsi="Times New Roman" w:cs="Times New Roman"/>
                <w:noProof/>
                <w:sz w:val="18"/>
                <w:szCs w:val="18"/>
              </w:rPr>
            </w:pPr>
            <w:r>
              <w:rPr>
                <w:rFonts w:ascii="Times New Roman" w:hAnsi="Times New Roman"/>
                <w:noProof/>
                <w:sz w:val="18"/>
              </w:rPr>
              <w:t>-</w:t>
            </w:r>
          </w:p>
        </w:tc>
        <w:tc>
          <w:tcPr>
            <w:tcW w:w="850" w:type="dxa"/>
            <w:shd w:val="clear" w:color="auto" w:fill="C5EDCE"/>
          </w:tcPr>
          <w:p w14:paraId="5A8AE3EB" w14:textId="77777777" w:rsidR="00740F0F" w:rsidRPr="0029070D" w:rsidRDefault="00100B64">
            <w:pPr>
              <w:ind w:left="24"/>
              <w:jc w:val="center"/>
              <w:rPr>
                <w:rFonts w:ascii="Times New Roman" w:eastAsia="Times New Roman" w:hAnsi="Times New Roman" w:cs="Times New Roman"/>
                <w:noProof/>
                <w:sz w:val="18"/>
                <w:szCs w:val="18"/>
              </w:rPr>
            </w:pPr>
            <w:r>
              <w:rPr>
                <w:rFonts w:ascii="Times New Roman" w:hAnsi="Times New Roman"/>
                <w:noProof/>
                <w:sz w:val="18"/>
              </w:rPr>
              <w:t>-</w:t>
            </w:r>
          </w:p>
        </w:tc>
        <w:tc>
          <w:tcPr>
            <w:tcW w:w="1134" w:type="dxa"/>
            <w:shd w:val="clear" w:color="auto" w:fill="C5EDCE"/>
          </w:tcPr>
          <w:p w14:paraId="5A8AE3EC" w14:textId="77777777" w:rsidR="00740F0F" w:rsidRPr="0029070D" w:rsidRDefault="00100B64">
            <w:pPr>
              <w:ind w:left="21"/>
              <w:jc w:val="center"/>
              <w:rPr>
                <w:rFonts w:ascii="Times New Roman" w:eastAsia="Times New Roman" w:hAnsi="Times New Roman" w:cs="Times New Roman"/>
                <w:noProof/>
                <w:sz w:val="18"/>
                <w:szCs w:val="18"/>
              </w:rPr>
            </w:pPr>
            <w:r>
              <w:rPr>
                <w:rFonts w:ascii="Times New Roman" w:hAnsi="Times New Roman"/>
                <w:noProof/>
                <w:sz w:val="18"/>
              </w:rPr>
              <w:t>-</w:t>
            </w:r>
          </w:p>
        </w:tc>
        <w:tc>
          <w:tcPr>
            <w:tcW w:w="851" w:type="dxa"/>
            <w:shd w:val="clear" w:color="auto" w:fill="C5EDCE"/>
          </w:tcPr>
          <w:p w14:paraId="5A8AE3ED" w14:textId="77777777" w:rsidR="00740F0F" w:rsidRPr="0029070D" w:rsidRDefault="00100B64">
            <w:pPr>
              <w:ind w:left="67" w:right="52"/>
              <w:jc w:val="center"/>
              <w:rPr>
                <w:rFonts w:ascii="Times New Roman" w:eastAsia="Times New Roman" w:hAnsi="Times New Roman" w:cs="Times New Roman"/>
                <w:noProof/>
                <w:sz w:val="18"/>
                <w:szCs w:val="18"/>
              </w:rPr>
            </w:pPr>
            <w:r>
              <w:rPr>
                <w:rFonts w:ascii="Times New Roman" w:hAnsi="Times New Roman"/>
                <w:noProof/>
                <w:sz w:val="18"/>
              </w:rPr>
              <w:t>T3</w:t>
            </w:r>
          </w:p>
        </w:tc>
        <w:tc>
          <w:tcPr>
            <w:tcW w:w="850" w:type="dxa"/>
            <w:shd w:val="clear" w:color="auto" w:fill="C5EDCE"/>
          </w:tcPr>
          <w:p w14:paraId="5A8AE3EE" w14:textId="77777777" w:rsidR="00740F0F" w:rsidRPr="0029070D" w:rsidRDefault="00100B64">
            <w:pPr>
              <w:ind w:left="156"/>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3954" w:type="dxa"/>
            <w:shd w:val="clear" w:color="auto" w:fill="C5EDCE"/>
          </w:tcPr>
          <w:p w14:paraId="5A8AE3EF" w14:textId="77777777" w:rsidR="00740F0F" w:rsidRPr="0029070D" w:rsidRDefault="00100B64">
            <w:pPr>
              <w:ind w:right="275"/>
              <w:rPr>
                <w:rFonts w:ascii="Times New Roman" w:eastAsia="Times New Roman" w:hAnsi="Times New Roman" w:cs="Times New Roman"/>
                <w:noProof/>
                <w:sz w:val="18"/>
                <w:szCs w:val="18"/>
              </w:rPr>
            </w:pPr>
            <w:r>
              <w:rPr>
                <w:rFonts w:ascii="Times New Roman" w:hAnsi="Times New Roman"/>
                <w:noProof/>
                <w:sz w:val="18"/>
              </w:rPr>
              <w:t>Signature de la décision d’attribuer un soutien financier aux promoteurs privés dans le cadre du PIIEC sur l’hydrogène.</w:t>
            </w:r>
          </w:p>
        </w:tc>
      </w:tr>
      <w:tr w:rsidR="00C51A07" w:rsidRPr="0029070D" w14:paraId="5A8AE3FD" w14:textId="77777777" w:rsidTr="00FB041E">
        <w:trPr>
          <w:trHeight w:val="959"/>
          <w:jc w:val="center"/>
        </w:trPr>
        <w:tc>
          <w:tcPr>
            <w:tcW w:w="1128" w:type="dxa"/>
            <w:shd w:val="clear" w:color="auto" w:fill="C5EDCE"/>
          </w:tcPr>
          <w:p w14:paraId="5A8AE3F1" w14:textId="77777777" w:rsidR="00740F0F" w:rsidRPr="0029070D" w:rsidRDefault="00100B64">
            <w:pPr>
              <w:spacing w:before="118"/>
              <w:ind w:right="423"/>
              <w:jc w:val="right"/>
              <w:rPr>
                <w:rFonts w:ascii="Times New Roman" w:eastAsia="Times New Roman" w:hAnsi="Times New Roman" w:cs="Times New Roman"/>
                <w:noProof/>
                <w:sz w:val="18"/>
                <w:szCs w:val="18"/>
              </w:rPr>
            </w:pPr>
            <w:r>
              <w:rPr>
                <w:rFonts w:ascii="Times New Roman" w:hAnsi="Times New Roman"/>
                <w:noProof/>
                <w:sz w:val="18"/>
              </w:rPr>
              <w:t>4-9</w:t>
            </w:r>
          </w:p>
        </w:tc>
        <w:tc>
          <w:tcPr>
            <w:tcW w:w="1277" w:type="dxa"/>
            <w:shd w:val="clear" w:color="auto" w:fill="C5EDCE"/>
          </w:tcPr>
          <w:p w14:paraId="5A8AE3F2" w14:textId="77777777" w:rsidR="00740F0F" w:rsidRPr="0029070D" w:rsidRDefault="00100B64">
            <w:pPr>
              <w:ind w:left="103"/>
              <w:jc w:val="center"/>
              <w:rPr>
                <w:rFonts w:ascii="Times New Roman" w:eastAsia="Times New Roman" w:hAnsi="Times New Roman" w:cs="Times New Roman"/>
                <w:noProof/>
                <w:sz w:val="18"/>
                <w:szCs w:val="18"/>
              </w:rPr>
            </w:pPr>
            <w:r>
              <w:rPr>
                <w:rFonts w:ascii="Times New Roman" w:hAnsi="Times New Roman"/>
                <w:noProof/>
                <w:sz w:val="18"/>
              </w:rPr>
              <w:t>C4.I2</w:t>
            </w:r>
          </w:p>
          <w:p w14:paraId="5A8AE3F3" w14:textId="77777777" w:rsidR="00740F0F" w:rsidRPr="0029070D" w:rsidRDefault="00100B64">
            <w:pPr>
              <w:ind w:left="103" w:right="23"/>
              <w:jc w:val="center"/>
              <w:rPr>
                <w:rFonts w:ascii="Times New Roman" w:eastAsia="Times New Roman" w:hAnsi="Times New Roman" w:cs="Times New Roman"/>
                <w:noProof/>
                <w:sz w:val="18"/>
                <w:szCs w:val="18"/>
              </w:rPr>
            </w:pPr>
            <w:r>
              <w:rPr>
                <w:rFonts w:ascii="Times New Roman" w:hAnsi="Times New Roman"/>
                <w:noProof/>
                <w:sz w:val="18"/>
              </w:rPr>
              <w:t>Développer l’hydrogène décarboné</w:t>
            </w:r>
          </w:p>
        </w:tc>
        <w:tc>
          <w:tcPr>
            <w:tcW w:w="1134" w:type="dxa"/>
            <w:shd w:val="clear" w:color="auto" w:fill="C5EDCE"/>
          </w:tcPr>
          <w:p w14:paraId="5A8AE3F4" w14:textId="77777777" w:rsidR="00740F0F" w:rsidRPr="0029070D" w:rsidRDefault="00100B64">
            <w:pPr>
              <w:ind w:left="117"/>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985" w:type="dxa"/>
            <w:shd w:val="clear" w:color="auto" w:fill="C5EDCE"/>
          </w:tcPr>
          <w:p w14:paraId="5A8AE3F5" w14:textId="77777777" w:rsidR="00740F0F" w:rsidRPr="0029070D" w:rsidRDefault="00100B64">
            <w:pPr>
              <w:ind w:left="9" w:right="2"/>
              <w:rPr>
                <w:rFonts w:ascii="Times New Roman" w:eastAsia="Times New Roman" w:hAnsi="Times New Roman" w:cs="Times New Roman"/>
                <w:noProof/>
                <w:sz w:val="18"/>
                <w:szCs w:val="18"/>
              </w:rPr>
            </w:pPr>
            <w:r>
              <w:rPr>
                <w:rFonts w:ascii="Times New Roman" w:hAnsi="Times New Roman"/>
                <w:noProof/>
                <w:sz w:val="18"/>
              </w:rPr>
              <w:t>Capacité de production d’électrolyseurs</w:t>
            </w:r>
          </w:p>
        </w:tc>
        <w:tc>
          <w:tcPr>
            <w:tcW w:w="1275" w:type="dxa"/>
            <w:shd w:val="clear" w:color="auto" w:fill="C5EDCE"/>
          </w:tcPr>
          <w:p w14:paraId="5A8AE3F6" w14:textId="77777777" w:rsidR="00740F0F" w:rsidRPr="0029070D" w:rsidRDefault="00740F0F">
            <w:pPr>
              <w:rPr>
                <w:rFonts w:ascii="Times New Roman" w:eastAsia="Times New Roman" w:hAnsi="Times New Roman" w:cs="Times New Roman"/>
                <w:noProof/>
                <w:sz w:val="18"/>
                <w:szCs w:val="18"/>
              </w:rPr>
            </w:pPr>
          </w:p>
        </w:tc>
        <w:tc>
          <w:tcPr>
            <w:tcW w:w="993" w:type="dxa"/>
            <w:shd w:val="clear" w:color="auto" w:fill="C5EDCE"/>
          </w:tcPr>
          <w:p w14:paraId="5A8AE3F7" w14:textId="77777777" w:rsidR="00740F0F" w:rsidRPr="0029070D" w:rsidRDefault="00100B64">
            <w:pPr>
              <w:jc w:val="center"/>
              <w:rPr>
                <w:rFonts w:ascii="Times New Roman" w:eastAsia="Times New Roman" w:hAnsi="Times New Roman" w:cs="Times New Roman"/>
                <w:noProof/>
                <w:sz w:val="18"/>
                <w:szCs w:val="18"/>
              </w:rPr>
            </w:pPr>
            <w:r>
              <w:rPr>
                <w:rFonts w:ascii="Times New Roman" w:hAnsi="Times New Roman"/>
                <w:noProof/>
                <w:sz w:val="18"/>
              </w:rPr>
              <w:t>MWeq/an</w:t>
            </w:r>
          </w:p>
        </w:tc>
        <w:tc>
          <w:tcPr>
            <w:tcW w:w="850" w:type="dxa"/>
            <w:shd w:val="clear" w:color="auto" w:fill="C5EDCE"/>
          </w:tcPr>
          <w:p w14:paraId="5A8AE3F8" w14:textId="77777777" w:rsidR="00740F0F" w:rsidRPr="0029070D" w:rsidRDefault="00740F0F">
            <w:pPr>
              <w:jc w:val="center"/>
              <w:rPr>
                <w:rFonts w:ascii="Times New Roman" w:eastAsia="Times New Roman" w:hAnsi="Times New Roman" w:cs="Times New Roman"/>
                <w:noProof/>
                <w:sz w:val="18"/>
                <w:szCs w:val="18"/>
              </w:rPr>
            </w:pPr>
          </w:p>
        </w:tc>
        <w:tc>
          <w:tcPr>
            <w:tcW w:w="1134" w:type="dxa"/>
            <w:shd w:val="clear" w:color="auto" w:fill="C5EDCE"/>
          </w:tcPr>
          <w:p w14:paraId="5A8AE3F9" w14:textId="77777777" w:rsidR="00740F0F" w:rsidRPr="0029070D" w:rsidRDefault="00100B64">
            <w:pPr>
              <w:ind w:left="258" w:right="237"/>
              <w:jc w:val="center"/>
              <w:rPr>
                <w:rFonts w:ascii="Times New Roman" w:eastAsia="Times New Roman" w:hAnsi="Times New Roman" w:cs="Times New Roman"/>
                <w:noProof/>
                <w:sz w:val="18"/>
                <w:szCs w:val="18"/>
              </w:rPr>
            </w:pPr>
            <w:r>
              <w:rPr>
                <w:rFonts w:ascii="Times New Roman" w:hAnsi="Times New Roman"/>
                <w:noProof/>
                <w:sz w:val="18"/>
              </w:rPr>
              <w:t>140</w:t>
            </w:r>
          </w:p>
        </w:tc>
        <w:tc>
          <w:tcPr>
            <w:tcW w:w="851" w:type="dxa"/>
            <w:shd w:val="clear" w:color="auto" w:fill="C5EDCE"/>
          </w:tcPr>
          <w:p w14:paraId="5A8AE3FA" w14:textId="77777777" w:rsidR="00740F0F" w:rsidRPr="0029070D" w:rsidRDefault="00100B64">
            <w:pPr>
              <w:ind w:left="67" w:right="52"/>
              <w:jc w:val="center"/>
              <w:rPr>
                <w:rFonts w:ascii="Times New Roman" w:eastAsia="Times New Roman" w:hAnsi="Times New Roman" w:cs="Times New Roman"/>
                <w:noProof/>
                <w:sz w:val="18"/>
                <w:szCs w:val="18"/>
              </w:rPr>
            </w:pPr>
            <w:r>
              <w:rPr>
                <w:rFonts w:ascii="Times New Roman" w:hAnsi="Times New Roman"/>
                <w:noProof/>
                <w:sz w:val="18"/>
              </w:rPr>
              <w:t>T4</w:t>
            </w:r>
          </w:p>
        </w:tc>
        <w:tc>
          <w:tcPr>
            <w:tcW w:w="850" w:type="dxa"/>
            <w:shd w:val="clear" w:color="auto" w:fill="C5EDCE"/>
          </w:tcPr>
          <w:p w14:paraId="5A8AE3FB" w14:textId="77777777" w:rsidR="00740F0F" w:rsidRPr="0029070D" w:rsidRDefault="00100B64">
            <w:pPr>
              <w:ind w:left="156"/>
              <w:jc w:val="center"/>
              <w:rPr>
                <w:rFonts w:ascii="Times New Roman" w:eastAsia="Times New Roman" w:hAnsi="Times New Roman" w:cs="Times New Roman"/>
                <w:noProof/>
                <w:sz w:val="18"/>
                <w:szCs w:val="18"/>
              </w:rPr>
            </w:pPr>
            <w:r>
              <w:rPr>
                <w:rFonts w:ascii="Times New Roman" w:hAnsi="Times New Roman"/>
                <w:noProof/>
                <w:sz w:val="18"/>
              </w:rPr>
              <w:t>2025</w:t>
            </w:r>
          </w:p>
        </w:tc>
        <w:tc>
          <w:tcPr>
            <w:tcW w:w="3954" w:type="dxa"/>
            <w:shd w:val="clear" w:color="auto" w:fill="C5EDCE"/>
          </w:tcPr>
          <w:p w14:paraId="5A8AE3FC" w14:textId="77777777" w:rsidR="00740F0F" w:rsidRPr="0029070D" w:rsidRDefault="00100B64">
            <w:pPr>
              <w:ind w:right="396"/>
              <w:rPr>
                <w:rFonts w:ascii="Times New Roman" w:eastAsia="Times New Roman" w:hAnsi="Times New Roman" w:cs="Times New Roman"/>
                <w:noProof/>
                <w:sz w:val="18"/>
                <w:szCs w:val="18"/>
              </w:rPr>
            </w:pPr>
            <w:r>
              <w:rPr>
                <w:rFonts w:ascii="Times New Roman" w:hAnsi="Times New Roman"/>
                <w:noProof/>
                <w:sz w:val="18"/>
              </w:rPr>
              <w:t>Une capacité de production maximale d’au moins 140 MWeq/an d’électrolyseurs (exprimée en consommation d’électricité basée sur les intrants) a été mise en service.</w:t>
            </w:r>
          </w:p>
        </w:tc>
      </w:tr>
      <w:tr w:rsidR="00C51A07" w:rsidRPr="0029070D" w14:paraId="5A8AE40A" w14:textId="77777777" w:rsidTr="00FB041E">
        <w:trPr>
          <w:trHeight w:val="1706"/>
          <w:jc w:val="center"/>
        </w:trPr>
        <w:tc>
          <w:tcPr>
            <w:tcW w:w="1128" w:type="dxa"/>
            <w:shd w:val="clear" w:color="auto" w:fill="C5EDCE"/>
          </w:tcPr>
          <w:p w14:paraId="5A8AE3FE" w14:textId="77777777" w:rsidR="00740F0F" w:rsidRPr="0029070D" w:rsidRDefault="00100B64">
            <w:pPr>
              <w:ind w:left="446"/>
              <w:rPr>
                <w:rFonts w:ascii="Times New Roman" w:eastAsia="Times New Roman" w:hAnsi="Times New Roman" w:cs="Times New Roman"/>
                <w:noProof/>
                <w:sz w:val="18"/>
                <w:szCs w:val="18"/>
              </w:rPr>
            </w:pPr>
            <w:r>
              <w:rPr>
                <w:rFonts w:ascii="Times New Roman" w:hAnsi="Times New Roman"/>
                <w:noProof/>
                <w:sz w:val="18"/>
              </w:rPr>
              <w:t>4-10</w:t>
            </w:r>
          </w:p>
        </w:tc>
        <w:tc>
          <w:tcPr>
            <w:tcW w:w="1277" w:type="dxa"/>
            <w:shd w:val="clear" w:color="auto" w:fill="C5EDCE"/>
          </w:tcPr>
          <w:p w14:paraId="5A8AE3FF" w14:textId="77777777" w:rsidR="00740F0F" w:rsidRPr="0029070D" w:rsidRDefault="00100B64">
            <w:pPr>
              <w:ind w:left="7"/>
              <w:jc w:val="center"/>
              <w:rPr>
                <w:rFonts w:ascii="Times New Roman" w:eastAsia="Times New Roman" w:hAnsi="Times New Roman" w:cs="Times New Roman"/>
                <w:noProof/>
                <w:sz w:val="18"/>
                <w:szCs w:val="18"/>
              </w:rPr>
            </w:pPr>
            <w:r>
              <w:rPr>
                <w:rFonts w:ascii="Times New Roman" w:hAnsi="Times New Roman"/>
                <w:noProof/>
                <w:sz w:val="18"/>
              </w:rPr>
              <w:t>C4.I3</w:t>
            </w:r>
          </w:p>
          <w:p w14:paraId="5A8AE400" w14:textId="77777777" w:rsidR="00740F0F" w:rsidRPr="0029070D" w:rsidRDefault="00100B64">
            <w:pPr>
              <w:spacing w:line="252" w:lineRule="auto"/>
              <w:jc w:val="center"/>
              <w:rPr>
                <w:rFonts w:ascii="Times New Roman" w:eastAsia="Times New Roman" w:hAnsi="Times New Roman" w:cs="Times New Roman"/>
                <w:noProof/>
                <w:sz w:val="18"/>
                <w:szCs w:val="18"/>
              </w:rPr>
            </w:pPr>
            <w:r>
              <w:rPr>
                <w:rFonts w:ascii="Times New Roman" w:hAnsi="Times New Roman"/>
                <w:noProof/>
                <w:sz w:val="18"/>
              </w:rPr>
              <w:t>Plan de soutien au secteur de l’aéronautique</w:t>
            </w:r>
          </w:p>
        </w:tc>
        <w:tc>
          <w:tcPr>
            <w:tcW w:w="1134" w:type="dxa"/>
            <w:shd w:val="clear" w:color="auto" w:fill="C5EDCE"/>
          </w:tcPr>
          <w:p w14:paraId="5A8AE401" w14:textId="77777777" w:rsidR="00740F0F" w:rsidRPr="0029070D" w:rsidRDefault="00100B64">
            <w:pPr>
              <w:ind w:left="446"/>
              <w:rPr>
                <w:rFonts w:ascii="Times New Roman" w:eastAsia="Times New Roman" w:hAnsi="Times New Roman" w:cs="Times New Roman"/>
                <w:noProof/>
                <w:sz w:val="18"/>
                <w:szCs w:val="18"/>
              </w:rPr>
            </w:pPr>
            <w:r>
              <w:rPr>
                <w:rFonts w:ascii="Times New Roman" w:hAnsi="Times New Roman"/>
                <w:noProof/>
                <w:sz w:val="18"/>
              </w:rPr>
              <w:t>Cible</w:t>
            </w:r>
          </w:p>
        </w:tc>
        <w:tc>
          <w:tcPr>
            <w:tcW w:w="1985" w:type="dxa"/>
            <w:shd w:val="clear" w:color="auto" w:fill="C5EDCE"/>
          </w:tcPr>
          <w:p w14:paraId="5A8AE402" w14:textId="77777777" w:rsidR="00740F0F" w:rsidRPr="0029070D" w:rsidRDefault="00100B64">
            <w:pPr>
              <w:spacing w:line="247" w:lineRule="auto"/>
              <w:ind w:left="9"/>
              <w:rPr>
                <w:rFonts w:ascii="Times New Roman" w:eastAsia="Times New Roman" w:hAnsi="Times New Roman" w:cs="Times New Roman"/>
                <w:noProof/>
                <w:sz w:val="18"/>
                <w:szCs w:val="18"/>
              </w:rPr>
            </w:pPr>
            <w:r>
              <w:rPr>
                <w:rFonts w:ascii="Times New Roman" w:hAnsi="Times New Roman"/>
                <w:noProof/>
                <w:sz w:val="18"/>
              </w:rPr>
              <w:t>Nombre de projets sélectionnés pour bénéficier d’un soutien au titre du fonds de soutien aux investissements</w:t>
            </w:r>
          </w:p>
        </w:tc>
        <w:tc>
          <w:tcPr>
            <w:tcW w:w="1275" w:type="dxa"/>
            <w:shd w:val="clear" w:color="auto" w:fill="C5EDCE"/>
          </w:tcPr>
          <w:p w14:paraId="5A8AE403" w14:textId="77777777" w:rsidR="00740F0F" w:rsidRPr="0029070D" w:rsidRDefault="00100B64">
            <w:pPr>
              <w:ind w:left="446"/>
              <w:rPr>
                <w:rFonts w:ascii="Times New Roman" w:eastAsia="Times New Roman" w:hAnsi="Times New Roman" w:cs="Times New Roman"/>
                <w:noProof/>
                <w:sz w:val="18"/>
                <w:szCs w:val="18"/>
              </w:rPr>
            </w:pPr>
            <w:r>
              <w:rPr>
                <w:rFonts w:ascii="Times New Roman" w:hAnsi="Times New Roman"/>
                <w:noProof/>
                <w:sz w:val="18"/>
              </w:rPr>
              <w:t>-</w:t>
            </w:r>
          </w:p>
        </w:tc>
        <w:tc>
          <w:tcPr>
            <w:tcW w:w="993" w:type="dxa"/>
            <w:shd w:val="clear" w:color="auto" w:fill="C5EDCE"/>
          </w:tcPr>
          <w:p w14:paraId="5A8AE404" w14:textId="77777777" w:rsidR="00740F0F" w:rsidRPr="0029070D" w:rsidRDefault="00100B64">
            <w:pPr>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850" w:type="dxa"/>
            <w:shd w:val="clear" w:color="auto" w:fill="C5EDCE"/>
          </w:tcPr>
          <w:p w14:paraId="5A8AE405" w14:textId="77777777" w:rsidR="00740F0F" w:rsidRPr="0029070D" w:rsidRDefault="00100B64">
            <w:pPr>
              <w:ind w:left="446"/>
              <w:jc w:val="center"/>
              <w:rPr>
                <w:rFonts w:ascii="Times New Roman" w:eastAsia="Times New Roman" w:hAnsi="Times New Roman" w:cs="Times New Roman"/>
                <w:noProof/>
                <w:sz w:val="18"/>
                <w:szCs w:val="18"/>
              </w:rPr>
            </w:pPr>
            <w:r>
              <w:rPr>
                <w:rFonts w:ascii="Times New Roman" w:hAnsi="Times New Roman"/>
                <w:noProof/>
                <w:sz w:val="18"/>
              </w:rPr>
              <w:t>0</w:t>
            </w:r>
          </w:p>
        </w:tc>
        <w:tc>
          <w:tcPr>
            <w:tcW w:w="1134" w:type="dxa"/>
            <w:shd w:val="clear" w:color="auto" w:fill="C5EDCE"/>
          </w:tcPr>
          <w:p w14:paraId="5A8AE406" w14:textId="77777777" w:rsidR="00740F0F" w:rsidRPr="0029070D" w:rsidRDefault="00100B64">
            <w:pPr>
              <w:ind w:left="446"/>
              <w:jc w:val="center"/>
              <w:rPr>
                <w:rFonts w:ascii="Times New Roman" w:eastAsia="Times New Roman" w:hAnsi="Times New Roman" w:cs="Times New Roman"/>
                <w:noProof/>
                <w:sz w:val="18"/>
                <w:szCs w:val="18"/>
              </w:rPr>
            </w:pPr>
            <w:r>
              <w:rPr>
                <w:rFonts w:ascii="Times New Roman" w:hAnsi="Times New Roman"/>
                <w:noProof/>
                <w:sz w:val="18"/>
              </w:rPr>
              <w:t>174</w:t>
            </w:r>
          </w:p>
        </w:tc>
        <w:tc>
          <w:tcPr>
            <w:tcW w:w="851" w:type="dxa"/>
            <w:shd w:val="clear" w:color="auto" w:fill="C5EDCE"/>
          </w:tcPr>
          <w:p w14:paraId="5A8AE407" w14:textId="77777777" w:rsidR="00740F0F" w:rsidRPr="0029070D" w:rsidRDefault="00100B64">
            <w:pPr>
              <w:ind w:left="446"/>
              <w:jc w:val="center"/>
              <w:rPr>
                <w:rFonts w:ascii="Times New Roman" w:eastAsia="Times New Roman" w:hAnsi="Times New Roman" w:cs="Times New Roman"/>
                <w:noProof/>
                <w:sz w:val="18"/>
                <w:szCs w:val="18"/>
              </w:rPr>
            </w:pPr>
            <w:r>
              <w:rPr>
                <w:rFonts w:ascii="Times New Roman" w:hAnsi="Times New Roman"/>
                <w:noProof/>
                <w:sz w:val="18"/>
              </w:rPr>
              <w:t>T1</w:t>
            </w:r>
          </w:p>
        </w:tc>
        <w:tc>
          <w:tcPr>
            <w:tcW w:w="850" w:type="dxa"/>
            <w:shd w:val="clear" w:color="auto" w:fill="C5EDCE"/>
          </w:tcPr>
          <w:p w14:paraId="5A8AE408" w14:textId="77777777" w:rsidR="00740F0F" w:rsidRPr="0029070D" w:rsidRDefault="00100B64">
            <w:pPr>
              <w:ind w:left="446"/>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3954" w:type="dxa"/>
            <w:shd w:val="clear" w:color="auto" w:fill="C5EDCE"/>
          </w:tcPr>
          <w:p w14:paraId="5A8AE409" w14:textId="77777777" w:rsidR="00740F0F" w:rsidRPr="0029070D" w:rsidRDefault="00100B64">
            <w:pPr>
              <w:spacing w:line="247" w:lineRule="auto"/>
              <w:rPr>
                <w:rFonts w:ascii="Times New Roman" w:eastAsia="Times New Roman" w:hAnsi="Times New Roman" w:cs="Times New Roman"/>
                <w:noProof/>
                <w:sz w:val="18"/>
                <w:szCs w:val="18"/>
              </w:rPr>
            </w:pPr>
            <w:r>
              <w:rPr>
                <w:rFonts w:ascii="Times New Roman" w:hAnsi="Times New Roman"/>
                <w:noProof/>
                <w:sz w:val="18"/>
              </w:rPr>
              <w:t>Nombre de projets sélectionnés, sur la base de cahiers des charges intégrant comme critère d’éligibilité la contribution à la transition écologique des mesures sélectionnées, pour bénéficier du fonds de soutien aux investissements afin de promouvoir la diversification, la modernisation et la transformation numérique et environnementale des entreprises (en cumulé)</w:t>
            </w:r>
          </w:p>
        </w:tc>
      </w:tr>
      <w:tr w:rsidR="00C51A07" w:rsidRPr="0029070D" w14:paraId="5A8AE417" w14:textId="77777777" w:rsidTr="00FB041E">
        <w:trPr>
          <w:trHeight w:val="1371"/>
          <w:jc w:val="center"/>
        </w:trPr>
        <w:tc>
          <w:tcPr>
            <w:tcW w:w="1128" w:type="dxa"/>
            <w:shd w:val="clear" w:color="auto" w:fill="C5EDCE"/>
          </w:tcPr>
          <w:p w14:paraId="5A8AE40B" w14:textId="77777777" w:rsidR="00740F0F" w:rsidRPr="0029070D" w:rsidRDefault="00100B64">
            <w:pPr>
              <w:spacing w:before="103"/>
              <w:ind w:left="369" w:right="355"/>
              <w:jc w:val="center"/>
              <w:rPr>
                <w:rFonts w:ascii="Times New Roman" w:eastAsia="Times New Roman" w:hAnsi="Times New Roman" w:cs="Times New Roman"/>
                <w:noProof/>
                <w:sz w:val="18"/>
                <w:szCs w:val="18"/>
              </w:rPr>
            </w:pPr>
            <w:r>
              <w:rPr>
                <w:rFonts w:ascii="Times New Roman" w:hAnsi="Times New Roman"/>
                <w:noProof/>
                <w:sz w:val="18"/>
              </w:rPr>
              <w:t>4-11</w:t>
            </w:r>
          </w:p>
        </w:tc>
        <w:tc>
          <w:tcPr>
            <w:tcW w:w="1277" w:type="dxa"/>
            <w:shd w:val="clear" w:color="auto" w:fill="C5EDCE"/>
          </w:tcPr>
          <w:p w14:paraId="5A8AE40C" w14:textId="77777777" w:rsidR="00740F0F" w:rsidRPr="0029070D" w:rsidRDefault="00100B64">
            <w:pPr>
              <w:ind w:left="7"/>
              <w:jc w:val="center"/>
              <w:rPr>
                <w:rFonts w:ascii="Times New Roman" w:eastAsia="Times New Roman" w:hAnsi="Times New Roman" w:cs="Times New Roman"/>
                <w:noProof/>
                <w:sz w:val="18"/>
                <w:szCs w:val="18"/>
              </w:rPr>
            </w:pPr>
            <w:r>
              <w:rPr>
                <w:rFonts w:ascii="Times New Roman" w:hAnsi="Times New Roman"/>
                <w:noProof/>
                <w:sz w:val="18"/>
              </w:rPr>
              <w:t>C4.I3</w:t>
            </w:r>
          </w:p>
          <w:p w14:paraId="5A8AE40D" w14:textId="77777777" w:rsidR="00740F0F" w:rsidRPr="0029070D" w:rsidRDefault="00100B64">
            <w:pPr>
              <w:ind w:left="7"/>
              <w:jc w:val="center"/>
              <w:rPr>
                <w:rFonts w:ascii="Times New Roman" w:eastAsia="Times New Roman" w:hAnsi="Times New Roman" w:cs="Times New Roman"/>
                <w:noProof/>
                <w:sz w:val="18"/>
                <w:szCs w:val="18"/>
              </w:rPr>
            </w:pPr>
            <w:r>
              <w:rPr>
                <w:rFonts w:ascii="Times New Roman" w:hAnsi="Times New Roman"/>
                <w:noProof/>
                <w:sz w:val="18"/>
              </w:rPr>
              <w:t>Plan de soutien au secteur de l’aéronautique</w:t>
            </w:r>
          </w:p>
        </w:tc>
        <w:tc>
          <w:tcPr>
            <w:tcW w:w="1134" w:type="dxa"/>
            <w:shd w:val="clear" w:color="auto" w:fill="C5EDCE"/>
          </w:tcPr>
          <w:p w14:paraId="5A8AE40E" w14:textId="77777777" w:rsidR="00740F0F" w:rsidRPr="0029070D" w:rsidRDefault="00100B64">
            <w:pPr>
              <w:ind w:left="117"/>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985" w:type="dxa"/>
            <w:shd w:val="clear" w:color="auto" w:fill="C5EDCE"/>
          </w:tcPr>
          <w:p w14:paraId="5A8AE40F" w14:textId="77777777" w:rsidR="00740F0F" w:rsidRPr="0029070D" w:rsidRDefault="00100B64">
            <w:pPr>
              <w:ind w:left="9" w:right="259"/>
              <w:rPr>
                <w:rFonts w:ascii="Times New Roman" w:eastAsia="Times New Roman" w:hAnsi="Times New Roman" w:cs="Times New Roman"/>
                <w:noProof/>
                <w:sz w:val="18"/>
                <w:szCs w:val="18"/>
              </w:rPr>
            </w:pPr>
            <w:r>
              <w:rPr>
                <w:rFonts w:ascii="Times New Roman" w:hAnsi="Times New Roman"/>
                <w:noProof/>
                <w:sz w:val="18"/>
              </w:rPr>
              <w:t>Nombre de projets de R&amp;D sélectionnés visant à promouvoir les aéronefs bas carbone et économes en énergie</w:t>
            </w:r>
          </w:p>
        </w:tc>
        <w:tc>
          <w:tcPr>
            <w:tcW w:w="1275" w:type="dxa"/>
            <w:shd w:val="clear" w:color="auto" w:fill="C5EDCE"/>
          </w:tcPr>
          <w:p w14:paraId="5A8AE410" w14:textId="77777777" w:rsidR="00740F0F" w:rsidRPr="0029070D" w:rsidRDefault="00100B64">
            <w:pPr>
              <w:ind w:left="119"/>
              <w:jc w:val="center"/>
              <w:rPr>
                <w:rFonts w:ascii="Times New Roman" w:eastAsia="Times New Roman" w:hAnsi="Times New Roman" w:cs="Times New Roman"/>
                <w:noProof/>
                <w:sz w:val="18"/>
                <w:szCs w:val="18"/>
              </w:rPr>
            </w:pPr>
            <w:r>
              <w:rPr>
                <w:rFonts w:ascii="Times New Roman" w:hAnsi="Times New Roman"/>
                <w:noProof/>
                <w:sz w:val="18"/>
              </w:rPr>
              <w:t>-</w:t>
            </w:r>
          </w:p>
        </w:tc>
        <w:tc>
          <w:tcPr>
            <w:tcW w:w="993" w:type="dxa"/>
            <w:shd w:val="clear" w:color="auto" w:fill="C5EDCE"/>
          </w:tcPr>
          <w:p w14:paraId="5A8AE411" w14:textId="77777777" w:rsidR="00740F0F" w:rsidRPr="0029070D" w:rsidRDefault="00100B64">
            <w:pPr>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850" w:type="dxa"/>
            <w:shd w:val="clear" w:color="auto" w:fill="C5EDCE"/>
          </w:tcPr>
          <w:p w14:paraId="5A8AE412" w14:textId="77777777" w:rsidR="00740F0F" w:rsidRPr="0029070D" w:rsidRDefault="00100B64">
            <w:pPr>
              <w:ind w:left="27"/>
              <w:jc w:val="center"/>
              <w:rPr>
                <w:rFonts w:ascii="Times New Roman" w:eastAsia="Times New Roman" w:hAnsi="Times New Roman" w:cs="Times New Roman"/>
                <w:noProof/>
                <w:sz w:val="18"/>
                <w:szCs w:val="18"/>
              </w:rPr>
            </w:pPr>
            <w:r>
              <w:rPr>
                <w:rFonts w:ascii="Times New Roman" w:hAnsi="Times New Roman"/>
                <w:noProof/>
                <w:sz w:val="18"/>
              </w:rPr>
              <w:t>0</w:t>
            </w:r>
          </w:p>
        </w:tc>
        <w:tc>
          <w:tcPr>
            <w:tcW w:w="1134" w:type="dxa"/>
            <w:shd w:val="clear" w:color="auto" w:fill="C5EDCE"/>
          </w:tcPr>
          <w:p w14:paraId="5A8AE413" w14:textId="77777777" w:rsidR="00740F0F" w:rsidRPr="0029070D" w:rsidRDefault="00100B64">
            <w:pPr>
              <w:ind w:left="343"/>
              <w:jc w:val="center"/>
              <w:rPr>
                <w:rFonts w:ascii="Times New Roman" w:eastAsia="Times New Roman" w:hAnsi="Times New Roman" w:cs="Times New Roman"/>
                <w:noProof/>
                <w:sz w:val="18"/>
                <w:szCs w:val="18"/>
              </w:rPr>
            </w:pPr>
            <w:r>
              <w:rPr>
                <w:rFonts w:ascii="Times New Roman" w:hAnsi="Times New Roman"/>
                <w:noProof/>
                <w:sz w:val="18"/>
              </w:rPr>
              <w:t>200</w:t>
            </w:r>
          </w:p>
        </w:tc>
        <w:tc>
          <w:tcPr>
            <w:tcW w:w="851" w:type="dxa"/>
            <w:shd w:val="clear" w:color="auto" w:fill="C5EDCE"/>
          </w:tcPr>
          <w:p w14:paraId="5A8AE414" w14:textId="77777777" w:rsidR="00740F0F" w:rsidRPr="0029070D" w:rsidRDefault="00100B64">
            <w:pPr>
              <w:ind w:left="67" w:right="52"/>
              <w:jc w:val="center"/>
              <w:rPr>
                <w:rFonts w:ascii="Times New Roman" w:eastAsia="Times New Roman" w:hAnsi="Times New Roman" w:cs="Times New Roman"/>
                <w:noProof/>
                <w:sz w:val="18"/>
                <w:szCs w:val="18"/>
              </w:rPr>
            </w:pPr>
            <w:r>
              <w:rPr>
                <w:rFonts w:ascii="Times New Roman" w:hAnsi="Times New Roman"/>
                <w:noProof/>
                <w:sz w:val="18"/>
              </w:rPr>
              <w:t>T4</w:t>
            </w:r>
          </w:p>
        </w:tc>
        <w:tc>
          <w:tcPr>
            <w:tcW w:w="850" w:type="dxa"/>
            <w:shd w:val="clear" w:color="auto" w:fill="C5EDCE"/>
          </w:tcPr>
          <w:p w14:paraId="5A8AE415" w14:textId="77777777" w:rsidR="00740F0F" w:rsidRPr="0029070D" w:rsidRDefault="00100B64">
            <w:pPr>
              <w:ind w:left="156"/>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3954" w:type="dxa"/>
            <w:shd w:val="clear" w:color="auto" w:fill="C5EDCE"/>
          </w:tcPr>
          <w:p w14:paraId="5A8AE416" w14:textId="77777777" w:rsidR="00740F0F" w:rsidRPr="0029070D" w:rsidRDefault="00100B64">
            <w:pPr>
              <w:rPr>
                <w:rFonts w:ascii="Times New Roman" w:eastAsia="Times New Roman" w:hAnsi="Times New Roman" w:cs="Times New Roman"/>
                <w:noProof/>
                <w:sz w:val="18"/>
                <w:szCs w:val="18"/>
              </w:rPr>
            </w:pPr>
            <w:r>
              <w:rPr>
                <w:rFonts w:ascii="Times New Roman" w:hAnsi="Times New Roman"/>
                <w:noProof/>
                <w:sz w:val="18"/>
              </w:rPr>
              <w:t>Nombre de projets de R&amp;D visant à promouvoir les aéronefs bas carbone et économes en énergie, sélectionnés avec un critère d’éligibilité à la contribution à la transition écologique des mesures sélectionnées (en cumulé)</w:t>
            </w:r>
          </w:p>
        </w:tc>
      </w:tr>
      <w:tr w:rsidR="00C51A07" w:rsidRPr="0029070D" w14:paraId="5A8AE425" w14:textId="77777777" w:rsidTr="00FB041E">
        <w:trPr>
          <w:trHeight w:val="2163"/>
          <w:jc w:val="center"/>
        </w:trPr>
        <w:tc>
          <w:tcPr>
            <w:tcW w:w="1128" w:type="dxa"/>
            <w:shd w:val="clear" w:color="auto" w:fill="C5EDCE"/>
          </w:tcPr>
          <w:p w14:paraId="5A8AE418" w14:textId="77777777" w:rsidR="00740F0F" w:rsidRPr="0029070D" w:rsidRDefault="00100B64">
            <w:pPr>
              <w:spacing w:before="117"/>
              <w:ind w:left="369" w:right="355"/>
              <w:jc w:val="center"/>
              <w:rPr>
                <w:rFonts w:ascii="Times New Roman" w:eastAsia="Times New Roman" w:hAnsi="Times New Roman" w:cs="Times New Roman"/>
                <w:noProof/>
                <w:sz w:val="18"/>
                <w:szCs w:val="18"/>
              </w:rPr>
            </w:pPr>
            <w:r>
              <w:rPr>
                <w:rFonts w:ascii="Times New Roman" w:hAnsi="Times New Roman"/>
                <w:noProof/>
                <w:sz w:val="18"/>
              </w:rPr>
              <w:t>4-12</w:t>
            </w:r>
          </w:p>
        </w:tc>
        <w:tc>
          <w:tcPr>
            <w:tcW w:w="1277" w:type="dxa"/>
            <w:shd w:val="clear" w:color="auto" w:fill="C5EDCE"/>
          </w:tcPr>
          <w:p w14:paraId="5A8AE419" w14:textId="77777777" w:rsidR="00740F0F" w:rsidRPr="0029070D" w:rsidRDefault="00100B64">
            <w:pPr>
              <w:ind w:left="103"/>
              <w:rPr>
                <w:rFonts w:ascii="Times New Roman" w:eastAsia="Times New Roman" w:hAnsi="Times New Roman" w:cs="Times New Roman"/>
                <w:noProof/>
                <w:sz w:val="18"/>
                <w:szCs w:val="18"/>
              </w:rPr>
            </w:pPr>
            <w:r>
              <w:rPr>
                <w:rFonts w:ascii="Times New Roman" w:hAnsi="Times New Roman"/>
                <w:noProof/>
                <w:sz w:val="18"/>
              </w:rPr>
              <w:t>C4.I3</w:t>
            </w:r>
          </w:p>
          <w:p w14:paraId="5A8AE41A" w14:textId="77777777" w:rsidR="00740F0F" w:rsidRPr="0029070D" w:rsidRDefault="00100B64">
            <w:pPr>
              <w:ind w:left="103" w:right="157"/>
              <w:rPr>
                <w:rFonts w:ascii="Times New Roman" w:eastAsia="Times New Roman" w:hAnsi="Times New Roman" w:cs="Times New Roman"/>
                <w:noProof/>
                <w:sz w:val="18"/>
                <w:szCs w:val="18"/>
              </w:rPr>
            </w:pPr>
            <w:r>
              <w:rPr>
                <w:rFonts w:ascii="Times New Roman" w:hAnsi="Times New Roman"/>
                <w:noProof/>
                <w:sz w:val="18"/>
              </w:rPr>
              <w:t>Plan de soutien au secteur de l’aéronautique</w:t>
            </w:r>
          </w:p>
        </w:tc>
        <w:tc>
          <w:tcPr>
            <w:tcW w:w="1134" w:type="dxa"/>
            <w:shd w:val="clear" w:color="auto" w:fill="C5EDCE"/>
          </w:tcPr>
          <w:p w14:paraId="5A8AE41B" w14:textId="77777777" w:rsidR="00740F0F" w:rsidRPr="0029070D" w:rsidRDefault="00100B64">
            <w:pPr>
              <w:ind w:left="117"/>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985" w:type="dxa"/>
            <w:shd w:val="clear" w:color="auto" w:fill="C5EDCE"/>
          </w:tcPr>
          <w:p w14:paraId="5A8AE41C" w14:textId="05823A01" w:rsidR="00740F0F" w:rsidRPr="0029070D" w:rsidRDefault="00100B64" w:rsidP="009E7E07">
            <w:pPr>
              <w:ind w:left="57" w:right="57"/>
              <w:rPr>
                <w:rFonts w:ascii="Times New Roman" w:eastAsia="Times New Roman" w:hAnsi="Times New Roman" w:cs="Times New Roman"/>
                <w:noProof/>
                <w:sz w:val="18"/>
                <w:szCs w:val="18"/>
              </w:rPr>
            </w:pPr>
            <w:r>
              <w:rPr>
                <w:rFonts w:ascii="Times New Roman" w:hAnsi="Times New Roman"/>
                <w:noProof/>
                <w:sz w:val="18"/>
              </w:rPr>
              <w:t>Nombre de projets soutenus</w:t>
            </w:r>
          </w:p>
        </w:tc>
        <w:tc>
          <w:tcPr>
            <w:tcW w:w="1275" w:type="dxa"/>
            <w:shd w:val="clear" w:color="auto" w:fill="C5EDCE"/>
          </w:tcPr>
          <w:p w14:paraId="5A8AE41D" w14:textId="77777777" w:rsidR="00740F0F" w:rsidRPr="0029070D" w:rsidRDefault="00100B64" w:rsidP="009E7E07">
            <w:pPr>
              <w:ind w:left="57" w:right="57"/>
              <w:jc w:val="center"/>
              <w:rPr>
                <w:rFonts w:ascii="Times New Roman" w:eastAsia="Times New Roman" w:hAnsi="Times New Roman" w:cs="Times New Roman"/>
                <w:noProof/>
                <w:sz w:val="18"/>
                <w:szCs w:val="18"/>
              </w:rPr>
            </w:pPr>
            <w:r>
              <w:rPr>
                <w:rFonts w:ascii="Times New Roman" w:hAnsi="Times New Roman"/>
                <w:noProof/>
                <w:sz w:val="18"/>
              </w:rPr>
              <w:t>-</w:t>
            </w:r>
          </w:p>
        </w:tc>
        <w:tc>
          <w:tcPr>
            <w:tcW w:w="993" w:type="dxa"/>
            <w:shd w:val="clear" w:color="auto" w:fill="C5EDCE"/>
          </w:tcPr>
          <w:p w14:paraId="5A8AE41E" w14:textId="77777777" w:rsidR="00740F0F" w:rsidRPr="0029070D" w:rsidRDefault="00100B64" w:rsidP="009E7E07">
            <w:pPr>
              <w:ind w:left="57" w:right="57"/>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850" w:type="dxa"/>
            <w:shd w:val="clear" w:color="auto" w:fill="C5EDCE"/>
          </w:tcPr>
          <w:p w14:paraId="5A8AE41F" w14:textId="77777777" w:rsidR="00740F0F" w:rsidRPr="0029070D" w:rsidRDefault="00100B64" w:rsidP="009E7E07">
            <w:pPr>
              <w:ind w:left="57" w:right="57"/>
              <w:jc w:val="center"/>
              <w:rPr>
                <w:rFonts w:ascii="Times New Roman" w:eastAsia="Times New Roman" w:hAnsi="Times New Roman" w:cs="Times New Roman"/>
                <w:noProof/>
                <w:sz w:val="18"/>
                <w:szCs w:val="18"/>
              </w:rPr>
            </w:pPr>
            <w:r>
              <w:rPr>
                <w:rFonts w:ascii="Times New Roman" w:hAnsi="Times New Roman"/>
                <w:noProof/>
                <w:sz w:val="18"/>
              </w:rPr>
              <w:t>0</w:t>
            </w:r>
          </w:p>
        </w:tc>
        <w:tc>
          <w:tcPr>
            <w:tcW w:w="1134" w:type="dxa"/>
            <w:shd w:val="clear" w:color="auto" w:fill="C5EDCE"/>
          </w:tcPr>
          <w:p w14:paraId="5A8AE420" w14:textId="77777777" w:rsidR="00740F0F" w:rsidRPr="0029070D" w:rsidRDefault="00100B64" w:rsidP="009E7E07">
            <w:pPr>
              <w:ind w:left="57" w:right="57"/>
              <w:jc w:val="center"/>
              <w:rPr>
                <w:rFonts w:ascii="Times New Roman" w:eastAsia="Times New Roman" w:hAnsi="Times New Roman" w:cs="Times New Roman"/>
                <w:noProof/>
                <w:sz w:val="18"/>
                <w:szCs w:val="18"/>
              </w:rPr>
            </w:pPr>
            <w:r>
              <w:rPr>
                <w:rFonts w:ascii="Times New Roman" w:hAnsi="Times New Roman"/>
                <w:noProof/>
                <w:sz w:val="18"/>
              </w:rPr>
              <w:t>140</w:t>
            </w:r>
          </w:p>
        </w:tc>
        <w:tc>
          <w:tcPr>
            <w:tcW w:w="851" w:type="dxa"/>
            <w:shd w:val="clear" w:color="auto" w:fill="C5EDCE"/>
          </w:tcPr>
          <w:p w14:paraId="5A8AE421" w14:textId="77777777" w:rsidR="00740F0F" w:rsidRPr="0029070D" w:rsidRDefault="00100B64" w:rsidP="009E7E07">
            <w:pPr>
              <w:ind w:left="57" w:right="57"/>
              <w:jc w:val="center"/>
              <w:rPr>
                <w:rFonts w:ascii="Times New Roman" w:eastAsia="Times New Roman" w:hAnsi="Times New Roman" w:cs="Times New Roman"/>
                <w:noProof/>
                <w:sz w:val="18"/>
                <w:szCs w:val="18"/>
              </w:rPr>
            </w:pPr>
            <w:r>
              <w:rPr>
                <w:rFonts w:ascii="Times New Roman" w:hAnsi="Times New Roman"/>
                <w:noProof/>
                <w:sz w:val="18"/>
              </w:rPr>
              <w:t>T4</w:t>
            </w:r>
          </w:p>
        </w:tc>
        <w:tc>
          <w:tcPr>
            <w:tcW w:w="850" w:type="dxa"/>
            <w:shd w:val="clear" w:color="auto" w:fill="C5EDCE"/>
          </w:tcPr>
          <w:p w14:paraId="5A8AE422" w14:textId="77777777" w:rsidR="00740F0F" w:rsidRPr="0029070D" w:rsidRDefault="00100B64" w:rsidP="009E7E07">
            <w:pPr>
              <w:ind w:left="57" w:right="57"/>
              <w:jc w:val="center"/>
              <w:rPr>
                <w:rFonts w:ascii="Times New Roman" w:eastAsia="Times New Roman" w:hAnsi="Times New Roman" w:cs="Times New Roman"/>
                <w:noProof/>
                <w:sz w:val="18"/>
                <w:szCs w:val="18"/>
              </w:rPr>
            </w:pPr>
            <w:r>
              <w:rPr>
                <w:rFonts w:ascii="Times New Roman" w:hAnsi="Times New Roman"/>
                <w:noProof/>
                <w:sz w:val="18"/>
              </w:rPr>
              <w:t>2025</w:t>
            </w:r>
          </w:p>
        </w:tc>
        <w:tc>
          <w:tcPr>
            <w:tcW w:w="3954" w:type="dxa"/>
            <w:shd w:val="clear" w:color="auto" w:fill="C5EDCE"/>
          </w:tcPr>
          <w:p w14:paraId="5A8AE423" w14:textId="77777777" w:rsidR="00740F0F" w:rsidRPr="0029070D" w:rsidRDefault="00100B64" w:rsidP="009E7E07">
            <w:pPr>
              <w:ind w:left="57" w:right="57"/>
              <w:rPr>
                <w:rFonts w:ascii="Times New Roman" w:eastAsia="Times New Roman" w:hAnsi="Times New Roman" w:cs="Times New Roman"/>
                <w:noProof/>
                <w:sz w:val="18"/>
                <w:szCs w:val="18"/>
              </w:rPr>
            </w:pPr>
            <w:r>
              <w:rPr>
                <w:rFonts w:ascii="Times New Roman" w:hAnsi="Times New Roman"/>
                <w:noProof/>
                <w:sz w:val="18"/>
              </w:rPr>
              <w:t xml:space="preserve">Nombre de projets soutenus </w:t>
            </w:r>
          </w:p>
          <w:p w14:paraId="5A8AE424" w14:textId="7677294B" w:rsidR="00740F0F" w:rsidRPr="0029070D" w:rsidRDefault="00100B64" w:rsidP="009E7E07">
            <w:pPr>
              <w:ind w:left="57" w:right="57"/>
              <w:rPr>
                <w:rFonts w:ascii="Times New Roman" w:eastAsia="Times New Roman" w:hAnsi="Times New Roman" w:cs="Times New Roman"/>
                <w:noProof/>
                <w:sz w:val="18"/>
                <w:szCs w:val="18"/>
              </w:rPr>
            </w:pPr>
            <w:r>
              <w:rPr>
                <w:rFonts w:ascii="Times New Roman" w:hAnsi="Times New Roman"/>
                <w:noProof/>
                <w:sz w:val="18"/>
              </w:rPr>
              <w:t>Lorsqu’un projet n’a pas déjà été évalué dans le cadre de la cible 4-10, le projet i) doit contribuer à la transition verte, en cherchant à promouvoir la diversification, la modernisation et la transformation numérique et environnementale des entreprises, et ii) les exploitants d’aéronefs (en particulier les aéroports et les compagnies aériennes) doivent être exclus en tant que bénéficiaires du projet pour assurer le respect du principe consistant à «ne pas causer de préjudice important».</w:t>
            </w:r>
          </w:p>
        </w:tc>
      </w:tr>
    </w:tbl>
    <w:p w14:paraId="5A8AE426" w14:textId="77777777" w:rsidR="00740F0F" w:rsidRPr="0029070D" w:rsidRDefault="00740F0F">
      <w:pPr>
        <w:spacing w:before="120" w:after="120" w:line="360" w:lineRule="auto"/>
        <w:rPr>
          <w:rFonts w:ascii="Times New Roman" w:eastAsia="Calibri" w:hAnsi="Times New Roman" w:cs="Times New Roman"/>
          <w:noProof/>
          <w:kern w:val="0"/>
          <w:sz w:val="19"/>
          <w:szCs w:val="22"/>
          <w14:ligatures w14:val="none"/>
        </w:rPr>
        <w:sectPr w:rsidR="00740F0F" w:rsidRPr="0029070D">
          <w:headerReference w:type="even" r:id="rId60"/>
          <w:headerReference w:type="default" r:id="rId61"/>
          <w:footerReference w:type="even" r:id="rId62"/>
          <w:footerReference w:type="default" r:id="rId63"/>
          <w:headerReference w:type="first" r:id="rId64"/>
          <w:footerReference w:type="first" r:id="rId65"/>
          <w:pgSz w:w="16860" w:h="11920" w:orient="landscape"/>
          <w:pgMar w:top="1134" w:right="1134" w:bottom="1134" w:left="1134" w:header="567" w:footer="567" w:gutter="0"/>
          <w:cols w:space="720"/>
          <w:docGrid w:linePitch="326"/>
        </w:sectPr>
      </w:pPr>
    </w:p>
    <w:p w14:paraId="5A8AE427" w14:textId="77777777" w:rsidR="00740F0F" w:rsidRPr="0029070D" w:rsidRDefault="00100B64">
      <w:pPr>
        <w:widowControl w:val="0"/>
        <w:numPr>
          <w:ilvl w:val="1"/>
          <w:numId w:val="1"/>
        </w:numPr>
        <w:tabs>
          <w:tab w:val="left" w:pos="492"/>
        </w:tabs>
        <w:autoSpaceDE w:val="0"/>
        <w:autoSpaceDN w:val="0"/>
        <w:spacing w:before="109" w:after="0" w:line="240" w:lineRule="auto"/>
        <w:ind w:left="491" w:hanging="272"/>
        <w:jc w:val="both"/>
        <w:rPr>
          <w:rFonts w:ascii="Times New Roman" w:eastAsia="Times New Roman" w:hAnsi="Times New Roman" w:cs="Times New Roman"/>
          <w:b/>
          <w:noProof/>
          <w:kern w:val="0"/>
          <w:szCs w:val="20"/>
          <w14:ligatures w14:val="none"/>
        </w:rPr>
      </w:pPr>
      <w:r>
        <w:rPr>
          <w:rFonts w:ascii="Times New Roman" w:hAnsi="Times New Roman"/>
          <w:b/>
          <w:noProof/>
        </w:rPr>
        <w:t>COMPOSANTE 5: Soutien aux entreprises</w:t>
      </w:r>
    </w:p>
    <w:p w14:paraId="5A8AE428" w14:textId="77777777" w:rsidR="00740F0F" w:rsidRPr="0029070D" w:rsidRDefault="00100B64">
      <w:pPr>
        <w:widowControl w:val="0"/>
        <w:autoSpaceDE w:val="0"/>
        <w:autoSpaceDN w:val="0"/>
        <w:spacing w:before="111" w:after="0" w:line="244" w:lineRule="auto"/>
        <w:ind w:left="220" w:right="130"/>
        <w:jc w:val="both"/>
        <w:rPr>
          <w:rFonts w:ascii="Times New Roman" w:eastAsia="Times New Roman" w:hAnsi="Times New Roman" w:cs="Times New Roman"/>
          <w:noProof/>
          <w:kern w:val="0"/>
          <w:szCs w:val="20"/>
          <w14:ligatures w14:val="none"/>
        </w:rPr>
      </w:pPr>
      <w:r>
        <w:rPr>
          <w:rFonts w:ascii="Times New Roman" w:hAnsi="Times New Roman"/>
          <w:noProof/>
        </w:rPr>
        <w:t>La composante 5 du plan français de relance et de résilience vise à lutter contre les obstacles à l’investissement en simplifiant l’environnement réglementaire pour soutenir une reprise dynamique. Ellel vise également à garantir que les entreprises bénéficiant d’aides respectent d’autres critères, notamment en rapport avec la transformation sociale et environnementale indispensable à la reprise.</w:t>
      </w:r>
    </w:p>
    <w:p w14:paraId="5A8AE429" w14:textId="77777777" w:rsidR="00740F0F" w:rsidRPr="0029070D" w:rsidRDefault="00100B64">
      <w:pPr>
        <w:widowControl w:val="0"/>
        <w:autoSpaceDE w:val="0"/>
        <w:autoSpaceDN w:val="0"/>
        <w:spacing w:before="103" w:after="0" w:line="242" w:lineRule="auto"/>
        <w:ind w:left="220" w:right="145"/>
        <w:jc w:val="both"/>
        <w:rPr>
          <w:rFonts w:ascii="Times New Roman" w:eastAsia="Times New Roman" w:hAnsi="Times New Roman" w:cs="Times New Roman"/>
          <w:noProof/>
          <w:kern w:val="0"/>
          <w:szCs w:val="20"/>
          <w14:ligatures w14:val="none"/>
        </w:rPr>
      </w:pPr>
      <w:r>
        <w:rPr>
          <w:rFonts w:ascii="Times New Roman" w:hAnsi="Times New Roman"/>
          <w:noProof/>
        </w:rPr>
        <w:t>Cette composante est liée aux recommandations par pays 2019.4 et 2020.4 sur la réduction des restrictions réglementaires et la stimulation de la croissance des entreprises.</w:t>
      </w:r>
    </w:p>
    <w:p w14:paraId="5A8AE42A" w14:textId="77777777" w:rsidR="00740F0F" w:rsidRPr="0029070D" w:rsidRDefault="00100B64">
      <w:pPr>
        <w:widowControl w:val="0"/>
        <w:autoSpaceDE w:val="0"/>
        <w:autoSpaceDN w:val="0"/>
        <w:spacing w:before="110" w:after="0" w:line="240" w:lineRule="auto"/>
        <w:ind w:left="220" w:right="134"/>
        <w:jc w:val="both"/>
        <w:rPr>
          <w:rFonts w:ascii="Times New Roman" w:eastAsia="Times New Roman" w:hAnsi="Times New Roman" w:cs="Times New Roman"/>
          <w:noProof/>
          <w:kern w:val="0"/>
          <w:szCs w:val="20"/>
          <w14:ligatures w14:val="none"/>
        </w:rPr>
      </w:pPr>
      <w:r>
        <w:rPr>
          <w:rFonts w:ascii="Times New Roman" w:hAnsi="Times New Roman"/>
          <w:noProof/>
        </w:rPr>
        <w:t>Aucune mesure relevant de cette composante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w:t>
      </w:r>
    </w:p>
    <w:p w14:paraId="5A8AE42B" w14:textId="77777777" w:rsidR="00740F0F" w:rsidRPr="0029070D" w:rsidRDefault="00740F0F">
      <w:pPr>
        <w:widowControl w:val="0"/>
        <w:autoSpaceDE w:val="0"/>
        <w:autoSpaceDN w:val="0"/>
        <w:spacing w:before="3" w:after="0" w:line="240" w:lineRule="auto"/>
        <w:rPr>
          <w:rFonts w:ascii="Times New Roman" w:eastAsia="Times New Roman" w:hAnsi="Times New Roman" w:cs="Times New Roman"/>
          <w:noProof/>
          <w:kern w:val="0"/>
          <w:sz w:val="45"/>
          <w:szCs w:val="20"/>
          <w14:ligatures w14:val="none"/>
        </w:rPr>
      </w:pPr>
    </w:p>
    <w:p w14:paraId="5A8AE42C" w14:textId="77777777" w:rsidR="00740F0F" w:rsidRPr="00E409C3" w:rsidRDefault="00100B64" w:rsidP="00413061">
      <w:pPr>
        <w:widowControl w:val="0"/>
        <w:numPr>
          <w:ilvl w:val="2"/>
          <w:numId w:val="1"/>
        </w:numPr>
        <w:autoSpaceDE w:val="0"/>
        <w:autoSpaceDN w:val="0"/>
        <w:spacing w:before="1" w:after="0" w:line="240" w:lineRule="auto"/>
        <w:ind w:left="993" w:hanging="723"/>
        <w:jc w:val="both"/>
        <w:outlineLvl w:val="1"/>
        <w:rPr>
          <w:rFonts w:ascii="Times New Roman" w:eastAsia="Times New Roman" w:hAnsi="Times New Roman" w:cs="Times New Roman"/>
          <w:b/>
          <w:noProof/>
          <w:kern w:val="0"/>
          <w:szCs w:val="20"/>
          <w:u w:val="single"/>
          <w14:ligatures w14:val="none"/>
        </w:rPr>
      </w:pPr>
      <w:r>
        <w:rPr>
          <w:rFonts w:ascii="Times New Roman" w:hAnsi="Times New Roman"/>
          <w:b/>
          <w:noProof/>
          <w:u w:val="single"/>
        </w:rPr>
        <w:t>Description des réformes</w:t>
      </w:r>
    </w:p>
    <w:p w14:paraId="5A8AE42D" w14:textId="77777777" w:rsidR="00740F0F" w:rsidRPr="0029070D" w:rsidRDefault="00100B64">
      <w:pPr>
        <w:widowControl w:val="0"/>
        <w:autoSpaceDE w:val="0"/>
        <w:autoSpaceDN w:val="0"/>
        <w:spacing w:before="124"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Réforme C5.R1: loi d’accélération et de simplification de l’action publique (loi ASAP)</w:t>
      </w:r>
    </w:p>
    <w:p w14:paraId="5A8AE42E" w14:textId="77777777" w:rsidR="00740F0F" w:rsidRPr="0029070D" w:rsidRDefault="00100B64">
      <w:pPr>
        <w:widowControl w:val="0"/>
        <w:autoSpaceDE w:val="0"/>
        <w:autoSpaceDN w:val="0"/>
        <w:spacing w:before="93" w:after="0" w:line="240" w:lineRule="auto"/>
        <w:ind w:left="220" w:right="117"/>
        <w:jc w:val="both"/>
        <w:rPr>
          <w:rFonts w:ascii="Times New Roman" w:eastAsia="Times New Roman" w:hAnsi="Times New Roman" w:cs="Times New Roman"/>
          <w:noProof/>
          <w:kern w:val="0"/>
          <w:szCs w:val="20"/>
          <w14:ligatures w14:val="none"/>
        </w:rPr>
      </w:pPr>
      <w:r>
        <w:rPr>
          <w:rFonts w:ascii="Times New Roman" w:hAnsi="Times New Roman"/>
          <w:noProof/>
        </w:rPr>
        <w:t>La loi ASAP</w:t>
      </w:r>
      <w:r w:rsidRPr="0029070D">
        <w:rPr>
          <w:rStyle w:val="FootnoteReference"/>
          <w:rFonts w:ascii="Times New Roman" w:eastAsia="Times New Roman" w:hAnsi="Times New Roman" w:cs="Times New Roman"/>
          <w:b w:val="0"/>
          <w:bCs/>
          <w:noProof/>
          <w:kern w:val="0"/>
          <w:szCs w:val="20"/>
        </w:rPr>
        <w:footnoteReference w:id="14"/>
      </w:r>
      <w:r>
        <w:rPr>
          <w:rFonts w:ascii="Times New Roman" w:hAnsi="Times New Roman"/>
          <w:noProof/>
        </w:rPr>
        <w:t>, promulguée en décembre 2020, vise à rapprocher l’administration du citoyen, à faciliter le développement des entreprises et à simplifier les démarches administratives des entreprises et des particuliers. L’objectif de la réforme est de mettre en œuvre certaines des dispositions d’application restantes:</w:t>
      </w:r>
    </w:p>
    <w:p w14:paraId="5A8AE42F" w14:textId="77777777" w:rsidR="00740F0F" w:rsidRPr="0029070D" w:rsidRDefault="00100B64">
      <w:pPr>
        <w:pStyle w:val="ListParagraph"/>
        <w:widowControl w:val="0"/>
        <w:numPr>
          <w:ilvl w:val="0"/>
          <w:numId w:val="32"/>
        </w:numPr>
        <w:autoSpaceDE w:val="0"/>
        <w:autoSpaceDN w:val="0"/>
        <w:spacing w:before="93" w:after="0" w:line="240" w:lineRule="auto"/>
        <w:ind w:right="117"/>
        <w:jc w:val="both"/>
        <w:rPr>
          <w:rFonts w:ascii="Times New Roman" w:eastAsia="Times New Roman" w:hAnsi="Times New Roman" w:cs="Times New Roman"/>
          <w:noProof/>
          <w:kern w:val="0"/>
          <w:szCs w:val="20"/>
          <w14:ligatures w14:val="none"/>
        </w:rPr>
      </w:pPr>
      <w:r>
        <w:rPr>
          <w:rFonts w:ascii="Times New Roman" w:hAnsi="Times New Roman"/>
          <w:noProof/>
        </w:rPr>
        <w:t>La loi prévoit que si la réglementation, notamment en matière environnementale, change pendant l’instruction d’un projet industriel, la demande de projet reste soumise aux dispositions réglementaires en vigueur au moment du dépôt de la demande. Plusieurs dispositions environnementales, comme les conditions dans lesquelles le ministre de l’environnement peut demander une nouvelle évaluation d’une demande de projet industriel, les conditions précises dans lesquelles une nouvelle évaluation environnementale peut être exigée pour les projets d’urbanisme, ou les délais d’autorisation environnementale pour les travaux répondant à une urgence civile, peuvent être modifiées par le biais de décrets distincts.</w:t>
      </w:r>
    </w:p>
    <w:p w14:paraId="5A8AE430" w14:textId="77777777" w:rsidR="00740F0F" w:rsidRPr="0029070D" w:rsidRDefault="00100B64">
      <w:pPr>
        <w:pStyle w:val="ListParagraph"/>
        <w:widowControl w:val="0"/>
        <w:numPr>
          <w:ilvl w:val="0"/>
          <w:numId w:val="32"/>
        </w:numPr>
        <w:autoSpaceDE w:val="0"/>
        <w:autoSpaceDN w:val="0"/>
        <w:spacing w:before="93" w:after="0" w:line="240" w:lineRule="auto"/>
        <w:ind w:right="117"/>
        <w:jc w:val="both"/>
        <w:rPr>
          <w:rFonts w:ascii="Times New Roman" w:eastAsia="Times New Roman" w:hAnsi="Times New Roman" w:cs="Times New Roman"/>
          <w:noProof/>
          <w:kern w:val="0"/>
          <w:szCs w:val="20"/>
          <w14:ligatures w14:val="none"/>
        </w:rPr>
      </w:pPr>
      <w:r>
        <w:rPr>
          <w:rFonts w:ascii="Times New Roman" w:hAnsi="Times New Roman"/>
          <w:noProof/>
        </w:rPr>
        <w:t>La loi prévoit également une simplification des règles applicables à la vente en ligne de médicaments. Il suffira aux pharmacies de déclarer l’ouverture d’un site web, sans avoir à attendre une autorisation préalable.</w:t>
      </w:r>
    </w:p>
    <w:p w14:paraId="5A8AE431" w14:textId="77777777" w:rsidR="00740F0F" w:rsidRPr="0029070D" w:rsidRDefault="00100B64">
      <w:pPr>
        <w:pStyle w:val="ListParagraph"/>
        <w:widowControl w:val="0"/>
        <w:numPr>
          <w:ilvl w:val="0"/>
          <w:numId w:val="32"/>
        </w:numPr>
        <w:autoSpaceDE w:val="0"/>
        <w:autoSpaceDN w:val="0"/>
        <w:spacing w:before="93" w:after="0" w:line="240" w:lineRule="auto"/>
        <w:ind w:right="117"/>
        <w:jc w:val="both"/>
        <w:rPr>
          <w:rFonts w:ascii="Times New Roman" w:eastAsia="Times New Roman" w:hAnsi="Times New Roman" w:cs="Times New Roman"/>
          <w:noProof/>
          <w:kern w:val="0"/>
          <w:szCs w:val="20"/>
          <w14:ligatures w14:val="none"/>
        </w:rPr>
      </w:pPr>
      <w:r>
        <w:rPr>
          <w:rFonts w:ascii="Times New Roman" w:hAnsi="Times New Roman"/>
          <w:noProof/>
        </w:rPr>
        <w:t>La rationalisation des commissions consultatives: plus de 15 commissions sont supprimées ou fusionnées, les conditions spécifiques de fusion ou de suppression étant définies dans des décrets distincts. Parmi les commissions supprimées figurent l’Observatoire de la récidive ou le Conseil supérieur de la mutualité, tandis que d’autres, comme le Conseil supérieur de l’égalité professionnelle et le Haut conseil à l’égalité (HCE) ainsi que diverses instances consultatives relatives aux relations de travail, sont fusionnées.</w:t>
      </w:r>
    </w:p>
    <w:p w14:paraId="5A8AE432" w14:textId="77777777" w:rsidR="00740F0F" w:rsidRPr="0029070D" w:rsidRDefault="00740F0F">
      <w:pPr>
        <w:widowControl w:val="0"/>
        <w:autoSpaceDE w:val="0"/>
        <w:autoSpaceDN w:val="0"/>
        <w:spacing w:before="9" w:after="0" w:line="240" w:lineRule="auto"/>
        <w:rPr>
          <w:rFonts w:ascii="Times New Roman" w:eastAsia="Times New Roman" w:hAnsi="Times New Roman" w:cs="Times New Roman"/>
          <w:noProof/>
          <w:kern w:val="0"/>
          <w:sz w:val="34"/>
          <w:szCs w:val="20"/>
          <w14:ligatures w14:val="none"/>
        </w:rPr>
      </w:pPr>
    </w:p>
    <w:p w14:paraId="5A8AE433" w14:textId="77777777" w:rsidR="00740F0F" w:rsidRPr="0029070D" w:rsidRDefault="00100B64">
      <w:pPr>
        <w:widowControl w:val="0"/>
        <w:autoSpaceDE w:val="0"/>
        <w:autoSpaceDN w:val="0"/>
        <w:spacing w:after="0" w:line="235" w:lineRule="auto"/>
        <w:ind w:left="220" w:right="153"/>
        <w:jc w:val="both"/>
        <w:rPr>
          <w:rFonts w:ascii="Times New Roman" w:eastAsia="Times New Roman" w:hAnsi="Times New Roman" w:cs="Times New Roman"/>
          <w:noProof/>
          <w:kern w:val="0"/>
          <w:szCs w:val="20"/>
          <w14:ligatures w14:val="none"/>
        </w:rPr>
      </w:pPr>
      <w:r>
        <w:rPr>
          <w:rFonts w:ascii="Times New Roman" w:hAnsi="Times New Roman"/>
          <w:noProof/>
          <w:u w:val="single"/>
        </w:rPr>
        <w:t>Réforme C5.R2: contribution des entreprises aux transformations économiques, sociales et environnementales dans le cadre de la relance</w:t>
      </w:r>
    </w:p>
    <w:p w14:paraId="5A8AE434" w14:textId="77777777" w:rsidR="00740F0F" w:rsidRPr="0029070D" w:rsidRDefault="00100B64">
      <w:pPr>
        <w:widowControl w:val="0"/>
        <w:autoSpaceDE w:val="0"/>
        <w:autoSpaceDN w:val="0"/>
        <w:spacing w:before="117"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rPr>
        <w:t>Cette réforme concerne l’article 244 de la loi de finances pour 2021, adoptée spécifiquement pour s’assurer que les entreprises bénéficiant des aides au titre du plan de relance et de résilience de la France (et plus largement du plan national) s’engagent dans une démarche de transition écologique, promeuvent l’égalité femmes-hommes, et impliquent et informent leurs salariés concernant l’utilisation des fonds reçus de l’État. Elle impose les obligations suivantes aux entreprises bénéficiant d’une aide dans le cadre du plan national France Relance</w:t>
      </w:r>
      <w:r w:rsidRPr="0029070D">
        <w:rPr>
          <w:rStyle w:val="FootnoteReference"/>
          <w:rFonts w:ascii="Times New Roman" w:eastAsia="Times New Roman" w:hAnsi="Times New Roman" w:cs="Times New Roman"/>
          <w:b w:val="0"/>
          <w:bCs/>
          <w:noProof/>
          <w:kern w:val="0"/>
          <w:szCs w:val="20"/>
        </w:rPr>
        <w:footnoteReference w:id="15"/>
      </w:r>
      <w:r>
        <w:rPr>
          <w:rFonts w:ascii="Times New Roman" w:hAnsi="Times New Roman"/>
          <w:noProof/>
        </w:rPr>
        <w:t>:</w:t>
      </w:r>
    </w:p>
    <w:p w14:paraId="5A8AE435" w14:textId="6B102C80" w:rsidR="00740F0F" w:rsidRPr="0029070D" w:rsidRDefault="00100B64">
      <w:pPr>
        <w:widowControl w:val="0"/>
        <w:numPr>
          <w:ilvl w:val="0"/>
          <w:numId w:val="2"/>
        </w:numPr>
        <w:tabs>
          <w:tab w:val="left" w:pos="581"/>
        </w:tabs>
        <w:autoSpaceDE w:val="0"/>
        <w:autoSpaceDN w:val="0"/>
        <w:spacing w:before="133" w:after="0" w:line="235" w:lineRule="auto"/>
        <w:ind w:left="580" w:right="146"/>
        <w:jc w:val="both"/>
        <w:rPr>
          <w:rFonts w:ascii="Times New Roman" w:eastAsia="Times New Roman" w:hAnsi="Times New Roman" w:cs="Times New Roman"/>
          <w:noProof/>
          <w:kern w:val="0"/>
          <w:szCs w:val="20"/>
          <w14:ligatures w14:val="none"/>
        </w:rPr>
      </w:pPr>
      <w:r>
        <w:rPr>
          <w:rFonts w:ascii="Times New Roman" w:hAnsi="Times New Roman"/>
          <w:noProof/>
        </w:rPr>
        <w:t>Toutes les entreprises de plus de 50 salariés sont tenues de publier, avant le 31 décembre 2022 (ou le 31 décembre 2023 pour les entreprises dont le nombre de salariés est compris entre 51 et 250), un bilan d’émission de gaz à effet de serre simplifié</w:t>
      </w:r>
      <w:r w:rsidRPr="0029070D">
        <w:rPr>
          <w:rStyle w:val="FootnoteReference"/>
          <w:rFonts w:ascii="Times New Roman" w:eastAsia="Times New Roman" w:hAnsi="Times New Roman" w:cs="Times New Roman"/>
          <w:b w:val="0"/>
          <w:bCs/>
          <w:noProof/>
          <w:kern w:val="0"/>
          <w:szCs w:val="20"/>
        </w:rPr>
        <w:footnoteReference w:id="16"/>
      </w:r>
      <w:r>
        <w:rPr>
          <w:rFonts w:ascii="Times New Roman" w:hAnsi="Times New Roman"/>
          <w:noProof/>
        </w:rPr>
        <w:t>, puis de le mettre à jour tous les trois ans.</w:t>
      </w:r>
    </w:p>
    <w:p w14:paraId="5A8AE436" w14:textId="77777777" w:rsidR="00740F0F" w:rsidRPr="0029070D" w:rsidRDefault="00100B64">
      <w:pPr>
        <w:widowControl w:val="0"/>
        <w:numPr>
          <w:ilvl w:val="0"/>
          <w:numId w:val="2"/>
        </w:numPr>
        <w:tabs>
          <w:tab w:val="left" w:pos="581"/>
        </w:tabs>
        <w:autoSpaceDE w:val="0"/>
        <w:autoSpaceDN w:val="0"/>
        <w:spacing w:before="110" w:after="0" w:line="237" w:lineRule="auto"/>
        <w:ind w:left="580" w:right="121"/>
        <w:jc w:val="both"/>
        <w:rPr>
          <w:rFonts w:ascii="Times New Roman" w:eastAsia="Times New Roman" w:hAnsi="Times New Roman" w:cs="Times New Roman"/>
          <w:noProof/>
          <w:kern w:val="0"/>
          <w:szCs w:val="20"/>
          <w14:ligatures w14:val="none"/>
        </w:rPr>
      </w:pPr>
      <w:r>
        <w:rPr>
          <w:rFonts w:ascii="Times New Roman" w:hAnsi="Times New Roman"/>
          <w:noProof/>
        </w:rPr>
        <w:t>Les obligations sont renforcées dans le domaine de l’égalité professionnelle femmes-hommes. En plus de devoir publier leur note globale obtenue à l’Index de l’égalité professionnelle</w:t>
      </w:r>
      <w:r w:rsidRPr="0029070D">
        <w:rPr>
          <w:rStyle w:val="FootnoteReference"/>
          <w:rFonts w:ascii="Times New Roman" w:eastAsia="Times New Roman" w:hAnsi="Times New Roman" w:cs="Times New Roman"/>
          <w:b w:val="0"/>
          <w:bCs/>
          <w:noProof/>
          <w:kern w:val="0"/>
          <w:szCs w:val="20"/>
        </w:rPr>
        <w:footnoteReference w:id="17"/>
      </w:r>
      <w:r>
        <w:rPr>
          <w:rFonts w:ascii="Times New Roman" w:hAnsi="Times New Roman"/>
          <w:noProof/>
        </w:rPr>
        <w:t>, les entreprises de plus de cinquante salariés bénéficiaires de la mission «plan de relance» doivent publier, chaque année au plus tard le 1</w:t>
      </w:r>
      <w:r>
        <w:rPr>
          <w:rFonts w:ascii="Times New Roman" w:hAnsi="Times New Roman"/>
          <w:noProof/>
          <w:vertAlign w:val="superscript"/>
        </w:rPr>
        <w:t>er</w:t>
      </w:r>
      <w:r>
        <w:rPr>
          <w:rFonts w:ascii="Times New Roman" w:hAnsi="Times New Roman"/>
          <w:noProof/>
        </w:rPr>
        <w:t> mars, le résultat obtenu à chacun des sous-indicateurs composant l’Index. Cette publication est également accessible sur le site internet du ministère du travail. Par ailleurs, dès lors qu’elles n’ont pas atteint un seuil fixé par décret, les entreprises sont tenues de fixer et publier des objectifs de progression de chacun des indicateurs de l’Index. Enfin, celles étant par ailleurs assujetties à l’obligation d’adopter des mesures de correction, en raison d’une note globale à l’Index inférieure à 75 points, sont tenues de procéder à la publication de ces mesures de correction. Les modalités de publication ont été précisées par les décrets nº 2021-265 du 10 mars 2021 et nº 2022-243 du 25 février 2022.</w:t>
      </w:r>
    </w:p>
    <w:p w14:paraId="5A8AE437" w14:textId="77777777" w:rsidR="00740F0F" w:rsidRPr="0029070D" w:rsidRDefault="00100B64">
      <w:pPr>
        <w:widowControl w:val="0"/>
        <w:numPr>
          <w:ilvl w:val="0"/>
          <w:numId w:val="2"/>
        </w:numPr>
        <w:tabs>
          <w:tab w:val="left" w:pos="581"/>
        </w:tabs>
        <w:autoSpaceDE w:val="0"/>
        <w:autoSpaceDN w:val="0"/>
        <w:spacing w:before="144" w:after="0" w:line="235" w:lineRule="auto"/>
        <w:ind w:left="580" w:right="132"/>
        <w:jc w:val="both"/>
        <w:rPr>
          <w:rFonts w:ascii="Times New Roman" w:eastAsia="Times New Roman" w:hAnsi="Times New Roman" w:cs="Times New Roman"/>
          <w:noProof/>
          <w:kern w:val="0"/>
          <w:szCs w:val="20"/>
          <w14:ligatures w14:val="none"/>
        </w:rPr>
      </w:pPr>
      <w:r>
        <w:rPr>
          <w:rFonts w:ascii="Times New Roman" w:hAnsi="Times New Roman"/>
          <w:noProof/>
        </w:rPr>
        <w:t>La gouvernance d’entreprise est renforcée: lors de la consultation annuelle sur les «orientations stratégiques de l’entreprise» déjà prévue par la loi</w:t>
      </w:r>
      <w:r w:rsidRPr="0029070D">
        <w:rPr>
          <w:rStyle w:val="FootnoteReference"/>
          <w:rFonts w:ascii="Times New Roman" w:eastAsia="Times New Roman" w:hAnsi="Times New Roman" w:cs="Times New Roman"/>
          <w:b w:val="0"/>
          <w:bCs/>
          <w:noProof/>
          <w:kern w:val="0"/>
          <w:szCs w:val="20"/>
        </w:rPr>
        <w:footnoteReference w:id="18"/>
      </w:r>
      <w:r>
        <w:rPr>
          <w:rFonts w:ascii="Times New Roman" w:hAnsi="Times New Roman"/>
          <w:noProof/>
        </w:rPr>
        <w:t>, le comité social et économique se voit communiquer le montant, la nature et l’utilisation des aides obtenues par l’entreprise au titre des mesures de la mission «plan de relance».</w:t>
      </w:r>
    </w:p>
    <w:p w14:paraId="5A8AE438" w14:textId="77777777" w:rsidR="00740F0F" w:rsidRPr="0029070D" w:rsidRDefault="00740F0F">
      <w:pPr>
        <w:widowControl w:val="0"/>
        <w:autoSpaceDE w:val="0"/>
        <w:autoSpaceDN w:val="0"/>
        <w:spacing w:before="1" w:after="0" w:line="240" w:lineRule="auto"/>
        <w:rPr>
          <w:rFonts w:ascii="Times New Roman" w:eastAsia="Times New Roman" w:hAnsi="Times New Roman" w:cs="Times New Roman"/>
          <w:noProof/>
          <w:kern w:val="0"/>
          <w:sz w:val="22"/>
          <w:szCs w:val="20"/>
          <w14:ligatures w14:val="none"/>
        </w:rPr>
      </w:pPr>
    </w:p>
    <w:p w14:paraId="5A8AE439" w14:textId="77777777" w:rsidR="00740F0F" w:rsidRPr="0029070D" w:rsidRDefault="00740F0F">
      <w:pPr>
        <w:spacing w:before="120" w:after="120" w:line="228" w:lineRule="exact"/>
        <w:rPr>
          <w:rFonts w:ascii="Times New Roman" w:eastAsia="Calibri" w:hAnsi="Times New Roman" w:cs="Times New Roman"/>
          <w:noProof/>
          <w:kern w:val="0"/>
          <w:sz w:val="20"/>
          <w:szCs w:val="22"/>
          <w14:ligatures w14:val="none"/>
        </w:rPr>
        <w:sectPr w:rsidR="00740F0F" w:rsidRPr="0029070D">
          <w:headerReference w:type="even" r:id="rId66"/>
          <w:headerReference w:type="default" r:id="rId67"/>
          <w:footerReference w:type="even" r:id="rId68"/>
          <w:footerReference w:type="default" r:id="rId69"/>
          <w:headerReference w:type="first" r:id="rId70"/>
          <w:footerReference w:type="first" r:id="rId71"/>
          <w:pgSz w:w="11920" w:h="16860"/>
          <w:pgMar w:top="1134" w:right="1134" w:bottom="1134" w:left="1134" w:header="567" w:footer="567" w:gutter="0"/>
          <w:cols w:space="720"/>
          <w:docGrid w:linePitch="326"/>
        </w:sectPr>
      </w:pPr>
    </w:p>
    <w:p w14:paraId="5A8AE43A" w14:textId="77777777" w:rsidR="00740F0F" w:rsidRPr="00B46C4C" w:rsidRDefault="00100B64">
      <w:pPr>
        <w:widowControl w:val="0"/>
        <w:numPr>
          <w:ilvl w:val="2"/>
          <w:numId w:val="1"/>
        </w:numPr>
        <w:tabs>
          <w:tab w:val="left" w:pos="823"/>
          <w:tab w:val="left" w:pos="824"/>
        </w:tabs>
        <w:autoSpaceDE w:val="0"/>
        <w:autoSpaceDN w:val="0"/>
        <w:spacing w:before="208" w:after="0" w:line="240" w:lineRule="auto"/>
        <w:ind w:left="823" w:hanging="724"/>
        <w:jc w:val="center"/>
        <w:outlineLvl w:val="1"/>
        <w:rPr>
          <w:rFonts w:ascii="Times New Roman" w:eastAsia="Times New Roman" w:hAnsi="Times New Roman" w:cs="Times New Roman"/>
          <w:b/>
          <w:noProof/>
          <w:kern w:val="0"/>
          <w:szCs w:val="20"/>
          <w:u w:val="single"/>
          <w14:ligatures w14:val="none"/>
        </w:rPr>
      </w:pPr>
      <w:r>
        <w:rPr>
          <w:rFonts w:ascii="Times New Roman" w:hAnsi="Times New Roman"/>
          <w:b/>
          <w:noProof/>
          <w:u w:val="single"/>
        </w:rPr>
        <w:t>Jalons, cibles, indicateurs et calendrier de suivi et de mise en œuvre en vue du soutien financier non remboursable</w:t>
      </w:r>
    </w:p>
    <w:p w14:paraId="5A8AE43B" w14:textId="77777777" w:rsidR="00740F0F" w:rsidRPr="0029070D" w:rsidRDefault="00740F0F">
      <w:pPr>
        <w:widowControl w:val="0"/>
        <w:autoSpaceDE w:val="0"/>
        <w:autoSpaceDN w:val="0"/>
        <w:spacing w:after="0" w:line="240" w:lineRule="auto"/>
        <w:rPr>
          <w:rFonts w:ascii="Times New Roman" w:eastAsia="Times New Roman" w:hAnsi="Times New Roman" w:cs="Times New Roman"/>
          <w:b/>
          <w:noProof/>
          <w:kern w:val="0"/>
          <w:sz w:val="20"/>
          <w:szCs w:val="20"/>
          <w14:ligatures w14:val="none"/>
        </w:rPr>
      </w:pPr>
    </w:p>
    <w:tbl>
      <w:tblPr>
        <w:tblStyle w:val="NormalTable0"/>
        <w:tblW w:w="1530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1682"/>
        <w:gridCol w:w="1142"/>
        <w:gridCol w:w="991"/>
        <w:gridCol w:w="1410"/>
        <w:gridCol w:w="1139"/>
        <w:gridCol w:w="719"/>
        <w:gridCol w:w="1127"/>
        <w:gridCol w:w="999"/>
        <w:gridCol w:w="709"/>
        <w:gridCol w:w="4246"/>
      </w:tblGrid>
      <w:tr w:rsidR="00782477" w:rsidRPr="0029070D" w14:paraId="5A8AE444" w14:textId="77777777" w:rsidTr="00FB041E">
        <w:trPr>
          <w:trHeight w:val="673"/>
        </w:trPr>
        <w:tc>
          <w:tcPr>
            <w:tcW w:w="1139" w:type="dxa"/>
            <w:vMerge w:val="restart"/>
            <w:shd w:val="clear" w:color="auto" w:fill="BBD5EC"/>
            <w:vAlign w:val="center"/>
          </w:tcPr>
          <w:p w14:paraId="5A8AE43C" w14:textId="77777777" w:rsidR="00740F0F" w:rsidRPr="0029070D" w:rsidRDefault="00100B64">
            <w:pPr>
              <w:spacing w:line="249" w:lineRule="auto"/>
              <w:ind w:left="126" w:right="-24" w:hanging="89"/>
              <w:jc w:val="center"/>
              <w:rPr>
                <w:rFonts w:ascii="Times New Roman" w:eastAsia="Times New Roman" w:hAnsi="Times New Roman" w:cs="Times New Roman"/>
                <w:b/>
                <w:noProof/>
                <w:sz w:val="19"/>
              </w:rPr>
            </w:pPr>
            <w:r>
              <w:rPr>
                <w:rFonts w:ascii="Times New Roman" w:hAnsi="Times New Roman"/>
                <w:b/>
                <w:noProof/>
                <w:sz w:val="19"/>
              </w:rPr>
              <w:t>Numéro séquentiel</w:t>
            </w:r>
          </w:p>
        </w:tc>
        <w:tc>
          <w:tcPr>
            <w:tcW w:w="1682" w:type="dxa"/>
            <w:vMerge w:val="restart"/>
            <w:shd w:val="clear" w:color="auto" w:fill="BBD5EC"/>
            <w:vAlign w:val="center"/>
          </w:tcPr>
          <w:p w14:paraId="5A8AE43D" w14:textId="77777777" w:rsidR="00740F0F" w:rsidRPr="0029070D" w:rsidRDefault="00100B64">
            <w:pPr>
              <w:ind w:left="489"/>
              <w:rPr>
                <w:rFonts w:ascii="Times New Roman" w:eastAsia="Times New Roman" w:hAnsi="Times New Roman" w:cs="Times New Roman"/>
                <w:b/>
                <w:noProof/>
                <w:sz w:val="19"/>
              </w:rPr>
            </w:pPr>
            <w:r>
              <w:rPr>
                <w:rFonts w:ascii="Times New Roman" w:hAnsi="Times New Roman"/>
                <w:b/>
                <w:noProof/>
                <w:sz w:val="19"/>
              </w:rPr>
              <w:t>Mesure</w:t>
            </w:r>
          </w:p>
        </w:tc>
        <w:tc>
          <w:tcPr>
            <w:tcW w:w="1142" w:type="dxa"/>
            <w:vMerge w:val="restart"/>
            <w:shd w:val="clear" w:color="auto" w:fill="BBD5EC"/>
            <w:vAlign w:val="center"/>
          </w:tcPr>
          <w:p w14:paraId="5A8AE43E" w14:textId="77777777" w:rsidR="00740F0F" w:rsidRPr="0029070D" w:rsidRDefault="00100B64">
            <w:pPr>
              <w:spacing w:before="226"/>
              <w:jc w:val="center"/>
              <w:rPr>
                <w:rFonts w:ascii="Times New Roman" w:eastAsia="Times New Roman" w:hAnsi="Times New Roman" w:cs="Times New Roman"/>
                <w:b/>
                <w:noProof/>
                <w:sz w:val="19"/>
              </w:rPr>
            </w:pPr>
            <w:r>
              <w:rPr>
                <w:rFonts w:ascii="Times New Roman" w:hAnsi="Times New Roman"/>
                <w:b/>
                <w:noProof/>
                <w:sz w:val="19"/>
              </w:rPr>
              <w:t>Jalon / Cible</w:t>
            </w:r>
          </w:p>
        </w:tc>
        <w:tc>
          <w:tcPr>
            <w:tcW w:w="991" w:type="dxa"/>
            <w:vMerge w:val="restart"/>
            <w:shd w:val="clear" w:color="auto" w:fill="BBD5EC"/>
            <w:vAlign w:val="center"/>
          </w:tcPr>
          <w:p w14:paraId="5A8AE43F" w14:textId="77777777" w:rsidR="00740F0F" w:rsidRPr="0029070D" w:rsidRDefault="00100B64">
            <w:pPr>
              <w:jc w:val="center"/>
              <w:rPr>
                <w:rFonts w:ascii="Times New Roman" w:eastAsia="Times New Roman" w:hAnsi="Times New Roman" w:cs="Times New Roman"/>
                <w:b/>
                <w:noProof/>
                <w:sz w:val="19"/>
              </w:rPr>
            </w:pPr>
            <w:r>
              <w:rPr>
                <w:rFonts w:ascii="Times New Roman" w:hAnsi="Times New Roman"/>
                <w:b/>
                <w:noProof/>
                <w:sz w:val="19"/>
              </w:rPr>
              <w:t>Dénomination</w:t>
            </w:r>
          </w:p>
        </w:tc>
        <w:tc>
          <w:tcPr>
            <w:tcW w:w="1410" w:type="dxa"/>
            <w:vMerge w:val="restart"/>
            <w:shd w:val="clear" w:color="auto" w:fill="BBD5EC"/>
            <w:vAlign w:val="center"/>
          </w:tcPr>
          <w:p w14:paraId="5A8AE440" w14:textId="77777777" w:rsidR="00740F0F" w:rsidRPr="0029070D" w:rsidRDefault="00100B64">
            <w:pPr>
              <w:spacing w:before="173" w:line="252" w:lineRule="auto"/>
              <w:ind w:left="275" w:right="229" w:firstLine="7"/>
              <w:jc w:val="center"/>
              <w:rPr>
                <w:rFonts w:ascii="Times New Roman" w:eastAsia="Times New Roman" w:hAnsi="Times New Roman" w:cs="Times New Roman"/>
                <w:b/>
                <w:noProof/>
                <w:sz w:val="19"/>
              </w:rPr>
            </w:pPr>
            <w:r w:rsidRPr="00FB041E">
              <w:rPr>
                <w:rFonts w:ascii="Times New Roman" w:hAnsi="Times New Roman"/>
                <w:b/>
                <w:noProof/>
                <w:sz w:val="18"/>
                <w:szCs w:val="18"/>
              </w:rPr>
              <w:t>Indicateurs qualitatifs (pour les jalons)</w:t>
            </w:r>
          </w:p>
        </w:tc>
        <w:tc>
          <w:tcPr>
            <w:tcW w:w="2985" w:type="dxa"/>
            <w:gridSpan w:val="3"/>
            <w:shd w:val="clear" w:color="auto" w:fill="BBD5EC"/>
            <w:vAlign w:val="center"/>
          </w:tcPr>
          <w:p w14:paraId="5A8AE441" w14:textId="77777777" w:rsidR="00740F0F" w:rsidRPr="0029070D" w:rsidRDefault="00100B64">
            <w:pPr>
              <w:spacing w:before="105" w:line="247" w:lineRule="auto"/>
              <w:ind w:left="1173" w:hanging="886"/>
              <w:rPr>
                <w:rFonts w:ascii="Times New Roman" w:eastAsia="Times New Roman" w:hAnsi="Times New Roman" w:cs="Times New Roman"/>
                <w:b/>
                <w:noProof/>
                <w:sz w:val="19"/>
              </w:rPr>
            </w:pPr>
            <w:r>
              <w:rPr>
                <w:rFonts w:ascii="Times New Roman" w:hAnsi="Times New Roman"/>
                <w:b/>
                <w:noProof/>
                <w:sz w:val="19"/>
              </w:rPr>
              <w:t>Indicateurs quantitatifs (pour les cibles)</w:t>
            </w:r>
          </w:p>
        </w:tc>
        <w:tc>
          <w:tcPr>
            <w:tcW w:w="1708" w:type="dxa"/>
            <w:gridSpan w:val="2"/>
            <w:shd w:val="clear" w:color="auto" w:fill="BBD5EC"/>
            <w:vAlign w:val="center"/>
          </w:tcPr>
          <w:p w14:paraId="5A8AE442" w14:textId="77777777" w:rsidR="00740F0F" w:rsidRPr="0029070D" w:rsidRDefault="00100B64">
            <w:pPr>
              <w:spacing w:line="206" w:lineRule="exact"/>
              <w:ind w:left="411"/>
              <w:rPr>
                <w:rFonts w:ascii="Times New Roman" w:eastAsia="Times New Roman" w:hAnsi="Times New Roman" w:cs="Times New Roman"/>
                <w:b/>
                <w:noProof/>
                <w:sz w:val="19"/>
              </w:rPr>
            </w:pPr>
            <w:r>
              <w:rPr>
                <w:rFonts w:ascii="Times New Roman" w:hAnsi="Times New Roman"/>
                <w:b/>
                <w:noProof/>
                <w:sz w:val="19"/>
              </w:rPr>
              <w:t>Calendrier indicatif de réalisation</w:t>
            </w:r>
          </w:p>
        </w:tc>
        <w:tc>
          <w:tcPr>
            <w:tcW w:w="4246" w:type="dxa"/>
            <w:vMerge w:val="restart"/>
            <w:shd w:val="clear" w:color="auto" w:fill="BBD5EC"/>
            <w:vAlign w:val="center"/>
          </w:tcPr>
          <w:p w14:paraId="5A8AE443" w14:textId="77777777" w:rsidR="00740F0F" w:rsidRPr="0029070D" w:rsidRDefault="00100B64">
            <w:pPr>
              <w:spacing w:before="152"/>
              <w:ind w:left="505"/>
              <w:rPr>
                <w:rFonts w:ascii="Times New Roman" w:eastAsia="Times New Roman" w:hAnsi="Times New Roman" w:cs="Times New Roman"/>
                <w:b/>
                <w:noProof/>
                <w:sz w:val="19"/>
              </w:rPr>
            </w:pPr>
            <w:r>
              <w:rPr>
                <w:rFonts w:ascii="Times New Roman" w:hAnsi="Times New Roman"/>
                <w:b/>
                <w:noProof/>
                <w:sz w:val="19"/>
              </w:rPr>
              <w:t>Description de chaque jalon et cible</w:t>
            </w:r>
          </w:p>
        </w:tc>
      </w:tr>
      <w:tr w:rsidR="00782477" w:rsidRPr="0029070D" w14:paraId="5A8AE450" w14:textId="77777777" w:rsidTr="00FB041E">
        <w:trPr>
          <w:trHeight w:val="465"/>
        </w:trPr>
        <w:tc>
          <w:tcPr>
            <w:tcW w:w="1139" w:type="dxa"/>
            <w:vMerge/>
            <w:tcBorders>
              <w:top w:val="nil"/>
            </w:tcBorders>
            <w:shd w:val="clear" w:color="auto" w:fill="BBD5EC"/>
          </w:tcPr>
          <w:p w14:paraId="5A8AE445" w14:textId="77777777" w:rsidR="00740F0F" w:rsidRPr="0029070D" w:rsidRDefault="00740F0F">
            <w:pPr>
              <w:spacing w:before="120" w:after="120" w:line="360" w:lineRule="auto"/>
              <w:rPr>
                <w:rFonts w:ascii="Times New Roman" w:eastAsia="Calibri" w:hAnsi="Times New Roman" w:cs="Times New Roman"/>
                <w:noProof/>
                <w:sz w:val="2"/>
                <w:szCs w:val="2"/>
              </w:rPr>
            </w:pPr>
          </w:p>
        </w:tc>
        <w:tc>
          <w:tcPr>
            <w:tcW w:w="1682" w:type="dxa"/>
            <w:vMerge/>
            <w:tcBorders>
              <w:top w:val="nil"/>
            </w:tcBorders>
            <w:shd w:val="clear" w:color="auto" w:fill="BBD5EC"/>
          </w:tcPr>
          <w:p w14:paraId="5A8AE446" w14:textId="77777777" w:rsidR="00740F0F" w:rsidRPr="0029070D" w:rsidRDefault="00740F0F">
            <w:pPr>
              <w:spacing w:before="120" w:after="120" w:line="360" w:lineRule="auto"/>
              <w:rPr>
                <w:rFonts w:ascii="Times New Roman" w:eastAsia="Calibri" w:hAnsi="Times New Roman" w:cs="Times New Roman"/>
                <w:noProof/>
                <w:sz w:val="2"/>
                <w:szCs w:val="2"/>
              </w:rPr>
            </w:pPr>
          </w:p>
        </w:tc>
        <w:tc>
          <w:tcPr>
            <w:tcW w:w="1142" w:type="dxa"/>
            <w:vMerge/>
            <w:tcBorders>
              <w:top w:val="nil"/>
            </w:tcBorders>
            <w:shd w:val="clear" w:color="auto" w:fill="BBD5EC"/>
          </w:tcPr>
          <w:p w14:paraId="5A8AE447" w14:textId="77777777" w:rsidR="00740F0F" w:rsidRPr="0029070D" w:rsidRDefault="00740F0F">
            <w:pPr>
              <w:spacing w:before="120" w:after="120" w:line="360" w:lineRule="auto"/>
              <w:rPr>
                <w:rFonts w:ascii="Times New Roman" w:eastAsia="Calibri" w:hAnsi="Times New Roman" w:cs="Times New Roman"/>
                <w:noProof/>
                <w:sz w:val="2"/>
                <w:szCs w:val="2"/>
              </w:rPr>
            </w:pPr>
          </w:p>
        </w:tc>
        <w:tc>
          <w:tcPr>
            <w:tcW w:w="991" w:type="dxa"/>
            <w:vMerge/>
            <w:tcBorders>
              <w:top w:val="nil"/>
            </w:tcBorders>
            <w:shd w:val="clear" w:color="auto" w:fill="BBD5EC"/>
          </w:tcPr>
          <w:p w14:paraId="5A8AE448" w14:textId="77777777" w:rsidR="00740F0F" w:rsidRPr="0029070D" w:rsidRDefault="00740F0F">
            <w:pPr>
              <w:spacing w:before="120" w:after="120" w:line="360" w:lineRule="auto"/>
              <w:rPr>
                <w:rFonts w:ascii="Times New Roman" w:eastAsia="Calibri" w:hAnsi="Times New Roman" w:cs="Times New Roman"/>
                <w:noProof/>
                <w:sz w:val="2"/>
                <w:szCs w:val="2"/>
              </w:rPr>
            </w:pPr>
          </w:p>
        </w:tc>
        <w:tc>
          <w:tcPr>
            <w:tcW w:w="1410" w:type="dxa"/>
            <w:vMerge/>
            <w:tcBorders>
              <w:top w:val="nil"/>
            </w:tcBorders>
            <w:shd w:val="clear" w:color="auto" w:fill="BBD5EC"/>
          </w:tcPr>
          <w:p w14:paraId="5A8AE449" w14:textId="77777777" w:rsidR="00740F0F" w:rsidRPr="0029070D" w:rsidRDefault="00740F0F">
            <w:pPr>
              <w:spacing w:before="120" w:after="120" w:line="360" w:lineRule="auto"/>
              <w:rPr>
                <w:rFonts w:ascii="Times New Roman" w:eastAsia="Calibri" w:hAnsi="Times New Roman" w:cs="Times New Roman"/>
                <w:noProof/>
                <w:sz w:val="2"/>
                <w:szCs w:val="2"/>
              </w:rPr>
            </w:pPr>
          </w:p>
        </w:tc>
        <w:tc>
          <w:tcPr>
            <w:tcW w:w="1139" w:type="dxa"/>
            <w:shd w:val="clear" w:color="auto" w:fill="BBD5EC"/>
            <w:vAlign w:val="center"/>
          </w:tcPr>
          <w:p w14:paraId="5A8AE44A" w14:textId="77777777" w:rsidR="00740F0F" w:rsidRPr="00FB041E" w:rsidRDefault="00100B64">
            <w:pPr>
              <w:ind w:left="288"/>
              <w:rPr>
                <w:rFonts w:ascii="Times New Roman" w:eastAsia="Times New Roman" w:hAnsi="Times New Roman" w:cs="Times New Roman"/>
                <w:b/>
                <w:noProof/>
                <w:sz w:val="18"/>
                <w:szCs w:val="18"/>
              </w:rPr>
            </w:pPr>
            <w:r w:rsidRPr="00FB041E">
              <w:rPr>
                <w:rFonts w:ascii="Times New Roman" w:hAnsi="Times New Roman"/>
                <w:b/>
                <w:noProof/>
                <w:sz w:val="18"/>
                <w:szCs w:val="18"/>
              </w:rPr>
              <w:t>Unité de mesure</w:t>
            </w:r>
          </w:p>
        </w:tc>
        <w:tc>
          <w:tcPr>
            <w:tcW w:w="719" w:type="dxa"/>
            <w:shd w:val="clear" w:color="auto" w:fill="BBD5EC"/>
            <w:vAlign w:val="center"/>
          </w:tcPr>
          <w:p w14:paraId="5A8AE44B" w14:textId="77777777" w:rsidR="00740F0F" w:rsidRPr="00FB041E" w:rsidRDefault="00100B64">
            <w:pPr>
              <w:spacing w:before="5"/>
              <w:ind w:left="37"/>
              <w:rPr>
                <w:rFonts w:ascii="Times New Roman" w:eastAsia="Times New Roman" w:hAnsi="Times New Roman" w:cs="Times New Roman"/>
                <w:b/>
                <w:noProof/>
                <w:sz w:val="18"/>
                <w:szCs w:val="18"/>
              </w:rPr>
            </w:pPr>
            <w:r w:rsidRPr="00385793">
              <w:rPr>
                <w:rFonts w:ascii="Times New Roman" w:hAnsi="Times New Roman"/>
                <w:b/>
                <w:noProof/>
                <w:sz w:val="16"/>
                <w:szCs w:val="16"/>
              </w:rPr>
              <w:t>Base de référence</w:t>
            </w:r>
          </w:p>
        </w:tc>
        <w:tc>
          <w:tcPr>
            <w:tcW w:w="1127" w:type="dxa"/>
            <w:shd w:val="clear" w:color="auto" w:fill="BBD5EC"/>
            <w:vAlign w:val="center"/>
          </w:tcPr>
          <w:p w14:paraId="5A8AE44C" w14:textId="77777777" w:rsidR="00740F0F" w:rsidRPr="00FB041E" w:rsidRDefault="00100B64">
            <w:pPr>
              <w:spacing w:before="120"/>
              <w:ind w:left="396"/>
              <w:rPr>
                <w:rFonts w:ascii="Times New Roman" w:eastAsia="Times New Roman" w:hAnsi="Times New Roman" w:cs="Times New Roman"/>
                <w:b/>
                <w:noProof/>
                <w:sz w:val="18"/>
                <w:szCs w:val="18"/>
              </w:rPr>
            </w:pPr>
            <w:r w:rsidRPr="00FB041E">
              <w:rPr>
                <w:rFonts w:ascii="Times New Roman" w:hAnsi="Times New Roman"/>
                <w:b/>
                <w:noProof/>
                <w:sz w:val="18"/>
                <w:szCs w:val="18"/>
              </w:rPr>
              <w:t>Objectif</w:t>
            </w:r>
          </w:p>
        </w:tc>
        <w:tc>
          <w:tcPr>
            <w:tcW w:w="999" w:type="dxa"/>
            <w:shd w:val="clear" w:color="auto" w:fill="BBD5EC"/>
            <w:vAlign w:val="center"/>
          </w:tcPr>
          <w:p w14:paraId="5A8AE44D" w14:textId="77777777" w:rsidR="00740F0F" w:rsidRPr="00FB041E" w:rsidRDefault="00100B64">
            <w:pPr>
              <w:spacing w:before="125"/>
              <w:ind w:left="85" w:right="54"/>
              <w:rPr>
                <w:rFonts w:ascii="Times New Roman" w:eastAsia="Times New Roman" w:hAnsi="Times New Roman" w:cs="Times New Roman"/>
                <w:b/>
                <w:noProof/>
                <w:sz w:val="18"/>
                <w:szCs w:val="18"/>
              </w:rPr>
            </w:pPr>
            <w:r w:rsidRPr="00FB041E">
              <w:rPr>
                <w:rFonts w:ascii="Times New Roman" w:hAnsi="Times New Roman"/>
                <w:b/>
                <w:noProof/>
                <w:sz w:val="18"/>
                <w:szCs w:val="18"/>
              </w:rPr>
              <w:t>Trimestre</w:t>
            </w:r>
          </w:p>
        </w:tc>
        <w:tc>
          <w:tcPr>
            <w:tcW w:w="709" w:type="dxa"/>
            <w:shd w:val="clear" w:color="auto" w:fill="BBD5EC"/>
            <w:vAlign w:val="center"/>
          </w:tcPr>
          <w:p w14:paraId="5A8AE44E" w14:textId="77777777" w:rsidR="00740F0F" w:rsidRPr="0029070D" w:rsidRDefault="00100B64">
            <w:pPr>
              <w:spacing w:before="125"/>
              <w:ind w:right="83"/>
              <w:rPr>
                <w:rFonts w:ascii="Times New Roman" w:eastAsia="Times New Roman" w:hAnsi="Times New Roman" w:cs="Times New Roman"/>
                <w:b/>
                <w:noProof/>
                <w:sz w:val="19"/>
              </w:rPr>
            </w:pPr>
            <w:r>
              <w:rPr>
                <w:rFonts w:ascii="Times New Roman" w:hAnsi="Times New Roman"/>
                <w:b/>
                <w:noProof/>
                <w:sz w:val="19"/>
              </w:rPr>
              <w:t>Année</w:t>
            </w:r>
          </w:p>
        </w:tc>
        <w:tc>
          <w:tcPr>
            <w:tcW w:w="4246" w:type="dxa"/>
            <w:vMerge/>
            <w:tcBorders>
              <w:top w:val="nil"/>
            </w:tcBorders>
            <w:shd w:val="clear" w:color="auto" w:fill="BBD5EC"/>
          </w:tcPr>
          <w:p w14:paraId="5A8AE44F" w14:textId="77777777" w:rsidR="00740F0F" w:rsidRPr="0029070D" w:rsidRDefault="00740F0F">
            <w:pPr>
              <w:spacing w:before="120" w:after="120" w:line="360" w:lineRule="auto"/>
              <w:rPr>
                <w:rFonts w:ascii="Times New Roman" w:eastAsia="Calibri" w:hAnsi="Times New Roman" w:cs="Times New Roman"/>
                <w:noProof/>
                <w:sz w:val="2"/>
                <w:szCs w:val="2"/>
              </w:rPr>
            </w:pPr>
          </w:p>
        </w:tc>
      </w:tr>
      <w:tr w:rsidR="00782477" w:rsidRPr="0029070D" w14:paraId="5A8AE460" w14:textId="77777777" w:rsidTr="00FB041E">
        <w:trPr>
          <w:trHeight w:val="1943"/>
        </w:trPr>
        <w:tc>
          <w:tcPr>
            <w:tcW w:w="1139" w:type="dxa"/>
            <w:tcBorders>
              <w:left w:val="single" w:sz="6" w:space="0" w:color="000000"/>
              <w:bottom w:val="single" w:sz="6" w:space="0" w:color="000000"/>
              <w:right w:val="single" w:sz="6" w:space="0" w:color="000000"/>
            </w:tcBorders>
            <w:shd w:val="clear" w:color="auto" w:fill="C5EDCE"/>
          </w:tcPr>
          <w:p w14:paraId="5A8AE451" w14:textId="77777777" w:rsidR="00740F0F" w:rsidRPr="0029070D" w:rsidRDefault="00100B64">
            <w:pPr>
              <w:ind w:left="446"/>
              <w:rPr>
                <w:rFonts w:ascii="Times New Roman" w:eastAsia="Times New Roman" w:hAnsi="Times New Roman" w:cs="Times New Roman"/>
                <w:noProof/>
                <w:sz w:val="18"/>
                <w:szCs w:val="18"/>
              </w:rPr>
            </w:pPr>
            <w:r>
              <w:rPr>
                <w:rFonts w:ascii="Times New Roman" w:hAnsi="Times New Roman"/>
                <w:noProof/>
                <w:sz w:val="18"/>
              </w:rPr>
              <w:t>5-1</w:t>
            </w:r>
          </w:p>
        </w:tc>
        <w:tc>
          <w:tcPr>
            <w:tcW w:w="1682" w:type="dxa"/>
            <w:tcBorders>
              <w:left w:val="single" w:sz="6" w:space="0" w:color="000000"/>
              <w:bottom w:val="single" w:sz="6" w:space="0" w:color="000000"/>
              <w:right w:val="single" w:sz="6" w:space="0" w:color="000000"/>
            </w:tcBorders>
            <w:shd w:val="clear" w:color="auto" w:fill="C5EDCE"/>
          </w:tcPr>
          <w:p w14:paraId="5A8AE452" w14:textId="77777777" w:rsidR="00740F0F" w:rsidRPr="0029070D" w:rsidRDefault="00100B64">
            <w:pPr>
              <w:jc w:val="center"/>
              <w:rPr>
                <w:rFonts w:ascii="Times New Roman" w:eastAsia="Times New Roman" w:hAnsi="Times New Roman" w:cs="Times New Roman"/>
                <w:noProof/>
                <w:sz w:val="18"/>
                <w:szCs w:val="18"/>
              </w:rPr>
            </w:pPr>
            <w:r>
              <w:rPr>
                <w:rFonts w:ascii="Times New Roman" w:hAnsi="Times New Roman"/>
                <w:noProof/>
                <w:sz w:val="18"/>
              </w:rPr>
              <w:t>C5.R1</w:t>
            </w:r>
          </w:p>
          <w:p w14:paraId="5A8AE453" w14:textId="77777777" w:rsidR="00740F0F" w:rsidRPr="0029070D" w:rsidRDefault="00100B64">
            <w:pPr>
              <w:jc w:val="center"/>
              <w:rPr>
                <w:rFonts w:ascii="Times New Roman" w:eastAsia="Times New Roman" w:hAnsi="Times New Roman" w:cs="Times New Roman"/>
                <w:noProof/>
                <w:sz w:val="18"/>
                <w:szCs w:val="18"/>
              </w:rPr>
            </w:pPr>
            <w:r>
              <w:rPr>
                <w:rFonts w:ascii="Times New Roman" w:hAnsi="Times New Roman"/>
                <w:noProof/>
                <w:sz w:val="18"/>
              </w:rPr>
              <w:t>Mise en œuvre de la loi ASAP</w:t>
            </w:r>
          </w:p>
        </w:tc>
        <w:tc>
          <w:tcPr>
            <w:tcW w:w="1142" w:type="dxa"/>
            <w:tcBorders>
              <w:left w:val="single" w:sz="6" w:space="0" w:color="000000"/>
              <w:bottom w:val="single" w:sz="6" w:space="0" w:color="000000"/>
              <w:right w:val="single" w:sz="6" w:space="0" w:color="000000"/>
            </w:tcBorders>
            <w:shd w:val="clear" w:color="auto" w:fill="C5EDCE"/>
          </w:tcPr>
          <w:p w14:paraId="5A8AE454" w14:textId="77777777" w:rsidR="00740F0F" w:rsidRPr="0029070D" w:rsidRDefault="00100B64">
            <w:pPr>
              <w:ind w:left="15"/>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991" w:type="dxa"/>
            <w:tcBorders>
              <w:left w:val="single" w:sz="6" w:space="0" w:color="000000"/>
              <w:bottom w:val="single" w:sz="6" w:space="0" w:color="000000"/>
              <w:right w:val="single" w:sz="6" w:space="0" w:color="000000"/>
            </w:tcBorders>
            <w:shd w:val="clear" w:color="auto" w:fill="C5EDCE"/>
          </w:tcPr>
          <w:p w14:paraId="5A8AE455" w14:textId="77777777" w:rsidR="00740F0F" w:rsidRPr="0029070D" w:rsidRDefault="00100B64">
            <w:pPr>
              <w:rPr>
                <w:rFonts w:ascii="Times New Roman" w:eastAsia="Times New Roman" w:hAnsi="Times New Roman" w:cs="Times New Roman"/>
                <w:noProof/>
                <w:sz w:val="18"/>
                <w:szCs w:val="18"/>
              </w:rPr>
            </w:pPr>
            <w:r>
              <w:rPr>
                <w:rFonts w:ascii="Times New Roman" w:hAnsi="Times New Roman"/>
                <w:noProof/>
                <w:sz w:val="18"/>
              </w:rPr>
              <w:t>Loi nº 2020-1525 (loi ASAP)</w:t>
            </w:r>
          </w:p>
        </w:tc>
        <w:tc>
          <w:tcPr>
            <w:tcW w:w="1410" w:type="dxa"/>
            <w:tcBorders>
              <w:left w:val="single" w:sz="6" w:space="0" w:color="000000"/>
              <w:bottom w:val="single" w:sz="6" w:space="0" w:color="000000"/>
              <w:right w:val="single" w:sz="6" w:space="0" w:color="000000"/>
            </w:tcBorders>
            <w:shd w:val="clear" w:color="auto" w:fill="C5EDCE"/>
          </w:tcPr>
          <w:p w14:paraId="5A8AE456" w14:textId="77777777" w:rsidR="00740F0F" w:rsidRPr="0029070D" w:rsidRDefault="00100B64" w:rsidP="009E7E07">
            <w:pPr>
              <w:ind w:left="57" w:right="57"/>
              <w:rPr>
                <w:rFonts w:ascii="Times New Roman" w:eastAsia="Times New Roman" w:hAnsi="Times New Roman" w:cs="Times New Roman"/>
                <w:noProof/>
                <w:sz w:val="18"/>
                <w:szCs w:val="18"/>
              </w:rPr>
            </w:pPr>
            <w:r>
              <w:rPr>
                <w:rFonts w:ascii="Times New Roman" w:hAnsi="Times New Roman"/>
                <w:noProof/>
                <w:sz w:val="18"/>
              </w:rPr>
              <w:t>Entrée en vigueur</w:t>
            </w:r>
          </w:p>
        </w:tc>
        <w:tc>
          <w:tcPr>
            <w:tcW w:w="1139" w:type="dxa"/>
            <w:tcBorders>
              <w:left w:val="single" w:sz="6" w:space="0" w:color="000000"/>
              <w:bottom w:val="single" w:sz="6" w:space="0" w:color="000000"/>
              <w:right w:val="single" w:sz="6" w:space="0" w:color="000000"/>
            </w:tcBorders>
            <w:shd w:val="clear" w:color="auto" w:fill="C5EDCE"/>
          </w:tcPr>
          <w:p w14:paraId="5A8AE457" w14:textId="77777777" w:rsidR="00740F0F" w:rsidRPr="0029070D" w:rsidRDefault="00740F0F">
            <w:pPr>
              <w:ind w:left="446"/>
              <w:rPr>
                <w:rFonts w:ascii="Times New Roman" w:eastAsia="Times New Roman" w:hAnsi="Times New Roman" w:cs="Times New Roman"/>
                <w:noProof/>
                <w:sz w:val="18"/>
                <w:szCs w:val="18"/>
              </w:rPr>
            </w:pPr>
          </w:p>
        </w:tc>
        <w:tc>
          <w:tcPr>
            <w:tcW w:w="719" w:type="dxa"/>
            <w:tcBorders>
              <w:left w:val="single" w:sz="6" w:space="0" w:color="000000"/>
              <w:bottom w:val="single" w:sz="6" w:space="0" w:color="000000"/>
              <w:right w:val="single" w:sz="6" w:space="0" w:color="000000"/>
            </w:tcBorders>
            <w:shd w:val="clear" w:color="auto" w:fill="C5EDCE"/>
          </w:tcPr>
          <w:p w14:paraId="5A8AE458" w14:textId="77777777" w:rsidR="00740F0F" w:rsidRPr="0029070D" w:rsidRDefault="00740F0F">
            <w:pPr>
              <w:ind w:left="446"/>
              <w:rPr>
                <w:rFonts w:ascii="Times New Roman" w:eastAsia="Times New Roman" w:hAnsi="Times New Roman" w:cs="Times New Roman"/>
                <w:noProof/>
                <w:sz w:val="18"/>
                <w:szCs w:val="18"/>
              </w:rPr>
            </w:pPr>
          </w:p>
        </w:tc>
        <w:tc>
          <w:tcPr>
            <w:tcW w:w="1127" w:type="dxa"/>
            <w:tcBorders>
              <w:left w:val="single" w:sz="6" w:space="0" w:color="000000"/>
              <w:bottom w:val="single" w:sz="6" w:space="0" w:color="000000"/>
              <w:right w:val="single" w:sz="6" w:space="0" w:color="000000"/>
            </w:tcBorders>
            <w:shd w:val="clear" w:color="auto" w:fill="C5EDCE"/>
          </w:tcPr>
          <w:p w14:paraId="5A8AE459" w14:textId="77777777" w:rsidR="00740F0F" w:rsidRPr="0029070D" w:rsidRDefault="00740F0F">
            <w:pPr>
              <w:ind w:left="446"/>
              <w:rPr>
                <w:rFonts w:ascii="Times New Roman" w:eastAsia="Times New Roman" w:hAnsi="Times New Roman" w:cs="Times New Roman"/>
                <w:noProof/>
                <w:sz w:val="18"/>
                <w:szCs w:val="18"/>
              </w:rPr>
            </w:pPr>
          </w:p>
        </w:tc>
        <w:tc>
          <w:tcPr>
            <w:tcW w:w="999" w:type="dxa"/>
            <w:tcBorders>
              <w:left w:val="single" w:sz="6" w:space="0" w:color="000000"/>
              <w:bottom w:val="single" w:sz="6" w:space="0" w:color="000000"/>
              <w:right w:val="single" w:sz="6" w:space="0" w:color="000000"/>
            </w:tcBorders>
            <w:shd w:val="clear" w:color="auto" w:fill="C5EDCE"/>
          </w:tcPr>
          <w:p w14:paraId="5A8AE45A" w14:textId="77777777" w:rsidR="00740F0F" w:rsidRPr="0029070D" w:rsidRDefault="00100B64">
            <w:pPr>
              <w:ind w:left="446"/>
              <w:rPr>
                <w:rFonts w:ascii="Times New Roman" w:eastAsia="Times New Roman" w:hAnsi="Times New Roman" w:cs="Times New Roman"/>
                <w:noProof/>
                <w:sz w:val="18"/>
                <w:szCs w:val="18"/>
              </w:rPr>
            </w:pPr>
            <w:r>
              <w:rPr>
                <w:rFonts w:ascii="Times New Roman" w:hAnsi="Times New Roman"/>
                <w:noProof/>
                <w:sz w:val="18"/>
              </w:rPr>
              <w:t>T2</w:t>
            </w:r>
          </w:p>
        </w:tc>
        <w:tc>
          <w:tcPr>
            <w:tcW w:w="709" w:type="dxa"/>
            <w:tcBorders>
              <w:left w:val="single" w:sz="6" w:space="0" w:color="000000"/>
              <w:bottom w:val="single" w:sz="6" w:space="0" w:color="000000"/>
              <w:right w:val="single" w:sz="6" w:space="0" w:color="000000"/>
            </w:tcBorders>
            <w:shd w:val="clear" w:color="auto" w:fill="C5EDCE"/>
          </w:tcPr>
          <w:p w14:paraId="5A8AE45B" w14:textId="77777777" w:rsidR="00740F0F" w:rsidRPr="0029070D" w:rsidRDefault="00100B64">
            <w:pPr>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246" w:type="dxa"/>
            <w:tcBorders>
              <w:left w:val="single" w:sz="6" w:space="0" w:color="000000"/>
              <w:bottom w:val="single" w:sz="6" w:space="0" w:color="000000"/>
              <w:right w:val="single" w:sz="6" w:space="0" w:color="000000"/>
            </w:tcBorders>
            <w:shd w:val="clear" w:color="auto" w:fill="C5EDCE"/>
          </w:tcPr>
          <w:p w14:paraId="5A8AE45C" w14:textId="77777777" w:rsidR="00740F0F" w:rsidRPr="0029070D" w:rsidRDefault="00100B64" w:rsidP="009E7E07">
            <w:pPr>
              <w:ind w:left="57" w:right="57"/>
              <w:rPr>
                <w:rFonts w:ascii="Times New Roman" w:eastAsia="Times New Roman" w:hAnsi="Times New Roman" w:cs="Times New Roman"/>
                <w:noProof/>
                <w:sz w:val="18"/>
                <w:szCs w:val="18"/>
              </w:rPr>
            </w:pPr>
            <w:r>
              <w:rPr>
                <w:rFonts w:ascii="Times New Roman" w:hAnsi="Times New Roman"/>
                <w:noProof/>
                <w:sz w:val="18"/>
              </w:rPr>
              <w:t>Entrée en vigueur des décrets d’application de la loi ASAP, couvrant au moins les éléments suivants:</w:t>
            </w:r>
          </w:p>
          <w:p w14:paraId="5A8AE45D" w14:textId="77777777" w:rsidR="00740F0F" w:rsidRPr="0029070D" w:rsidRDefault="00100B64" w:rsidP="009E7E07">
            <w:pPr>
              <w:numPr>
                <w:ilvl w:val="0"/>
                <w:numId w:val="33"/>
              </w:numPr>
              <w:ind w:left="57" w:right="57" w:hanging="142"/>
              <w:rPr>
                <w:rFonts w:ascii="Times New Roman" w:eastAsia="Times New Roman" w:hAnsi="Times New Roman" w:cs="Times New Roman"/>
                <w:noProof/>
                <w:sz w:val="18"/>
                <w:szCs w:val="18"/>
              </w:rPr>
            </w:pPr>
            <w:r>
              <w:rPr>
                <w:rFonts w:ascii="Times New Roman" w:hAnsi="Times New Roman"/>
                <w:noProof/>
                <w:sz w:val="18"/>
              </w:rPr>
              <w:t>mise en œuvre des dispositions d’obtention/renouvellement de l’affiliation sportive et du certificat médical</w:t>
            </w:r>
          </w:p>
          <w:p w14:paraId="5A8AE45E" w14:textId="77777777" w:rsidR="00740F0F" w:rsidRPr="0029070D" w:rsidRDefault="00100B64" w:rsidP="009E7E07">
            <w:pPr>
              <w:numPr>
                <w:ilvl w:val="0"/>
                <w:numId w:val="33"/>
              </w:numPr>
              <w:ind w:left="57" w:right="57" w:hanging="142"/>
              <w:rPr>
                <w:rFonts w:ascii="Times New Roman" w:eastAsia="Times New Roman" w:hAnsi="Times New Roman" w:cs="Times New Roman"/>
                <w:noProof/>
                <w:sz w:val="18"/>
                <w:szCs w:val="18"/>
              </w:rPr>
            </w:pPr>
            <w:r>
              <w:rPr>
                <w:rFonts w:ascii="Times New Roman" w:hAnsi="Times New Roman"/>
                <w:noProof/>
                <w:sz w:val="18"/>
              </w:rPr>
              <w:t>instruction des demandes d’autorisation environnementale en cas d’urgence civile</w:t>
            </w:r>
          </w:p>
          <w:p w14:paraId="5A8AE45F" w14:textId="77777777" w:rsidR="00740F0F" w:rsidRPr="0029070D" w:rsidRDefault="00100B64" w:rsidP="009E7E07">
            <w:pPr>
              <w:numPr>
                <w:ilvl w:val="0"/>
                <w:numId w:val="33"/>
              </w:numPr>
              <w:ind w:left="57" w:right="57" w:hanging="142"/>
              <w:rPr>
                <w:rFonts w:ascii="Times New Roman" w:eastAsia="Times New Roman" w:hAnsi="Times New Roman" w:cs="Times New Roman"/>
                <w:noProof/>
                <w:sz w:val="18"/>
                <w:szCs w:val="18"/>
              </w:rPr>
            </w:pPr>
            <w:r>
              <w:rPr>
                <w:rFonts w:ascii="Times New Roman" w:hAnsi="Times New Roman"/>
                <w:noProof/>
                <w:sz w:val="18"/>
              </w:rPr>
              <w:t>dispositions relatives aux accords d’intéressement, de participation ou de plan d’épargne salariale</w:t>
            </w:r>
          </w:p>
        </w:tc>
      </w:tr>
      <w:tr w:rsidR="00782477" w:rsidRPr="0029070D" w14:paraId="5A8AE46E" w14:textId="77777777" w:rsidTr="00FB041E">
        <w:trPr>
          <w:trHeight w:val="1540"/>
        </w:trPr>
        <w:tc>
          <w:tcPr>
            <w:tcW w:w="1139" w:type="dxa"/>
            <w:tcBorders>
              <w:top w:val="single" w:sz="6" w:space="0" w:color="000000"/>
              <w:left w:val="single" w:sz="6" w:space="0" w:color="000000"/>
              <w:bottom w:val="single" w:sz="6" w:space="0" w:color="000000"/>
              <w:right w:val="single" w:sz="6" w:space="0" w:color="000000"/>
            </w:tcBorders>
            <w:shd w:val="clear" w:color="auto" w:fill="C5EDCE"/>
          </w:tcPr>
          <w:p w14:paraId="5A8AE461" w14:textId="77777777" w:rsidR="00740F0F" w:rsidRPr="0029070D" w:rsidRDefault="00100B64">
            <w:pPr>
              <w:spacing w:line="206" w:lineRule="exact"/>
              <w:ind w:left="300" w:right="259"/>
              <w:jc w:val="center"/>
              <w:rPr>
                <w:rFonts w:ascii="Times New Roman" w:eastAsia="Times New Roman" w:hAnsi="Times New Roman" w:cs="Times New Roman"/>
                <w:noProof/>
                <w:sz w:val="18"/>
                <w:szCs w:val="18"/>
              </w:rPr>
            </w:pPr>
            <w:r>
              <w:rPr>
                <w:rFonts w:ascii="Times New Roman" w:hAnsi="Times New Roman"/>
                <w:noProof/>
                <w:sz w:val="18"/>
              </w:rPr>
              <w:t>5-2</w:t>
            </w:r>
          </w:p>
        </w:tc>
        <w:tc>
          <w:tcPr>
            <w:tcW w:w="1682" w:type="dxa"/>
            <w:tcBorders>
              <w:top w:val="single" w:sz="6" w:space="0" w:color="000000"/>
              <w:left w:val="single" w:sz="6" w:space="0" w:color="000000"/>
              <w:bottom w:val="single" w:sz="6" w:space="0" w:color="000000"/>
              <w:right w:val="single" w:sz="6" w:space="0" w:color="000000"/>
            </w:tcBorders>
            <w:shd w:val="clear" w:color="auto" w:fill="C5EDCE"/>
          </w:tcPr>
          <w:p w14:paraId="5A8AE462" w14:textId="77777777" w:rsidR="00740F0F" w:rsidRPr="0029070D" w:rsidRDefault="00100B64">
            <w:pPr>
              <w:spacing w:line="206" w:lineRule="exact"/>
              <w:ind w:right="183"/>
              <w:jc w:val="center"/>
              <w:rPr>
                <w:rFonts w:ascii="Times New Roman" w:eastAsia="Times New Roman" w:hAnsi="Times New Roman" w:cs="Times New Roman"/>
                <w:noProof/>
                <w:sz w:val="18"/>
                <w:szCs w:val="18"/>
              </w:rPr>
            </w:pPr>
            <w:r>
              <w:rPr>
                <w:rFonts w:ascii="Times New Roman" w:hAnsi="Times New Roman"/>
                <w:noProof/>
                <w:sz w:val="18"/>
              </w:rPr>
              <w:t>C5.R2</w:t>
            </w:r>
          </w:p>
          <w:p w14:paraId="5A8AE463" w14:textId="77777777" w:rsidR="00740F0F" w:rsidRPr="0029070D" w:rsidRDefault="00100B64">
            <w:pPr>
              <w:spacing w:line="206" w:lineRule="exact"/>
              <w:ind w:right="183"/>
              <w:jc w:val="center"/>
              <w:rPr>
                <w:rFonts w:ascii="Times New Roman" w:eastAsia="Times New Roman" w:hAnsi="Times New Roman" w:cs="Times New Roman"/>
                <w:noProof/>
                <w:sz w:val="18"/>
                <w:szCs w:val="18"/>
              </w:rPr>
            </w:pPr>
            <w:r>
              <w:rPr>
                <w:rFonts w:ascii="Times New Roman" w:hAnsi="Times New Roman"/>
                <w:noProof/>
                <w:sz w:val="18"/>
              </w:rPr>
              <w:t>Contribution des entreprises aux transformations économiques, sociales et environnementales</w:t>
            </w:r>
          </w:p>
        </w:tc>
        <w:tc>
          <w:tcPr>
            <w:tcW w:w="1142" w:type="dxa"/>
            <w:tcBorders>
              <w:top w:val="single" w:sz="6" w:space="0" w:color="000000"/>
              <w:left w:val="single" w:sz="6" w:space="0" w:color="000000"/>
              <w:bottom w:val="single" w:sz="6" w:space="0" w:color="000000"/>
              <w:right w:val="single" w:sz="6" w:space="0" w:color="000000"/>
            </w:tcBorders>
            <w:shd w:val="clear" w:color="auto" w:fill="C5EDCE"/>
          </w:tcPr>
          <w:p w14:paraId="5A8AE464" w14:textId="77777777" w:rsidR="00740F0F" w:rsidRPr="0029070D" w:rsidRDefault="00100B64">
            <w:pPr>
              <w:spacing w:line="206" w:lineRule="exact"/>
              <w:ind w:right="183"/>
              <w:jc w:val="right"/>
              <w:rPr>
                <w:rFonts w:ascii="Times New Roman" w:eastAsia="Times New Roman" w:hAnsi="Times New Roman" w:cs="Times New Roman"/>
                <w:noProof/>
                <w:sz w:val="18"/>
                <w:szCs w:val="18"/>
              </w:rPr>
            </w:pPr>
            <w:r>
              <w:rPr>
                <w:rFonts w:ascii="Times New Roman" w:hAnsi="Times New Roman"/>
                <w:noProof/>
                <w:sz w:val="18"/>
              </w:rPr>
              <w:t>Jalon</w:t>
            </w:r>
          </w:p>
        </w:tc>
        <w:tc>
          <w:tcPr>
            <w:tcW w:w="991" w:type="dxa"/>
            <w:tcBorders>
              <w:top w:val="single" w:sz="6" w:space="0" w:color="000000"/>
              <w:left w:val="single" w:sz="6" w:space="0" w:color="000000"/>
              <w:bottom w:val="single" w:sz="6" w:space="0" w:color="000000"/>
              <w:right w:val="single" w:sz="6" w:space="0" w:color="000000"/>
            </w:tcBorders>
            <w:shd w:val="clear" w:color="auto" w:fill="C5EDCE"/>
          </w:tcPr>
          <w:p w14:paraId="5A8AE465" w14:textId="2ABFCE23" w:rsidR="00740F0F" w:rsidRPr="009447E5" w:rsidRDefault="00100B64">
            <w:pPr>
              <w:spacing w:line="214" w:lineRule="exact"/>
              <w:rPr>
                <w:rFonts w:ascii="Times New Roman" w:eastAsia="Times New Roman" w:hAnsi="Times New Roman" w:cs="Times New Roman"/>
                <w:noProof/>
                <w:sz w:val="18"/>
                <w:szCs w:val="18"/>
              </w:rPr>
            </w:pPr>
            <w:r>
              <w:rPr>
                <w:rFonts w:ascii="Times New Roman" w:hAnsi="Times New Roman"/>
                <w:noProof/>
                <w:sz w:val="18"/>
              </w:rPr>
              <w:t>Article 244 de la loi nº 2020-1721 (loi de finances</w:t>
            </w:r>
          </w:p>
          <w:p w14:paraId="5A8AE466" w14:textId="77777777" w:rsidR="00740F0F" w:rsidRPr="0029070D" w:rsidRDefault="00100B64">
            <w:pPr>
              <w:spacing w:before="7" w:line="218" w:lineRule="exact"/>
              <w:ind w:left="9"/>
              <w:rPr>
                <w:rFonts w:ascii="Times New Roman" w:eastAsia="Times New Roman" w:hAnsi="Times New Roman" w:cs="Times New Roman"/>
                <w:noProof/>
                <w:sz w:val="18"/>
                <w:szCs w:val="18"/>
              </w:rPr>
            </w:pPr>
            <w:r>
              <w:rPr>
                <w:rFonts w:ascii="Times New Roman" w:hAnsi="Times New Roman"/>
                <w:noProof/>
                <w:sz w:val="18"/>
              </w:rPr>
              <w:t>2021)</w:t>
            </w:r>
          </w:p>
        </w:tc>
        <w:tc>
          <w:tcPr>
            <w:tcW w:w="1410" w:type="dxa"/>
            <w:tcBorders>
              <w:top w:val="single" w:sz="6" w:space="0" w:color="000000"/>
              <w:left w:val="single" w:sz="6" w:space="0" w:color="000000"/>
              <w:bottom w:val="single" w:sz="6" w:space="0" w:color="000000"/>
              <w:right w:val="single" w:sz="6" w:space="0" w:color="000000"/>
            </w:tcBorders>
            <w:shd w:val="clear" w:color="auto" w:fill="C5EDCE"/>
          </w:tcPr>
          <w:p w14:paraId="5A8AE467" w14:textId="77777777" w:rsidR="00740F0F" w:rsidRPr="0029070D" w:rsidRDefault="00100B64">
            <w:pPr>
              <w:spacing w:line="256" w:lineRule="auto"/>
              <w:ind w:left="12" w:right="132"/>
              <w:rPr>
                <w:rFonts w:ascii="Times New Roman" w:eastAsia="Times New Roman" w:hAnsi="Times New Roman" w:cs="Times New Roman"/>
                <w:noProof/>
                <w:sz w:val="18"/>
                <w:szCs w:val="18"/>
              </w:rPr>
            </w:pPr>
            <w:r>
              <w:rPr>
                <w:rFonts w:ascii="Times New Roman" w:hAnsi="Times New Roman"/>
                <w:noProof/>
                <w:sz w:val="18"/>
              </w:rPr>
              <w:t>Publication sur le site web du ministère du travail (sous-indicateurs)</w:t>
            </w:r>
          </w:p>
        </w:tc>
        <w:tc>
          <w:tcPr>
            <w:tcW w:w="1139" w:type="dxa"/>
            <w:tcBorders>
              <w:top w:val="single" w:sz="6" w:space="0" w:color="000000"/>
              <w:left w:val="single" w:sz="6" w:space="0" w:color="000000"/>
              <w:bottom w:val="single" w:sz="6" w:space="0" w:color="000000"/>
              <w:right w:val="single" w:sz="6" w:space="0" w:color="000000"/>
            </w:tcBorders>
            <w:shd w:val="clear" w:color="auto" w:fill="C5EDCE"/>
          </w:tcPr>
          <w:p w14:paraId="5A8AE468" w14:textId="77777777" w:rsidR="00740F0F" w:rsidRPr="0029070D" w:rsidRDefault="00740F0F">
            <w:pPr>
              <w:rPr>
                <w:rFonts w:ascii="Times New Roman" w:eastAsia="Times New Roman" w:hAnsi="Times New Roman" w:cs="Times New Roman"/>
                <w:noProof/>
                <w:sz w:val="18"/>
                <w:szCs w:val="18"/>
              </w:rPr>
            </w:pPr>
          </w:p>
        </w:tc>
        <w:tc>
          <w:tcPr>
            <w:tcW w:w="719" w:type="dxa"/>
            <w:tcBorders>
              <w:top w:val="single" w:sz="6" w:space="0" w:color="000000"/>
              <w:left w:val="single" w:sz="6" w:space="0" w:color="000000"/>
              <w:bottom w:val="single" w:sz="6" w:space="0" w:color="000000"/>
              <w:right w:val="single" w:sz="6" w:space="0" w:color="000000"/>
            </w:tcBorders>
            <w:shd w:val="clear" w:color="auto" w:fill="C5EDCE"/>
          </w:tcPr>
          <w:p w14:paraId="5A8AE469" w14:textId="77777777" w:rsidR="00740F0F" w:rsidRPr="0029070D" w:rsidRDefault="00740F0F">
            <w:pPr>
              <w:rPr>
                <w:rFonts w:ascii="Times New Roman" w:eastAsia="Times New Roman" w:hAnsi="Times New Roman" w:cs="Times New Roman"/>
                <w:noProof/>
                <w:sz w:val="18"/>
                <w:szCs w:val="18"/>
              </w:rPr>
            </w:pPr>
          </w:p>
        </w:tc>
        <w:tc>
          <w:tcPr>
            <w:tcW w:w="1127" w:type="dxa"/>
            <w:tcBorders>
              <w:top w:val="single" w:sz="6" w:space="0" w:color="000000"/>
              <w:left w:val="single" w:sz="6" w:space="0" w:color="000000"/>
              <w:bottom w:val="single" w:sz="6" w:space="0" w:color="000000"/>
              <w:right w:val="single" w:sz="6" w:space="0" w:color="000000"/>
            </w:tcBorders>
            <w:shd w:val="clear" w:color="auto" w:fill="C5EDCE"/>
          </w:tcPr>
          <w:p w14:paraId="5A8AE46A" w14:textId="77777777" w:rsidR="00740F0F" w:rsidRPr="0029070D" w:rsidRDefault="00740F0F">
            <w:pPr>
              <w:rPr>
                <w:rFonts w:ascii="Times New Roman" w:eastAsia="Times New Roman" w:hAnsi="Times New Roman" w:cs="Times New Roman"/>
                <w:noProof/>
                <w:sz w:val="18"/>
                <w:szCs w:val="18"/>
              </w:rPr>
            </w:pPr>
          </w:p>
        </w:tc>
        <w:tc>
          <w:tcPr>
            <w:tcW w:w="999" w:type="dxa"/>
            <w:tcBorders>
              <w:top w:val="single" w:sz="6" w:space="0" w:color="000000"/>
              <w:left w:val="single" w:sz="6" w:space="0" w:color="000000"/>
              <w:bottom w:val="single" w:sz="6" w:space="0" w:color="000000"/>
              <w:right w:val="single" w:sz="6" w:space="0" w:color="000000"/>
            </w:tcBorders>
            <w:shd w:val="clear" w:color="auto" w:fill="C5EDCE"/>
          </w:tcPr>
          <w:p w14:paraId="5A8AE46B" w14:textId="77777777" w:rsidR="00740F0F" w:rsidRPr="0029070D" w:rsidRDefault="00100B64">
            <w:pPr>
              <w:spacing w:line="206" w:lineRule="exact"/>
              <w:ind w:left="294" w:right="272"/>
              <w:jc w:val="center"/>
              <w:rPr>
                <w:rFonts w:ascii="Times New Roman" w:eastAsia="Times New Roman" w:hAnsi="Times New Roman" w:cs="Times New Roman"/>
                <w:noProof/>
                <w:sz w:val="18"/>
                <w:szCs w:val="18"/>
              </w:rPr>
            </w:pPr>
            <w:r>
              <w:rPr>
                <w:rFonts w:ascii="Times New Roman" w:hAnsi="Times New Roman"/>
                <w:noProof/>
                <w:sz w:val="18"/>
              </w:rPr>
              <w:t>T1</w:t>
            </w:r>
          </w:p>
        </w:tc>
        <w:tc>
          <w:tcPr>
            <w:tcW w:w="709" w:type="dxa"/>
            <w:tcBorders>
              <w:top w:val="single" w:sz="6" w:space="0" w:color="000000"/>
              <w:left w:val="single" w:sz="6" w:space="0" w:color="000000"/>
              <w:bottom w:val="single" w:sz="6" w:space="0" w:color="000000"/>
              <w:right w:val="single" w:sz="6" w:space="0" w:color="000000"/>
            </w:tcBorders>
            <w:shd w:val="clear" w:color="auto" w:fill="C5EDCE"/>
          </w:tcPr>
          <w:p w14:paraId="5A8AE46C" w14:textId="77777777" w:rsidR="00740F0F" w:rsidRPr="0029070D" w:rsidRDefault="00100B64">
            <w:pPr>
              <w:spacing w:line="206" w:lineRule="exact"/>
              <w:ind w:right="148"/>
              <w:jc w:val="right"/>
              <w:rPr>
                <w:rFonts w:ascii="Times New Roman" w:eastAsia="Times New Roman" w:hAnsi="Times New Roman" w:cs="Times New Roman"/>
                <w:noProof/>
                <w:sz w:val="18"/>
                <w:szCs w:val="18"/>
              </w:rPr>
            </w:pPr>
            <w:r>
              <w:rPr>
                <w:rFonts w:ascii="Times New Roman" w:hAnsi="Times New Roman"/>
                <w:noProof/>
                <w:sz w:val="18"/>
              </w:rPr>
              <w:t>2023</w:t>
            </w:r>
          </w:p>
        </w:tc>
        <w:tc>
          <w:tcPr>
            <w:tcW w:w="4246" w:type="dxa"/>
            <w:tcBorders>
              <w:top w:val="single" w:sz="6" w:space="0" w:color="000000"/>
              <w:left w:val="single" w:sz="6" w:space="0" w:color="000000"/>
              <w:bottom w:val="single" w:sz="6" w:space="0" w:color="000000"/>
              <w:right w:val="single" w:sz="6" w:space="0" w:color="000000"/>
            </w:tcBorders>
            <w:shd w:val="clear" w:color="auto" w:fill="C5EDCE"/>
          </w:tcPr>
          <w:p w14:paraId="5A8AE46D" w14:textId="77777777" w:rsidR="00740F0F" w:rsidRPr="0029070D" w:rsidRDefault="00100B64" w:rsidP="009E7E07">
            <w:pPr>
              <w:ind w:left="57" w:right="57"/>
              <w:rPr>
                <w:rFonts w:ascii="Times New Roman" w:eastAsia="Times New Roman" w:hAnsi="Times New Roman" w:cs="Times New Roman"/>
                <w:noProof/>
                <w:sz w:val="18"/>
                <w:szCs w:val="18"/>
              </w:rPr>
            </w:pPr>
            <w:r>
              <w:rPr>
                <w:rFonts w:ascii="Times New Roman" w:hAnsi="Times New Roman"/>
                <w:noProof/>
                <w:sz w:val="18"/>
              </w:rPr>
              <w:t>Pour les entreprises de plus de 50 salariés qui bénéficient d’une aide au titre du plan de relance de la France, la publication du résultat obtenu pour chacun des sous-indicateurs composant l’Index, ainsi que, pour les entreprises dont le résultat général est en dessous du seuil fixé par décret, des objectifs de progression fixés pour chacun de ces sous-indicateurs.</w:t>
            </w:r>
          </w:p>
        </w:tc>
      </w:tr>
    </w:tbl>
    <w:p w14:paraId="5A8AE46F" w14:textId="77777777" w:rsidR="00740F0F" w:rsidRPr="0029070D" w:rsidRDefault="00740F0F">
      <w:pPr>
        <w:spacing w:before="120" w:after="120" w:line="252" w:lineRule="auto"/>
        <w:rPr>
          <w:rFonts w:ascii="Times New Roman" w:eastAsia="Calibri" w:hAnsi="Times New Roman" w:cs="Times New Roman"/>
          <w:noProof/>
          <w:kern w:val="0"/>
          <w:sz w:val="19"/>
          <w:szCs w:val="22"/>
          <w14:ligatures w14:val="none"/>
        </w:rPr>
        <w:sectPr w:rsidR="00740F0F" w:rsidRPr="0029070D">
          <w:headerReference w:type="even" r:id="rId72"/>
          <w:headerReference w:type="default" r:id="rId73"/>
          <w:footerReference w:type="even" r:id="rId74"/>
          <w:footerReference w:type="default" r:id="rId75"/>
          <w:headerReference w:type="first" r:id="rId76"/>
          <w:footerReference w:type="first" r:id="rId77"/>
          <w:pgSz w:w="16860" w:h="11920" w:orient="landscape"/>
          <w:pgMar w:top="1134" w:right="1134" w:bottom="1134" w:left="1134" w:header="567" w:footer="567" w:gutter="0"/>
          <w:cols w:space="720"/>
          <w:docGrid w:linePitch="326"/>
        </w:sectPr>
      </w:pPr>
    </w:p>
    <w:p w14:paraId="5A8AE470" w14:textId="77777777" w:rsidR="00740F0F" w:rsidRPr="0029070D" w:rsidRDefault="00100B64">
      <w:pPr>
        <w:widowControl w:val="0"/>
        <w:numPr>
          <w:ilvl w:val="1"/>
          <w:numId w:val="1"/>
        </w:numPr>
        <w:tabs>
          <w:tab w:val="left" w:pos="478"/>
        </w:tabs>
        <w:autoSpaceDE w:val="0"/>
        <w:autoSpaceDN w:val="0"/>
        <w:spacing w:before="109" w:after="0" w:line="240" w:lineRule="auto"/>
        <w:ind w:left="477" w:hanging="258"/>
        <w:jc w:val="both"/>
        <w:rPr>
          <w:rFonts w:ascii="Times New Roman" w:eastAsia="Times New Roman" w:hAnsi="Times New Roman" w:cs="Times New Roman"/>
          <w:b/>
          <w:noProof/>
          <w:kern w:val="0"/>
          <w:szCs w:val="20"/>
          <w14:ligatures w14:val="none"/>
        </w:rPr>
      </w:pPr>
      <w:r>
        <w:rPr>
          <w:rFonts w:ascii="Times New Roman" w:hAnsi="Times New Roman"/>
          <w:b/>
          <w:noProof/>
        </w:rPr>
        <w:t>COMPOSANTE 6: Souveraineté technologique et résilience</w:t>
      </w:r>
    </w:p>
    <w:p w14:paraId="5A8AE471" w14:textId="77777777" w:rsidR="00740F0F" w:rsidRPr="0029070D" w:rsidRDefault="00100B64">
      <w:pPr>
        <w:widowControl w:val="0"/>
        <w:autoSpaceDE w:val="0"/>
        <w:autoSpaceDN w:val="0"/>
        <w:spacing w:before="113" w:after="0" w:line="237" w:lineRule="auto"/>
        <w:ind w:left="220" w:right="258"/>
        <w:jc w:val="both"/>
        <w:rPr>
          <w:rFonts w:ascii="Times New Roman" w:eastAsia="Times New Roman" w:hAnsi="Times New Roman" w:cs="Times New Roman"/>
          <w:noProof/>
          <w:kern w:val="0"/>
          <w:szCs w:val="20"/>
          <w14:ligatures w14:val="none"/>
        </w:rPr>
      </w:pPr>
      <w:r>
        <w:rPr>
          <w:rFonts w:ascii="Times New Roman" w:hAnsi="Times New Roman"/>
          <w:noProof/>
        </w:rPr>
        <w:t>La part des dépenses de R&amp;D dans le PIB de la France était de 2,2 % environ en 2019 et demeure en deçà de l’objectif de 3 % fixé par la stratégie de Lisbonne ainsi que de la part des pays à la pointe en matière d’innovation et technologie.</w:t>
      </w:r>
    </w:p>
    <w:p w14:paraId="5A8AE472" w14:textId="77777777" w:rsidR="00740F0F" w:rsidRPr="0029070D" w:rsidRDefault="00100B64">
      <w:pPr>
        <w:widowControl w:val="0"/>
        <w:autoSpaceDE w:val="0"/>
        <w:autoSpaceDN w:val="0"/>
        <w:spacing w:before="128" w:after="0" w:line="237" w:lineRule="auto"/>
        <w:ind w:left="220" w:right="232"/>
        <w:jc w:val="both"/>
        <w:rPr>
          <w:rFonts w:ascii="Times New Roman" w:eastAsia="Times New Roman" w:hAnsi="Times New Roman" w:cs="Times New Roman"/>
          <w:noProof/>
          <w:kern w:val="0"/>
          <w:szCs w:val="20"/>
          <w14:ligatures w14:val="none"/>
        </w:rPr>
      </w:pPr>
      <w:r>
        <w:rPr>
          <w:rFonts w:ascii="Times New Roman" w:hAnsi="Times New Roman"/>
          <w:noProof/>
        </w:rPr>
        <w:t>L’objectif de la composante 6 du plan français de relance et de résilience est de soutenir les investissements dans la recherche et l’innovation pour améliorer les performances de la France en matière d’innovation et renforcer son autonomie stratégique et sa souveraineté technologique. Il est axé sur le développement de technologies stratégiques et l’innovation dans les secteurs d’avenir clés, dans le but de renforcer les positions de la France dans ces secteurs et d’accroître la résilience de l’économie.</w:t>
      </w:r>
    </w:p>
    <w:p w14:paraId="5A8AE473" w14:textId="77777777" w:rsidR="00740F0F" w:rsidRPr="0029070D" w:rsidRDefault="00100B64">
      <w:pPr>
        <w:widowControl w:val="0"/>
        <w:autoSpaceDE w:val="0"/>
        <w:autoSpaceDN w:val="0"/>
        <w:spacing w:before="130" w:after="0" w:line="240" w:lineRule="auto"/>
        <w:ind w:left="220" w:right="224"/>
        <w:jc w:val="both"/>
        <w:rPr>
          <w:rFonts w:ascii="Times New Roman" w:eastAsia="Times New Roman" w:hAnsi="Times New Roman" w:cs="Times New Roman"/>
          <w:noProof/>
          <w:kern w:val="0"/>
          <w:szCs w:val="20"/>
          <w14:ligatures w14:val="none"/>
        </w:rPr>
      </w:pPr>
      <w:r>
        <w:rPr>
          <w:rFonts w:ascii="Times New Roman" w:hAnsi="Times New Roman"/>
          <w:noProof/>
        </w:rPr>
        <w:t>Dans ce contexte, la composante comprend deux investissements horizontaux dans le cadre du quatrième Programme d’investissements d’avenir (PIA4): i) l’un vise à soutenir le développement des marchés clés du numérique (cyber, cloud, quantique, EdTech, intelligence artificielle et secteurs de la culture et de la créativité) afin de renforcer les positions de la France dans les secteurs d’avenir stratégiques; ii) un second vise à soutenir l’innovation des entreprises dans les secteurs stratégiques. Cette composante comprend également un investissement destiné à soutenir le secteur spatial et le financement de la recherche en matière spatiale, ainsi qu’un investissement destiné à soutenir l’emploi dans la R&amp;D. Ces investissements sont complétés par une réforme (la loi de programmation de la recherche), qui vise à renforcer le financement public de la R&amp;D, à renforcer l’attrait des carrières scientifiques et à accroître les liens entre les entreprises et les universités.</w:t>
      </w:r>
    </w:p>
    <w:p w14:paraId="5A8AE474" w14:textId="77777777" w:rsidR="00740F0F" w:rsidRPr="0029070D" w:rsidRDefault="00100B64">
      <w:pPr>
        <w:widowControl w:val="0"/>
        <w:autoSpaceDE w:val="0"/>
        <w:autoSpaceDN w:val="0"/>
        <w:spacing w:before="116" w:after="0" w:line="242" w:lineRule="auto"/>
        <w:ind w:left="220" w:right="231"/>
        <w:jc w:val="both"/>
        <w:rPr>
          <w:rFonts w:ascii="Times New Roman" w:eastAsia="Times New Roman" w:hAnsi="Times New Roman" w:cs="Times New Roman"/>
          <w:noProof/>
          <w:kern w:val="0"/>
          <w:szCs w:val="20"/>
          <w14:ligatures w14:val="none"/>
        </w:rPr>
      </w:pPr>
      <w:r>
        <w:rPr>
          <w:rFonts w:ascii="Times New Roman" w:hAnsi="Times New Roman"/>
          <w:noProof/>
        </w:rPr>
        <w:t>Cette composante contribue à répondre aux recommandations par pays adressées à la France sur la nécessité d’«axer la politique économique en matière d’investissements sur la recherche et l’innovation» (recommandation 2019.3) ou de «concentrer les investissements sur […] la recherche et l’innovation» (recommandation 2020.3).</w:t>
      </w:r>
    </w:p>
    <w:p w14:paraId="5A8AE475" w14:textId="77777777" w:rsidR="00740F0F" w:rsidRPr="0029070D" w:rsidRDefault="00100B64">
      <w:pPr>
        <w:widowControl w:val="0"/>
        <w:autoSpaceDE w:val="0"/>
        <w:autoSpaceDN w:val="0"/>
        <w:spacing w:before="123" w:after="0" w:line="240" w:lineRule="auto"/>
        <w:ind w:left="220" w:right="234"/>
        <w:jc w:val="both"/>
        <w:rPr>
          <w:rFonts w:ascii="Times New Roman" w:eastAsia="Times New Roman" w:hAnsi="Times New Roman" w:cs="Times New Roman"/>
          <w:noProof/>
          <w:kern w:val="0"/>
          <w:szCs w:val="20"/>
          <w14:ligatures w14:val="none"/>
        </w:rPr>
      </w:pPr>
      <w:r>
        <w:rPr>
          <w:rFonts w:ascii="Times New Roman" w:hAnsi="Times New Roman"/>
          <w:noProof/>
        </w:rPr>
        <w:t>Aucune mesure relevant de cette composante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w:t>
      </w:r>
    </w:p>
    <w:p w14:paraId="5A8AE476" w14:textId="77777777" w:rsidR="00740F0F" w:rsidRPr="0029070D" w:rsidRDefault="00740F0F" w:rsidP="00413061">
      <w:pPr>
        <w:widowControl w:val="0"/>
        <w:tabs>
          <w:tab w:val="left" w:pos="1276"/>
        </w:tabs>
        <w:autoSpaceDE w:val="0"/>
        <w:autoSpaceDN w:val="0"/>
        <w:spacing w:before="4" w:after="0" w:line="240" w:lineRule="auto"/>
        <w:rPr>
          <w:rFonts w:ascii="Times New Roman" w:eastAsia="Times New Roman" w:hAnsi="Times New Roman" w:cs="Times New Roman"/>
          <w:noProof/>
          <w:kern w:val="0"/>
          <w:sz w:val="45"/>
          <w:szCs w:val="20"/>
          <w14:ligatures w14:val="none"/>
        </w:rPr>
      </w:pPr>
    </w:p>
    <w:p w14:paraId="5A8AE477" w14:textId="77777777" w:rsidR="00740F0F" w:rsidRPr="00E409C3" w:rsidRDefault="00100B64" w:rsidP="00413061">
      <w:pPr>
        <w:widowControl w:val="0"/>
        <w:numPr>
          <w:ilvl w:val="2"/>
          <w:numId w:val="1"/>
        </w:numPr>
        <w:autoSpaceDE w:val="0"/>
        <w:autoSpaceDN w:val="0"/>
        <w:spacing w:before="120" w:after="0" w:line="240" w:lineRule="auto"/>
        <w:ind w:left="993" w:hanging="752"/>
        <w:jc w:val="both"/>
        <w:outlineLvl w:val="1"/>
        <w:rPr>
          <w:rFonts w:ascii="Times New Roman" w:eastAsia="Times New Roman" w:hAnsi="Times New Roman" w:cs="Times New Roman"/>
          <w:b/>
          <w:noProof/>
          <w:kern w:val="0"/>
          <w:szCs w:val="20"/>
          <w:u w:val="single"/>
          <w14:ligatures w14:val="none"/>
        </w:rPr>
      </w:pPr>
      <w:r>
        <w:rPr>
          <w:rFonts w:ascii="Times New Roman" w:hAnsi="Times New Roman"/>
          <w:b/>
          <w:noProof/>
          <w:u w:val="single"/>
        </w:rPr>
        <w:t>Description des réformes et des investissements en vue du soutien financier non remboursable</w:t>
      </w:r>
    </w:p>
    <w:p w14:paraId="5A8AE478" w14:textId="77777777" w:rsidR="00740F0F" w:rsidRPr="0029070D" w:rsidRDefault="00100B64">
      <w:pPr>
        <w:widowControl w:val="0"/>
        <w:autoSpaceDE w:val="0"/>
        <w:autoSpaceDN w:val="0"/>
        <w:spacing w:before="111"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Réforme C6.R1: aspects structurels de la loi de programmation de la recherche</w:t>
      </w:r>
    </w:p>
    <w:p w14:paraId="5A8AE479" w14:textId="77777777" w:rsidR="00740F0F" w:rsidRPr="0029070D" w:rsidRDefault="00100B64">
      <w:pPr>
        <w:widowControl w:val="0"/>
        <w:autoSpaceDE w:val="0"/>
        <w:autoSpaceDN w:val="0"/>
        <w:spacing w:before="111"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rPr>
        <w:t xml:space="preserve">L’objectif de cette mesure est de soutenir la recherche et de renforcer le lien entre la science et l’économie. </w:t>
      </w:r>
    </w:p>
    <w:p w14:paraId="5A8AE47A" w14:textId="77777777" w:rsidR="00740F0F" w:rsidRPr="0029070D" w:rsidRDefault="00100B64">
      <w:pPr>
        <w:widowControl w:val="0"/>
        <w:autoSpaceDE w:val="0"/>
        <w:autoSpaceDN w:val="0"/>
        <w:spacing w:before="111"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rPr>
        <w:t>Cette mesure consiste à mettre en œuvre les actions de la loi de programmation de la recherche</w:t>
      </w:r>
      <w:r w:rsidRPr="0029070D">
        <w:rPr>
          <w:rStyle w:val="FootnoteReference"/>
          <w:rFonts w:ascii="Times New Roman" w:eastAsia="Times New Roman" w:hAnsi="Times New Roman" w:cs="Times New Roman"/>
          <w:b w:val="0"/>
          <w:bCs/>
          <w:noProof/>
          <w:kern w:val="0"/>
          <w:szCs w:val="20"/>
        </w:rPr>
        <w:footnoteReference w:id="19"/>
      </w:r>
      <w:r>
        <w:rPr>
          <w:rFonts w:ascii="Times New Roman" w:hAnsi="Times New Roman"/>
          <w:b/>
          <w:noProof/>
        </w:rPr>
        <w:t xml:space="preserve"> </w:t>
      </w:r>
      <w:r>
        <w:rPr>
          <w:rFonts w:ascii="Times New Roman" w:hAnsi="Times New Roman"/>
          <w:noProof/>
        </w:rPr>
        <w:t xml:space="preserve">par l’adoption de décrets, y compris ceux visant à accroître le financement public de la recherche et le nombre de recrutements. </w:t>
      </w:r>
    </w:p>
    <w:p w14:paraId="5A8AE47B" w14:textId="77777777" w:rsidR="00740F0F" w:rsidRPr="0029070D" w:rsidRDefault="00740F0F">
      <w:pPr>
        <w:widowControl w:val="0"/>
        <w:autoSpaceDE w:val="0"/>
        <w:autoSpaceDN w:val="0"/>
        <w:spacing w:before="7" w:after="0" w:line="240" w:lineRule="auto"/>
        <w:rPr>
          <w:rFonts w:ascii="Times New Roman" w:eastAsia="Times New Roman" w:hAnsi="Times New Roman" w:cs="Times New Roman"/>
          <w:noProof/>
          <w:kern w:val="0"/>
          <w:sz w:val="26"/>
          <w:szCs w:val="20"/>
          <w14:ligatures w14:val="none"/>
        </w:rPr>
      </w:pPr>
    </w:p>
    <w:p w14:paraId="5A8AE47C" w14:textId="77777777" w:rsidR="00740F0F" w:rsidRPr="0029070D" w:rsidRDefault="00100B64">
      <w:pPr>
        <w:widowControl w:val="0"/>
        <w:autoSpaceDE w:val="0"/>
        <w:autoSpaceDN w:val="0"/>
        <w:spacing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C6-I1: préservation de l’emploi dans la R&amp;D privée</w:t>
      </w:r>
    </w:p>
    <w:p w14:paraId="5A8AE47D" w14:textId="77777777" w:rsidR="00740F0F" w:rsidRPr="0029070D" w:rsidRDefault="00100B64">
      <w:pPr>
        <w:widowControl w:val="0"/>
        <w:autoSpaceDE w:val="0"/>
        <w:autoSpaceDN w:val="0"/>
        <w:spacing w:before="130" w:after="0" w:line="240" w:lineRule="auto"/>
        <w:ind w:left="220" w:right="236"/>
        <w:jc w:val="both"/>
        <w:rPr>
          <w:rFonts w:ascii="Times New Roman" w:eastAsia="Times New Roman" w:hAnsi="Times New Roman" w:cs="Times New Roman"/>
          <w:noProof/>
          <w:kern w:val="0"/>
          <w:szCs w:val="20"/>
          <w14:ligatures w14:val="none"/>
        </w:rPr>
      </w:pPr>
      <w:r>
        <w:rPr>
          <w:rFonts w:ascii="Times New Roman" w:hAnsi="Times New Roman"/>
          <w:noProof/>
        </w:rPr>
        <w:t>Cette mesure soutient l’emploi dans la R&amp;D en renforçant la collaboration entre les laboratoires de recherche publics et les entreprises privées, en permettant à de jeunes diplômés de trouver un emploi dans des fonctions de R&amp;D et en permettant aux chercheurs en entreprise de renforcer leurs compétences et d’améliorer leur employabilité.</w:t>
      </w:r>
    </w:p>
    <w:p w14:paraId="5A8AE47E" w14:textId="77777777" w:rsidR="00740F0F" w:rsidRPr="0029070D" w:rsidRDefault="00100B64">
      <w:pPr>
        <w:widowControl w:val="0"/>
        <w:autoSpaceDE w:val="0"/>
        <w:autoSpaceDN w:val="0"/>
        <w:spacing w:before="127" w:after="0" w:line="240" w:lineRule="auto"/>
        <w:ind w:left="220" w:right="234"/>
        <w:jc w:val="both"/>
        <w:rPr>
          <w:rFonts w:ascii="Times New Roman" w:eastAsia="Times New Roman" w:hAnsi="Times New Roman" w:cs="Times New Roman"/>
          <w:noProof/>
          <w:kern w:val="0"/>
          <w:szCs w:val="20"/>
          <w14:ligatures w14:val="none"/>
        </w:rPr>
      </w:pPr>
      <w:r>
        <w:rPr>
          <w:rFonts w:ascii="Times New Roman" w:hAnsi="Times New Roman"/>
          <w:noProof/>
        </w:rPr>
        <w:t>Dans le cadre d’un contrat de recherche collaborative entre une entreprise et une structure à but non-lucratif ayant une activité de recherche, la mesure permet de couvrir une partie de la rémunération du personnel de R&amp;D affecté à cette collaboration. La mesure prend la forme de quatre actions:</w:t>
      </w:r>
    </w:p>
    <w:p w14:paraId="5A8AE47F" w14:textId="77777777" w:rsidR="00740F0F" w:rsidRPr="0029070D" w:rsidRDefault="00100B64">
      <w:pPr>
        <w:pStyle w:val="ListParagraph"/>
        <w:widowControl w:val="0"/>
        <w:numPr>
          <w:ilvl w:val="0"/>
          <w:numId w:val="34"/>
        </w:numPr>
        <w:autoSpaceDE w:val="0"/>
        <w:autoSpaceDN w:val="0"/>
        <w:spacing w:before="127" w:after="0" w:line="240" w:lineRule="auto"/>
        <w:ind w:right="234"/>
        <w:jc w:val="both"/>
        <w:rPr>
          <w:rFonts w:ascii="Times New Roman" w:eastAsia="Times New Roman" w:hAnsi="Times New Roman" w:cs="Times New Roman"/>
          <w:noProof/>
          <w:kern w:val="0"/>
          <w:szCs w:val="20"/>
          <w14:ligatures w14:val="none"/>
        </w:rPr>
      </w:pPr>
      <w:r>
        <w:rPr>
          <w:rFonts w:ascii="Times New Roman" w:hAnsi="Times New Roman"/>
          <w:noProof/>
        </w:rPr>
        <w:t>Affecter partiellement des personnels de R&amp;D d’entreprises dans des laboratoires de recherche pendant une période de 12 à 24 mois dans le cadre d’une collaboration de recherche, le ou les chercheurs concernés consacrant au moins 80 % de leur temps au projet, dont 50 % au sein des laboratoires de recherche.</w:t>
      </w:r>
    </w:p>
    <w:p w14:paraId="5A8AE480" w14:textId="77777777" w:rsidR="00740F0F" w:rsidRPr="0029070D" w:rsidRDefault="00100B64">
      <w:pPr>
        <w:pStyle w:val="ListParagraph"/>
        <w:widowControl w:val="0"/>
        <w:numPr>
          <w:ilvl w:val="0"/>
          <w:numId w:val="34"/>
        </w:numPr>
        <w:autoSpaceDE w:val="0"/>
        <w:autoSpaceDN w:val="0"/>
        <w:spacing w:before="127" w:after="0" w:line="240" w:lineRule="auto"/>
        <w:ind w:right="234"/>
        <w:jc w:val="both"/>
        <w:rPr>
          <w:rFonts w:ascii="Times New Roman" w:eastAsia="Times New Roman" w:hAnsi="Times New Roman" w:cs="Times New Roman"/>
          <w:noProof/>
          <w:kern w:val="0"/>
          <w:szCs w:val="20"/>
          <w14:ligatures w14:val="none"/>
        </w:rPr>
      </w:pPr>
      <w:r>
        <w:rPr>
          <w:rFonts w:ascii="Times New Roman" w:hAnsi="Times New Roman"/>
          <w:noProof/>
        </w:rPr>
        <w:t>Permettre aux personnels de R&amp;D d’une entreprise d’accéder à une formation doctorale en cours de carrière, et ce pour une période de 36 mois, le ou les chercheurs étant exclusivement occupés à la préparation d’un doctorat et passant 50 % de leur temps de travail au sein d’un laboratoire de recherche.</w:t>
      </w:r>
    </w:p>
    <w:p w14:paraId="5A8AE481" w14:textId="77777777" w:rsidR="00740F0F" w:rsidRPr="0029070D" w:rsidRDefault="00100B64">
      <w:pPr>
        <w:pStyle w:val="ListParagraph"/>
        <w:widowControl w:val="0"/>
        <w:numPr>
          <w:ilvl w:val="0"/>
          <w:numId w:val="34"/>
        </w:numPr>
        <w:autoSpaceDE w:val="0"/>
        <w:autoSpaceDN w:val="0"/>
        <w:spacing w:before="127" w:after="0" w:line="240" w:lineRule="auto"/>
        <w:ind w:right="234"/>
        <w:jc w:val="both"/>
        <w:rPr>
          <w:rFonts w:ascii="Times New Roman" w:eastAsia="Times New Roman" w:hAnsi="Times New Roman" w:cs="Times New Roman"/>
          <w:noProof/>
          <w:kern w:val="0"/>
          <w:szCs w:val="20"/>
          <w14:ligatures w14:val="none"/>
        </w:rPr>
      </w:pPr>
      <w:r>
        <w:rPr>
          <w:rFonts w:ascii="Times New Roman" w:hAnsi="Times New Roman"/>
          <w:noProof/>
          <w:lang w:val="en-GB" w:eastAsia="en-GB"/>
        </w:rPr>
        <mc:AlternateContent>
          <mc:Choice Requires="wps">
            <w:drawing>
              <wp:anchor distT="0" distB="0" distL="114300" distR="114300" simplePos="0" relativeHeight="251658240" behindDoc="1" locked="0" layoutInCell="1" allowOverlap="1" wp14:anchorId="5A8AEFA9" wp14:editId="5A8AEFAA">
                <wp:simplePos x="0" y="0"/>
                <wp:positionH relativeFrom="page">
                  <wp:posOffset>5845810</wp:posOffset>
                </wp:positionH>
                <wp:positionV relativeFrom="paragraph">
                  <wp:posOffset>433070</wp:posOffset>
                </wp:positionV>
                <wp:extent cx="69850" cy="179705"/>
                <wp:effectExtent l="0" t="0" r="0" b="0"/>
                <wp:wrapNone/>
                <wp:docPr id="2" name="Rectangle 12522855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 cy="179705"/>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id="Rectangle 1252285591" style="position:absolute;margin-left:460.3pt;margin-top:34.1pt;width:5.5pt;height:14.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color="#e6e6e6"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" w14:anchorId="2692BE1A">
                <w10:wrap anchorx="page"/>
              </v:rect>
            </w:pict>
          </mc:Fallback>
        </mc:AlternateContent>
      </w:r>
      <w:r>
        <w:rPr>
          <w:rFonts w:ascii="Times New Roman" w:hAnsi="Times New Roman"/>
          <w:noProof/>
        </w:rPr>
        <w:t>Affecter en entreprise pendant une période de 12 à 24 mois des jeunes diplômés de niveau master embauchés par des organismes publics de recherche dans le cadre d’une collaboration de recherche, le ou les jeunes diplômés consacrant au moins 80 % de leur temps au projet, dont au moins 50 % au sein de l’entreprise.</w:t>
      </w:r>
    </w:p>
    <w:p w14:paraId="5A8AE482" w14:textId="77777777" w:rsidR="00740F0F" w:rsidRPr="0029070D" w:rsidRDefault="00100B64">
      <w:pPr>
        <w:pStyle w:val="ListParagraph"/>
        <w:widowControl w:val="0"/>
        <w:numPr>
          <w:ilvl w:val="0"/>
          <w:numId w:val="34"/>
        </w:numPr>
        <w:autoSpaceDE w:val="0"/>
        <w:autoSpaceDN w:val="0"/>
        <w:spacing w:before="127" w:after="0" w:line="240" w:lineRule="auto"/>
        <w:ind w:right="234"/>
        <w:jc w:val="both"/>
        <w:rPr>
          <w:rFonts w:ascii="Times New Roman" w:eastAsia="Times New Roman" w:hAnsi="Times New Roman" w:cs="Times New Roman"/>
          <w:noProof/>
          <w:kern w:val="0"/>
          <w:szCs w:val="20"/>
          <w14:ligatures w14:val="none"/>
        </w:rPr>
      </w:pPr>
      <w:r>
        <w:rPr>
          <w:rFonts w:ascii="Times New Roman" w:hAnsi="Times New Roman"/>
          <w:noProof/>
        </w:rPr>
        <w:t>Permettre à de jeunes docteurs embauchés par des organismes de recherche d’effectuer un post-doctorat industriel pour une période de 12 à 24 mois, le ou les chercheurs étant présents au moins 80 % de leur temps au projet, dont au moins 50 % dans l’entreprise.</w:t>
      </w:r>
    </w:p>
    <w:p w14:paraId="5A8AE483" w14:textId="7D76DFEA" w:rsidR="00740F0F" w:rsidRPr="0029070D" w:rsidRDefault="00100B64">
      <w:pPr>
        <w:widowControl w:val="0"/>
        <w:autoSpaceDE w:val="0"/>
        <w:autoSpaceDN w:val="0"/>
        <w:spacing w:before="106" w:after="0" w:line="240" w:lineRule="auto"/>
        <w:ind w:left="220" w:right="229"/>
        <w:jc w:val="both"/>
        <w:rPr>
          <w:rFonts w:ascii="Times New Roman" w:eastAsia="Times New Roman" w:hAnsi="Times New Roman" w:cs="Times New Roman"/>
          <w:noProof/>
          <w:kern w:val="0"/>
          <w:szCs w:val="20"/>
          <w14:ligatures w14:val="none"/>
        </w:rPr>
      </w:pPr>
      <w:r>
        <w:rPr>
          <w:rFonts w:ascii="Times New Roman" w:hAnsi="Times New Roman"/>
          <w:noProof/>
        </w:rPr>
        <w:t>La mesure couvre entre 50 % et 80 % du salaire des chercheurs concernés (avec un montant plafonné), selon le type de collaboration, en plus de fournir un forfait d’accompagnement de 15</w:t>
      </w:r>
      <w:r>
        <w:rPr>
          <w:rFonts w:ascii="Times New Roman" w:hAnsi="Times New Roman"/>
          <w:noProof/>
          <w:sz w:val="20"/>
        </w:rPr>
        <w:t> </w:t>
      </w:r>
      <w:r>
        <w:rPr>
          <w:rFonts w:ascii="Times New Roman" w:hAnsi="Times New Roman"/>
          <w:noProof/>
        </w:rPr>
        <w:t>000</w:t>
      </w:r>
      <w:r>
        <w:rPr>
          <w:rFonts w:ascii="Times New Roman" w:hAnsi="Times New Roman"/>
          <w:noProof/>
          <w:sz w:val="20"/>
        </w:rPr>
        <w:t> </w:t>
      </w:r>
      <w:r>
        <w:rPr>
          <w:rFonts w:ascii="Times New Roman" w:hAnsi="Times New Roman"/>
          <w:noProof/>
        </w:rPr>
        <w:t>EUR par chercheur et par an au laboratoire de recherche. Le soutien s’applique à la durée des projets de collaboration, et est retiré par la suite. La mesure soutient 1 200 chercheurs au total.</w:t>
      </w:r>
    </w:p>
    <w:p w14:paraId="5A8AE484" w14:textId="77777777" w:rsidR="00740F0F" w:rsidRPr="0029070D" w:rsidRDefault="00100B64">
      <w:pPr>
        <w:widowControl w:val="0"/>
        <w:autoSpaceDE w:val="0"/>
        <w:autoSpaceDN w:val="0"/>
        <w:spacing w:before="221" w:after="0" w:line="240" w:lineRule="auto"/>
        <w:ind w:left="220"/>
        <w:rPr>
          <w:rFonts w:ascii="Times New Roman" w:eastAsia="Times New Roman" w:hAnsi="Times New Roman" w:cs="Times New Roman"/>
          <w:noProof/>
          <w:kern w:val="0"/>
          <w:szCs w:val="20"/>
          <w14:ligatures w14:val="none"/>
        </w:rPr>
      </w:pPr>
      <w:r>
        <w:rPr>
          <w:rFonts w:ascii="Times New Roman" w:hAnsi="Times New Roman"/>
          <w:noProof/>
          <w:u w:val="single"/>
        </w:rPr>
        <w:t>Investissement C6-I2: innover pour la résilience de nos modèles économiques</w:t>
      </w:r>
    </w:p>
    <w:p w14:paraId="5A8AE485" w14:textId="77777777" w:rsidR="00740F0F" w:rsidRPr="0029070D" w:rsidRDefault="00100B64">
      <w:pPr>
        <w:spacing w:before="118" w:after="120" w:line="247" w:lineRule="auto"/>
        <w:ind w:left="220" w:right="142"/>
        <w:jc w:val="both"/>
        <w:rPr>
          <w:rFonts w:ascii="Times New Roman" w:eastAsia="Calibri" w:hAnsi="Times New Roman" w:cs="Times New Roman"/>
          <w:noProof/>
          <w:kern w:val="0"/>
          <w:szCs w:val="22"/>
          <w14:ligatures w14:val="none"/>
        </w:rPr>
      </w:pPr>
      <w:r>
        <w:rPr>
          <w:rFonts w:ascii="Times New Roman" w:hAnsi="Times New Roman"/>
          <w:noProof/>
        </w:rPr>
        <w:t>Cette mesure vise à soutenir les investissements pour le développement de technologies numériques clés, dans le cadre du volet dirigé du quatrième Programme d’investissements d’avenir (PIA4).</w:t>
      </w:r>
    </w:p>
    <w:p w14:paraId="5A8AE486" w14:textId="77777777" w:rsidR="00740F0F" w:rsidRPr="0029070D" w:rsidRDefault="00100B64">
      <w:pPr>
        <w:widowControl w:val="0"/>
        <w:autoSpaceDE w:val="0"/>
        <w:autoSpaceDN w:val="0"/>
        <w:spacing w:before="108" w:after="0" w:line="237" w:lineRule="auto"/>
        <w:ind w:left="220" w:right="142"/>
        <w:rPr>
          <w:rFonts w:ascii="Times New Roman" w:eastAsia="Times New Roman" w:hAnsi="Times New Roman" w:cs="Times New Roman"/>
          <w:noProof/>
          <w:kern w:val="0"/>
          <w:szCs w:val="20"/>
          <w14:ligatures w14:val="none"/>
        </w:rPr>
      </w:pPr>
      <w:r>
        <w:rPr>
          <w:rFonts w:ascii="Times New Roman" w:hAnsi="Times New Roman"/>
          <w:noProof/>
        </w:rPr>
        <w:t>Elle finance plus particulièrement les projets relevant de six stratégies d’accélération:</w:t>
      </w:r>
    </w:p>
    <w:p w14:paraId="5A8AE487" w14:textId="77777777" w:rsidR="00740F0F" w:rsidRPr="0029070D" w:rsidRDefault="00100B64">
      <w:pPr>
        <w:pStyle w:val="ListParagraph"/>
        <w:widowControl w:val="0"/>
        <w:numPr>
          <w:ilvl w:val="0"/>
          <w:numId w:val="35"/>
        </w:numPr>
        <w:autoSpaceDE w:val="0"/>
        <w:autoSpaceDN w:val="0"/>
        <w:spacing w:before="108" w:after="0" w:line="237" w:lineRule="auto"/>
        <w:ind w:right="142"/>
        <w:jc w:val="both"/>
        <w:rPr>
          <w:rFonts w:ascii="Times New Roman" w:eastAsia="Times New Roman" w:hAnsi="Times New Roman" w:cs="Times New Roman"/>
          <w:noProof/>
          <w:kern w:val="0"/>
          <w:szCs w:val="20"/>
          <w14:ligatures w14:val="none"/>
        </w:rPr>
      </w:pPr>
      <w:r>
        <w:rPr>
          <w:rFonts w:ascii="Times New Roman" w:hAnsi="Times New Roman"/>
          <w:b/>
          <w:noProof/>
        </w:rPr>
        <w:t xml:space="preserve">La stratégie pour le développement des technologies quantiques: </w:t>
      </w:r>
      <w:r>
        <w:rPr>
          <w:rFonts w:ascii="Times New Roman" w:hAnsi="Times New Roman"/>
          <w:noProof/>
        </w:rPr>
        <w:t>dans le domaine du calcul, l’objectif est de disposer d’un prototype complet d’ordinateur quantique généraliste de première génération dès 2024. Elle vise également à maîtriser les technologies quantiques (notamment les accélérateurs, les simulateurs et les ordinateurs quantiques, les logiciels d’entreprise pour l’informatique quantique, les capteurs, les systèmes de communication), avec pour objectifs de doubler le vivier français de spécialistes en formant 6</w:t>
      </w:r>
      <w:r>
        <w:rPr>
          <w:rFonts w:ascii="Times New Roman" w:hAnsi="Times New Roman"/>
          <w:noProof/>
          <w:sz w:val="20"/>
        </w:rPr>
        <w:t> </w:t>
      </w:r>
      <w:r>
        <w:rPr>
          <w:rFonts w:ascii="Times New Roman" w:hAnsi="Times New Roman"/>
          <w:noProof/>
        </w:rPr>
        <w:t>600 docteurs, masters, ingénieurs et techniciens, et d’assurer l’autosuffisance de la France dans ses approvisionnements en ressources au développement des technologies quantiques. La stratégie vise également à maîtriser la capacité industrielle critique dans les technologies quantiques, notamment en investissant dans la cryogénie et les lasers pour les technologies quantiques. Elle vise aussi à disposer d’une chaîne de production industrielle complète pour le silicium 28, notamment pour permettre la production éventuelle de qubits.</w:t>
      </w:r>
    </w:p>
    <w:p w14:paraId="5A8AE488" w14:textId="77777777" w:rsidR="00740F0F" w:rsidRPr="0029070D" w:rsidRDefault="00100B64">
      <w:pPr>
        <w:pStyle w:val="ListParagraph"/>
        <w:widowControl w:val="0"/>
        <w:numPr>
          <w:ilvl w:val="0"/>
          <w:numId w:val="35"/>
        </w:numPr>
        <w:autoSpaceDE w:val="0"/>
        <w:autoSpaceDN w:val="0"/>
        <w:spacing w:before="108" w:after="0" w:line="237" w:lineRule="auto"/>
        <w:ind w:right="142"/>
        <w:jc w:val="both"/>
        <w:rPr>
          <w:rFonts w:ascii="Times New Roman" w:eastAsia="Times New Roman" w:hAnsi="Times New Roman" w:cs="Times New Roman"/>
          <w:noProof/>
          <w:kern w:val="0"/>
          <w:szCs w:val="20"/>
          <w14:ligatures w14:val="none"/>
        </w:rPr>
      </w:pPr>
      <w:r>
        <w:rPr>
          <w:rFonts w:ascii="Times New Roman" w:hAnsi="Times New Roman"/>
          <w:b/>
          <w:noProof/>
        </w:rPr>
        <w:t xml:space="preserve">La stratégie sur la cybersécurité: </w:t>
      </w:r>
      <w:r>
        <w:rPr>
          <w:rFonts w:ascii="Times New Roman" w:hAnsi="Times New Roman"/>
          <w:noProof/>
        </w:rPr>
        <w:t>cette stratégie vise à accélérer l’innovation pour que la France maîtrise les technologies clés dans les applications critiques (telles que l’industrie, la santé et la mobilité) et à renforcer les capacités en cybersécurité dans l’industrie et la société. Les objectifs sont de permettre au secteur d’augmenter son chiffre d’affaires, de doubler le nombre d’emplois dans le secteur et de faire émerger des entreprises leaders mondiales dans le secteur.</w:t>
      </w:r>
    </w:p>
    <w:p w14:paraId="5A8AE489" w14:textId="77777777" w:rsidR="00740F0F" w:rsidRPr="0029070D" w:rsidRDefault="00100B64">
      <w:pPr>
        <w:pStyle w:val="ListParagraph"/>
        <w:widowControl w:val="0"/>
        <w:numPr>
          <w:ilvl w:val="0"/>
          <w:numId w:val="35"/>
        </w:numPr>
        <w:autoSpaceDE w:val="0"/>
        <w:autoSpaceDN w:val="0"/>
        <w:spacing w:before="108" w:after="0" w:line="237" w:lineRule="auto"/>
        <w:ind w:right="142"/>
        <w:jc w:val="both"/>
        <w:rPr>
          <w:rFonts w:ascii="Times New Roman" w:eastAsia="Times New Roman" w:hAnsi="Times New Roman" w:cs="Times New Roman"/>
          <w:noProof/>
          <w:kern w:val="0"/>
          <w:szCs w:val="20"/>
          <w14:ligatures w14:val="none"/>
        </w:rPr>
      </w:pPr>
      <w:r>
        <w:rPr>
          <w:rFonts w:ascii="Times New Roman" w:hAnsi="Times New Roman"/>
          <w:b/>
          <w:noProof/>
        </w:rPr>
        <w:t xml:space="preserve">La stratégie «Enseignement et numérique»: </w:t>
      </w:r>
      <w:r>
        <w:rPr>
          <w:rFonts w:ascii="Times New Roman" w:hAnsi="Times New Roman"/>
          <w:noProof/>
        </w:rPr>
        <w:t>elle couvre la transformation numérique de l’enseignement, de la maternelle à l’université, avec pour objectifs d’agir sur l’efficacité du système éducatif, de soutenir les EdTech</w:t>
      </w:r>
      <w:r w:rsidRPr="0029070D">
        <w:rPr>
          <w:rStyle w:val="FootnoteReference"/>
          <w:rFonts w:ascii="Times New Roman" w:eastAsia="Times New Roman" w:hAnsi="Times New Roman" w:cs="Times New Roman"/>
          <w:b w:val="0"/>
          <w:bCs/>
          <w:noProof/>
          <w:kern w:val="0"/>
          <w:szCs w:val="20"/>
        </w:rPr>
        <w:footnoteReference w:id="20"/>
      </w:r>
      <w:r>
        <w:rPr>
          <w:rFonts w:ascii="Times New Roman" w:hAnsi="Times New Roman"/>
          <w:noProof/>
          <w:sz w:val="16"/>
        </w:rPr>
        <w:t xml:space="preserve"> </w:t>
      </w:r>
      <w:r>
        <w:rPr>
          <w:rFonts w:ascii="Times New Roman" w:hAnsi="Times New Roman"/>
          <w:noProof/>
        </w:rPr>
        <w:t>et de soutenir le leadership de la France dans ce secteur. Elle vise à former les enseignants à des pratiques pédagogiques innovantes et à aider les entreprises existantes à lever des fonds.</w:t>
      </w:r>
    </w:p>
    <w:p w14:paraId="5A8AE48A" w14:textId="77777777" w:rsidR="00740F0F" w:rsidRPr="0029070D" w:rsidRDefault="00100B64">
      <w:pPr>
        <w:pStyle w:val="ListParagraph"/>
        <w:widowControl w:val="0"/>
        <w:numPr>
          <w:ilvl w:val="0"/>
          <w:numId w:val="35"/>
        </w:numPr>
        <w:autoSpaceDE w:val="0"/>
        <w:autoSpaceDN w:val="0"/>
        <w:spacing w:before="108" w:after="0" w:line="237" w:lineRule="auto"/>
        <w:ind w:right="142"/>
        <w:jc w:val="both"/>
        <w:rPr>
          <w:rFonts w:ascii="Times New Roman" w:eastAsia="Times New Roman" w:hAnsi="Times New Roman" w:cs="Times New Roman"/>
          <w:noProof/>
          <w:kern w:val="0"/>
          <w:szCs w:val="20"/>
          <w14:ligatures w14:val="none"/>
        </w:rPr>
      </w:pPr>
      <w:r>
        <w:rPr>
          <w:rFonts w:ascii="Times New Roman" w:hAnsi="Times New Roman"/>
          <w:b/>
          <w:noProof/>
        </w:rPr>
        <w:t>La stratégie pour les industries culturelles et créatives</w:t>
      </w:r>
      <w:r>
        <w:rPr>
          <w:rFonts w:ascii="Times New Roman" w:hAnsi="Times New Roman"/>
          <w:noProof/>
        </w:rPr>
        <w:t>: elle vise à développer la production de contenu numérique. Les investissements soutiennent l’innovation technologique, la création et la diffusion numérique du secteur. Les objectifs sont de doubler le rythme actuel de passage de PME à ETI pour les entreprises culturelles, d’augmenter le chiffre d’affaires à l’export et de déployer des pôles culturels d’ici 2025 pour irriguer les territoires pilotes.</w:t>
      </w:r>
    </w:p>
    <w:p w14:paraId="5A8AE48B" w14:textId="77777777" w:rsidR="00740F0F" w:rsidRPr="0029070D" w:rsidRDefault="00100B64">
      <w:pPr>
        <w:pStyle w:val="ListParagraph"/>
        <w:widowControl w:val="0"/>
        <w:numPr>
          <w:ilvl w:val="0"/>
          <w:numId w:val="35"/>
        </w:numPr>
        <w:autoSpaceDE w:val="0"/>
        <w:autoSpaceDN w:val="0"/>
        <w:spacing w:before="108" w:after="0" w:line="237" w:lineRule="auto"/>
        <w:ind w:right="142"/>
        <w:jc w:val="both"/>
        <w:rPr>
          <w:rFonts w:ascii="Times New Roman" w:eastAsia="Times New Roman" w:hAnsi="Times New Roman" w:cs="Times New Roman"/>
          <w:noProof/>
          <w:kern w:val="0"/>
          <w:szCs w:val="20"/>
          <w14:ligatures w14:val="none"/>
        </w:rPr>
      </w:pPr>
      <w:r>
        <w:rPr>
          <w:rFonts w:ascii="Times New Roman" w:hAnsi="Times New Roman"/>
          <w:b/>
          <w:noProof/>
        </w:rPr>
        <w:t xml:space="preserve">La stratégie «5G et futures technologies de réseaux de télécommunications»: </w:t>
      </w:r>
      <w:r>
        <w:rPr>
          <w:rFonts w:ascii="Times New Roman" w:hAnsi="Times New Roman"/>
          <w:noProof/>
        </w:rPr>
        <w:t>son objectif est de développer des solutions autour des réseaux de télécommunications et de parvenir à une maîtrise de bout en bout de ces solutions par un soutien à l’offre, à la R&amp;D et à la formation, tout en développant les usages de la 5G au bénéfice des territoires et de l’industrie. La stratégie 5G vise à développer les usages de la 5G dans les secteurs industriels de pointe, et à soutenir le déploiement des régions intelligentes. Elle vise également à investir dans la R&amp;D sur l’au-delà de la 5G et de la 6G (futures technologies de réseau, connectivité hétérogène des objets connectés, efficacité énergétique des réseaux, etc.). Elle vise aussi à répondre aux besoins de compétences en matière de conception et de déploiement des futurs réseaux.</w:t>
      </w:r>
    </w:p>
    <w:p w14:paraId="5A8AE48C" w14:textId="77777777" w:rsidR="00740F0F" w:rsidRPr="0029070D" w:rsidRDefault="00100B64">
      <w:pPr>
        <w:pStyle w:val="ListParagraph"/>
        <w:widowControl w:val="0"/>
        <w:numPr>
          <w:ilvl w:val="0"/>
          <w:numId w:val="35"/>
        </w:numPr>
        <w:autoSpaceDE w:val="0"/>
        <w:autoSpaceDN w:val="0"/>
        <w:spacing w:before="108" w:after="0" w:line="237" w:lineRule="auto"/>
        <w:ind w:right="142"/>
        <w:jc w:val="both"/>
        <w:rPr>
          <w:rFonts w:ascii="Times New Roman" w:eastAsia="Times New Roman" w:hAnsi="Times New Roman" w:cs="Times New Roman"/>
          <w:noProof/>
          <w:kern w:val="0"/>
          <w:szCs w:val="20"/>
          <w14:ligatures w14:val="none"/>
        </w:rPr>
      </w:pPr>
      <w:r>
        <w:rPr>
          <w:rFonts w:ascii="Times New Roman" w:hAnsi="Times New Roman"/>
          <w:b/>
          <w:noProof/>
        </w:rPr>
        <w:t xml:space="preserve">La stratégie «Cloud»: </w:t>
      </w:r>
      <w:r>
        <w:rPr>
          <w:rFonts w:ascii="Times New Roman" w:hAnsi="Times New Roman"/>
          <w:noProof/>
        </w:rPr>
        <w:t>la stratégie vise à faire émerger des solutions compétitives de cloud sur des segments technologiques (infrastructure, plateformes, et logiciels), en vue de soutenir le leadership de la France et de l’Europe sur cette technologie clé, également par la mise en œuvre de l’important projet d’intérêt commun pour les infrastructures et services de cloud de nouvelle génération, dont la France est le coordinateur. Les impacts attendus sont le développement d’une offre de cloud de confiance visant à réduire l’empreinte carbone et la construction d’une économie basée sur les données.</w:t>
      </w:r>
    </w:p>
    <w:p w14:paraId="5A8AE48D" w14:textId="77777777" w:rsidR="00740F0F" w:rsidRPr="0029070D" w:rsidRDefault="00100B64">
      <w:pPr>
        <w:widowControl w:val="0"/>
        <w:autoSpaceDE w:val="0"/>
        <w:autoSpaceDN w:val="0"/>
        <w:spacing w:before="111" w:after="0" w:line="244" w:lineRule="auto"/>
        <w:ind w:left="220" w:right="222"/>
        <w:jc w:val="both"/>
        <w:rPr>
          <w:rFonts w:ascii="Times New Roman" w:eastAsia="Times New Roman" w:hAnsi="Times New Roman" w:cs="Times New Roman"/>
          <w:noProof/>
          <w:kern w:val="0"/>
          <w:szCs w:val="20"/>
          <w14:ligatures w14:val="none"/>
        </w:rPr>
      </w:pPr>
      <w:r>
        <w:rPr>
          <w:rFonts w:ascii="Times New Roman" w:hAnsi="Times New Roman"/>
          <w:noProof/>
        </w:rPr>
        <w:t>Une fois que les stratégies ont commencé, des appels à manifestation d’intérêt et des appels à propositions, adaptés aux besoins spécifiques de chaque stratégie, sont lancés. Les projets (généralement réalisés par des entreprises ou des entités de recherche) sont ensuite sélectionnés par des procédures de mise en concurrence.</w:t>
      </w:r>
    </w:p>
    <w:p w14:paraId="5A8AE48E" w14:textId="77777777" w:rsidR="00740F0F" w:rsidRPr="0029070D" w:rsidRDefault="00100B64">
      <w:pPr>
        <w:widowControl w:val="0"/>
        <w:autoSpaceDE w:val="0"/>
        <w:autoSpaceDN w:val="0"/>
        <w:spacing w:before="111" w:after="0" w:line="244" w:lineRule="auto"/>
        <w:ind w:left="220" w:right="222"/>
        <w:jc w:val="both"/>
        <w:rPr>
          <w:rFonts w:ascii="Times New Roman" w:eastAsia="Times New Roman" w:hAnsi="Times New Roman" w:cs="Times New Roman"/>
          <w:noProof/>
          <w:kern w:val="0"/>
          <w:szCs w:val="20"/>
          <w14:ligatures w14:val="none"/>
        </w:rPr>
      </w:pPr>
      <w:r>
        <w:rPr>
          <w:rFonts w:ascii="Times New Roman" w:hAnsi="Times New Roman"/>
          <w:noProof/>
        </w:rPr>
        <w:t>Les crédits sont engagés au fur et à mesure du lancement des appels à projets et de la sélection des projets.</w:t>
      </w:r>
    </w:p>
    <w:p w14:paraId="5A8AE48F" w14:textId="77777777" w:rsidR="00740F0F" w:rsidRPr="0029070D" w:rsidRDefault="00100B64">
      <w:pPr>
        <w:widowControl w:val="0"/>
        <w:autoSpaceDE w:val="0"/>
        <w:autoSpaceDN w:val="0"/>
        <w:spacing w:before="111" w:after="0" w:line="237" w:lineRule="auto"/>
        <w:ind w:left="220" w:right="216"/>
        <w:jc w:val="both"/>
        <w:rPr>
          <w:rFonts w:ascii="Times New Roman" w:eastAsia="Times New Roman" w:hAnsi="Times New Roman" w:cs="Times New Roman"/>
          <w:noProof/>
          <w:kern w:val="0"/>
          <w:szCs w:val="20"/>
          <w14:ligatures w14:val="none"/>
        </w:rPr>
      </w:pPr>
      <w:r>
        <w:rPr>
          <w:rFonts w:ascii="Times New Roman" w:hAnsi="Times New Roman"/>
          <w:noProof/>
        </w:rPr>
        <w:t>Les cahiers des charges des futurs appels à projets intègrent des critères d’éligibilité permettant d’assurer la neutralité environnementale des applications de la solution financée, de sorte que la mesure soit conforme au principe consistant à «ne pas causer de préjudice important» du règlement (UE) 2021/241. De plus, le cas échéant, les critères environnementaux font partie des critères de sélection des projets, et les opérateurs sont tenus de produire une analyse critique de leurs propositions sur la base d’une expertise interne et externe; la transition écologique est inscrite dans la loi comme l’un des objectifs du PIA, et les instances dirigeantes du PIA doivent veiller à l’application de ces objectifs, comme contrôlé par un indicateur dédié. Cela conduit à exclure i) les activités liées aux combustibles fossiles, y compris leur utilisation en aval</w:t>
      </w:r>
      <w:r w:rsidRPr="0029070D">
        <w:rPr>
          <w:rStyle w:val="FootnoteReference"/>
          <w:rFonts w:ascii="Times New Roman" w:eastAsia="Times New Roman" w:hAnsi="Times New Roman" w:cs="Times New Roman"/>
          <w:b w:val="0"/>
          <w:bCs/>
          <w:noProof/>
          <w:kern w:val="0"/>
          <w:szCs w:val="20"/>
        </w:rPr>
        <w:footnoteReference w:id="21"/>
      </w:r>
      <w:r>
        <w:rPr>
          <w:rFonts w:ascii="Times New Roman" w:hAnsi="Times New Roman"/>
          <w:noProof/>
        </w:rPr>
        <w:t>; ii) d’activités relevant du système d’échange de quotas d’émission de l’UE (SEQE) permettant d’atteindre les émissions de gaz à effet de serre prévues qui ne sont pas inférieures aux référentiels pertinents</w:t>
      </w:r>
      <w:r w:rsidRPr="0029070D">
        <w:rPr>
          <w:rStyle w:val="FootnoteReference"/>
          <w:rFonts w:ascii="Times New Roman" w:eastAsia="Times New Roman" w:hAnsi="Times New Roman" w:cs="Times New Roman"/>
          <w:b w:val="0"/>
          <w:bCs/>
          <w:noProof/>
          <w:kern w:val="0"/>
          <w:szCs w:val="20"/>
        </w:rPr>
        <w:footnoteReference w:id="22"/>
      </w:r>
      <w:r>
        <w:rPr>
          <w:rFonts w:ascii="Times New Roman" w:hAnsi="Times New Roman"/>
          <w:noProof/>
        </w:rPr>
        <w:t>; iii) les activités liées aux décharges de déchets, aux incinérateurs</w:t>
      </w:r>
      <w:r w:rsidRPr="0029070D">
        <w:rPr>
          <w:rStyle w:val="FootnoteReference"/>
          <w:rFonts w:ascii="Times New Roman" w:eastAsia="Times New Roman" w:hAnsi="Times New Roman" w:cs="Times New Roman"/>
          <w:b w:val="0"/>
          <w:bCs/>
          <w:noProof/>
          <w:kern w:val="0"/>
          <w:szCs w:val="20"/>
        </w:rPr>
        <w:footnoteReference w:id="23"/>
      </w:r>
      <w:r>
        <w:rPr>
          <w:rFonts w:ascii="Times New Roman" w:hAnsi="Times New Roman"/>
          <w:noProof/>
        </w:rPr>
        <w:t xml:space="preserve"> et aux installations de traitement mécanique biologique</w:t>
      </w:r>
      <w:r w:rsidRPr="0029070D">
        <w:rPr>
          <w:rStyle w:val="FootnoteReference"/>
          <w:rFonts w:ascii="Times New Roman" w:eastAsia="Times New Roman" w:hAnsi="Times New Roman" w:cs="Times New Roman"/>
          <w:b w:val="0"/>
          <w:bCs/>
          <w:noProof/>
          <w:kern w:val="0"/>
          <w:szCs w:val="20"/>
        </w:rPr>
        <w:footnoteReference w:id="24"/>
      </w:r>
      <w:r>
        <w:rPr>
          <w:rFonts w:ascii="Times New Roman" w:hAnsi="Times New Roman"/>
          <w:noProof/>
        </w:rPr>
        <w:t>; et iv) les activités pour lesquelles l’élimination à long terme des déchets peut nuire à l’environnement.</w:t>
      </w:r>
    </w:p>
    <w:p w14:paraId="5A8AE490" w14:textId="77777777" w:rsidR="00740F0F" w:rsidRPr="0029070D" w:rsidRDefault="00100B64">
      <w:pPr>
        <w:widowControl w:val="0"/>
        <w:autoSpaceDE w:val="0"/>
        <w:autoSpaceDN w:val="0"/>
        <w:spacing w:before="214"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C6-I3: soutenir les entreprises innovantes</w:t>
      </w:r>
    </w:p>
    <w:p w14:paraId="5A8AE491" w14:textId="77777777" w:rsidR="00740F0F" w:rsidRPr="0029070D" w:rsidRDefault="00100B64">
      <w:pPr>
        <w:widowControl w:val="0"/>
        <w:autoSpaceDE w:val="0"/>
        <w:autoSpaceDN w:val="0"/>
        <w:spacing w:before="113" w:after="0" w:line="244" w:lineRule="auto"/>
        <w:ind w:left="220" w:right="226"/>
        <w:jc w:val="both"/>
        <w:rPr>
          <w:rFonts w:ascii="Times New Roman" w:eastAsia="Times New Roman" w:hAnsi="Times New Roman" w:cs="Times New Roman"/>
          <w:noProof/>
          <w:kern w:val="0"/>
          <w:szCs w:val="20"/>
          <w14:ligatures w14:val="none"/>
        </w:rPr>
      </w:pPr>
      <w:r>
        <w:rPr>
          <w:rFonts w:ascii="Times New Roman" w:hAnsi="Times New Roman"/>
          <w:noProof/>
        </w:rPr>
        <w:t>Cette mesure vise à financer les investissements en R&amp;D des entreprises innovantes, dans le cadre du volet structurel du quatrième Programme d’investissements d’avenir (PIA4). Elle s’adresse aux entreprises innovantes qui, individuellement ou dans le cadre de programmes collaboratifs, ont besoin d’accéder à des sources de financement pour couvrir le risque inhérent à leurs projets de R&amp;D. Elle englobe:</w:t>
      </w:r>
    </w:p>
    <w:p w14:paraId="5A8AE492" w14:textId="77777777" w:rsidR="00740F0F" w:rsidRPr="0029070D" w:rsidRDefault="00100B64">
      <w:pPr>
        <w:pStyle w:val="ListParagraph"/>
        <w:widowControl w:val="0"/>
        <w:numPr>
          <w:ilvl w:val="0"/>
          <w:numId w:val="36"/>
        </w:numPr>
        <w:autoSpaceDE w:val="0"/>
        <w:autoSpaceDN w:val="0"/>
        <w:spacing w:before="113" w:after="0" w:line="244" w:lineRule="auto"/>
        <w:ind w:right="226"/>
        <w:jc w:val="both"/>
        <w:rPr>
          <w:rFonts w:ascii="Times New Roman" w:eastAsia="Times New Roman" w:hAnsi="Times New Roman" w:cs="Times New Roman"/>
          <w:noProof/>
          <w:kern w:val="0"/>
          <w:szCs w:val="20"/>
          <w14:ligatures w14:val="none"/>
        </w:rPr>
      </w:pPr>
      <w:r>
        <w:rPr>
          <w:rFonts w:ascii="Times New Roman" w:hAnsi="Times New Roman"/>
          <w:b/>
          <w:noProof/>
        </w:rPr>
        <w:t xml:space="preserve">Les concours d’innovation à destination des start-up et PME: </w:t>
      </w:r>
      <w:r>
        <w:rPr>
          <w:rFonts w:ascii="Times New Roman" w:hAnsi="Times New Roman"/>
          <w:noProof/>
        </w:rPr>
        <w:t>ces aides accompagnent la création et la croissance d’entreprises innovantes et fortement technologiques, à travers des aides destinées à orienter les jeunes chercheurs vers la création d’entreprises, à valoriser les résultats de la recherche publique et, enfin, à financer des projets d’innovation à fort potentiel portés par des start-up et des PME. Les lauréats des concours d’innovation interviennent sur différentes thématiques: numérique, santé, transports et mobilités durables, énergies renouvelables, etc.</w:t>
      </w:r>
    </w:p>
    <w:p w14:paraId="5A8AE493" w14:textId="77777777" w:rsidR="00740F0F" w:rsidRPr="0029070D" w:rsidRDefault="00100B64">
      <w:pPr>
        <w:pStyle w:val="ListParagraph"/>
        <w:widowControl w:val="0"/>
        <w:numPr>
          <w:ilvl w:val="0"/>
          <w:numId w:val="36"/>
        </w:numPr>
        <w:autoSpaceDE w:val="0"/>
        <w:autoSpaceDN w:val="0"/>
        <w:spacing w:before="113" w:after="0" w:line="244" w:lineRule="auto"/>
        <w:ind w:right="226"/>
        <w:jc w:val="both"/>
        <w:rPr>
          <w:rFonts w:ascii="Times New Roman" w:eastAsia="Times New Roman" w:hAnsi="Times New Roman" w:cs="Times New Roman"/>
          <w:noProof/>
          <w:kern w:val="0"/>
          <w:szCs w:val="20"/>
          <w14:ligatures w14:val="none"/>
        </w:rPr>
      </w:pPr>
      <w:r>
        <w:rPr>
          <w:rFonts w:ascii="Times New Roman" w:hAnsi="Times New Roman"/>
          <w:b/>
          <w:noProof/>
        </w:rPr>
        <w:t xml:space="preserve">Le soutien aux projets structurants de R&amp;D: </w:t>
      </w:r>
      <w:r>
        <w:rPr>
          <w:rFonts w:ascii="Times New Roman" w:hAnsi="Times New Roman"/>
          <w:noProof/>
        </w:rPr>
        <w:t>cette aide accompagne des projets collaboratifs associant des grandes entreprises et des PME et entreprises de taille intermédiaire (ETI</w:t>
      </w:r>
      <w:r w:rsidRPr="0029070D">
        <w:rPr>
          <w:rStyle w:val="FootnoteReference"/>
          <w:rFonts w:ascii="Times New Roman" w:eastAsia="Times New Roman" w:hAnsi="Times New Roman" w:cs="Times New Roman"/>
          <w:b w:val="0"/>
          <w:bCs/>
          <w:noProof/>
          <w:kern w:val="0"/>
          <w:szCs w:val="20"/>
        </w:rPr>
        <w:footnoteReference w:id="25"/>
      </w:r>
      <w:r>
        <w:rPr>
          <w:rFonts w:ascii="Times New Roman" w:hAnsi="Times New Roman"/>
          <w:noProof/>
        </w:rPr>
        <w:t>), avec une incitation forte aux travaux avec les laboratoires de recherche et aux projets issus des Comités stratégiques de filière. Ces projets rassemblent autour d’un consortium de deux entreprises minimum, en vue de créer des synergies et de favoriser le transfert de connaissances. Ils permettent ainsi de renforcer la profondeur et l’intensité technologique de nouveaux produits ou services innovants.</w:t>
      </w:r>
    </w:p>
    <w:p w14:paraId="5A8AE494" w14:textId="77777777" w:rsidR="00740F0F" w:rsidRPr="0029070D" w:rsidRDefault="00100B64">
      <w:pPr>
        <w:widowControl w:val="0"/>
        <w:autoSpaceDE w:val="0"/>
        <w:autoSpaceDN w:val="0"/>
        <w:spacing w:before="116" w:after="0" w:line="237" w:lineRule="auto"/>
        <w:ind w:left="220" w:right="223"/>
        <w:jc w:val="both"/>
        <w:rPr>
          <w:rFonts w:ascii="Times New Roman" w:eastAsia="Times New Roman" w:hAnsi="Times New Roman" w:cs="Times New Roman"/>
          <w:noProof/>
          <w:kern w:val="0"/>
          <w:szCs w:val="20"/>
          <w14:ligatures w14:val="none"/>
        </w:rPr>
      </w:pPr>
      <w:r>
        <w:rPr>
          <w:rFonts w:ascii="Times New Roman" w:hAnsi="Times New Roman"/>
          <w:noProof/>
        </w:rPr>
        <w:t>Les cahiers des charges des futurs appels à projets intègrent des critères d’éligibilité permettant d’assurer la neutralité environnementale des applications de la solution financée, de sorte que la mesure soit conforme au principe consistant à «ne pas causer de préjudice important» du règlement (UE) 2021/241. De plus, le cas échéant, les critères environnementaux font partie des critères de sélection des projets, et les opérateurs sont tenus de produire une analyse critique de leurs propositions sur la base d’une expertise interne et externe; la transition écologique est inscrite dans la loi comme l’un des objectifs du PIA, et les instances dirigeantes du PIA doivent veiller à l’application de ces objectifs, comme contrôlé par un indicateur dédié. Cela conduit à exclure i) les activités liées aux combustibles fossiles, y compris leur utilisation en aval</w:t>
      </w:r>
      <w:r w:rsidRPr="0029070D">
        <w:rPr>
          <w:rStyle w:val="FootnoteReference"/>
          <w:rFonts w:ascii="Times New Roman" w:eastAsia="Times New Roman" w:hAnsi="Times New Roman" w:cs="Times New Roman"/>
          <w:b w:val="0"/>
          <w:bCs/>
          <w:noProof/>
          <w:kern w:val="0"/>
          <w:szCs w:val="20"/>
        </w:rPr>
        <w:footnoteReference w:id="26"/>
      </w:r>
      <w:r>
        <w:rPr>
          <w:rFonts w:ascii="Times New Roman" w:hAnsi="Times New Roman"/>
          <w:noProof/>
        </w:rPr>
        <w:t>; ii) d’activités relevant du système d’échange de quotas d’émission de l’UE (SEQE) permettant d’atteindre les émissions de gaz à effet de serre prévues qui ne sont pas inférieures aux référentiels pertinents</w:t>
      </w:r>
      <w:r w:rsidRPr="0029070D">
        <w:rPr>
          <w:rStyle w:val="FootnoteReference"/>
          <w:rFonts w:ascii="Times New Roman" w:eastAsia="Times New Roman" w:hAnsi="Times New Roman" w:cs="Times New Roman"/>
          <w:b w:val="0"/>
          <w:bCs/>
          <w:noProof/>
          <w:kern w:val="0"/>
          <w:szCs w:val="20"/>
        </w:rPr>
        <w:footnoteReference w:id="27"/>
      </w:r>
      <w:r>
        <w:rPr>
          <w:rFonts w:ascii="Times New Roman" w:hAnsi="Times New Roman"/>
          <w:noProof/>
        </w:rPr>
        <w:t>; iii) les activités liées aux décharges de déchets, aux incinérateurs</w:t>
      </w:r>
      <w:r w:rsidRPr="0029070D">
        <w:rPr>
          <w:rStyle w:val="FootnoteReference"/>
          <w:rFonts w:ascii="Times New Roman" w:eastAsia="Times New Roman" w:hAnsi="Times New Roman" w:cs="Times New Roman"/>
          <w:b w:val="0"/>
          <w:bCs/>
          <w:noProof/>
          <w:kern w:val="0"/>
          <w:szCs w:val="20"/>
        </w:rPr>
        <w:footnoteReference w:id="28"/>
      </w:r>
      <w:r>
        <w:rPr>
          <w:rFonts w:ascii="Times New Roman" w:hAnsi="Times New Roman"/>
          <w:noProof/>
        </w:rPr>
        <w:t xml:space="preserve"> et aux installations de traitement mécanique biologique</w:t>
      </w:r>
      <w:r w:rsidRPr="0029070D">
        <w:rPr>
          <w:rStyle w:val="FootnoteReference"/>
          <w:rFonts w:ascii="Times New Roman" w:eastAsia="Times New Roman" w:hAnsi="Times New Roman" w:cs="Times New Roman"/>
          <w:b w:val="0"/>
          <w:bCs/>
          <w:noProof/>
          <w:kern w:val="0"/>
          <w:szCs w:val="20"/>
        </w:rPr>
        <w:footnoteReference w:id="29"/>
      </w:r>
      <w:r>
        <w:rPr>
          <w:rFonts w:ascii="Times New Roman" w:hAnsi="Times New Roman"/>
          <w:noProof/>
        </w:rPr>
        <w:t>; et iv) les activités pour lesquelles l’élimination à long terme des déchets peut nuire à l’environnement.</w:t>
      </w:r>
    </w:p>
    <w:p w14:paraId="5A8AE495" w14:textId="77777777" w:rsidR="00740F0F" w:rsidRPr="0029070D" w:rsidRDefault="00740F0F">
      <w:pPr>
        <w:widowControl w:val="0"/>
        <w:autoSpaceDE w:val="0"/>
        <w:autoSpaceDN w:val="0"/>
        <w:spacing w:before="1" w:after="0" w:line="240" w:lineRule="auto"/>
        <w:rPr>
          <w:rFonts w:ascii="Times New Roman" w:eastAsia="Times New Roman" w:hAnsi="Times New Roman" w:cs="Times New Roman"/>
          <w:noProof/>
          <w:kern w:val="0"/>
          <w:sz w:val="44"/>
          <w:szCs w:val="20"/>
          <w14:ligatures w14:val="none"/>
        </w:rPr>
      </w:pPr>
    </w:p>
    <w:p w14:paraId="5A8AE496" w14:textId="77777777" w:rsidR="00740F0F" w:rsidRPr="0029070D" w:rsidRDefault="00740F0F">
      <w:pPr>
        <w:widowControl w:val="0"/>
        <w:autoSpaceDE w:val="0"/>
        <w:autoSpaceDN w:val="0"/>
        <w:spacing w:before="1" w:after="0" w:line="240" w:lineRule="auto"/>
        <w:rPr>
          <w:rFonts w:ascii="Times New Roman" w:eastAsia="Times New Roman" w:hAnsi="Times New Roman" w:cs="Times New Roman"/>
          <w:noProof/>
          <w:kern w:val="0"/>
          <w:sz w:val="20"/>
          <w:szCs w:val="20"/>
          <w14:ligatures w14:val="none"/>
        </w:rPr>
      </w:pPr>
    </w:p>
    <w:p w14:paraId="5A8AE497" w14:textId="77777777" w:rsidR="00740F0F" w:rsidRPr="0029070D" w:rsidRDefault="00100B64">
      <w:pPr>
        <w:widowControl w:val="0"/>
        <w:autoSpaceDE w:val="0"/>
        <w:autoSpaceDN w:val="0"/>
        <w:spacing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C6-I4: spatial</w:t>
      </w:r>
    </w:p>
    <w:p w14:paraId="5A8AE498" w14:textId="77777777" w:rsidR="00740F0F" w:rsidRPr="0029070D" w:rsidRDefault="00100B64">
      <w:pPr>
        <w:widowControl w:val="0"/>
        <w:autoSpaceDE w:val="0"/>
        <w:autoSpaceDN w:val="0"/>
        <w:spacing w:before="113"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rPr>
        <w:t>La mesure soutient trois actions distinctes:</w:t>
      </w:r>
    </w:p>
    <w:p w14:paraId="5A8AE499" w14:textId="270170B5" w:rsidR="00740F0F" w:rsidRPr="0029070D" w:rsidRDefault="00100B64">
      <w:pPr>
        <w:widowControl w:val="0"/>
        <w:numPr>
          <w:ilvl w:val="0"/>
          <w:numId w:val="2"/>
        </w:numPr>
        <w:tabs>
          <w:tab w:val="left" w:pos="581"/>
        </w:tabs>
        <w:autoSpaceDE w:val="0"/>
        <w:autoSpaceDN w:val="0"/>
        <w:spacing w:before="115" w:after="0" w:line="240" w:lineRule="auto"/>
        <w:ind w:left="580" w:right="224"/>
        <w:jc w:val="both"/>
        <w:rPr>
          <w:rFonts w:ascii="Times New Roman" w:eastAsia="Times New Roman" w:hAnsi="Times New Roman" w:cs="Times New Roman"/>
          <w:noProof/>
          <w:kern w:val="0"/>
          <w:szCs w:val="20"/>
          <w14:ligatures w14:val="none"/>
        </w:rPr>
      </w:pPr>
      <w:r>
        <w:rPr>
          <w:rFonts w:ascii="Times New Roman" w:hAnsi="Times New Roman"/>
          <w:noProof/>
        </w:rPr>
        <w:t>Contribution ad hoc à l’Agence spatiale européenne (ESA) pour un montant de 165</w:t>
      </w:r>
      <w:r>
        <w:rPr>
          <w:rFonts w:ascii="Times New Roman" w:hAnsi="Times New Roman"/>
          <w:noProof/>
          <w:sz w:val="20"/>
        </w:rPr>
        <w:t> </w:t>
      </w:r>
      <w:r>
        <w:rPr>
          <w:rFonts w:ascii="Times New Roman" w:hAnsi="Times New Roman"/>
          <w:noProof/>
        </w:rPr>
        <w:t>000</w:t>
      </w:r>
      <w:r>
        <w:rPr>
          <w:rFonts w:ascii="Times New Roman" w:hAnsi="Times New Roman"/>
          <w:noProof/>
          <w:sz w:val="20"/>
        </w:rPr>
        <w:t> </w:t>
      </w:r>
      <w:r>
        <w:rPr>
          <w:rFonts w:ascii="Times New Roman" w:hAnsi="Times New Roman"/>
          <w:noProof/>
        </w:rPr>
        <w:t>000 EUR afin de répondre aux appels à financement lancés par l’ESA pour financer des programmes spatiaux, tels que des missions scientifiques, le développement de programmes de satellites ou le financement du programme Ariane 6, un programme de développement du système de lancement de fusées géré par l’Agence spatiale européenne (ESA). Ces programmes sont basés sur des contributions volontaires des États membres (programme facultatif). L’accès autonome à l’espace est essentiel pour rendre possibles les missions scientifiques et d’exploration européennes, ainsi que la poursuite des programmes spatiaux de l’UE comme Galileo et Copernicus.</w:t>
      </w:r>
    </w:p>
    <w:p w14:paraId="5A8AE49A" w14:textId="77777777" w:rsidR="00740F0F" w:rsidRPr="0029070D" w:rsidRDefault="00100B64">
      <w:pPr>
        <w:widowControl w:val="0"/>
        <w:numPr>
          <w:ilvl w:val="0"/>
          <w:numId w:val="2"/>
        </w:numPr>
        <w:tabs>
          <w:tab w:val="left" w:pos="581"/>
        </w:tabs>
        <w:autoSpaceDE w:val="0"/>
        <w:autoSpaceDN w:val="0"/>
        <w:spacing w:before="104" w:after="0" w:line="242" w:lineRule="auto"/>
        <w:ind w:left="580" w:right="215" w:hanging="361"/>
        <w:jc w:val="both"/>
        <w:rPr>
          <w:rFonts w:ascii="Times New Roman" w:eastAsia="Times New Roman" w:hAnsi="Times New Roman" w:cs="Times New Roman"/>
          <w:noProof/>
          <w:kern w:val="0"/>
          <w:szCs w:val="20"/>
          <w14:ligatures w14:val="none"/>
        </w:rPr>
      </w:pPr>
      <w:r>
        <w:rPr>
          <w:rFonts w:ascii="Times New Roman" w:hAnsi="Times New Roman"/>
          <w:noProof/>
        </w:rPr>
        <w:t xml:space="preserve">Projets de R&amp;D: i) marchés publics de recherche sur les technologies stratégiques définies avec le Centre national d’études spatiales (CNES) avec des applications civiles et duales; ii) appels à projets dans des domaines pertinents pour le secteur spatial tels que la communication optique, les systèmes de télécommunication flexibles et les terminaux de télécommunication par satellite; iii) un appel à projets pour soutenir les technologies clés dans le domaine des nanosatellites; iv) un concours national d’applications spatiales («Space Tour 2021») destiné à sélectionner des projets de R&amp;D d’applications spatiales innovantes et prometteuses portées par des start-up ou des PME. </w:t>
      </w:r>
    </w:p>
    <w:p w14:paraId="5A8AE49B" w14:textId="77777777" w:rsidR="00740F0F" w:rsidRPr="0029070D" w:rsidRDefault="00100B64">
      <w:pPr>
        <w:widowControl w:val="0"/>
        <w:numPr>
          <w:ilvl w:val="0"/>
          <w:numId w:val="2"/>
        </w:numPr>
        <w:tabs>
          <w:tab w:val="left" w:pos="581"/>
        </w:tabs>
        <w:autoSpaceDE w:val="0"/>
        <w:autoSpaceDN w:val="0"/>
        <w:spacing w:before="55" w:after="0" w:line="237" w:lineRule="auto"/>
        <w:ind w:left="580" w:right="220"/>
        <w:jc w:val="both"/>
        <w:rPr>
          <w:rFonts w:ascii="Times New Roman" w:eastAsia="Times New Roman" w:hAnsi="Times New Roman" w:cs="Times New Roman"/>
          <w:noProof/>
          <w:kern w:val="0"/>
          <w:szCs w:val="20"/>
          <w14:ligatures w14:val="none"/>
        </w:rPr>
      </w:pPr>
      <w:r>
        <w:rPr>
          <w:rFonts w:ascii="Times New Roman" w:hAnsi="Times New Roman"/>
          <w:noProof/>
        </w:rPr>
        <w:t>Projets à Vernon, le site où l’ESA effectuera les premiers tests pour développer «Prometheus», un moteur de fusée bas coût réutilisable. La mesure soutient la modernisation de l’installation d’essai des moteurs de fusée à Vernon et la création d’un parc de panneaux solaires de 10 hectares, qui générera la quantité d’électricité nécessaire pour produire par électrolyse les quantités d’hydrogène requises sur le site. Enfin, cette mesure soutient un projet de valorisation dans une pile à combustible de l’hydrogène produit sur le site en tant que sous-produit de processus industriels («hydrogène fatal»).</w:t>
      </w:r>
    </w:p>
    <w:p w14:paraId="5A8AE49C" w14:textId="77777777" w:rsidR="00740F0F" w:rsidRPr="0029070D" w:rsidRDefault="00740F0F">
      <w:pPr>
        <w:spacing w:before="120" w:after="120" w:line="237" w:lineRule="auto"/>
        <w:jc w:val="both"/>
        <w:rPr>
          <w:rFonts w:ascii="Times New Roman" w:eastAsia="Calibri" w:hAnsi="Times New Roman" w:cs="Times New Roman"/>
          <w:noProof/>
          <w:kern w:val="0"/>
          <w:szCs w:val="22"/>
          <w14:ligatures w14:val="none"/>
        </w:rPr>
        <w:sectPr w:rsidR="00740F0F" w:rsidRPr="0029070D">
          <w:headerReference w:type="even" r:id="rId78"/>
          <w:headerReference w:type="default" r:id="rId79"/>
          <w:footerReference w:type="even" r:id="rId80"/>
          <w:footerReference w:type="default" r:id="rId81"/>
          <w:headerReference w:type="first" r:id="rId82"/>
          <w:footerReference w:type="first" r:id="rId83"/>
          <w:pgSz w:w="11920" w:h="16860"/>
          <w:pgMar w:top="1134" w:right="1134" w:bottom="1134" w:left="1134" w:header="567" w:footer="567" w:gutter="0"/>
          <w:cols w:space="720"/>
          <w:docGrid w:linePitch="326"/>
        </w:sectPr>
      </w:pPr>
    </w:p>
    <w:p w14:paraId="5A8AE49D" w14:textId="77777777" w:rsidR="00740F0F" w:rsidRPr="00E409C3" w:rsidRDefault="00100B64">
      <w:pPr>
        <w:widowControl w:val="0"/>
        <w:numPr>
          <w:ilvl w:val="2"/>
          <w:numId w:val="1"/>
        </w:numPr>
        <w:tabs>
          <w:tab w:val="left" w:pos="863"/>
          <w:tab w:val="left" w:pos="864"/>
        </w:tabs>
        <w:autoSpaceDE w:val="0"/>
        <w:autoSpaceDN w:val="0"/>
        <w:spacing w:before="227" w:after="0" w:line="240" w:lineRule="auto"/>
        <w:ind w:left="863" w:hanging="724"/>
        <w:jc w:val="center"/>
        <w:outlineLvl w:val="1"/>
        <w:rPr>
          <w:rFonts w:ascii="Times New Roman" w:eastAsia="Times New Roman" w:hAnsi="Times New Roman" w:cs="Times New Roman"/>
          <w:b/>
          <w:noProof/>
          <w:kern w:val="0"/>
          <w:szCs w:val="20"/>
          <w:u w:val="single"/>
          <w14:ligatures w14:val="none"/>
        </w:rPr>
      </w:pPr>
      <w:r>
        <w:rPr>
          <w:rFonts w:ascii="Times New Roman" w:hAnsi="Times New Roman"/>
          <w:b/>
          <w:noProof/>
          <w:u w:val="single"/>
        </w:rPr>
        <w:t>Jalons, cibles, indicateurs et calendrier de suivi et de mise en œuvre en vue du soutien financier non remboursable</w:t>
      </w:r>
    </w:p>
    <w:p w14:paraId="5A8AE49E" w14:textId="77777777" w:rsidR="00740F0F" w:rsidRPr="0029070D" w:rsidRDefault="00740F0F">
      <w:pPr>
        <w:widowControl w:val="0"/>
        <w:autoSpaceDE w:val="0"/>
        <w:autoSpaceDN w:val="0"/>
        <w:spacing w:before="1" w:after="0" w:line="240" w:lineRule="auto"/>
        <w:rPr>
          <w:rFonts w:ascii="Times New Roman" w:eastAsia="Times New Roman" w:hAnsi="Times New Roman" w:cs="Times New Roman"/>
          <w:b/>
          <w:noProof/>
          <w:kern w:val="0"/>
          <w:sz w:val="19"/>
          <w:szCs w:val="20"/>
          <w14:ligatures w14:val="none"/>
        </w:rPr>
      </w:pPr>
    </w:p>
    <w:tbl>
      <w:tblPr>
        <w:tblStyle w:val="NormalTable0"/>
        <w:tblW w:w="15424"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1116"/>
        <w:gridCol w:w="1116"/>
        <w:gridCol w:w="1116"/>
        <w:gridCol w:w="1841"/>
        <w:gridCol w:w="1752"/>
        <w:gridCol w:w="851"/>
        <w:gridCol w:w="992"/>
        <w:gridCol w:w="1134"/>
        <w:gridCol w:w="850"/>
        <w:gridCol w:w="851"/>
        <w:gridCol w:w="3805"/>
      </w:tblGrid>
      <w:tr w:rsidR="00782477" w:rsidRPr="0029070D" w14:paraId="5A8AE4A7" w14:textId="77777777" w:rsidTr="00E409C3">
        <w:trPr>
          <w:trHeight w:val="916"/>
          <w:tblHeader/>
          <w:jc w:val="center"/>
        </w:trPr>
        <w:tc>
          <w:tcPr>
            <w:tcW w:w="1116" w:type="dxa"/>
            <w:vMerge w:val="restart"/>
            <w:shd w:val="clear" w:color="auto" w:fill="BBD5EC"/>
            <w:vAlign w:val="center"/>
          </w:tcPr>
          <w:p w14:paraId="5A8AE49F" w14:textId="77777777" w:rsidR="00740F0F" w:rsidRPr="0029070D" w:rsidRDefault="00100B64">
            <w:pPr>
              <w:spacing w:line="247" w:lineRule="auto"/>
              <w:ind w:left="227" w:right="117" w:hanging="84"/>
              <w:jc w:val="center"/>
              <w:rPr>
                <w:rFonts w:ascii="Times New Roman" w:eastAsia="Times New Roman" w:hAnsi="Times New Roman" w:cs="Times New Roman"/>
                <w:b/>
                <w:noProof/>
                <w:sz w:val="18"/>
                <w:szCs w:val="18"/>
              </w:rPr>
            </w:pPr>
            <w:r>
              <w:rPr>
                <w:rFonts w:ascii="Times New Roman" w:hAnsi="Times New Roman"/>
                <w:b/>
                <w:noProof/>
                <w:sz w:val="18"/>
              </w:rPr>
              <w:t>Numéro séquentiel</w:t>
            </w:r>
          </w:p>
        </w:tc>
        <w:tc>
          <w:tcPr>
            <w:tcW w:w="1116" w:type="dxa"/>
            <w:vMerge w:val="restart"/>
            <w:shd w:val="clear" w:color="auto" w:fill="BBD5EC"/>
            <w:vAlign w:val="center"/>
          </w:tcPr>
          <w:p w14:paraId="5A8AE4A0" w14:textId="77777777" w:rsidR="00740F0F" w:rsidRPr="0029070D" w:rsidRDefault="00100B64">
            <w:pPr>
              <w:ind w:left="213"/>
              <w:jc w:val="center"/>
              <w:rPr>
                <w:rFonts w:ascii="Times New Roman" w:eastAsia="Times New Roman" w:hAnsi="Times New Roman" w:cs="Times New Roman"/>
                <w:b/>
                <w:noProof/>
                <w:sz w:val="18"/>
                <w:szCs w:val="18"/>
              </w:rPr>
            </w:pPr>
            <w:r>
              <w:rPr>
                <w:rFonts w:ascii="Times New Roman" w:hAnsi="Times New Roman"/>
                <w:b/>
                <w:noProof/>
                <w:sz w:val="18"/>
              </w:rPr>
              <w:t>Mesure</w:t>
            </w:r>
          </w:p>
        </w:tc>
        <w:tc>
          <w:tcPr>
            <w:tcW w:w="1116" w:type="dxa"/>
            <w:vMerge w:val="restart"/>
            <w:shd w:val="clear" w:color="auto" w:fill="BBD5EC"/>
            <w:vAlign w:val="center"/>
          </w:tcPr>
          <w:p w14:paraId="5A8AE4A1" w14:textId="77777777" w:rsidR="00740F0F" w:rsidRPr="0029070D" w:rsidRDefault="00100B64">
            <w:pPr>
              <w:ind w:left="173"/>
              <w:jc w:val="center"/>
              <w:rPr>
                <w:rFonts w:ascii="Times New Roman" w:eastAsia="Times New Roman" w:hAnsi="Times New Roman" w:cs="Times New Roman"/>
                <w:b/>
                <w:noProof/>
                <w:sz w:val="18"/>
                <w:szCs w:val="18"/>
              </w:rPr>
            </w:pPr>
            <w:r>
              <w:rPr>
                <w:rFonts w:ascii="Times New Roman" w:hAnsi="Times New Roman"/>
                <w:b/>
                <w:noProof/>
                <w:sz w:val="18"/>
              </w:rPr>
              <w:t>Jalon / Cible</w:t>
            </w:r>
          </w:p>
        </w:tc>
        <w:tc>
          <w:tcPr>
            <w:tcW w:w="1841" w:type="dxa"/>
            <w:vMerge w:val="restart"/>
            <w:shd w:val="clear" w:color="auto" w:fill="BBD5EC"/>
            <w:vAlign w:val="center"/>
          </w:tcPr>
          <w:p w14:paraId="5A8AE4A2" w14:textId="77777777" w:rsidR="00740F0F" w:rsidRPr="0029070D" w:rsidRDefault="00100B64">
            <w:pPr>
              <w:spacing w:before="1"/>
              <w:ind w:left="664" w:right="652"/>
              <w:jc w:val="center"/>
              <w:rPr>
                <w:rFonts w:ascii="Times New Roman" w:eastAsia="Times New Roman" w:hAnsi="Times New Roman" w:cs="Times New Roman"/>
                <w:b/>
                <w:noProof/>
                <w:sz w:val="18"/>
                <w:szCs w:val="18"/>
              </w:rPr>
            </w:pPr>
            <w:r>
              <w:rPr>
                <w:rFonts w:ascii="Times New Roman" w:hAnsi="Times New Roman"/>
                <w:b/>
                <w:noProof/>
                <w:sz w:val="18"/>
              </w:rPr>
              <w:t>Dénomination</w:t>
            </w:r>
          </w:p>
        </w:tc>
        <w:tc>
          <w:tcPr>
            <w:tcW w:w="1752" w:type="dxa"/>
            <w:vMerge w:val="restart"/>
            <w:shd w:val="clear" w:color="auto" w:fill="BBD5EC"/>
            <w:vAlign w:val="center"/>
          </w:tcPr>
          <w:p w14:paraId="5A8AE4A3" w14:textId="77777777" w:rsidR="00740F0F" w:rsidRPr="0029070D" w:rsidRDefault="00100B64">
            <w:pPr>
              <w:spacing w:line="254" w:lineRule="auto"/>
              <w:ind w:left="187" w:right="168" w:hanging="1"/>
              <w:jc w:val="center"/>
              <w:rPr>
                <w:rFonts w:ascii="Times New Roman" w:eastAsia="Times New Roman" w:hAnsi="Times New Roman" w:cs="Times New Roman"/>
                <w:b/>
                <w:noProof/>
                <w:sz w:val="18"/>
                <w:szCs w:val="18"/>
              </w:rPr>
            </w:pPr>
            <w:r>
              <w:rPr>
                <w:rFonts w:ascii="Times New Roman" w:hAnsi="Times New Roman"/>
                <w:b/>
                <w:noProof/>
                <w:sz w:val="18"/>
              </w:rPr>
              <w:t>Indicateurs qualitatifs (pour les jalons)</w:t>
            </w:r>
          </w:p>
        </w:tc>
        <w:tc>
          <w:tcPr>
            <w:tcW w:w="2977" w:type="dxa"/>
            <w:gridSpan w:val="3"/>
            <w:shd w:val="clear" w:color="auto" w:fill="BBD5EC"/>
            <w:vAlign w:val="center"/>
          </w:tcPr>
          <w:p w14:paraId="5A8AE4A4" w14:textId="77777777" w:rsidR="00740F0F" w:rsidRPr="0029070D" w:rsidRDefault="00100B64">
            <w:pPr>
              <w:spacing w:line="247" w:lineRule="auto"/>
              <w:ind w:left="1122" w:hanging="877"/>
              <w:rPr>
                <w:rFonts w:ascii="Times New Roman" w:eastAsia="Times New Roman" w:hAnsi="Times New Roman" w:cs="Times New Roman"/>
                <w:b/>
                <w:noProof/>
                <w:sz w:val="18"/>
                <w:szCs w:val="18"/>
              </w:rPr>
            </w:pPr>
            <w:r>
              <w:rPr>
                <w:rFonts w:ascii="Times New Roman" w:hAnsi="Times New Roman"/>
                <w:b/>
                <w:noProof/>
                <w:sz w:val="18"/>
              </w:rPr>
              <w:t>Indicateurs quantitatifs (pour les cibles)</w:t>
            </w:r>
          </w:p>
        </w:tc>
        <w:tc>
          <w:tcPr>
            <w:tcW w:w="1701" w:type="dxa"/>
            <w:gridSpan w:val="2"/>
            <w:shd w:val="clear" w:color="auto" w:fill="BBD5EC"/>
            <w:vAlign w:val="center"/>
          </w:tcPr>
          <w:p w14:paraId="5A8AE4A5" w14:textId="77777777" w:rsidR="00740F0F" w:rsidRPr="0029070D" w:rsidRDefault="00100B64">
            <w:pPr>
              <w:spacing w:before="108" w:line="256" w:lineRule="auto"/>
              <w:ind w:left="370" w:right="353" w:firstLine="2"/>
              <w:jc w:val="center"/>
              <w:rPr>
                <w:rFonts w:ascii="Times New Roman" w:eastAsia="Times New Roman" w:hAnsi="Times New Roman" w:cs="Times New Roman"/>
                <w:b/>
                <w:noProof/>
                <w:sz w:val="18"/>
                <w:szCs w:val="18"/>
              </w:rPr>
            </w:pPr>
            <w:r>
              <w:rPr>
                <w:rFonts w:ascii="Times New Roman" w:hAnsi="Times New Roman"/>
                <w:b/>
                <w:noProof/>
                <w:sz w:val="18"/>
              </w:rPr>
              <w:t>Calendrier indicatif de réalisation</w:t>
            </w:r>
          </w:p>
        </w:tc>
        <w:tc>
          <w:tcPr>
            <w:tcW w:w="3805" w:type="dxa"/>
            <w:vMerge w:val="restart"/>
            <w:shd w:val="clear" w:color="auto" w:fill="BBD5EC"/>
            <w:vAlign w:val="center"/>
          </w:tcPr>
          <w:p w14:paraId="5A8AE4A6" w14:textId="77777777" w:rsidR="00740F0F" w:rsidRPr="0029070D" w:rsidRDefault="00100B64">
            <w:pPr>
              <w:spacing w:before="1"/>
              <w:ind w:left="70"/>
              <w:jc w:val="center"/>
              <w:rPr>
                <w:rFonts w:ascii="Times New Roman" w:eastAsia="Times New Roman" w:hAnsi="Times New Roman" w:cs="Times New Roman"/>
                <w:b/>
                <w:noProof/>
                <w:sz w:val="18"/>
                <w:szCs w:val="18"/>
              </w:rPr>
            </w:pPr>
            <w:r>
              <w:rPr>
                <w:rFonts w:ascii="Times New Roman" w:hAnsi="Times New Roman"/>
                <w:b/>
                <w:noProof/>
                <w:sz w:val="18"/>
              </w:rPr>
              <w:t>Description de chaque jalon et cible</w:t>
            </w:r>
          </w:p>
        </w:tc>
      </w:tr>
      <w:tr w:rsidR="00782477" w:rsidRPr="0029070D" w14:paraId="5A8AE4B3" w14:textId="77777777" w:rsidTr="00E409C3">
        <w:trPr>
          <w:trHeight w:val="417"/>
          <w:jc w:val="center"/>
        </w:trPr>
        <w:tc>
          <w:tcPr>
            <w:tcW w:w="1116" w:type="dxa"/>
            <w:vMerge/>
          </w:tcPr>
          <w:p w14:paraId="5A8AE4A8" w14:textId="77777777" w:rsidR="00740F0F" w:rsidRPr="0029070D" w:rsidRDefault="00740F0F">
            <w:pPr>
              <w:spacing w:before="120" w:after="120" w:line="360" w:lineRule="auto"/>
              <w:rPr>
                <w:rFonts w:ascii="Times New Roman" w:eastAsia="Calibri" w:hAnsi="Times New Roman" w:cs="Times New Roman"/>
                <w:noProof/>
                <w:sz w:val="18"/>
                <w:szCs w:val="18"/>
              </w:rPr>
            </w:pPr>
          </w:p>
        </w:tc>
        <w:tc>
          <w:tcPr>
            <w:tcW w:w="1116" w:type="dxa"/>
            <w:vMerge/>
          </w:tcPr>
          <w:p w14:paraId="5A8AE4A9" w14:textId="77777777" w:rsidR="00740F0F" w:rsidRPr="0029070D" w:rsidRDefault="00740F0F">
            <w:pPr>
              <w:spacing w:before="120" w:after="120" w:line="360" w:lineRule="auto"/>
              <w:rPr>
                <w:rFonts w:ascii="Times New Roman" w:eastAsia="Calibri" w:hAnsi="Times New Roman" w:cs="Times New Roman"/>
                <w:noProof/>
                <w:sz w:val="18"/>
                <w:szCs w:val="18"/>
              </w:rPr>
            </w:pPr>
          </w:p>
        </w:tc>
        <w:tc>
          <w:tcPr>
            <w:tcW w:w="1116" w:type="dxa"/>
            <w:vMerge/>
          </w:tcPr>
          <w:p w14:paraId="5A8AE4AA" w14:textId="77777777" w:rsidR="00740F0F" w:rsidRPr="0029070D" w:rsidRDefault="00740F0F">
            <w:pPr>
              <w:spacing w:before="120" w:after="120" w:line="360" w:lineRule="auto"/>
              <w:rPr>
                <w:rFonts w:ascii="Times New Roman" w:eastAsia="Calibri" w:hAnsi="Times New Roman" w:cs="Times New Roman"/>
                <w:noProof/>
                <w:sz w:val="18"/>
                <w:szCs w:val="18"/>
              </w:rPr>
            </w:pPr>
          </w:p>
        </w:tc>
        <w:tc>
          <w:tcPr>
            <w:tcW w:w="1841" w:type="dxa"/>
            <w:vMerge/>
          </w:tcPr>
          <w:p w14:paraId="5A8AE4AB" w14:textId="77777777" w:rsidR="00740F0F" w:rsidRPr="0029070D" w:rsidRDefault="00740F0F">
            <w:pPr>
              <w:spacing w:before="120" w:after="120" w:line="360" w:lineRule="auto"/>
              <w:rPr>
                <w:rFonts w:ascii="Times New Roman" w:eastAsia="Calibri" w:hAnsi="Times New Roman" w:cs="Times New Roman"/>
                <w:noProof/>
                <w:sz w:val="18"/>
                <w:szCs w:val="18"/>
              </w:rPr>
            </w:pPr>
          </w:p>
        </w:tc>
        <w:tc>
          <w:tcPr>
            <w:tcW w:w="1752" w:type="dxa"/>
            <w:vMerge/>
          </w:tcPr>
          <w:p w14:paraId="5A8AE4AC" w14:textId="77777777" w:rsidR="00740F0F" w:rsidRPr="0029070D" w:rsidRDefault="00740F0F">
            <w:pPr>
              <w:spacing w:before="120" w:after="120" w:line="360" w:lineRule="auto"/>
              <w:rPr>
                <w:rFonts w:ascii="Times New Roman" w:eastAsia="Calibri" w:hAnsi="Times New Roman" w:cs="Times New Roman"/>
                <w:noProof/>
                <w:sz w:val="18"/>
                <w:szCs w:val="18"/>
              </w:rPr>
            </w:pPr>
          </w:p>
        </w:tc>
        <w:tc>
          <w:tcPr>
            <w:tcW w:w="851" w:type="dxa"/>
            <w:shd w:val="clear" w:color="auto" w:fill="BBD5EC"/>
            <w:vAlign w:val="center"/>
          </w:tcPr>
          <w:p w14:paraId="5A8AE4AD" w14:textId="77777777" w:rsidR="00740F0F" w:rsidRPr="0029070D" w:rsidRDefault="00100B64">
            <w:pPr>
              <w:spacing w:line="208" w:lineRule="exact"/>
              <w:ind w:left="152" w:right="128" w:firstLine="103"/>
              <w:jc w:val="center"/>
              <w:rPr>
                <w:rFonts w:ascii="Times New Roman" w:eastAsia="Times New Roman" w:hAnsi="Times New Roman" w:cs="Times New Roman"/>
                <w:b/>
                <w:noProof/>
                <w:sz w:val="18"/>
                <w:szCs w:val="18"/>
              </w:rPr>
            </w:pPr>
            <w:r>
              <w:rPr>
                <w:rFonts w:ascii="Times New Roman" w:hAnsi="Times New Roman"/>
                <w:b/>
                <w:noProof/>
                <w:sz w:val="18"/>
              </w:rPr>
              <w:t>Unité de mesure</w:t>
            </w:r>
          </w:p>
        </w:tc>
        <w:tc>
          <w:tcPr>
            <w:tcW w:w="992" w:type="dxa"/>
            <w:shd w:val="clear" w:color="auto" w:fill="BBD5EC"/>
            <w:vAlign w:val="center"/>
          </w:tcPr>
          <w:p w14:paraId="5A8AE4AE" w14:textId="77777777" w:rsidR="00740F0F" w:rsidRPr="0029070D" w:rsidRDefault="00100B64">
            <w:pPr>
              <w:spacing w:line="207" w:lineRule="exact"/>
              <w:ind w:left="109" w:right="149"/>
              <w:jc w:val="center"/>
              <w:rPr>
                <w:rFonts w:ascii="Times New Roman" w:eastAsia="Times New Roman" w:hAnsi="Times New Roman" w:cs="Times New Roman"/>
                <w:b/>
                <w:noProof/>
                <w:sz w:val="18"/>
                <w:szCs w:val="18"/>
              </w:rPr>
            </w:pPr>
            <w:r>
              <w:rPr>
                <w:rFonts w:ascii="Times New Roman" w:hAnsi="Times New Roman"/>
                <w:b/>
                <w:noProof/>
                <w:sz w:val="18"/>
              </w:rPr>
              <w:t>Base de référence</w:t>
            </w:r>
          </w:p>
        </w:tc>
        <w:tc>
          <w:tcPr>
            <w:tcW w:w="1134" w:type="dxa"/>
            <w:shd w:val="clear" w:color="auto" w:fill="BBD5EC"/>
            <w:vAlign w:val="center"/>
          </w:tcPr>
          <w:p w14:paraId="5A8AE4AF" w14:textId="77777777" w:rsidR="00740F0F" w:rsidRPr="0029070D" w:rsidRDefault="00100B64">
            <w:pPr>
              <w:spacing w:before="105"/>
              <w:ind w:left="25"/>
              <w:jc w:val="center"/>
              <w:rPr>
                <w:rFonts w:ascii="Times New Roman" w:eastAsia="Times New Roman" w:hAnsi="Times New Roman" w:cs="Times New Roman"/>
                <w:b/>
                <w:noProof/>
                <w:sz w:val="18"/>
                <w:szCs w:val="18"/>
              </w:rPr>
            </w:pPr>
            <w:r>
              <w:rPr>
                <w:rFonts w:ascii="Times New Roman" w:hAnsi="Times New Roman"/>
                <w:b/>
                <w:noProof/>
                <w:sz w:val="18"/>
              </w:rPr>
              <w:t>Objectif</w:t>
            </w:r>
          </w:p>
        </w:tc>
        <w:tc>
          <w:tcPr>
            <w:tcW w:w="850" w:type="dxa"/>
            <w:shd w:val="clear" w:color="auto" w:fill="BBD5EC"/>
            <w:vAlign w:val="center"/>
          </w:tcPr>
          <w:p w14:paraId="5A8AE4B0" w14:textId="77777777" w:rsidR="00740F0F" w:rsidRPr="0029070D" w:rsidRDefault="00100B64">
            <w:pPr>
              <w:spacing w:before="103"/>
              <w:ind w:left="52" w:right="50"/>
              <w:jc w:val="center"/>
              <w:rPr>
                <w:rFonts w:ascii="Times New Roman" w:eastAsia="Times New Roman" w:hAnsi="Times New Roman" w:cs="Times New Roman"/>
                <w:b/>
                <w:noProof/>
                <w:sz w:val="18"/>
                <w:szCs w:val="18"/>
              </w:rPr>
            </w:pPr>
            <w:r>
              <w:rPr>
                <w:rFonts w:ascii="Times New Roman" w:hAnsi="Times New Roman"/>
                <w:b/>
                <w:noProof/>
                <w:sz w:val="18"/>
              </w:rPr>
              <w:t>Trimestre</w:t>
            </w:r>
          </w:p>
        </w:tc>
        <w:tc>
          <w:tcPr>
            <w:tcW w:w="851" w:type="dxa"/>
            <w:shd w:val="clear" w:color="auto" w:fill="BBD5EC"/>
            <w:vAlign w:val="center"/>
          </w:tcPr>
          <w:p w14:paraId="5A8AE4B1" w14:textId="77777777" w:rsidR="00740F0F" w:rsidRPr="0029070D" w:rsidRDefault="00100B64">
            <w:pPr>
              <w:spacing w:before="105"/>
              <w:ind w:left="229" w:right="177"/>
              <w:jc w:val="center"/>
              <w:rPr>
                <w:rFonts w:ascii="Times New Roman" w:eastAsia="Times New Roman" w:hAnsi="Times New Roman" w:cs="Times New Roman"/>
                <w:b/>
                <w:noProof/>
                <w:sz w:val="18"/>
                <w:szCs w:val="18"/>
              </w:rPr>
            </w:pPr>
            <w:r>
              <w:rPr>
                <w:rFonts w:ascii="Times New Roman" w:hAnsi="Times New Roman"/>
                <w:b/>
                <w:noProof/>
                <w:sz w:val="18"/>
              </w:rPr>
              <w:t>Année</w:t>
            </w:r>
          </w:p>
        </w:tc>
        <w:tc>
          <w:tcPr>
            <w:tcW w:w="3805" w:type="dxa"/>
            <w:vMerge/>
            <w:vAlign w:val="center"/>
          </w:tcPr>
          <w:p w14:paraId="5A8AE4B2" w14:textId="77777777" w:rsidR="00740F0F" w:rsidRPr="0029070D" w:rsidRDefault="00740F0F">
            <w:pPr>
              <w:spacing w:before="120" w:after="120" w:line="360" w:lineRule="auto"/>
              <w:jc w:val="center"/>
              <w:rPr>
                <w:rFonts w:ascii="Times New Roman" w:eastAsia="Calibri" w:hAnsi="Times New Roman" w:cs="Times New Roman"/>
                <w:noProof/>
                <w:sz w:val="18"/>
                <w:szCs w:val="18"/>
              </w:rPr>
            </w:pPr>
          </w:p>
        </w:tc>
      </w:tr>
      <w:tr w:rsidR="00782477" w:rsidRPr="0029070D" w14:paraId="5A8AE4BF" w14:textId="77777777" w:rsidTr="00E409C3">
        <w:trPr>
          <w:trHeight w:val="1036"/>
          <w:jc w:val="center"/>
        </w:trPr>
        <w:tc>
          <w:tcPr>
            <w:tcW w:w="1116" w:type="dxa"/>
            <w:tcBorders>
              <w:left w:val="single" w:sz="6" w:space="0" w:color="000000" w:themeColor="text1"/>
              <w:bottom w:val="single" w:sz="4" w:space="0" w:color="auto"/>
              <w:right w:val="single" w:sz="6" w:space="0" w:color="000000" w:themeColor="text1"/>
            </w:tcBorders>
            <w:shd w:val="clear" w:color="auto" w:fill="C5EDCE"/>
          </w:tcPr>
          <w:p w14:paraId="5A8AE4B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6-1</w:t>
            </w:r>
          </w:p>
        </w:tc>
        <w:tc>
          <w:tcPr>
            <w:tcW w:w="1116" w:type="dxa"/>
            <w:tcBorders>
              <w:left w:val="single" w:sz="6" w:space="0" w:color="000000" w:themeColor="text1"/>
              <w:bottom w:val="single" w:sz="4" w:space="0" w:color="auto"/>
              <w:right w:val="single" w:sz="6" w:space="0" w:color="000000" w:themeColor="text1"/>
            </w:tcBorders>
            <w:shd w:val="clear" w:color="auto" w:fill="C5EDCE"/>
          </w:tcPr>
          <w:p w14:paraId="5A8AE4B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C6.R1 Loi sur la programmation de la recherche</w:t>
            </w:r>
          </w:p>
        </w:tc>
        <w:tc>
          <w:tcPr>
            <w:tcW w:w="1116" w:type="dxa"/>
            <w:tcBorders>
              <w:left w:val="single" w:sz="6" w:space="0" w:color="000000" w:themeColor="text1"/>
              <w:bottom w:val="single" w:sz="4" w:space="0" w:color="auto"/>
              <w:right w:val="single" w:sz="6" w:space="0" w:color="000000" w:themeColor="text1"/>
            </w:tcBorders>
            <w:shd w:val="clear" w:color="auto" w:fill="C5EDCE"/>
          </w:tcPr>
          <w:p w14:paraId="5A8AE4B6" w14:textId="77777777" w:rsidR="00740F0F" w:rsidRPr="0029070D" w:rsidRDefault="00100B64">
            <w:pPr>
              <w:spacing w:before="187"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1" w:type="dxa"/>
            <w:tcBorders>
              <w:left w:val="single" w:sz="6" w:space="0" w:color="000000" w:themeColor="text1"/>
              <w:bottom w:val="single" w:sz="4" w:space="0" w:color="auto"/>
              <w:right w:val="single" w:sz="6" w:space="0" w:color="000000" w:themeColor="text1"/>
            </w:tcBorders>
            <w:shd w:val="clear" w:color="auto" w:fill="C5EDCE"/>
          </w:tcPr>
          <w:p w14:paraId="5A8AE4B7" w14:textId="77777777" w:rsidR="00740F0F" w:rsidRPr="0029070D" w:rsidRDefault="00100B64" w:rsidP="009E7E07">
            <w:pPr>
              <w:spacing w:line="214" w:lineRule="exact"/>
              <w:ind w:left="57" w:right="57"/>
              <w:rPr>
                <w:rFonts w:ascii="Times New Roman" w:eastAsia="Times New Roman" w:hAnsi="Times New Roman" w:cs="Times New Roman"/>
                <w:noProof/>
                <w:sz w:val="18"/>
                <w:szCs w:val="18"/>
              </w:rPr>
            </w:pPr>
            <w:r>
              <w:rPr>
                <w:rFonts w:ascii="Times New Roman" w:hAnsi="Times New Roman"/>
                <w:noProof/>
                <w:sz w:val="18"/>
              </w:rPr>
              <w:t>Loi nº 2020–1674 du 24 décembre 2020 – entrée en vigueur des décrets</w:t>
            </w:r>
          </w:p>
        </w:tc>
        <w:tc>
          <w:tcPr>
            <w:tcW w:w="1752" w:type="dxa"/>
            <w:tcBorders>
              <w:left w:val="single" w:sz="6" w:space="0" w:color="000000" w:themeColor="text1"/>
              <w:bottom w:val="single" w:sz="4" w:space="0" w:color="auto"/>
              <w:right w:val="single" w:sz="6" w:space="0" w:color="000000" w:themeColor="text1"/>
            </w:tcBorders>
            <w:shd w:val="clear" w:color="auto" w:fill="C5EDCE"/>
          </w:tcPr>
          <w:p w14:paraId="5A8AE4B8"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1" w:type="dxa"/>
            <w:tcBorders>
              <w:left w:val="single" w:sz="6" w:space="0" w:color="000000" w:themeColor="text1"/>
              <w:bottom w:val="single" w:sz="4" w:space="0" w:color="auto"/>
              <w:right w:val="single" w:sz="6" w:space="0" w:color="000000" w:themeColor="text1"/>
            </w:tcBorders>
            <w:shd w:val="clear" w:color="auto" w:fill="C5EDCE"/>
          </w:tcPr>
          <w:p w14:paraId="5A8AE4B9" w14:textId="607E2CD9" w:rsidR="00740F0F" w:rsidRPr="0029070D" w:rsidRDefault="00100B64">
            <w:pPr>
              <w:spacing w:line="214" w:lineRule="exact"/>
              <w:ind w:left="9" w:right="17"/>
              <w:jc w:val="center"/>
              <w:rPr>
                <w:rFonts w:ascii="Times New Roman" w:eastAsia="Times New Roman" w:hAnsi="Times New Roman" w:cs="Times New Roman"/>
                <w:noProof/>
                <w:sz w:val="18"/>
                <w:szCs w:val="18"/>
              </w:rPr>
            </w:pPr>
            <w:r>
              <w:rPr>
                <w:rFonts w:ascii="Times New Roman" w:hAnsi="Times New Roman"/>
                <w:noProof/>
                <w:sz w:val="18"/>
              </w:rPr>
              <w:t>Proportion de décrets</w:t>
            </w:r>
          </w:p>
        </w:tc>
        <w:tc>
          <w:tcPr>
            <w:tcW w:w="992" w:type="dxa"/>
            <w:tcBorders>
              <w:left w:val="single" w:sz="6" w:space="0" w:color="000000" w:themeColor="text1"/>
              <w:bottom w:val="single" w:sz="4" w:space="0" w:color="auto"/>
              <w:right w:val="single" w:sz="6" w:space="0" w:color="000000" w:themeColor="text1"/>
            </w:tcBorders>
            <w:shd w:val="clear" w:color="auto" w:fill="C5EDCE"/>
          </w:tcPr>
          <w:p w14:paraId="5A8AE4BA" w14:textId="77777777" w:rsidR="00740F0F" w:rsidRPr="0029070D" w:rsidRDefault="00100B64">
            <w:pPr>
              <w:spacing w:line="214" w:lineRule="exact"/>
              <w:ind w:left="9" w:right="120"/>
              <w:jc w:val="center"/>
              <w:rPr>
                <w:rFonts w:ascii="Times New Roman" w:eastAsia="Times New Roman" w:hAnsi="Times New Roman" w:cs="Times New Roman"/>
                <w:noProof/>
                <w:sz w:val="18"/>
                <w:szCs w:val="18"/>
              </w:rPr>
            </w:pPr>
            <w:r>
              <w:rPr>
                <w:rFonts w:ascii="Times New Roman" w:hAnsi="Times New Roman"/>
                <w:noProof/>
                <w:sz w:val="18"/>
              </w:rPr>
              <w:t>0 %</w:t>
            </w:r>
          </w:p>
        </w:tc>
        <w:tc>
          <w:tcPr>
            <w:tcW w:w="1134" w:type="dxa"/>
            <w:tcBorders>
              <w:left w:val="single" w:sz="6" w:space="0" w:color="000000" w:themeColor="text1"/>
              <w:bottom w:val="single" w:sz="4" w:space="0" w:color="auto"/>
              <w:right w:val="single" w:sz="6" w:space="0" w:color="000000" w:themeColor="text1"/>
            </w:tcBorders>
            <w:shd w:val="clear" w:color="auto" w:fill="C5EDCE"/>
          </w:tcPr>
          <w:p w14:paraId="5A8AE4B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60 %</w:t>
            </w:r>
          </w:p>
        </w:tc>
        <w:tc>
          <w:tcPr>
            <w:tcW w:w="850" w:type="dxa"/>
            <w:tcBorders>
              <w:left w:val="single" w:sz="6" w:space="0" w:color="000000" w:themeColor="text1"/>
              <w:bottom w:val="single" w:sz="4" w:space="0" w:color="auto"/>
              <w:right w:val="single" w:sz="6" w:space="0" w:color="000000" w:themeColor="text1"/>
            </w:tcBorders>
            <w:shd w:val="clear" w:color="auto" w:fill="C5EDCE"/>
          </w:tcPr>
          <w:p w14:paraId="5A8AE4BC" w14:textId="77777777" w:rsidR="00740F0F" w:rsidRPr="0029070D" w:rsidRDefault="00100B64">
            <w:pPr>
              <w:spacing w:line="214" w:lineRule="exact"/>
              <w:ind w:left="9" w:right="248"/>
              <w:jc w:val="center"/>
              <w:rPr>
                <w:rFonts w:ascii="Times New Roman" w:eastAsia="Times New Roman" w:hAnsi="Times New Roman" w:cs="Times New Roman"/>
                <w:noProof/>
                <w:sz w:val="18"/>
                <w:szCs w:val="18"/>
              </w:rPr>
            </w:pPr>
            <w:r>
              <w:rPr>
                <w:rFonts w:ascii="Times New Roman" w:hAnsi="Times New Roman"/>
                <w:noProof/>
                <w:sz w:val="18"/>
              </w:rPr>
              <w:t>T4</w:t>
            </w:r>
          </w:p>
        </w:tc>
        <w:tc>
          <w:tcPr>
            <w:tcW w:w="851" w:type="dxa"/>
            <w:tcBorders>
              <w:left w:val="single" w:sz="6" w:space="0" w:color="000000" w:themeColor="text1"/>
              <w:bottom w:val="single" w:sz="4" w:space="0" w:color="auto"/>
              <w:right w:val="single" w:sz="6" w:space="0" w:color="000000" w:themeColor="text1"/>
            </w:tcBorders>
            <w:shd w:val="clear" w:color="auto" w:fill="C5EDCE"/>
          </w:tcPr>
          <w:p w14:paraId="5A8AE4BD" w14:textId="77777777" w:rsidR="00740F0F" w:rsidRPr="0029070D" w:rsidRDefault="00100B64">
            <w:pPr>
              <w:spacing w:line="214" w:lineRule="exact"/>
              <w:ind w:left="9" w:right="130"/>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3805" w:type="dxa"/>
            <w:tcBorders>
              <w:left w:val="single" w:sz="6" w:space="0" w:color="000000" w:themeColor="text1"/>
              <w:bottom w:val="single" w:sz="4" w:space="0" w:color="auto"/>
              <w:right w:val="single" w:sz="6" w:space="0" w:color="000000" w:themeColor="text1"/>
            </w:tcBorders>
            <w:shd w:val="clear" w:color="auto" w:fill="C5EDCE"/>
          </w:tcPr>
          <w:p w14:paraId="5A8AE4BE" w14:textId="77777777" w:rsidR="00740F0F" w:rsidRPr="0029070D" w:rsidRDefault="00100B64" w:rsidP="009E7E07">
            <w:pPr>
              <w:ind w:left="57" w:right="57"/>
              <w:rPr>
                <w:rFonts w:ascii="Times New Roman" w:eastAsia="Times New Roman" w:hAnsi="Times New Roman" w:cs="Times New Roman"/>
                <w:noProof/>
                <w:sz w:val="18"/>
                <w:szCs w:val="18"/>
              </w:rPr>
            </w:pPr>
            <w:r>
              <w:rPr>
                <w:rFonts w:ascii="Times New Roman" w:hAnsi="Times New Roman"/>
                <w:noProof/>
                <w:sz w:val="18"/>
              </w:rPr>
              <w:t>Au moins 60 % des décrets sont entrés en vigueur.</w:t>
            </w:r>
          </w:p>
        </w:tc>
      </w:tr>
      <w:tr w:rsidR="00782477" w:rsidRPr="0029070D" w14:paraId="5A8AE4CB" w14:textId="77777777" w:rsidTr="00E409C3">
        <w:trPr>
          <w:trHeight w:val="1040"/>
          <w:jc w:val="center"/>
        </w:trPr>
        <w:tc>
          <w:tcPr>
            <w:tcW w:w="1116" w:type="dxa"/>
            <w:tcBorders>
              <w:top w:val="single" w:sz="4" w:space="0" w:color="auto"/>
              <w:left w:val="single" w:sz="4" w:space="0" w:color="auto"/>
              <w:bottom w:val="single" w:sz="4" w:space="0" w:color="auto"/>
              <w:right w:val="single" w:sz="4" w:space="0" w:color="auto"/>
            </w:tcBorders>
            <w:shd w:val="clear" w:color="auto" w:fill="C5EDCE"/>
          </w:tcPr>
          <w:p w14:paraId="5A8AE4C0" w14:textId="77777777" w:rsidR="00740F0F" w:rsidRPr="0029070D" w:rsidRDefault="00100B64">
            <w:pPr>
              <w:ind w:left="446"/>
              <w:rPr>
                <w:rFonts w:ascii="Times New Roman" w:eastAsia="Times New Roman" w:hAnsi="Times New Roman" w:cs="Times New Roman"/>
                <w:noProof/>
                <w:sz w:val="18"/>
                <w:szCs w:val="18"/>
              </w:rPr>
            </w:pPr>
            <w:r>
              <w:rPr>
                <w:rFonts w:ascii="Times New Roman" w:hAnsi="Times New Roman"/>
                <w:noProof/>
                <w:sz w:val="18"/>
              </w:rPr>
              <w:t>6-2</w:t>
            </w:r>
          </w:p>
        </w:tc>
        <w:tc>
          <w:tcPr>
            <w:tcW w:w="1116" w:type="dxa"/>
            <w:tcBorders>
              <w:top w:val="single" w:sz="4" w:space="0" w:color="auto"/>
              <w:left w:val="single" w:sz="4" w:space="0" w:color="auto"/>
              <w:bottom w:val="single" w:sz="4" w:space="0" w:color="auto"/>
              <w:right w:val="single" w:sz="4" w:space="0" w:color="auto"/>
            </w:tcBorders>
            <w:shd w:val="clear" w:color="auto" w:fill="C5EDCE"/>
          </w:tcPr>
          <w:p w14:paraId="5A8AE4C1" w14:textId="77777777" w:rsidR="00740F0F" w:rsidRPr="0029070D" w:rsidRDefault="00100B64">
            <w:pPr>
              <w:spacing w:line="214" w:lineRule="exact"/>
              <w:ind w:left="8"/>
              <w:jc w:val="center"/>
              <w:rPr>
                <w:rFonts w:ascii="Times New Roman" w:eastAsia="Times New Roman" w:hAnsi="Times New Roman" w:cs="Times New Roman"/>
                <w:noProof/>
                <w:sz w:val="18"/>
                <w:szCs w:val="18"/>
              </w:rPr>
            </w:pPr>
            <w:r>
              <w:rPr>
                <w:rFonts w:ascii="Times New Roman" w:hAnsi="Times New Roman"/>
                <w:noProof/>
                <w:sz w:val="18"/>
              </w:rPr>
              <w:t>C6.R1 Loi sur la programmation de la recherche</w:t>
            </w:r>
          </w:p>
        </w:tc>
        <w:tc>
          <w:tcPr>
            <w:tcW w:w="1116" w:type="dxa"/>
            <w:tcBorders>
              <w:top w:val="single" w:sz="4" w:space="0" w:color="auto"/>
              <w:left w:val="single" w:sz="4" w:space="0" w:color="auto"/>
              <w:bottom w:val="single" w:sz="4" w:space="0" w:color="auto"/>
              <w:right w:val="single" w:sz="4" w:space="0" w:color="auto"/>
            </w:tcBorders>
            <w:shd w:val="clear" w:color="auto" w:fill="C5EDCE"/>
          </w:tcPr>
          <w:p w14:paraId="5A8AE4C2" w14:textId="77777777" w:rsidR="00740F0F" w:rsidRPr="0029070D" w:rsidRDefault="00100B64">
            <w:pPr>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1" w:type="dxa"/>
            <w:tcBorders>
              <w:top w:val="single" w:sz="4" w:space="0" w:color="auto"/>
              <w:left w:val="single" w:sz="4" w:space="0" w:color="auto"/>
              <w:bottom w:val="single" w:sz="4" w:space="0" w:color="auto"/>
              <w:right w:val="single" w:sz="4" w:space="0" w:color="auto"/>
            </w:tcBorders>
            <w:shd w:val="clear" w:color="auto" w:fill="C5EDCE"/>
          </w:tcPr>
          <w:p w14:paraId="5A8AE4C3" w14:textId="77777777" w:rsidR="00740F0F" w:rsidRPr="009447E5" w:rsidRDefault="00100B64">
            <w:pPr>
              <w:ind w:left="47" w:right="33"/>
              <w:rPr>
                <w:rFonts w:ascii="Times New Roman" w:eastAsia="Times New Roman" w:hAnsi="Times New Roman" w:cs="Times New Roman"/>
                <w:noProof/>
                <w:sz w:val="18"/>
                <w:szCs w:val="18"/>
              </w:rPr>
            </w:pPr>
            <w:r>
              <w:rPr>
                <w:rFonts w:ascii="Times New Roman" w:hAnsi="Times New Roman"/>
                <w:noProof/>
                <w:sz w:val="18"/>
              </w:rPr>
              <w:t>Loi nº 2020–1674 du 24 décembre 2020 – recrutements réalisés en tenure track</w:t>
            </w:r>
          </w:p>
        </w:tc>
        <w:tc>
          <w:tcPr>
            <w:tcW w:w="1752" w:type="dxa"/>
            <w:tcBorders>
              <w:top w:val="single" w:sz="4" w:space="0" w:color="auto"/>
              <w:left w:val="single" w:sz="4" w:space="0" w:color="auto"/>
              <w:bottom w:val="single" w:sz="4" w:space="0" w:color="auto"/>
              <w:right w:val="single" w:sz="4" w:space="0" w:color="auto"/>
            </w:tcBorders>
            <w:shd w:val="clear" w:color="auto" w:fill="C5EDCE"/>
          </w:tcPr>
          <w:p w14:paraId="5A8AE4C4" w14:textId="77777777" w:rsidR="00740F0F" w:rsidRPr="009447E5" w:rsidRDefault="00740F0F">
            <w:pPr>
              <w:rPr>
                <w:rFonts w:ascii="Times New Roman" w:eastAsia="Times New Roman" w:hAnsi="Times New Roman" w:cs="Times New Roman"/>
                <w:noProof/>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5EDCE"/>
          </w:tcPr>
          <w:p w14:paraId="5A8AE4C5" w14:textId="77777777" w:rsidR="00740F0F" w:rsidRPr="0029070D" w:rsidRDefault="00100B64">
            <w:pPr>
              <w:ind w:left="120"/>
              <w:rPr>
                <w:rFonts w:ascii="Times New Roman" w:eastAsia="Times New Roman" w:hAnsi="Times New Roman" w:cs="Times New Roman"/>
                <w:noProof/>
                <w:sz w:val="18"/>
                <w:szCs w:val="18"/>
              </w:rPr>
            </w:pPr>
            <w:r>
              <w:rPr>
                <w:rFonts w:ascii="Times New Roman" w:hAnsi="Times New Roman"/>
                <w:noProof/>
                <w:sz w:val="18"/>
              </w:rPr>
              <w:t>Personnes</w:t>
            </w: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4C6" w14:textId="77777777" w:rsidR="00740F0F" w:rsidRPr="0029070D" w:rsidRDefault="00100B64">
            <w:pPr>
              <w:ind w:right="70"/>
              <w:jc w:val="center"/>
              <w:rPr>
                <w:rFonts w:ascii="Times New Roman" w:eastAsia="Times New Roman" w:hAnsi="Times New Roman" w:cs="Times New Roman"/>
                <w:noProof/>
                <w:sz w:val="18"/>
                <w:szCs w:val="18"/>
              </w:rPr>
            </w:pPr>
            <w:r>
              <w:rPr>
                <w:rFonts w:ascii="Times New Roman" w:hAnsi="Times New Roman"/>
                <w:noProof/>
                <w:sz w:val="18"/>
              </w:rPr>
              <w:t>0</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4C7" w14:textId="77777777" w:rsidR="00740F0F" w:rsidRPr="0029070D" w:rsidRDefault="00100B64">
            <w:pPr>
              <w:ind w:left="293"/>
              <w:rPr>
                <w:rFonts w:ascii="Times New Roman" w:eastAsia="Times New Roman" w:hAnsi="Times New Roman" w:cs="Times New Roman"/>
                <w:noProof/>
                <w:sz w:val="18"/>
                <w:szCs w:val="18"/>
              </w:rPr>
            </w:pPr>
            <w:r>
              <w:rPr>
                <w:rFonts w:ascii="Times New Roman" w:hAnsi="Times New Roman"/>
                <w:noProof/>
                <w:sz w:val="18"/>
              </w:rPr>
              <w:t>100</w:t>
            </w: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4C8" w14:textId="77777777" w:rsidR="00740F0F" w:rsidRPr="0029070D" w:rsidRDefault="00100B64">
            <w:pPr>
              <w:ind w:left="268" w:right="248"/>
              <w:jc w:val="center"/>
              <w:rPr>
                <w:rFonts w:ascii="Times New Roman" w:eastAsia="Times New Roman" w:hAnsi="Times New Roman" w:cs="Times New Roman"/>
                <w:noProof/>
                <w:sz w:val="18"/>
                <w:szCs w:val="18"/>
              </w:rPr>
            </w:pPr>
            <w:r>
              <w:rPr>
                <w:rFonts w:ascii="Times New Roman" w:hAnsi="Times New Roman"/>
                <w:noProof/>
                <w:sz w:val="18"/>
              </w:rPr>
              <w:t>T4</w:t>
            </w:r>
          </w:p>
        </w:tc>
        <w:tc>
          <w:tcPr>
            <w:tcW w:w="851" w:type="dxa"/>
            <w:tcBorders>
              <w:top w:val="single" w:sz="4" w:space="0" w:color="auto"/>
              <w:left w:val="single" w:sz="4" w:space="0" w:color="auto"/>
              <w:bottom w:val="single" w:sz="4" w:space="0" w:color="auto"/>
              <w:right w:val="single" w:sz="4" w:space="0" w:color="auto"/>
            </w:tcBorders>
            <w:shd w:val="clear" w:color="auto" w:fill="C5EDCE"/>
          </w:tcPr>
          <w:p w14:paraId="5A8AE4C9" w14:textId="77777777" w:rsidR="00740F0F" w:rsidRPr="0029070D" w:rsidRDefault="00100B64">
            <w:pPr>
              <w:ind w:left="155" w:right="130"/>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3805" w:type="dxa"/>
            <w:tcBorders>
              <w:top w:val="single" w:sz="4" w:space="0" w:color="auto"/>
              <w:left w:val="single" w:sz="4" w:space="0" w:color="auto"/>
              <w:bottom w:val="single" w:sz="4" w:space="0" w:color="auto"/>
              <w:right w:val="single" w:sz="4" w:space="0" w:color="auto"/>
            </w:tcBorders>
            <w:shd w:val="clear" w:color="auto" w:fill="C5EDCE"/>
          </w:tcPr>
          <w:p w14:paraId="5A8AE4CA" w14:textId="77777777" w:rsidR="00740F0F" w:rsidRPr="0029070D" w:rsidRDefault="00100B64" w:rsidP="009E7E07">
            <w:pPr>
              <w:ind w:left="57" w:right="57"/>
              <w:rPr>
                <w:rFonts w:ascii="Times New Roman" w:eastAsia="Times New Roman" w:hAnsi="Times New Roman" w:cs="Times New Roman"/>
                <w:noProof/>
                <w:sz w:val="18"/>
                <w:szCs w:val="18"/>
              </w:rPr>
            </w:pPr>
            <w:r>
              <w:rPr>
                <w:rFonts w:ascii="Times New Roman" w:hAnsi="Times New Roman"/>
                <w:noProof/>
                <w:sz w:val="18"/>
              </w:rPr>
              <w:t>Nombre de recrutements réalisés en tenure track (en cumulé 2021-2022).</w:t>
            </w:r>
          </w:p>
        </w:tc>
      </w:tr>
      <w:tr w:rsidR="00782477" w:rsidRPr="0029070D" w14:paraId="5A8AE4D7" w14:textId="77777777" w:rsidTr="00E409C3">
        <w:trPr>
          <w:trHeight w:val="1137"/>
          <w:jc w:val="center"/>
        </w:trPr>
        <w:tc>
          <w:tcPr>
            <w:tcW w:w="1116" w:type="dxa"/>
            <w:tcBorders>
              <w:top w:val="single" w:sz="4" w:space="0" w:color="auto"/>
              <w:left w:val="single" w:sz="4" w:space="0" w:color="auto"/>
              <w:bottom w:val="single" w:sz="4" w:space="0" w:color="auto"/>
              <w:right w:val="single" w:sz="4" w:space="0" w:color="auto"/>
            </w:tcBorders>
            <w:shd w:val="clear" w:color="auto" w:fill="C5EDCE"/>
          </w:tcPr>
          <w:p w14:paraId="5A8AE4CC" w14:textId="77777777" w:rsidR="00740F0F" w:rsidRPr="0029070D" w:rsidRDefault="00100B64">
            <w:pPr>
              <w:ind w:left="446"/>
              <w:rPr>
                <w:rFonts w:ascii="Times New Roman" w:eastAsia="Times New Roman" w:hAnsi="Times New Roman" w:cs="Times New Roman"/>
                <w:noProof/>
                <w:sz w:val="18"/>
                <w:szCs w:val="18"/>
              </w:rPr>
            </w:pPr>
            <w:r>
              <w:rPr>
                <w:rFonts w:ascii="Times New Roman" w:hAnsi="Times New Roman"/>
                <w:noProof/>
                <w:sz w:val="18"/>
              </w:rPr>
              <w:t>6-3</w:t>
            </w:r>
          </w:p>
        </w:tc>
        <w:tc>
          <w:tcPr>
            <w:tcW w:w="1116" w:type="dxa"/>
            <w:tcBorders>
              <w:top w:val="single" w:sz="4" w:space="0" w:color="auto"/>
              <w:left w:val="single" w:sz="4" w:space="0" w:color="auto"/>
              <w:bottom w:val="single" w:sz="4" w:space="0" w:color="auto"/>
              <w:right w:val="single" w:sz="4" w:space="0" w:color="auto"/>
            </w:tcBorders>
            <w:shd w:val="clear" w:color="auto" w:fill="C5EDCE"/>
          </w:tcPr>
          <w:p w14:paraId="5A8AE4CD" w14:textId="77777777" w:rsidR="00740F0F" w:rsidRPr="0029070D" w:rsidRDefault="00100B64">
            <w:pPr>
              <w:ind w:left="8"/>
              <w:jc w:val="center"/>
              <w:rPr>
                <w:rFonts w:ascii="Times New Roman" w:eastAsia="Times New Roman" w:hAnsi="Times New Roman" w:cs="Times New Roman"/>
                <w:noProof/>
                <w:sz w:val="18"/>
                <w:szCs w:val="18"/>
              </w:rPr>
            </w:pPr>
            <w:r>
              <w:rPr>
                <w:rFonts w:ascii="Times New Roman" w:hAnsi="Times New Roman"/>
                <w:noProof/>
                <w:sz w:val="18"/>
              </w:rPr>
              <w:t>C6.R1 Loi sur la programmation de la recherche</w:t>
            </w:r>
          </w:p>
        </w:tc>
        <w:tc>
          <w:tcPr>
            <w:tcW w:w="1116" w:type="dxa"/>
            <w:tcBorders>
              <w:top w:val="single" w:sz="4" w:space="0" w:color="auto"/>
              <w:left w:val="single" w:sz="4" w:space="0" w:color="auto"/>
              <w:bottom w:val="single" w:sz="4" w:space="0" w:color="auto"/>
              <w:right w:val="single" w:sz="4" w:space="0" w:color="auto"/>
            </w:tcBorders>
            <w:shd w:val="clear" w:color="auto" w:fill="C5EDCE"/>
          </w:tcPr>
          <w:p w14:paraId="5A8AE4CE" w14:textId="77777777" w:rsidR="00740F0F" w:rsidRPr="0029070D" w:rsidRDefault="00100B64">
            <w:pPr>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1" w:type="dxa"/>
            <w:tcBorders>
              <w:top w:val="single" w:sz="4" w:space="0" w:color="auto"/>
              <w:left w:val="single" w:sz="4" w:space="0" w:color="auto"/>
              <w:bottom w:val="single" w:sz="4" w:space="0" w:color="auto"/>
              <w:right w:val="single" w:sz="4" w:space="0" w:color="auto"/>
            </w:tcBorders>
            <w:shd w:val="clear" w:color="auto" w:fill="C5EDCE"/>
          </w:tcPr>
          <w:p w14:paraId="5A8AE4CF" w14:textId="77777777" w:rsidR="00740F0F" w:rsidRPr="0029070D" w:rsidRDefault="00100B64">
            <w:pPr>
              <w:spacing w:line="204" w:lineRule="exact"/>
              <w:ind w:left="47"/>
              <w:rPr>
                <w:rFonts w:ascii="Times New Roman" w:eastAsia="Times New Roman" w:hAnsi="Times New Roman" w:cs="Times New Roman"/>
                <w:noProof/>
                <w:sz w:val="18"/>
                <w:szCs w:val="18"/>
              </w:rPr>
            </w:pPr>
            <w:r>
              <w:rPr>
                <w:rFonts w:ascii="Times New Roman" w:hAnsi="Times New Roman"/>
                <w:noProof/>
                <w:sz w:val="18"/>
              </w:rPr>
              <w:t>Loi nº 2020-1674 du 24 décembre 2020- augmentation des crédits de la recherche publique</w:t>
            </w:r>
          </w:p>
        </w:tc>
        <w:tc>
          <w:tcPr>
            <w:tcW w:w="1752" w:type="dxa"/>
            <w:tcBorders>
              <w:top w:val="single" w:sz="4" w:space="0" w:color="auto"/>
              <w:left w:val="single" w:sz="4" w:space="0" w:color="auto"/>
              <w:bottom w:val="single" w:sz="4" w:space="0" w:color="auto"/>
              <w:right w:val="single" w:sz="4" w:space="0" w:color="auto"/>
            </w:tcBorders>
            <w:shd w:val="clear" w:color="auto" w:fill="C5EDCE"/>
          </w:tcPr>
          <w:p w14:paraId="5A8AE4D0" w14:textId="77777777" w:rsidR="00740F0F" w:rsidRPr="0029070D" w:rsidRDefault="00740F0F">
            <w:pPr>
              <w:rPr>
                <w:rFonts w:ascii="Times New Roman" w:eastAsia="Times New Roman" w:hAnsi="Times New Roman" w:cs="Times New Roman"/>
                <w:noProof/>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5EDCE"/>
          </w:tcPr>
          <w:p w14:paraId="5A8AE4D1" w14:textId="77777777" w:rsidR="00740F0F" w:rsidRPr="0029070D" w:rsidRDefault="00100B64">
            <w:pPr>
              <w:ind w:left="120"/>
              <w:rPr>
                <w:rFonts w:ascii="Times New Roman" w:eastAsia="Times New Roman" w:hAnsi="Times New Roman" w:cs="Times New Roman"/>
                <w:noProof/>
                <w:sz w:val="18"/>
                <w:szCs w:val="18"/>
              </w:rPr>
            </w:pPr>
            <w:r>
              <w:rPr>
                <w:rFonts w:ascii="Times New Roman" w:hAnsi="Times New Roman"/>
                <w:noProof/>
                <w:sz w:val="18"/>
              </w:rPr>
              <w:t>Montant</w:t>
            </w: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4D2" w14:textId="77777777" w:rsidR="00740F0F" w:rsidRPr="0029070D" w:rsidRDefault="00100B64">
            <w:pPr>
              <w:ind w:left="37" w:right="139"/>
              <w:jc w:val="center"/>
              <w:rPr>
                <w:rFonts w:ascii="Times New Roman" w:eastAsia="Times New Roman" w:hAnsi="Times New Roman" w:cs="Times New Roman"/>
                <w:noProof/>
                <w:sz w:val="18"/>
                <w:szCs w:val="18"/>
              </w:rPr>
            </w:pPr>
            <w:r>
              <w:rPr>
                <w:rFonts w:ascii="Times New Roman" w:hAnsi="Times New Roman"/>
                <w:noProof/>
                <w:sz w:val="18"/>
              </w:rPr>
              <w:t>12,9 milliards d’EUR</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4D3" w14:textId="77777777" w:rsidR="00740F0F" w:rsidRPr="0029070D" w:rsidRDefault="00100B64">
            <w:pPr>
              <w:ind w:left="37" w:right="138"/>
              <w:jc w:val="center"/>
              <w:rPr>
                <w:rFonts w:ascii="Times New Roman" w:eastAsia="Times New Roman" w:hAnsi="Times New Roman" w:cs="Times New Roman"/>
                <w:noProof/>
                <w:sz w:val="18"/>
                <w:szCs w:val="18"/>
              </w:rPr>
            </w:pPr>
            <w:r>
              <w:rPr>
                <w:rFonts w:ascii="Times New Roman" w:hAnsi="Times New Roman"/>
                <w:noProof/>
                <w:sz w:val="18"/>
              </w:rPr>
              <w:t>14,7 milliards d’EUR</w:t>
            </w: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4D4" w14:textId="77777777" w:rsidR="00740F0F" w:rsidRPr="0029070D" w:rsidRDefault="00100B64">
            <w:pPr>
              <w:ind w:left="285" w:right="232"/>
              <w:jc w:val="center"/>
              <w:rPr>
                <w:rFonts w:ascii="Times New Roman" w:eastAsia="Times New Roman" w:hAnsi="Times New Roman" w:cs="Times New Roman"/>
                <w:noProof/>
                <w:sz w:val="18"/>
                <w:szCs w:val="18"/>
              </w:rPr>
            </w:pPr>
            <w:r>
              <w:rPr>
                <w:rFonts w:ascii="Times New Roman" w:hAnsi="Times New Roman"/>
                <w:noProof/>
                <w:sz w:val="18"/>
              </w:rPr>
              <w:t>T3</w:t>
            </w:r>
          </w:p>
        </w:tc>
        <w:tc>
          <w:tcPr>
            <w:tcW w:w="851" w:type="dxa"/>
            <w:tcBorders>
              <w:top w:val="single" w:sz="4" w:space="0" w:color="auto"/>
              <w:left w:val="single" w:sz="4" w:space="0" w:color="auto"/>
              <w:bottom w:val="single" w:sz="4" w:space="0" w:color="auto"/>
              <w:right w:val="single" w:sz="4" w:space="0" w:color="auto"/>
            </w:tcBorders>
            <w:shd w:val="clear" w:color="auto" w:fill="C5EDCE"/>
          </w:tcPr>
          <w:p w14:paraId="5A8AE4D5" w14:textId="77777777" w:rsidR="00740F0F" w:rsidRPr="0029070D" w:rsidRDefault="00100B64">
            <w:pPr>
              <w:ind w:left="155" w:right="130"/>
              <w:jc w:val="center"/>
              <w:rPr>
                <w:rFonts w:ascii="Times New Roman" w:eastAsia="Times New Roman" w:hAnsi="Times New Roman" w:cs="Times New Roman"/>
                <w:noProof/>
                <w:sz w:val="18"/>
                <w:szCs w:val="18"/>
              </w:rPr>
            </w:pPr>
            <w:r>
              <w:rPr>
                <w:rFonts w:ascii="Times New Roman" w:hAnsi="Times New Roman"/>
                <w:noProof/>
                <w:sz w:val="18"/>
              </w:rPr>
              <w:t>2025</w:t>
            </w:r>
          </w:p>
        </w:tc>
        <w:tc>
          <w:tcPr>
            <w:tcW w:w="3805" w:type="dxa"/>
            <w:tcBorders>
              <w:top w:val="single" w:sz="4" w:space="0" w:color="auto"/>
              <w:left w:val="single" w:sz="4" w:space="0" w:color="auto"/>
              <w:bottom w:val="single" w:sz="4" w:space="0" w:color="auto"/>
              <w:right w:val="single" w:sz="4" w:space="0" w:color="auto"/>
            </w:tcBorders>
            <w:shd w:val="clear" w:color="auto" w:fill="C5EDCE"/>
          </w:tcPr>
          <w:p w14:paraId="5A8AE4D6" w14:textId="77777777" w:rsidR="00740F0F" w:rsidRPr="0029070D" w:rsidRDefault="00100B64" w:rsidP="009E7E07">
            <w:pPr>
              <w:ind w:left="57" w:right="57"/>
              <w:rPr>
                <w:rFonts w:ascii="Times New Roman" w:eastAsia="Times New Roman" w:hAnsi="Times New Roman" w:cs="Times New Roman"/>
                <w:noProof/>
                <w:sz w:val="18"/>
                <w:szCs w:val="18"/>
              </w:rPr>
            </w:pPr>
            <w:r>
              <w:rPr>
                <w:rFonts w:ascii="Times New Roman" w:hAnsi="Times New Roman"/>
                <w:noProof/>
                <w:sz w:val="18"/>
              </w:rPr>
              <w:t>Augmentation des crédits de la recherche publique par rapport à 2020, attestée par les documents budgétaires produits par le gouvernement.</w:t>
            </w:r>
          </w:p>
        </w:tc>
      </w:tr>
      <w:tr w:rsidR="00782477" w:rsidRPr="0029070D" w14:paraId="5A8AE4E3" w14:textId="77777777" w:rsidTr="00E409C3">
        <w:trPr>
          <w:trHeight w:val="942"/>
          <w:jc w:val="center"/>
        </w:trPr>
        <w:tc>
          <w:tcPr>
            <w:tcW w:w="1116" w:type="dxa"/>
            <w:tcBorders>
              <w:top w:val="single" w:sz="4" w:space="0" w:color="auto"/>
              <w:left w:val="single" w:sz="4" w:space="0" w:color="auto"/>
              <w:bottom w:val="single" w:sz="4" w:space="0" w:color="auto"/>
              <w:right w:val="single" w:sz="4" w:space="0" w:color="auto"/>
            </w:tcBorders>
            <w:shd w:val="clear" w:color="auto" w:fill="C5EDCE"/>
          </w:tcPr>
          <w:p w14:paraId="5A8AE4D8" w14:textId="77777777" w:rsidR="00740F0F" w:rsidRPr="0029070D" w:rsidRDefault="00100B64">
            <w:pPr>
              <w:spacing w:before="1"/>
              <w:ind w:left="446"/>
              <w:rPr>
                <w:rFonts w:ascii="Times New Roman" w:eastAsia="Times New Roman" w:hAnsi="Times New Roman" w:cs="Times New Roman"/>
                <w:noProof/>
                <w:sz w:val="18"/>
                <w:szCs w:val="18"/>
              </w:rPr>
            </w:pPr>
            <w:r>
              <w:rPr>
                <w:rFonts w:ascii="Times New Roman" w:hAnsi="Times New Roman"/>
                <w:noProof/>
                <w:sz w:val="18"/>
              </w:rPr>
              <w:t>6-4</w:t>
            </w:r>
          </w:p>
        </w:tc>
        <w:tc>
          <w:tcPr>
            <w:tcW w:w="1116" w:type="dxa"/>
            <w:tcBorders>
              <w:top w:val="single" w:sz="4" w:space="0" w:color="auto"/>
              <w:left w:val="single" w:sz="4" w:space="0" w:color="auto"/>
              <w:bottom w:val="single" w:sz="4" w:space="0" w:color="auto"/>
              <w:right w:val="single" w:sz="4" w:space="0" w:color="auto"/>
            </w:tcBorders>
            <w:shd w:val="clear" w:color="auto" w:fill="C5EDCE"/>
          </w:tcPr>
          <w:p w14:paraId="5A8AE4D9" w14:textId="77777777" w:rsidR="00740F0F" w:rsidRPr="0029070D" w:rsidRDefault="00100B64">
            <w:pPr>
              <w:spacing w:line="216" w:lineRule="exact"/>
              <w:jc w:val="center"/>
              <w:rPr>
                <w:rFonts w:ascii="Times New Roman" w:eastAsia="Times New Roman" w:hAnsi="Times New Roman" w:cs="Times New Roman"/>
                <w:noProof/>
                <w:sz w:val="18"/>
                <w:szCs w:val="18"/>
              </w:rPr>
            </w:pPr>
            <w:r>
              <w:rPr>
                <w:rFonts w:ascii="Times New Roman" w:hAnsi="Times New Roman"/>
                <w:noProof/>
                <w:sz w:val="18"/>
              </w:rPr>
              <w:t>C6.I1 Préservation de l’emploi R&amp;D</w:t>
            </w:r>
          </w:p>
        </w:tc>
        <w:tc>
          <w:tcPr>
            <w:tcW w:w="1116" w:type="dxa"/>
            <w:tcBorders>
              <w:top w:val="single" w:sz="4" w:space="0" w:color="auto"/>
              <w:left w:val="single" w:sz="4" w:space="0" w:color="auto"/>
              <w:bottom w:val="single" w:sz="4" w:space="0" w:color="auto"/>
              <w:right w:val="single" w:sz="4" w:space="0" w:color="auto"/>
            </w:tcBorders>
            <w:shd w:val="clear" w:color="auto" w:fill="C5EDCE"/>
          </w:tcPr>
          <w:p w14:paraId="5A8AE4DA" w14:textId="77777777" w:rsidR="00740F0F" w:rsidRPr="0029070D" w:rsidRDefault="00100B64">
            <w:pPr>
              <w:spacing w:before="18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1" w:type="dxa"/>
            <w:tcBorders>
              <w:top w:val="single" w:sz="4" w:space="0" w:color="auto"/>
              <w:left w:val="single" w:sz="4" w:space="0" w:color="auto"/>
              <w:bottom w:val="single" w:sz="4" w:space="0" w:color="auto"/>
              <w:right w:val="single" w:sz="4" w:space="0" w:color="auto"/>
            </w:tcBorders>
            <w:shd w:val="clear" w:color="auto" w:fill="C5EDCE"/>
          </w:tcPr>
          <w:p w14:paraId="5A8AE4DB" w14:textId="77777777" w:rsidR="00740F0F" w:rsidRPr="0029070D" w:rsidRDefault="00100B64" w:rsidP="009E7E07">
            <w:pPr>
              <w:ind w:left="57" w:right="57"/>
              <w:rPr>
                <w:rFonts w:ascii="Times New Roman" w:eastAsia="Times New Roman" w:hAnsi="Times New Roman" w:cs="Times New Roman"/>
                <w:noProof/>
                <w:sz w:val="18"/>
                <w:szCs w:val="18"/>
              </w:rPr>
            </w:pPr>
            <w:r>
              <w:rPr>
                <w:rFonts w:ascii="Times New Roman" w:hAnsi="Times New Roman"/>
                <w:noProof/>
                <w:sz w:val="18"/>
              </w:rPr>
              <w:t>Nombre de personnels de R&amp;D bénéficiaires de la mesure</w:t>
            </w:r>
          </w:p>
        </w:tc>
        <w:tc>
          <w:tcPr>
            <w:tcW w:w="1752" w:type="dxa"/>
            <w:tcBorders>
              <w:top w:val="single" w:sz="4" w:space="0" w:color="auto"/>
              <w:left w:val="single" w:sz="4" w:space="0" w:color="auto"/>
              <w:bottom w:val="single" w:sz="4" w:space="0" w:color="auto"/>
              <w:right w:val="single" w:sz="4" w:space="0" w:color="auto"/>
            </w:tcBorders>
            <w:shd w:val="clear" w:color="auto" w:fill="C5EDCE"/>
          </w:tcPr>
          <w:p w14:paraId="5A8AE4DC" w14:textId="77777777" w:rsidR="00740F0F" w:rsidRPr="0029070D" w:rsidRDefault="00740F0F">
            <w:pPr>
              <w:rPr>
                <w:rFonts w:ascii="Times New Roman" w:eastAsia="Times New Roman" w:hAnsi="Times New Roman" w:cs="Times New Roman"/>
                <w:noProof/>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5EDCE"/>
          </w:tcPr>
          <w:p w14:paraId="5A8AE4DD" w14:textId="77777777" w:rsidR="00740F0F" w:rsidRPr="0029070D" w:rsidRDefault="00100B64">
            <w:pPr>
              <w:spacing w:before="1"/>
              <w:ind w:left="120"/>
              <w:rPr>
                <w:rFonts w:ascii="Times New Roman" w:eastAsia="Times New Roman" w:hAnsi="Times New Roman" w:cs="Times New Roman"/>
                <w:noProof/>
                <w:sz w:val="18"/>
                <w:szCs w:val="18"/>
              </w:rPr>
            </w:pPr>
            <w:r>
              <w:rPr>
                <w:rFonts w:ascii="Times New Roman" w:hAnsi="Times New Roman"/>
                <w:noProof/>
                <w:sz w:val="18"/>
              </w:rPr>
              <w:t>Personnes</w:t>
            </w: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4DE" w14:textId="77777777" w:rsidR="00740F0F" w:rsidRPr="0029070D" w:rsidRDefault="00100B64">
            <w:pPr>
              <w:spacing w:before="1"/>
              <w:ind w:right="70"/>
              <w:jc w:val="center"/>
              <w:rPr>
                <w:rFonts w:ascii="Times New Roman" w:eastAsia="Times New Roman" w:hAnsi="Times New Roman" w:cs="Times New Roman"/>
                <w:noProof/>
                <w:sz w:val="18"/>
                <w:szCs w:val="18"/>
              </w:rPr>
            </w:pPr>
            <w:r>
              <w:rPr>
                <w:rFonts w:ascii="Times New Roman" w:hAnsi="Times New Roman"/>
                <w:noProof/>
                <w:sz w:val="18"/>
              </w:rPr>
              <w:t>0</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4DF" w14:textId="77777777" w:rsidR="00740F0F" w:rsidRPr="0029070D" w:rsidRDefault="00100B64">
            <w:pPr>
              <w:spacing w:before="1"/>
              <w:ind w:left="245"/>
              <w:rPr>
                <w:rFonts w:ascii="Times New Roman" w:eastAsia="Times New Roman" w:hAnsi="Times New Roman" w:cs="Times New Roman"/>
                <w:noProof/>
                <w:sz w:val="18"/>
                <w:szCs w:val="18"/>
              </w:rPr>
            </w:pPr>
            <w:r>
              <w:rPr>
                <w:rFonts w:ascii="Times New Roman" w:hAnsi="Times New Roman"/>
                <w:noProof/>
                <w:sz w:val="18"/>
              </w:rPr>
              <w:t>1</w:t>
            </w:r>
            <w:r>
              <w:rPr>
                <w:rFonts w:ascii="Times New Roman" w:hAnsi="Times New Roman"/>
                <w:noProof/>
                <w:sz w:val="20"/>
              </w:rPr>
              <w:t> </w:t>
            </w:r>
            <w:r>
              <w:rPr>
                <w:rFonts w:ascii="Times New Roman" w:hAnsi="Times New Roman"/>
                <w:noProof/>
                <w:sz w:val="18"/>
              </w:rPr>
              <w:t>200</w:t>
            </w: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4E0" w14:textId="77777777" w:rsidR="00740F0F" w:rsidRPr="0029070D" w:rsidRDefault="00100B64">
            <w:pPr>
              <w:spacing w:before="1"/>
              <w:ind w:left="268" w:right="248"/>
              <w:jc w:val="center"/>
              <w:rPr>
                <w:rFonts w:ascii="Times New Roman" w:eastAsia="Times New Roman" w:hAnsi="Times New Roman" w:cs="Times New Roman"/>
                <w:noProof/>
                <w:sz w:val="18"/>
                <w:szCs w:val="18"/>
              </w:rPr>
            </w:pPr>
            <w:r>
              <w:rPr>
                <w:rFonts w:ascii="Times New Roman" w:hAnsi="Times New Roman"/>
                <w:noProof/>
                <w:sz w:val="18"/>
              </w:rPr>
              <w:t>T4</w:t>
            </w:r>
          </w:p>
        </w:tc>
        <w:tc>
          <w:tcPr>
            <w:tcW w:w="851" w:type="dxa"/>
            <w:tcBorders>
              <w:top w:val="single" w:sz="4" w:space="0" w:color="auto"/>
              <w:left w:val="single" w:sz="4" w:space="0" w:color="auto"/>
              <w:bottom w:val="single" w:sz="4" w:space="0" w:color="auto"/>
              <w:right w:val="single" w:sz="4" w:space="0" w:color="auto"/>
            </w:tcBorders>
            <w:shd w:val="clear" w:color="auto" w:fill="C5EDCE"/>
          </w:tcPr>
          <w:p w14:paraId="5A8AE4E1" w14:textId="77777777" w:rsidR="00740F0F" w:rsidRPr="0029070D" w:rsidRDefault="00100B64">
            <w:pPr>
              <w:spacing w:before="1"/>
              <w:ind w:left="155" w:right="130"/>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3805" w:type="dxa"/>
            <w:tcBorders>
              <w:top w:val="single" w:sz="4" w:space="0" w:color="auto"/>
              <w:left w:val="single" w:sz="4" w:space="0" w:color="auto"/>
              <w:bottom w:val="single" w:sz="4" w:space="0" w:color="auto"/>
              <w:right w:val="single" w:sz="4" w:space="0" w:color="auto"/>
            </w:tcBorders>
            <w:shd w:val="clear" w:color="auto" w:fill="C5EDCE"/>
          </w:tcPr>
          <w:p w14:paraId="5A8AE4E2" w14:textId="77777777" w:rsidR="00740F0F" w:rsidRPr="0029070D" w:rsidRDefault="00100B64" w:rsidP="009E7E07">
            <w:pPr>
              <w:ind w:left="57" w:right="57"/>
              <w:rPr>
                <w:rFonts w:ascii="Times New Roman" w:eastAsia="Times New Roman" w:hAnsi="Times New Roman" w:cs="Times New Roman"/>
                <w:noProof/>
                <w:sz w:val="18"/>
                <w:szCs w:val="18"/>
              </w:rPr>
            </w:pPr>
            <w:r>
              <w:rPr>
                <w:rFonts w:ascii="Times New Roman" w:hAnsi="Times New Roman"/>
                <w:noProof/>
                <w:sz w:val="18"/>
              </w:rPr>
              <w:t>Nombre total de personnels de R&amp;D bénéficiaires des quatre actions de soutien à l’emploi dans la R&amp;D.</w:t>
            </w:r>
          </w:p>
        </w:tc>
      </w:tr>
      <w:tr w:rsidR="00782477" w:rsidRPr="0029070D" w14:paraId="5A8AE4F0" w14:textId="77777777" w:rsidTr="00E409C3">
        <w:trPr>
          <w:trHeight w:val="1262"/>
          <w:jc w:val="center"/>
        </w:trPr>
        <w:tc>
          <w:tcPr>
            <w:tcW w:w="1116" w:type="dxa"/>
            <w:tcBorders>
              <w:top w:val="single" w:sz="4" w:space="0" w:color="auto"/>
              <w:left w:val="single" w:sz="6" w:space="0" w:color="000000" w:themeColor="text1"/>
              <w:bottom w:val="single" w:sz="6" w:space="0" w:color="000000" w:themeColor="text1"/>
              <w:right w:val="single" w:sz="6" w:space="0" w:color="000000" w:themeColor="text1"/>
            </w:tcBorders>
            <w:shd w:val="clear" w:color="auto" w:fill="C5EDCE"/>
          </w:tcPr>
          <w:p w14:paraId="5A8AE4E4" w14:textId="77777777" w:rsidR="00740F0F" w:rsidRPr="0029070D" w:rsidRDefault="00100B64">
            <w:pPr>
              <w:ind w:left="446"/>
              <w:rPr>
                <w:rFonts w:ascii="Times New Roman" w:eastAsia="Times New Roman" w:hAnsi="Times New Roman" w:cs="Times New Roman"/>
                <w:noProof/>
                <w:sz w:val="18"/>
                <w:szCs w:val="18"/>
              </w:rPr>
            </w:pPr>
            <w:r>
              <w:rPr>
                <w:rFonts w:ascii="Times New Roman" w:hAnsi="Times New Roman"/>
                <w:noProof/>
                <w:sz w:val="18"/>
              </w:rPr>
              <w:t>6-5</w:t>
            </w:r>
          </w:p>
        </w:tc>
        <w:tc>
          <w:tcPr>
            <w:tcW w:w="1116" w:type="dxa"/>
            <w:tcBorders>
              <w:top w:val="single" w:sz="4" w:space="0" w:color="auto"/>
              <w:left w:val="single" w:sz="6" w:space="0" w:color="000000" w:themeColor="text1"/>
              <w:bottom w:val="single" w:sz="6" w:space="0" w:color="000000" w:themeColor="text1"/>
              <w:right w:val="single" w:sz="6" w:space="0" w:color="000000" w:themeColor="text1"/>
            </w:tcBorders>
            <w:shd w:val="clear" w:color="auto" w:fill="C5EDCE"/>
          </w:tcPr>
          <w:p w14:paraId="5A8AE4E5" w14:textId="77777777" w:rsidR="00740F0F" w:rsidRPr="0029070D" w:rsidRDefault="00100B64">
            <w:pPr>
              <w:ind w:left="8"/>
              <w:jc w:val="center"/>
              <w:rPr>
                <w:rFonts w:ascii="Times New Roman" w:eastAsia="Times New Roman" w:hAnsi="Times New Roman" w:cs="Times New Roman"/>
                <w:noProof/>
                <w:sz w:val="18"/>
                <w:szCs w:val="18"/>
              </w:rPr>
            </w:pPr>
            <w:r>
              <w:rPr>
                <w:rFonts w:ascii="Times New Roman" w:hAnsi="Times New Roman"/>
                <w:noProof/>
                <w:sz w:val="18"/>
              </w:rPr>
              <w:t>C6.I2</w:t>
            </w:r>
          </w:p>
          <w:p w14:paraId="5A8AE4E6" w14:textId="77777777" w:rsidR="00740F0F" w:rsidRPr="0029070D" w:rsidRDefault="00100B64">
            <w:pPr>
              <w:ind w:left="8"/>
              <w:jc w:val="center"/>
              <w:rPr>
                <w:rFonts w:ascii="Times New Roman" w:eastAsia="Times New Roman" w:hAnsi="Times New Roman" w:cs="Times New Roman"/>
                <w:noProof/>
                <w:sz w:val="18"/>
                <w:szCs w:val="18"/>
              </w:rPr>
            </w:pPr>
            <w:r>
              <w:rPr>
                <w:rFonts w:ascii="Times New Roman" w:hAnsi="Times New Roman"/>
                <w:noProof/>
                <w:sz w:val="18"/>
              </w:rPr>
              <w:t>PIA – Technologies numériques clés</w:t>
            </w:r>
          </w:p>
        </w:tc>
        <w:tc>
          <w:tcPr>
            <w:tcW w:w="1116" w:type="dxa"/>
            <w:tcBorders>
              <w:top w:val="single" w:sz="4" w:space="0" w:color="auto"/>
              <w:left w:val="single" w:sz="6" w:space="0" w:color="000000" w:themeColor="text1"/>
              <w:bottom w:val="single" w:sz="6" w:space="0" w:color="000000" w:themeColor="text1"/>
              <w:right w:val="single" w:sz="6" w:space="0" w:color="000000" w:themeColor="text1"/>
            </w:tcBorders>
            <w:shd w:val="clear" w:color="auto" w:fill="C5EDCE"/>
          </w:tcPr>
          <w:p w14:paraId="5A8AE4E7" w14:textId="77777777" w:rsidR="00740F0F" w:rsidRPr="0029070D" w:rsidRDefault="00100B64">
            <w:pPr>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1" w:type="dxa"/>
            <w:tcBorders>
              <w:top w:val="single" w:sz="4" w:space="0" w:color="auto"/>
              <w:left w:val="single" w:sz="6" w:space="0" w:color="000000" w:themeColor="text1"/>
              <w:bottom w:val="single" w:sz="6" w:space="0" w:color="000000" w:themeColor="text1"/>
              <w:right w:val="single" w:sz="6" w:space="0" w:color="000000" w:themeColor="text1"/>
            </w:tcBorders>
            <w:shd w:val="clear" w:color="auto" w:fill="C5EDCE"/>
          </w:tcPr>
          <w:p w14:paraId="5A8AE4E8" w14:textId="77777777" w:rsidR="00740F0F" w:rsidRPr="0029070D" w:rsidRDefault="00100B64" w:rsidP="009E7E07">
            <w:pPr>
              <w:ind w:left="57" w:right="57"/>
              <w:rPr>
                <w:rFonts w:ascii="Times New Roman" w:eastAsia="Times New Roman" w:hAnsi="Times New Roman" w:cs="Times New Roman"/>
                <w:noProof/>
                <w:sz w:val="18"/>
                <w:szCs w:val="18"/>
              </w:rPr>
            </w:pPr>
            <w:r>
              <w:rPr>
                <w:rFonts w:ascii="Times New Roman" w:hAnsi="Times New Roman"/>
                <w:noProof/>
                <w:sz w:val="18"/>
              </w:rPr>
              <w:t>Nombre de stratégies validées</w:t>
            </w:r>
          </w:p>
        </w:tc>
        <w:tc>
          <w:tcPr>
            <w:tcW w:w="1752" w:type="dxa"/>
            <w:tcBorders>
              <w:top w:val="single" w:sz="4" w:space="0" w:color="auto"/>
              <w:left w:val="single" w:sz="6" w:space="0" w:color="000000" w:themeColor="text1"/>
              <w:bottom w:val="single" w:sz="6" w:space="0" w:color="000000" w:themeColor="text1"/>
              <w:right w:val="single" w:sz="6" w:space="0" w:color="000000" w:themeColor="text1"/>
            </w:tcBorders>
            <w:shd w:val="clear" w:color="auto" w:fill="C5EDCE"/>
          </w:tcPr>
          <w:p w14:paraId="5A8AE4E9" w14:textId="77777777" w:rsidR="00740F0F" w:rsidRPr="0029070D" w:rsidRDefault="00740F0F">
            <w:pPr>
              <w:rPr>
                <w:rFonts w:ascii="Times New Roman" w:eastAsia="Times New Roman" w:hAnsi="Times New Roman" w:cs="Times New Roman"/>
                <w:noProof/>
                <w:sz w:val="18"/>
                <w:szCs w:val="18"/>
              </w:rPr>
            </w:pPr>
          </w:p>
        </w:tc>
        <w:tc>
          <w:tcPr>
            <w:tcW w:w="851" w:type="dxa"/>
            <w:tcBorders>
              <w:top w:val="single" w:sz="4" w:space="0" w:color="auto"/>
              <w:left w:val="single" w:sz="6" w:space="0" w:color="000000" w:themeColor="text1"/>
              <w:bottom w:val="single" w:sz="6" w:space="0" w:color="000000" w:themeColor="text1"/>
              <w:right w:val="single" w:sz="6" w:space="0" w:color="000000" w:themeColor="text1"/>
            </w:tcBorders>
            <w:shd w:val="clear" w:color="auto" w:fill="C5EDCE"/>
          </w:tcPr>
          <w:p w14:paraId="5A8AE4EA" w14:textId="77777777" w:rsidR="00740F0F" w:rsidRPr="0029070D" w:rsidRDefault="00100B64">
            <w:pPr>
              <w:ind w:left="120"/>
              <w:rPr>
                <w:rFonts w:ascii="Times New Roman" w:eastAsia="Times New Roman" w:hAnsi="Times New Roman" w:cs="Times New Roman"/>
                <w:noProof/>
                <w:sz w:val="18"/>
                <w:szCs w:val="18"/>
              </w:rPr>
            </w:pPr>
            <w:r>
              <w:rPr>
                <w:rFonts w:ascii="Times New Roman" w:hAnsi="Times New Roman"/>
                <w:noProof/>
                <w:sz w:val="18"/>
              </w:rPr>
              <w:t>Nombre</w:t>
            </w:r>
          </w:p>
        </w:tc>
        <w:tc>
          <w:tcPr>
            <w:tcW w:w="992" w:type="dxa"/>
            <w:tcBorders>
              <w:top w:val="single" w:sz="4" w:space="0" w:color="auto"/>
              <w:left w:val="single" w:sz="6" w:space="0" w:color="000000" w:themeColor="text1"/>
              <w:bottom w:val="single" w:sz="6" w:space="0" w:color="000000" w:themeColor="text1"/>
              <w:right w:val="single" w:sz="6" w:space="0" w:color="000000" w:themeColor="text1"/>
            </w:tcBorders>
            <w:shd w:val="clear" w:color="auto" w:fill="C5EDCE"/>
          </w:tcPr>
          <w:p w14:paraId="5A8AE4EB" w14:textId="77777777" w:rsidR="00740F0F" w:rsidRPr="0029070D" w:rsidRDefault="00100B64">
            <w:pPr>
              <w:ind w:right="70"/>
              <w:jc w:val="center"/>
              <w:rPr>
                <w:rFonts w:ascii="Times New Roman" w:eastAsia="Times New Roman" w:hAnsi="Times New Roman" w:cs="Times New Roman"/>
                <w:noProof/>
                <w:sz w:val="18"/>
                <w:szCs w:val="18"/>
              </w:rPr>
            </w:pPr>
            <w:r>
              <w:rPr>
                <w:rFonts w:ascii="Times New Roman" w:hAnsi="Times New Roman"/>
                <w:noProof/>
                <w:sz w:val="18"/>
              </w:rPr>
              <w:t>0</w:t>
            </w:r>
          </w:p>
        </w:tc>
        <w:tc>
          <w:tcPr>
            <w:tcW w:w="1134" w:type="dxa"/>
            <w:tcBorders>
              <w:top w:val="single" w:sz="4" w:space="0" w:color="auto"/>
              <w:left w:val="single" w:sz="6" w:space="0" w:color="000000" w:themeColor="text1"/>
              <w:bottom w:val="single" w:sz="6" w:space="0" w:color="000000" w:themeColor="text1"/>
              <w:right w:val="single" w:sz="6" w:space="0" w:color="000000" w:themeColor="text1"/>
            </w:tcBorders>
            <w:shd w:val="clear" w:color="auto" w:fill="C5EDCE"/>
          </w:tcPr>
          <w:p w14:paraId="5A8AE4EC" w14:textId="77777777" w:rsidR="00740F0F" w:rsidRPr="0029070D" w:rsidRDefault="00100B64">
            <w:pPr>
              <w:ind w:right="66"/>
              <w:jc w:val="center"/>
              <w:rPr>
                <w:rFonts w:ascii="Times New Roman" w:eastAsia="Times New Roman" w:hAnsi="Times New Roman" w:cs="Times New Roman"/>
                <w:noProof/>
                <w:sz w:val="18"/>
                <w:szCs w:val="18"/>
              </w:rPr>
            </w:pPr>
            <w:r>
              <w:rPr>
                <w:rFonts w:ascii="Times New Roman" w:hAnsi="Times New Roman"/>
                <w:noProof/>
                <w:sz w:val="18"/>
              </w:rPr>
              <w:t>6</w:t>
            </w:r>
          </w:p>
        </w:tc>
        <w:tc>
          <w:tcPr>
            <w:tcW w:w="850" w:type="dxa"/>
            <w:tcBorders>
              <w:top w:val="single" w:sz="4" w:space="0" w:color="auto"/>
              <w:left w:val="single" w:sz="6" w:space="0" w:color="000000" w:themeColor="text1"/>
              <w:bottom w:val="single" w:sz="6" w:space="0" w:color="000000" w:themeColor="text1"/>
              <w:right w:val="single" w:sz="6" w:space="0" w:color="000000" w:themeColor="text1"/>
            </w:tcBorders>
            <w:shd w:val="clear" w:color="auto" w:fill="C5EDCE"/>
          </w:tcPr>
          <w:p w14:paraId="5A8AE4ED" w14:textId="77777777" w:rsidR="00740F0F" w:rsidRPr="0029070D" w:rsidRDefault="00100B64">
            <w:pPr>
              <w:ind w:left="268" w:right="248"/>
              <w:jc w:val="center"/>
              <w:rPr>
                <w:rFonts w:ascii="Times New Roman" w:eastAsia="Times New Roman" w:hAnsi="Times New Roman" w:cs="Times New Roman"/>
                <w:noProof/>
                <w:sz w:val="18"/>
                <w:szCs w:val="18"/>
              </w:rPr>
            </w:pPr>
            <w:r>
              <w:rPr>
                <w:rFonts w:ascii="Times New Roman" w:hAnsi="Times New Roman"/>
                <w:noProof/>
                <w:sz w:val="18"/>
              </w:rPr>
              <w:t>T4</w:t>
            </w:r>
          </w:p>
        </w:tc>
        <w:tc>
          <w:tcPr>
            <w:tcW w:w="851" w:type="dxa"/>
            <w:tcBorders>
              <w:top w:val="single" w:sz="4" w:space="0" w:color="auto"/>
              <w:left w:val="single" w:sz="6" w:space="0" w:color="000000" w:themeColor="text1"/>
              <w:bottom w:val="single" w:sz="6" w:space="0" w:color="000000" w:themeColor="text1"/>
              <w:right w:val="single" w:sz="6" w:space="0" w:color="000000" w:themeColor="text1"/>
            </w:tcBorders>
            <w:shd w:val="clear" w:color="auto" w:fill="C5EDCE"/>
          </w:tcPr>
          <w:p w14:paraId="5A8AE4EE" w14:textId="77777777" w:rsidR="00740F0F" w:rsidRPr="0029070D" w:rsidRDefault="00100B64">
            <w:pPr>
              <w:ind w:left="155" w:right="130"/>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3805" w:type="dxa"/>
            <w:tcBorders>
              <w:top w:val="single" w:sz="4" w:space="0" w:color="auto"/>
              <w:left w:val="single" w:sz="6" w:space="0" w:color="000000" w:themeColor="text1"/>
              <w:bottom w:val="single" w:sz="6" w:space="0" w:color="000000" w:themeColor="text1"/>
              <w:right w:val="single" w:sz="6" w:space="0" w:color="000000" w:themeColor="text1"/>
            </w:tcBorders>
            <w:shd w:val="clear" w:color="auto" w:fill="C5EDCE"/>
          </w:tcPr>
          <w:p w14:paraId="5A8AE4EF" w14:textId="77777777" w:rsidR="00740F0F" w:rsidRPr="0029070D" w:rsidRDefault="00100B64" w:rsidP="009E7E07">
            <w:pPr>
              <w:ind w:left="57" w:right="57"/>
              <w:rPr>
                <w:rFonts w:ascii="Times New Roman" w:eastAsia="Times New Roman" w:hAnsi="Times New Roman" w:cs="Times New Roman"/>
                <w:noProof/>
                <w:sz w:val="18"/>
                <w:szCs w:val="18"/>
              </w:rPr>
            </w:pPr>
            <w:r>
              <w:rPr>
                <w:rFonts w:ascii="Times New Roman" w:hAnsi="Times New Roman"/>
                <w:noProof/>
                <w:sz w:val="18"/>
              </w:rPr>
              <w:t>Les six stratégies (technologies quantiques, cybersécurité, éducation numérique, industries culturelles et créatives, 5G, cloud) ont été validées et publiées sur le site du secrétariat général pour l’investissement (SGPI).</w:t>
            </w:r>
          </w:p>
        </w:tc>
      </w:tr>
      <w:tr w:rsidR="00782477" w:rsidRPr="0029070D" w14:paraId="5A8AE4FD" w14:textId="77777777" w:rsidTr="00E409C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662"/>
          <w:jc w:val="center"/>
        </w:trPr>
        <w:tc>
          <w:tcPr>
            <w:tcW w:w="11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4F1" w14:textId="77777777" w:rsidR="00740F0F" w:rsidRPr="0029070D" w:rsidRDefault="00100B64">
            <w:pPr>
              <w:spacing w:before="1"/>
              <w:ind w:left="446"/>
              <w:rPr>
                <w:rFonts w:ascii="Times New Roman" w:eastAsia="Times New Roman" w:hAnsi="Times New Roman" w:cs="Times New Roman"/>
                <w:noProof/>
                <w:sz w:val="18"/>
                <w:szCs w:val="18"/>
              </w:rPr>
            </w:pPr>
            <w:r>
              <w:rPr>
                <w:rFonts w:ascii="Times New Roman" w:hAnsi="Times New Roman"/>
                <w:noProof/>
                <w:sz w:val="18"/>
              </w:rPr>
              <w:t>6-6</w:t>
            </w:r>
          </w:p>
        </w:tc>
        <w:tc>
          <w:tcPr>
            <w:tcW w:w="11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4F2" w14:textId="77777777" w:rsidR="00740F0F" w:rsidRPr="0029070D" w:rsidRDefault="00100B64">
            <w:pPr>
              <w:ind w:left="103"/>
              <w:jc w:val="center"/>
              <w:rPr>
                <w:rFonts w:ascii="Times New Roman" w:eastAsia="Times New Roman" w:hAnsi="Times New Roman" w:cs="Times New Roman"/>
                <w:noProof/>
                <w:sz w:val="18"/>
                <w:szCs w:val="18"/>
              </w:rPr>
            </w:pPr>
            <w:r>
              <w:rPr>
                <w:rFonts w:ascii="Times New Roman" w:hAnsi="Times New Roman"/>
                <w:noProof/>
                <w:sz w:val="18"/>
              </w:rPr>
              <w:t>C6.I2</w:t>
            </w:r>
          </w:p>
          <w:p w14:paraId="5A8AE4F3" w14:textId="77777777" w:rsidR="00740F0F" w:rsidRPr="0029070D" w:rsidRDefault="00100B64">
            <w:pPr>
              <w:spacing w:before="7"/>
              <w:ind w:left="103"/>
              <w:jc w:val="center"/>
              <w:rPr>
                <w:rFonts w:ascii="Times New Roman" w:eastAsia="Times New Roman" w:hAnsi="Times New Roman" w:cs="Times New Roman"/>
                <w:noProof/>
                <w:sz w:val="18"/>
                <w:szCs w:val="18"/>
              </w:rPr>
            </w:pPr>
            <w:r>
              <w:rPr>
                <w:rFonts w:ascii="Times New Roman" w:hAnsi="Times New Roman"/>
                <w:noProof/>
                <w:sz w:val="18"/>
              </w:rPr>
              <w:t>PIA – Technologies numériques clés</w:t>
            </w:r>
          </w:p>
        </w:tc>
        <w:tc>
          <w:tcPr>
            <w:tcW w:w="11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4F4" w14:textId="77777777" w:rsidR="00740F0F" w:rsidRPr="0029070D" w:rsidRDefault="00100B64">
            <w:pPr>
              <w:spacing w:before="1"/>
              <w:ind w:left="120"/>
              <w:rPr>
                <w:rFonts w:ascii="Times New Roman" w:eastAsia="Times New Roman" w:hAnsi="Times New Roman" w:cs="Times New Roman"/>
                <w:noProof/>
                <w:sz w:val="18"/>
                <w:szCs w:val="18"/>
              </w:rPr>
            </w:pPr>
            <w:r>
              <w:rPr>
                <w:rFonts w:ascii="Times New Roman" w:hAnsi="Times New Roman"/>
                <w:noProof/>
                <w:sz w:val="18"/>
              </w:rPr>
              <w:t>Jalon</w:t>
            </w:r>
          </w:p>
        </w:tc>
        <w:tc>
          <w:tcPr>
            <w:tcW w:w="184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4F5" w14:textId="77777777" w:rsidR="00740F0F" w:rsidRPr="0029070D" w:rsidRDefault="00100B64" w:rsidP="009E7E07">
            <w:pPr>
              <w:ind w:left="57" w:right="57"/>
              <w:rPr>
                <w:rFonts w:ascii="Times New Roman" w:eastAsia="Times New Roman" w:hAnsi="Times New Roman" w:cs="Times New Roman"/>
                <w:noProof/>
                <w:sz w:val="18"/>
                <w:szCs w:val="18"/>
              </w:rPr>
            </w:pPr>
            <w:r>
              <w:rPr>
                <w:rFonts w:ascii="Times New Roman" w:hAnsi="Times New Roman"/>
                <w:noProof/>
                <w:sz w:val="18"/>
              </w:rPr>
              <w:t>Lancement de l’appel à propositions ou à manifestation d’intérêt</w:t>
            </w:r>
          </w:p>
        </w:tc>
        <w:tc>
          <w:tcPr>
            <w:tcW w:w="17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4F6" w14:textId="4F250A76" w:rsidR="00740F0F" w:rsidRPr="009447E5" w:rsidRDefault="00100B64">
            <w:pPr>
              <w:spacing w:line="206" w:lineRule="exact"/>
              <w:ind w:left="49" w:right="-15"/>
              <w:rPr>
                <w:rFonts w:ascii="Times New Roman" w:eastAsia="Times New Roman" w:hAnsi="Times New Roman" w:cs="Times New Roman"/>
                <w:noProof/>
                <w:sz w:val="18"/>
                <w:szCs w:val="18"/>
              </w:rPr>
            </w:pPr>
            <w:r>
              <w:rPr>
                <w:rFonts w:ascii="Times New Roman" w:hAnsi="Times New Roman"/>
                <w:noProof/>
                <w:sz w:val="18"/>
              </w:rPr>
              <w:t>Publication sur le site web du secrétariat général pour l’investissement (SGPI)</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4F7" w14:textId="77777777" w:rsidR="00740F0F" w:rsidRPr="009447E5" w:rsidRDefault="00740F0F">
            <w:pPr>
              <w:rPr>
                <w:rFonts w:ascii="Times New Roman" w:eastAsia="Times New Roman" w:hAnsi="Times New Roman" w:cs="Times New Roman"/>
                <w:noProof/>
                <w:sz w:val="18"/>
                <w:szCs w:val="18"/>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4F8" w14:textId="77777777" w:rsidR="00740F0F" w:rsidRPr="009447E5" w:rsidRDefault="00740F0F">
            <w:pPr>
              <w:rPr>
                <w:rFonts w:ascii="Times New Roman" w:eastAsia="Times New Roman" w:hAnsi="Times New Roman" w:cs="Times New Roman"/>
                <w:noProof/>
                <w:sz w:val="18"/>
                <w:szCs w:val="18"/>
              </w:rPr>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4F9" w14:textId="77777777" w:rsidR="00740F0F" w:rsidRPr="009447E5" w:rsidRDefault="00740F0F">
            <w:pPr>
              <w:rPr>
                <w:rFonts w:ascii="Times New Roman" w:eastAsia="Times New Roman" w:hAnsi="Times New Roman" w:cs="Times New Roman"/>
                <w:noProof/>
                <w:sz w:val="18"/>
                <w:szCs w:val="18"/>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4FA" w14:textId="77777777" w:rsidR="00740F0F" w:rsidRPr="0029070D" w:rsidRDefault="00100B64">
            <w:pPr>
              <w:spacing w:before="1"/>
              <w:ind w:left="268" w:right="248"/>
              <w:jc w:val="center"/>
              <w:rPr>
                <w:rFonts w:ascii="Times New Roman" w:eastAsia="Times New Roman" w:hAnsi="Times New Roman" w:cs="Times New Roman"/>
                <w:noProof/>
                <w:sz w:val="18"/>
                <w:szCs w:val="18"/>
              </w:rPr>
            </w:pPr>
            <w:r>
              <w:rPr>
                <w:rFonts w:ascii="Times New Roman" w:hAnsi="Times New Roman"/>
                <w:noProof/>
                <w:sz w:val="18"/>
              </w:rPr>
              <w:t>T4</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4FB" w14:textId="77777777" w:rsidR="00740F0F" w:rsidRPr="0029070D" w:rsidRDefault="00100B64">
            <w:pPr>
              <w:spacing w:before="1"/>
              <w:ind w:left="155" w:right="130"/>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38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4FC" w14:textId="77777777" w:rsidR="00740F0F" w:rsidRPr="0029070D" w:rsidRDefault="00100B64">
            <w:pPr>
              <w:spacing w:line="228" w:lineRule="auto"/>
              <w:ind w:left="70" w:right="43"/>
              <w:rPr>
                <w:rFonts w:ascii="Times New Roman" w:eastAsia="Times New Roman" w:hAnsi="Times New Roman" w:cs="Times New Roman"/>
                <w:noProof/>
                <w:sz w:val="18"/>
                <w:szCs w:val="18"/>
              </w:rPr>
            </w:pPr>
            <w:r>
              <w:rPr>
                <w:rFonts w:ascii="Times New Roman" w:hAnsi="Times New Roman"/>
                <w:noProof/>
                <w:sz w:val="18"/>
              </w:rPr>
              <w:t>Lancement de tous les appels à propositions ou à manifestation d’intérêt au titre de cette mesure pour les stratégies adoptées dans le cadre de l’objectif 6-5, avec des cahiers des charges intégrant un critère d’éligibilité permettant d’assurer la neutralité environnementale des applications de la solution financée.</w:t>
            </w:r>
          </w:p>
        </w:tc>
      </w:tr>
      <w:tr w:rsidR="00782477" w:rsidRPr="0029070D" w14:paraId="5A8AE50A" w14:textId="77777777" w:rsidTr="00E409C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462"/>
          <w:jc w:val="center"/>
        </w:trPr>
        <w:tc>
          <w:tcPr>
            <w:tcW w:w="11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4FE" w14:textId="77777777" w:rsidR="00740F0F" w:rsidRPr="0029070D" w:rsidRDefault="00100B64">
            <w:pPr>
              <w:ind w:left="446"/>
              <w:rPr>
                <w:rFonts w:ascii="Times New Roman" w:eastAsia="Times New Roman" w:hAnsi="Times New Roman" w:cs="Times New Roman"/>
                <w:noProof/>
                <w:sz w:val="18"/>
                <w:szCs w:val="18"/>
              </w:rPr>
            </w:pPr>
            <w:r>
              <w:rPr>
                <w:rFonts w:ascii="Times New Roman" w:hAnsi="Times New Roman"/>
                <w:noProof/>
                <w:sz w:val="18"/>
              </w:rPr>
              <w:t>6-7</w:t>
            </w:r>
          </w:p>
        </w:tc>
        <w:tc>
          <w:tcPr>
            <w:tcW w:w="11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4FF" w14:textId="77777777" w:rsidR="00740F0F" w:rsidRPr="0029070D" w:rsidRDefault="00100B64">
            <w:pPr>
              <w:ind w:left="120"/>
              <w:jc w:val="center"/>
              <w:rPr>
                <w:rFonts w:ascii="Times New Roman" w:eastAsia="Times New Roman" w:hAnsi="Times New Roman" w:cs="Times New Roman"/>
                <w:noProof/>
                <w:sz w:val="18"/>
                <w:szCs w:val="18"/>
              </w:rPr>
            </w:pPr>
            <w:r>
              <w:rPr>
                <w:rFonts w:ascii="Times New Roman" w:hAnsi="Times New Roman"/>
                <w:noProof/>
                <w:sz w:val="18"/>
              </w:rPr>
              <w:t>C6.I2</w:t>
            </w:r>
          </w:p>
          <w:p w14:paraId="5A8AE500" w14:textId="77777777" w:rsidR="00740F0F" w:rsidRPr="0029070D" w:rsidRDefault="00100B64">
            <w:pPr>
              <w:spacing w:before="22"/>
              <w:ind w:left="120"/>
              <w:jc w:val="center"/>
              <w:rPr>
                <w:rFonts w:ascii="Times New Roman" w:eastAsia="Times New Roman" w:hAnsi="Times New Roman" w:cs="Times New Roman"/>
                <w:noProof/>
                <w:sz w:val="18"/>
                <w:szCs w:val="18"/>
              </w:rPr>
            </w:pPr>
            <w:r>
              <w:rPr>
                <w:rFonts w:ascii="Times New Roman" w:hAnsi="Times New Roman"/>
                <w:noProof/>
                <w:sz w:val="18"/>
              </w:rPr>
              <w:t>PIA – Technologies numériques clés</w:t>
            </w:r>
          </w:p>
        </w:tc>
        <w:tc>
          <w:tcPr>
            <w:tcW w:w="11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01" w14:textId="77777777" w:rsidR="00740F0F" w:rsidRPr="0029070D" w:rsidRDefault="00100B64">
            <w:pPr>
              <w:spacing w:before="220"/>
              <w:ind w:left="120"/>
              <w:rPr>
                <w:rFonts w:ascii="Times New Roman" w:eastAsia="Times New Roman" w:hAnsi="Times New Roman" w:cs="Times New Roman"/>
                <w:noProof/>
                <w:sz w:val="18"/>
                <w:szCs w:val="18"/>
              </w:rPr>
            </w:pPr>
            <w:r>
              <w:rPr>
                <w:rFonts w:ascii="Times New Roman" w:hAnsi="Times New Roman"/>
                <w:noProof/>
                <w:sz w:val="18"/>
              </w:rPr>
              <w:t>Jalon</w:t>
            </w:r>
          </w:p>
        </w:tc>
        <w:tc>
          <w:tcPr>
            <w:tcW w:w="184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02" w14:textId="77777777" w:rsidR="00740F0F" w:rsidRPr="0029070D" w:rsidRDefault="00100B64">
            <w:pPr>
              <w:spacing w:line="252" w:lineRule="auto"/>
              <w:ind w:left="47"/>
              <w:rPr>
                <w:rFonts w:ascii="Times New Roman" w:eastAsia="Times New Roman" w:hAnsi="Times New Roman" w:cs="Times New Roman"/>
                <w:noProof/>
                <w:sz w:val="18"/>
                <w:szCs w:val="18"/>
              </w:rPr>
            </w:pPr>
            <w:r>
              <w:rPr>
                <w:rFonts w:ascii="Times New Roman" w:hAnsi="Times New Roman"/>
                <w:noProof/>
                <w:sz w:val="18"/>
              </w:rPr>
              <w:t>Attribution des marchés – décision d’exécution du Premier ministre</w:t>
            </w:r>
          </w:p>
        </w:tc>
        <w:tc>
          <w:tcPr>
            <w:tcW w:w="17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03" w14:textId="40F9E50B" w:rsidR="00740F0F" w:rsidRPr="009447E5" w:rsidRDefault="00100B64">
            <w:pPr>
              <w:spacing w:line="200" w:lineRule="exact"/>
              <w:ind w:left="49"/>
              <w:rPr>
                <w:rFonts w:ascii="Times New Roman" w:eastAsia="Times New Roman" w:hAnsi="Times New Roman" w:cs="Times New Roman"/>
                <w:noProof/>
                <w:sz w:val="18"/>
                <w:szCs w:val="18"/>
              </w:rPr>
            </w:pPr>
            <w:r>
              <w:rPr>
                <w:rFonts w:ascii="Times New Roman" w:hAnsi="Times New Roman"/>
                <w:noProof/>
                <w:sz w:val="18"/>
              </w:rPr>
              <w:t>Rapport du secrétariat général pour l’investissement (SGPI)</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04" w14:textId="77777777" w:rsidR="00740F0F" w:rsidRPr="009447E5" w:rsidRDefault="00740F0F">
            <w:pPr>
              <w:rPr>
                <w:rFonts w:ascii="Times New Roman" w:eastAsia="Times New Roman" w:hAnsi="Times New Roman" w:cs="Times New Roman"/>
                <w:noProof/>
                <w:sz w:val="18"/>
                <w:szCs w:val="18"/>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05" w14:textId="77777777" w:rsidR="00740F0F" w:rsidRPr="009447E5" w:rsidRDefault="00740F0F">
            <w:pPr>
              <w:rPr>
                <w:rFonts w:ascii="Times New Roman" w:eastAsia="Times New Roman" w:hAnsi="Times New Roman" w:cs="Times New Roman"/>
                <w:noProof/>
                <w:sz w:val="18"/>
                <w:szCs w:val="18"/>
              </w:rPr>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06" w14:textId="77777777" w:rsidR="00740F0F" w:rsidRPr="009447E5" w:rsidRDefault="00740F0F">
            <w:pPr>
              <w:rPr>
                <w:rFonts w:ascii="Times New Roman" w:eastAsia="Times New Roman" w:hAnsi="Times New Roman" w:cs="Times New Roman"/>
                <w:noProof/>
                <w:sz w:val="18"/>
                <w:szCs w:val="18"/>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07" w14:textId="77777777" w:rsidR="00740F0F" w:rsidRPr="0029070D" w:rsidRDefault="00100B64">
            <w:pPr>
              <w:ind w:left="268" w:right="248"/>
              <w:jc w:val="center"/>
              <w:rPr>
                <w:rFonts w:ascii="Times New Roman" w:eastAsia="Times New Roman" w:hAnsi="Times New Roman" w:cs="Times New Roman"/>
                <w:noProof/>
                <w:sz w:val="18"/>
                <w:szCs w:val="18"/>
              </w:rPr>
            </w:pPr>
            <w:r>
              <w:rPr>
                <w:rFonts w:ascii="Times New Roman" w:hAnsi="Times New Roman"/>
                <w:noProof/>
                <w:sz w:val="18"/>
              </w:rPr>
              <w:t>T4</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08" w14:textId="77777777" w:rsidR="00740F0F" w:rsidRPr="0029070D" w:rsidRDefault="00100B64">
            <w:pPr>
              <w:ind w:left="213" w:right="73"/>
              <w:jc w:val="center"/>
              <w:rPr>
                <w:rFonts w:ascii="Times New Roman" w:eastAsia="Times New Roman" w:hAnsi="Times New Roman" w:cs="Times New Roman"/>
                <w:noProof/>
                <w:sz w:val="18"/>
                <w:szCs w:val="18"/>
              </w:rPr>
            </w:pPr>
            <w:r>
              <w:rPr>
                <w:rFonts w:ascii="Times New Roman" w:hAnsi="Times New Roman"/>
                <w:noProof/>
                <w:sz w:val="18"/>
              </w:rPr>
              <w:t>2024</w:t>
            </w:r>
          </w:p>
        </w:tc>
        <w:tc>
          <w:tcPr>
            <w:tcW w:w="38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09" w14:textId="77777777" w:rsidR="00740F0F" w:rsidRPr="0029070D" w:rsidRDefault="00100B64">
            <w:pPr>
              <w:ind w:left="70" w:right="248"/>
              <w:rPr>
                <w:rFonts w:ascii="Times New Roman" w:eastAsia="Times New Roman" w:hAnsi="Times New Roman" w:cs="Times New Roman"/>
                <w:noProof/>
                <w:sz w:val="18"/>
                <w:szCs w:val="18"/>
              </w:rPr>
            </w:pPr>
            <w:r>
              <w:rPr>
                <w:rFonts w:ascii="Times New Roman" w:hAnsi="Times New Roman"/>
                <w:noProof/>
                <w:sz w:val="18"/>
              </w:rPr>
              <w:t>Décision d’exécution du Premier ministre à l’issue des appels à propositions/appels à manifestation d’intérêt lancés dans le cadre du jalon 6-6; en vue de permettre la contractualisation avec les bénéficiaires au moyen de conventions de subvention ou d’autres contrats d’octroi de fonds.</w:t>
            </w:r>
          </w:p>
        </w:tc>
      </w:tr>
      <w:tr w:rsidR="00782477" w:rsidRPr="0029070D" w14:paraId="5A8AE516" w14:textId="77777777" w:rsidTr="00E409C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630"/>
          <w:jc w:val="center"/>
        </w:trPr>
        <w:tc>
          <w:tcPr>
            <w:tcW w:w="11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0B" w14:textId="77777777" w:rsidR="00740F0F" w:rsidRPr="0029070D" w:rsidRDefault="00100B64">
            <w:pPr>
              <w:ind w:left="446"/>
              <w:rPr>
                <w:rFonts w:ascii="Times New Roman" w:eastAsia="Times New Roman" w:hAnsi="Times New Roman" w:cs="Times New Roman"/>
                <w:noProof/>
                <w:sz w:val="18"/>
                <w:szCs w:val="18"/>
              </w:rPr>
            </w:pPr>
            <w:r>
              <w:rPr>
                <w:rFonts w:ascii="Times New Roman" w:hAnsi="Times New Roman"/>
                <w:noProof/>
                <w:sz w:val="18"/>
              </w:rPr>
              <w:t>6-8</w:t>
            </w:r>
          </w:p>
        </w:tc>
        <w:tc>
          <w:tcPr>
            <w:tcW w:w="11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0C" w14:textId="77777777" w:rsidR="00740F0F" w:rsidRPr="009447E5" w:rsidRDefault="00100B64">
            <w:pPr>
              <w:ind w:left="120"/>
              <w:jc w:val="center"/>
              <w:rPr>
                <w:rFonts w:ascii="Times New Roman" w:eastAsia="Times New Roman" w:hAnsi="Times New Roman" w:cs="Times New Roman"/>
                <w:noProof/>
                <w:sz w:val="18"/>
                <w:szCs w:val="18"/>
              </w:rPr>
            </w:pPr>
            <w:r>
              <w:rPr>
                <w:rFonts w:ascii="Times New Roman" w:hAnsi="Times New Roman"/>
                <w:noProof/>
                <w:sz w:val="18"/>
              </w:rPr>
              <w:t>C6.I3 PIA – entreprises innovantes</w:t>
            </w:r>
          </w:p>
        </w:tc>
        <w:tc>
          <w:tcPr>
            <w:tcW w:w="11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0D" w14:textId="77777777" w:rsidR="00740F0F" w:rsidRPr="0029070D" w:rsidRDefault="00100B64">
            <w:pPr>
              <w:ind w:left="120"/>
              <w:rPr>
                <w:rFonts w:ascii="Times New Roman" w:eastAsia="Times New Roman" w:hAnsi="Times New Roman" w:cs="Times New Roman"/>
                <w:noProof/>
                <w:sz w:val="18"/>
                <w:szCs w:val="18"/>
              </w:rPr>
            </w:pPr>
            <w:r>
              <w:rPr>
                <w:rFonts w:ascii="Times New Roman" w:hAnsi="Times New Roman"/>
                <w:noProof/>
                <w:sz w:val="18"/>
              </w:rPr>
              <w:t>Jalon</w:t>
            </w:r>
          </w:p>
        </w:tc>
        <w:tc>
          <w:tcPr>
            <w:tcW w:w="184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0E" w14:textId="77777777" w:rsidR="00740F0F" w:rsidRPr="0029070D" w:rsidRDefault="00100B64">
            <w:pPr>
              <w:spacing w:before="1" w:line="247" w:lineRule="auto"/>
              <w:ind w:left="47" w:right="47"/>
              <w:rPr>
                <w:rFonts w:ascii="Times New Roman" w:eastAsia="Times New Roman" w:hAnsi="Times New Roman" w:cs="Times New Roman"/>
                <w:noProof/>
                <w:sz w:val="18"/>
                <w:szCs w:val="18"/>
              </w:rPr>
            </w:pPr>
            <w:r>
              <w:rPr>
                <w:rFonts w:ascii="Times New Roman" w:hAnsi="Times New Roman"/>
                <w:noProof/>
                <w:sz w:val="18"/>
              </w:rPr>
              <w:t>Lancement de l’appel à propositions ou à manifestation d’intérêt</w:t>
            </w:r>
          </w:p>
        </w:tc>
        <w:tc>
          <w:tcPr>
            <w:tcW w:w="17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0F" w14:textId="4E46285C" w:rsidR="00740F0F" w:rsidRPr="009447E5" w:rsidRDefault="00100B64">
            <w:pPr>
              <w:spacing w:line="252" w:lineRule="auto"/>
              <w:ind w:left="49"/>
              <w:rPr>
                <w:rFonts w:ascii="Times New Roman" w:eastAsia="Times New Roman" w:hAnsi="Times New Roman" w:cs="Times New Roman"/>
                <w:noProof/>
                <w:sz w:val="18"/>
                <w:szCs w:val="18"/>
              </w:rPr>
            </w:pPr>
            <w:r>
              <w:rPr>
                <w:rFonts w:ascii="Times New Roman" w:hAnsi="Times New Roman"/>
                <w:noProof/>
                <w:sz w:val="18"/>
              </w:rPr>
              <w:t>Publication sur le site web du secrétariat général pour l’investissement (SGPI)</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10" w14:textId="77777777" w:rsidR="00740F0F" w:rsidRPr="009447E5" w:rsidRDefault="00740F0F">
            <w:pPr>
              <w:rPr>
                <w:rFonts w:ascii="Times New Roman" w:eastAsia="Times New Roman" w:hAnsi="Times New Roman" w:cs="Times New Roman"/>
                <w:noProof/>
                <w:sz w:val="18"/>
                <w:szCs w:val="18"/>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11" w14:textId="77777777" w:rsidR="00740F0F" w:rsidRPr="009447E5" w:rsidRDefault="00740F0F">
            <w:pPr>
              <w:rPr>
                <w:rFonts w:ascii="Times New Roman" w:eastAsia="Times New Roman" w:hAnsi="Times New Roman" w:cs="Times New Roman"/>
                <w:noProof/>
                <w:sz w:val="18"/>
                <w:szCs w:val="18"/>
              </w:rPr>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12" w14:textId="77777777" w:rsidR="00740F0F" w:rsidRPr="009447E5" w:rsidRDefault="00740F0F">
            <w:pPr>
              <w:rPr>
                <w:rFonts w:ascii="Times New Roman" w:eastAsia="Times New Roman" w:hAnsi="Times New Roman" w:cs="Times New Roman"/>
                <w:noProof/>
                <w:sz w:val="18"/>
                <w:szCs w:val="18"/>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13" w14:textId="77777777" w:rsidR="00740F0F" w:rsidRPr="0029070D" w:rsidRDefault="00100B64">
            <w:pPr>
              <w:ind w:left="268" w:right="248"/>
              <w:jc w:val="center"/>
              <w:rPr>
                <w:rFonts w:ascii="Times New Roman" w:eastAsia="Times New Roman" w:hAnsi="Times New Roman" w:cs="Times New Roman"/>
                <w:noProof/>
                <w:sz w:val="18"/>
                <w:szCs w:val="18"/>
              </w:rPr>
            </w:pPr>
            <w:r>
              <w:rPr>
                <w:rFonts w:ascii="Times New Roman" w:hAnsi="Times New Roman"/>
                <w:noProof/>
                <w:sz w:val="18"/>
              </w:rPr>
              <w:t>T4</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14" w14:textId="77777777" w:rsidR="00740F0F" w:rsidRPr="0029070D" w:rsidRDefault="00100B64">
            <w:pPr>
              <w:ind w:left="213" w:right="73"/>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38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15" w14:textId="77777777" w:rsidR="00740F0F" w:rsidRPr="0029070D" w:rsidRDefault="00100B64" w:rsidP="009E7E07">
            <w:pPr>
              <w:ind w:left="57" w:right="57"/>
              <w:rPr>
                <w:rFonts w:ascii="Times New Roman" w:eastAsia="Times New Roman" w:hAnsi="Times New Roman" w:cs="Times New Roman"/>
                <w:noProof/>
                <w:sz w:val="18"/>
                <w:szCs w:val="18"/>
              </w:rPr>
            </w:pPr>
            <w:r>
              <w:rPr>
                <w:rFonts w:ascii="Times New Roman" w:hAnsi="Times New Roman"/>
                <w:noProof/>
                <w:sz w:val="18"/>
              </w:rPr>
              <w:t>Tous les appels à propositions ou à manifestation d’intérêt de cette mesure ont été lancés pour les aides à l’innovation comprenant les concours d’innovation à destination des start-up et des PME, et les projets de R&amp;D, avec des cahiers des charges intégrant un critère d’éligibilité permettant d’assurer la neutralité environnementale des applications de la solution financée.</w:t>
            </w:r>
          </w:p>
        </w:tc>
      </w:tr>
      <w:tr w:rsidR="00782477" w:rsidRPr="0029070D" w14:paraId="5A8AE522" w14:textId="77777777" w:rsidTr="00E409C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333"/>
          <w:jc w:val="center"/>
        </w:trPr>
        <w:tc>
          <w:tcPr>
            <w:tcW w:w="11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17" w14:textId="77777777" w:rsidR="00740F0F" w:rsidRPr="0029070D" w:rsidRDefault="00100B64">
            <w:pPr>
              <w:ind w:left="446"/>
              <w:rPr>
                <w:rFonts w:ascii="Times New Roman" w:eastAsia="Times New Roman" w:hAnsi="Times New Roman" w:cs="Times New Roman"/>
                <w:noProof/>
                <w:sz w:val="18"/>
                <w:szCs w:val="18"/>
              </w:rPr>
            </w:pPr>
            <w:r>
              <w:rPr>
                <w:rFonts w:ascii="Times New Roman" w:hAnsi="Times New Roman"/>
                <w:noProof/>
                <w:sz w:val="18"/>
              </w:rPr>
              <w:t>6-9</w:t>
            </w:r>
          </w:p>
        </w:tc>
        <w:tc>
          <w:tcPr>
            <w:tcW w:w="11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18" w14:textId="77777777" w:rsidR="00740F0F" w:rsidRPr="009447E5" w:rsidRDefault="00100B64">
            <w:pPr>
              <w:ind w:left="119"/>
              <w:jc w:val="center"/>
              <w:rPr>
                <w:rFonts w:ascii="Times New Roman" w:eastAsia="Times New Roman" w:hAnsi="Times New Roman" w:cs="Times New Roman"/>
                <w:noProof/>
                <w:sz w:val="18"/>
                <w:szCs w:val="18"/>
              </w:rPr>
            </w:pPr>
            <w:r>
              <w:rPr>
                <w:rFonts w:ascii="Times New Roman" w:hAnsi="Times New Roman"/>
                <w:noProof/>
                <w:sz w:val="18"/>
              </w:rPr>
              <w:t>C6.I3 PIA – entreprises innovantes</w:t>
            </w:r>
          </w:p>
        </w:tc>
        <w:tc>
          <w:tcPr>
            <w:tcW w:w="11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19" w14:textId="77777777" w:rsidR="00740F0F" w:rsidRPr="0029070D" w:rsidRDefault="00100B64">
            <w:pPr>
              <w:ind w:left="120"/>
              <w:rPr>
                <w:rFonts w:ascii="Times New Roman" w:eastAsia="Times New Roman" w:hAnsi="Times New Roman" w:cs="Times New Roman"/>
                <w:noProof/>
                <w:sz w:val="18"/>
                <w:szCs w:val="18"/>
              </w:rPr>
            </w:pPr>
            <w:r>
              <w:rPr>
                <w:rFonts w:ascii="Times New Roman" w:hAnsi="Times New Roman"/>
                <w:noProof/>
                <w:sz w:val="18"/>
              </w:rPr>
              <w:t>Jalon</w:t>
            </w:r>
          </w:p>
        </w:tc>
        <w:tc>
          <w:tcPr>
            <w:tcW w:w="184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1A" w14:textId="77777777" w:rsidR="00740F0F" w:rsidRPr="0029070D" w:rsidRDefault="00100B64">
            <w:pPr>
              <w:ind w:left="47"/>
              <w:rPr>
                <w:rFonts w:ascii="Times New Roman" w:eastAsia="Times New Roman" w:hAnsi="Times New Roman" w:cs="Times New Roman"/>
                <w:noProof/>
                <w:sz w:val="18"/>
                <w:szCs w:val="18"/>
              </w:rPr>
            </w:pPr>
            <w:r>
              <w:rPr>
                <w:rFonts w:ascii="Times New Roman" w:hAnsi="Times New Roman"/>
                <w:noProof/>
                <w:sz w:val="18"/>
              </w:rPr>
              <w:t>Attribution des marchés – décision d’exécution du Premier ministre</w:t>
            </w:r>
          </w:p>
        </w:tc>
        <w:tc>
          <w:tcPr>
            <w:tcW w:w="17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1B" w14:textId="688CC6F2" w:rsidR="00740F0F" w:rsidRPr="009447E5" w:rsidRDefault="00100B64">
            <w:pPr>
              <w:ind w:left="49"/>
              <w:rPr>
                <w:rFonts w:ascii="Times New Roman" w:eastAsia="Times New Roman" w:hAnsi="Times New Roman" w:cs="Times New Roman"/>
                <w:noProof/>
                <w:sz w:val="18"/>
                <w:szCs w:val="18"/>
              </w:rPr>
            </w:pPr>
            <w:r>
              <w:rPr>
                <w:rFonts w:ascii="Times New Roman" w:hAnsi="Times New Roman"/>
                <w:noProof/>
                <w:sz w:val="18"/>
              </w:rPr>
              <w:t>Rapport du secrétariat général pour l’investissement (SGPI)</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1C" w14:textId="77777777" w:rsidR="00740F0F" w:rsidRPr="009447E5" w:rsidRDefault="00740F0F">
            <w:pPr>
              <w:rPr>
                <w:rFonts w:ascii="Times New Roman" w:eastAsia="Times New Roman" w:hAnsi="Times New Roman" w:cs="Times New Roman"/>
                <w:noProof/>
                <w:sz w:val="18"/>
                <w:szCs w:val="18"/>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1D" w14:textId="77777777" w:rsidR="00740F0F" w:rsidRPr="009447E5" w:rsidRDefault="00740F0F">
            <w:pPr>
              <w:rPr>
                <w:rFonts w:ascii="Times New Roman" w:eastAsia="Times New Roman" w:hAnsi="Times New Roman" w:cs="Times New Roman"/>
                <w:noProof/>
                <w:sz w:val="18"/>
                <w:szCs w:val="18"/>
              </w:rPr>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1E" w14:textId="77777777" w:rsidR="00740F0F" w:rsidRPr="009447E5" w:rsidRDefault="00740F0F">
            <w:pPr>
              <w:rPr>
                <w:rFonts w:ascii="Times New Roman" w:eastAsia="Times New Roman" w:hAnsi="Times New Roman" w:cs="Times New Roman"/>
                <w:noProof/>
                <w:sz w:val="18"/>
                <w:szCs w:val="18"/>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1F" w14:textId="77777777" w:rsidR="00740F0F" w:rsidRPr="0029070D" w:rsidRDefault="00100B64">
            <w:pPr>
              <w:ind w:left="268" w:right="248"/>
              <w:jc w:val="center"/>
              <w:rPr>
                <w:rFonts w:ascii="Times New Roman" w:eastAsia="Times New Roman" w:hAnsi="Times New Roman" w:cs="Times New Roman"/>
                <w:noProof/>
                <w:sz w:val="18"/>
                <w:szCs w:val="18"/>
              </w:rPr>
            </w:pPr>
            <w:r>
              <w:rPr>
                <w:rFonts w:ascii="Times New Roman" w:hAnsi="Times New Roman"/>
                <w:noProof/>
                <w:sz w:val="18"/>
              </w:rPr>
              <w:t>T4</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20" w14:textId="77777777" w:rsidR="00740F0F" w:rsidRPr="0029070D" w:rsidRDefault="00100B64">
            <w:pPr>
              <w:ind w:left="213" w:right="73"/>
              <w:jc w:val="center"/>
              <w:rPr>
                <w:rFonts w:ascii="Times New Roman" w:eastAsia="Times New Roman" w:hAnsi="Times New Roman" w:cs="Times New Roman"/>
                <w:noProof/>
                <w:sz w:val="18"/>
                <w:szCs w:val="18"/>
              </w:rPr>
            </w:pPr>
            <w:r>
              <w:rPr>
                <w:rFonts w:ascii="Times New Roman" w:hAnsi="Times New Roman"/>
                <w:noProof/>
                <w:sz w:val="18"/>
              </w:rPr>
              <w:t>2024</w:t>
            </w:r>
          </w:p>
        </w:tc>
        <w:tc>
          <w:tcPr>
            <w:tcW w:w="38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21" w14:textId="77777777" w:rsidR="00740F0F" w:rsidRPr="0029070D" w:rsidRDefault="00100B64">
            <w:pPr>
              <w:spacing w:line="264" w:lineRule="auto"/>
              <w:ind w:left="70" w:right="45"/>
              <w:rPr>
                <w:rFonts w:ascii="Times New Roman" w:eastAsia="Times New Roman" w:hAnsi="Times New Roman" w:cs="Times New Roman"/>
                <w:noProof/>
                <w:sz w:val="18"/>
                <w:szCs w:val="18"/>
              </w:rPr>
            </w:pPr>
            <w:r>
              <w:rPr>
                <w:rFonts w:ascii="Times New Roman" w:hAnsi="Times New Roman"/>
                <w:noProof/>
                <w:sz w:val="18"/>
              </w:rPr>
              <w:t>Décision d’exécution du Premier ministre à l’issue des appels à propositions/appels à manifestation d’intérêt lancés dans le cadre du jalon 6-8; en vue de permettre la contractualisation avec les bénéficiaires au moyen de l’octroi de fonds.</w:t>
            </w:r>
          </w:p>
        </w:tc>
      </w:tr>
      <w:tr w:rsidR="00782477" w:rsidRPr="0029070D" w14:paraId="5A8AE52F" w14:textId="77777777" w:rsidTr="00E409C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668"/>
          <w:jc w:val="center"/>
        </w:trPr>
        <w:tc>
          <w:tcPr>
            <w:tcW w:w="11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23" w14:textId="77777777" w:rsidR="00740F0F" w:rsidRPr="0029070D" w:rsidRDefault="00100B64">
            <w:pPr>
              <w:spacing w:before="1"/>
              <w:ind w:left="395"/>
              <w:rPr>
                <w:rFonts w:ascii="Times New Roman" w:eastAsia="Times New Roman" w:hAnsi="Times New Roman" w:cs="Times New Roman"/>
                <w:noProof/>
                <w:sz w:val="18"/>
                <w:szCs w:val="18"/>
              </w:rPr>
            </w:pPr>
            <w:r>
              <w:rPr>
                <w:rFonts w:ascii="Times New Roman" w:hAnsi="Times New Roman"/>
                <w:noProof/>
                <w:sz w:val="18"/>
              </w:rPr>
              <w:t>6-10</w:t>
            </w:r>
          </w:p>
        </w:tc>
        <w:tc>
          <w:tcPr>
            <w:tcW w:w="11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24" w14:textId="77777777" w:rsidR="00740F0F" w:rsidRPr="0029070D" w:rsidRDefault="00100B64">
            <w:pPr>
              <w:jc w:val="center"/>
              <w:rPr>
                <w:rFonts w:ascii="Times New Roman" w:eastAsia="Times New Roman" w:hAnsi="Times New Roman" w:cs="Times New Roman"/>
                <w:noProof/>
                <w:sz w:val="18"/>
                <w:szCs w:val="18"/>
              </w:rPr>
            </w:pPr>
            <w:r>
              <w:rPr>
                <w:rFonts w:ascii="Times New Roman" w:hAnsi="Times New Roman"/>
                <w:noProof/>
                <w:sz w:val="18"/>
              </w:rPr>
              <w:t>C6.I4</w:t>
            </w:r>
          </w:p>
          <w:p w14:paraId="5A8AE525" w14:textId="77777777" w:rsidR="00740F0F" w:rsidRPr="0029070D" w:rsidRDefault="00100B64">
            <w:pPr>
              <w:ind w:left="8"/>
              <w:jc w:val="center"/>
              <w:rPr>
                <w:rFonts w:ascii="Times New Roman" w:eastAsia="Times New Roman" w:hAnsi="Times New Roman" w:cs="Times New Roman"/>
                <w:noProof/>
                <w:sz w:val="18"/>
                <w:szCs w:val="18"/>
              </w:rPr>
            </w:pPr>
            <w:r>
              <w:rPr>
                <w:rFonts w:ascii="Times New Roman" w:hAnsi="Times New Roman"/>
                <w:noProof/>
                <w:sz w:val="18"/>
              </w:rPr>
              <w:t>Spatial</w:t>
            </w:r>
          </w:p>
        </w:tc>
        <w:tc>
          <w:tcPr>
            <w:tcW w:w="11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26" w14:textId="77777777" w:rsidR="00740F0F" w:rsidRPr="0029070D" w:rsidRDefault="00100B64">
            <w:pPr>
              <w:spacing w:before="1"/>
              <w:ind w:left="120"/>
              <w:rPr>
                <w:rFonts w:ascii="Times New Roman" w:eastAsia="Times New Roman" w:hAnsi="Times New Roman" w:cs="Times New Roman"/>
                <w:noProof/>
                <w:sz w:val="18"/>
                <w:szCs w:val="18"/>
              </w:rPr>
            </w:pPr>
            <w:r>
              <w:rPr>
                <w:rFonts w:ascii="Times New Roman" w:hAnsi="Times New Roman"/>
                <w:noProof/>
                <w:sz w:val="18"/>
              </w:rPr>
              <w:t>Cible</w:t>
            </w:r>
          </w:p>
        </w:tc>
        <w:tc>
          <w:tcPr>
            <w:tcW w:w="184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27" w14:textId="77777777" w:rsidR="00740F0F" w:rsidRPr="0029070D" w:rsidRDefault="00100B64">
            <w:pPr>
              <w:spacing w:line="247" w:lineRule="auto"/>
              <w:ind w:left="47" w:right="81"/>
              <w:rPr>
                <w:rFonts w:ascii="Times New Roman" w:eastAsia="Times New Roman" w:hAnsi="Times New Roman" w:cs="Times New Roman"/>
                <w:noProof/>
                <w:sz w:val="18"/>
                <w:szCs w:val="18"/>
              </w:rPr>
            </w:pPr>
            <w:r>
              <w:rPr>
                <w:rFonts w:ascii="Times New Roman" w:hAnsi="Times New Roman"/>
                <w:noProof/>
                <w:sz w:val="18"/>
              </w:rPr>
              <w:t>Attribution des marchés aux bénéficiaires</w:t>
            </w:r>
          </w:p>
        </w:tc>
        <w:tc>
          <w:tcPr>
            <w:tcW w:w="17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28" w14:textId="77777777" w:rsidR="00740F0F" w:rsidRPr="0029070D" w:rsidRDefault="00740F0F">
            <w:pPr>
              <w:rPr>
                <w:rFonts w:ascii="Times New Roman" w:eastAsia="Times New Roman" w:hAnsi="Times New Roman" w:cs="Times New Roman"/>
                <w:noProof/>
                <w:sz w:val="18"/>
                <w:szCs w:val="18"/>
              </w:rPr>
            </w:pP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29" w14:textId="77777777" w:rsidR="00740F0F" w:rsidRPr="0029070D" w:rsidRDefault="00100B64">
            <w:pPr>
              <w:spacing w:before="1" w:line="242" w:lineRule="auto"/>
              <w:jc w:val="center"/>
              <w:rPr>
                <w:rFonts w:ascii="Times New Roman" w:eastAsia="Times New Roman" w:hAnsi="Times New Roman" w:cs="Times New Roman"/>
                <w:noProof/>
                <w:sz w:val="18"/>
                <w:szCs w:val="18"/>
              </w:rPr>
            </w:pPr>
            <w:r>
              <w:rPr>
                <w:rFonts w:ascii="Times New Roman" w:hAnsi="Times New Roman"/>
                <w:noProof/>
                <w:sz w:val="18"/>
              </w:rPr>
              <w:t>Montants (en millions d’euros)</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2A" w14:textId="77777777" w:rsidR="00740F0F" w:rsidRPr="0029070D" w:rsidRDefault="00100B64">
            <w:pPr>
              <w:spacing w:before="1"/>
              <w:ind w:left="114"/>
              <w:jc w:val="center"/>
              <w:rPr>
                <w:rFonts w:ascii="Times New Roman" w:eastAsia="Times New Roman" w:hAnsi="Times New Roman" w:cs="Times New Roman"/>
                <w:noProof/>
                <w:sz w:val="18"/>
                <w:szCs w:val="18"/>
              </w:rPr>
            </w:pPr>
            <w:r>
              <w:rPr>
                <w:rFonts w:ascii="Times New Roman" w:hAnsi="Times New Roman"/>
                <w:noProof/>
                <w:sz w:val="18"/>
              </w:rPr>
              <w:t>0</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2B" w14:textId="77777777" w:rsidR="00740F0F" w:rsidRPr="0029070D" w:rsidRDefault="00100B64">
            <w:pPr>
              <w:spacing w:before="1"/>
              <w:ind w:left="397"/>
              <w:rPr>
                <w:rFonts w:ascii="Times New Roman" w:eastAsia="Times New Roman" w:hAnsi="Times New Roman" w:cs="Times New Roman"/>
                <w:noProof/>
                <w:sz w:val="18"/>
                <w:szCs w:val="18"/>
              </w:rPr>
            </w:pPr>
            <w:r>
              <w:rPr>
                <w:rFonts w:ascii="Times New Roman" w:hAnsi="Times New Roman"/>
                <w:noProof/>
                <w:sz w:val="18"/>
              </w:rPr>
              <w:t>200</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2C" w14:textId="77777777" w:rsidR="00740F0F" w:rsidRPr="0029070D" w:rsidRDefault="00100B64">
            <w:pPr>
              <w:spacing w:before="1"/>
              <w:ind w:left="268" w:right="248"/>
              <w:jc w:val="center"/>
              <w:rPr>
                <w:rFonts w:ascii="Times New Roman" w:eastAsia="Times New Roman" w:hAnsi="Times New Roman" w:cs="Times New Roman"/>
                <w:noProof/>
                <w:sz w:val="18"/>
                <w:szCs w:val="18"/>
              </w:rPr>
            </w:pPr>
            <w:r>
              <w:rPr>
                <w:rFonts w:ascii="Times New Roman" w:hAnsi="Times New Roman"/>
                <w:noProof/>
                <w:sz w:val="18"/>
              </w:rPr>
              <w:t>T1</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2D" w14:textId="77777777" w:rsidR="00740F0F" w:rsidRPr="0029070D" w:rsidRDefault="00100B64">
            <w:pPr>
              <w:spacing w:before="1"/>
              <w:ind w:left="213" w:right="73"/>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38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2E" w14:textId="77777777" w:rsidR="00740F0F" w:rsidRPr="0029070D" w:rsidRDefault="00100B64">
            <w:pPr>
              <w:spacing w:line="247" w:lineRule="auto"/>
              <w:ind w:left="70" w:right="118"/>
              <w:rPr>
                <w:rFonts w:ascii="Times New Roman" w:eastAsia="Times New Roman" w:hAnsi="Times New Roman" w:cs="Times New Roman"/>
                <w:noProof/>
                <w:sz w:val="18"/>
                <w:szCs w:val="18"/>
              </w:rPr>
            </w:pPr>
            <w:r>
              <w:rPr>
                <w:rFonts w:ascii="Times New Roman" w:hAnsi="Times New Roman"/>
                <w:noProof/>
                <w:sz w:val="18"/>
              </w:rPr>
              <w:t>200</w:t>
            </w:r>
            <w:r>
              <w:rPr>
                <w:rFonts w:ascii="Times New Roman" w:hAnsi="Times New Roman"/>
                <w:noProof/>
                <w:sz w:val="20"/>
              </w:rPr>
              <w:t> </w:t>
            </w:r>
            <w:r>
              <w:rPr>
                <w:rFonts w:ascii="Times New Roman" w:hAnsi="Times New Roman"/>
                <w:noProof/>
                <w:sz w:val="18"/>
              </w:rPr>
              <w:t>000</w:t>
            </w:r>
            <w:r>
              <w:rPr>
                <w:rFonts w:ascii="Times New Roman" w:hAnsi="Times New Roman"/>
                <w:noProof/>
                <w:sz w:val="20"/>
              </w:rPr>
              <w:t> </w:t>
            </w:r>
            <w:r>
              <w:rPr>
                <w:rFonts w:ascii="Times New Roman" w:hAnsi="Times New Roman"/>
                <w:noProof/>
                <w:sz w:val="18"/>
              </w:rPr>
              <w:t>000 EUR de marchés avec les bénéficiaires i) des appels à projets dans des domaines pertinents pour le secteur spatial et du concours national d’applications spatiales («Space Tour 2021»); et ii) des projets à Vernon (récupération d’hydrogène, parc de panneaux solaires, modernisation du centre d’essai des moteurs de fusées).</w:t>
            </w:r>
          </w:p>
        </w:tc>
      </w:tr>
      <w:tr w:rsidR="00782477" w:rsidRPr="0029070D" w14:paraId="5A8AE53C" w14:textId="77777777" w:rsidTr="00E409C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916"/>
          <w:jc w:val="center"/>
        </w:trPr>
        <w:tc>
          <w:tcPr>
            <w:tcW w:w="11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30" w14:textId="77777777" w:rsidR="00740F0F" w:rsidRPr="0029070D" w:rsidRDefault="00100B64">
            <w:pPr>
              <w:ind w:left="395"/>
              <w:rPr>
                <w:rFonts w:ascii="Times New Roman" w:eastAsia="Times New Roman" w:hAnsi="Times New Roman" w:cs="Times New Roman"/>
                <w:noProof/>
                <w:sz w:val="18"/>
                <w:szCs w:val="18"/>
              </w:rPr>
            </w:pPr>
            <w:r>
              <w:rPr>
                <w:rFonts w:ascii="Times New Roman" w:hAnsi="Times New Roman"/>
                <w:noProof/>
                <w:sz w:val="18"/>
              </w:rPr>
              <w:t>6-11</w:t>
            </w:r>
          </w:p>
        </w:tc>
        <w:tc>
          <w:tcPr>
            <w:tcW w:w="11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31" w14:textId="77777777" w:rsidR="00740F0F" w:rsidRPr="0029070D" w:rsidRDefault="00100B64">
            <w:pPr>
              <w:jc w:val="center"/>
              <w:rPr>
                <w:rFonts w:ascii="Times New Roman" w:eastAsia="Times New Roman" w:hAnsi="Times New Roman" w:cs="Times New Roman"/>
                <w:noProof/>
                <w:sz w:val="18"/>
                <w:szCs w:val="18"/>
              </w:rPr>
            </w:pPr>
            <w:r>
              <w:rPr>
                <w:rFonts w:ascii="Times New Roman" w:hAnsi="Times New Roman"/>
                <w:noProof/>
                <w:sz w:val="18"/>
              </w:rPr>
              <w:t>C6.I4</w:t>
            </w:r>
          </w:p>
          <w:p w14:paraId="5A8AE532" w14:textId="77777777" w:rsidR="00740F0F" w:rsidRPr="0029070D" w:rsidRDefault="00100B64">
            <w:pPr>
              <w:ind w:left="8"/>
              <w:jc w:val="center"/>
              <w:rPr>
                <w:rFonts w:ascii="Times New Roman" w:eastAsia="Times New Roman" w:hAnsi="Times New Roman" w:cs="Times New Roman"/>
                <w:noProof/>
                <w:sz w:val="18"/>
                <w:szCs w:val="18"/>
              </w:rPr>
            </w:pPr>
            <w:r>
              <w:rPr>
                <w:rFonts w:ascii="Times New Roman" w:hAnsi="Times New Roman"/>
                <w:noProof/>
                <w:sz w:val="18"/>
              </w:rPr>
              <w:t>Spatial</w:t>
            </w:r>
          </w:p>
        </w:tc>
        <w:tc>
          <w:tcPr>
            <w:tcW w:w="11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33" w14:textId="77777777" w:rsidR="00740F0F" w:rsidRPr="0029070D" w:rsidRDefault="00100B64">
            <w:pPr>
              <w:ind w:left="120"/>
              <w:rPr>
                <w:rFonts w:ascii="Times New Roman" w:eastAsia="Times New Roman" w:hAnsi="Times New Roman" w:cs="Times New Roman"/>
                <w:noProof/>
                <w:sz w:val="18"/>
                <w:szCs w:val="18"/>
              </w:rPr>
            </w:pPr>
            <w:r>
              <w:rPr>
                <w:rFonts w:ascii="Times New Roman" w:hAnsi="Times New Roman"/>
                <w:noProof/>
                <w:sz w:val="18"/>
              </w:rPr>
              <w:t>Cible</w:t>
            </w:r>
          </w:p>
        </w:tc>
        <w:tc>
          <w:tcPr>
            <w:tcW w:w="184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34" w14:textId="77777777" w:rsidR="00740F0F" w:rsidRPr="0029070D" w:rsidRDefault="00100B64">
            <w:pPr>
              <w:spacing w:line="242" w:lineRule="auto"/>
              <w:ind w:right="81"/>
              <w:rPr>
                <w:rFonts w:ascii="Times New Roman" w:eastAsia="Times New Roman" w:hAnsi="Times New Roman" w:cs="Times New Roman"/>
                <w:noProof/>
                <w:sz w:val="18"/>
                <w:szCs w:val="18"/>
              </w:rPr>
            </w:pPr>
            <w:r>
              <w:rPr>
                <w:rFonts w:ascii="Times New Roman" w:hAnsi="Times New Roman"/>
                <w:noProof/>
                <w:sz w:val="18"/>
              </w:rPr>
              <w:t>Nombre de bénéficiaires</w:t>
            </w:r>
          </w:p>
        </w:tc>
        <w:tc>
          <w:tcPr>
            <w:tcW w:w="17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35" w14:textId="77777777" w:rsidR="00740F0F" w:rsidRPr="0029070D" w:rsidRDefault="00740F0F">
            <w:pPr>
              <w:rPr>
                <w:rFonts w:ascii="Times New Roman" w:eastAsia="Times New Roman" w:hAnsi="Times New Roman" w:cs="Times New Roman"/>
                <w:noProof/>
                <w:sz w:val="18"/>
                <w:szCs w:val="18"/>
              </w:rPr>
            </w:pP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36" w14:textId="77777777" w:rsidR="00740F0F" w:rsidRPr="0029070D" w:rsidRDefault="00100B64">
            <w:pPr>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37" w14:textId="77777777" w:rsidR="00740F0F" w:rsidRPr="0029070D" w:rsidRDefault="00100B64">
            <w:pPr>
              <w:ind w:left="114"/>
              <w:jc w:val="center"/>
              <w:rPr>
                <w:rFonts w:ascii="Times New Roman" w:eastAsia="Times New Roman" w:hAnsi="Times New Roman" w:cs="Times New Roman"/>
                <w:noProof/>
                <w:sz w:val="18"/>
                <w:szCs w:val="18"/>
              </w:rPr>
            </w:pPr>
            <w:r>
              <w:rPr>
                <w:rFonts w:ascii="Times New Roman" w:hAnsi="Times New Roman"/>
                <w:noProof/>
                <w:sz w:val="18"/>
              </w:rPr>
              <w:t>0</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38" w14:textId="77777777" w:rsidR="00740F0F" w:rsidRPr="0029070D" w:rsidRDefault="00100B64">
            <w:pPr>
              <w:ind w:left="442"/>
              <w:rPr>
                <w:rFonts w:ascii="Times New Roman" w:eastAsia="Times New Roman" w:hAnsi="Times New Roman" w:cs="Times New Roman"/>
                <w:noProof/>
                <w:sz w:val="18"/>
                <w:szCs w:val="18"/>
              </w:rPr>
            </w:pPr>
            <w:r>
              <w:rPr>
                <w:rFonts w:ascii="Times New Roman" w:hAnsi="Times New Roman"/>
                <w:noProof/>
                <w:sz w:val="18"/>
              </w:rPr>
              <w:t>80</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39" w14:textId="77777777" w:rsidR="00740F0F" w:rsidRPr="0029070D" w:rsidRDefault="00100B64">
            <w:pPr>
              <w:ind w:left="268" w:right="248"/>
              <w:jc w:val="center"/>
              <w:rPr>
                <w:rFonts w:ascii="Times New Roman" w:eastAsia="Times New Roman" w:hAnsi="Times New Roman" w:cs="Times New Roman"/>
                <w:noProof/>
                <w:sz w:val="18"/>
                <w:szCs w:val="18"/>
              </w:rPr>
            </w:pPr>
            <w:r>
              <w:rPr>
                <w:rFonts w:ascii="Times New Roman" w:hAnsi="Times New Roman"/>
                <w:noProof/>
                <w:sz w:val="18"/>
              </w:rPr>
              <w:t>T1</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3A" w14:textId="77777777" w:rsidR="00740F0F" w:rsidRPr="0029070D" w:rsidRDefault="00100B64">
            <w:pPr>
              <w:ind w:left="213" w:right="73"/>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38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3B" w14:textId="77777777" w:rsidR="00740F0F" w:rsidRPr="0029070D" w:rsidRDefault="00100B64">
            <w:pPr>
              <w:spacing w:line="256" w:lineRule="auto"/>
              <w:ind w:left="70"/>
              <w:rPr>
                <w:rFonts w:ascii="Times New Roman" w:eastAsia="Times New Roman" w:hAnsi="Times New Roman" w:cs="Times New Roman"/>
                <w:noProof/>
                <w:sz w:val="18"/>
                <w:szCs w:val="18"/>
              </w:rPr>
            </w:pPr>
            <w:r>
              <w:rPr>
                <w:rFonts w:ascii="Times New Roman" w:hAnsi="Times New Roman"/>
                <w:noProof/>
                <w:sz w:val="18"/>
              </w:rPr>
              <w:t>Nombre de bénéficiaires d’appels à projets dans des domaines pertinents pour le secteur spatial et concours national d’applications spatiales («Space Tour 2021»)</w:t>
            </w:r>
          </w:p>
        </w:tc>
      </w:tr>
      <w:tr w:rsidR="00782477" w:rsidRPr="0029070D" w14:paraId="5A8AE549" w14:textId="77777777" w:rsidTr="00E409C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804"/>
          <w:jc w:val="center"/>
        </w:trPr>
        <w:tc>
          <w:tcPr>
            <w:tcW w:w="11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3D" w14:textId="77777777" w:rsidR="00740F0F" w:rsidRPr="0029070D" w:rsidRDefault="00100B64">
            <w:pPr>
              <w:spacing w:before="1"/>
              <w:ind w:left="395"/>
              <w:rPr>
                <w:rFonts w:ascii="Times New Roman" w:eastAsia="Times New Roman" w:hAnsi="Times New Roman" w:cs="Times New Roman"/>
                <w:noProof/>
                <w:sz w:val="18"/>
                <w:szCs w:val="18"/>
              </w:rPr>
            </w:pPr>
            <w:r>
              <w:rPr>
                <w:rFonts w:ascii="Times New Roman" w:hAnsi="Times New Roman"/>
                <w:noProof/>
                <w:sz w:val="18"/>
              </w:rPr>
              <w:t>6-12</w:t>
            </w:r>
          </w:p>
        </w:tc>
        <w:tc>
          <w:tcPr>
            <w:tcW w:w="11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3E" w14:textId="77777777" w:rsidR="00740F0F" w:rsidRPr="0029070D" w:rsidRDefault="00100B64">
            <w:pPr>
              <w:ind w:left="8"/>
              <w:jc w:val="center"/>
              <w:rPr>
                <w:rFonts w:ascii="Times New Roman" w:eastAsia="Times New Roman" w:hAnsi="Times New Roman" w:cs="Times New Roman"/>
                <w:noProof/>
                <w:sz w:val="18"/>
                <w:szCs w:val="18"/>
              </w:rPr>
            </w:pPr>
            <w:r>
              <w:rPr>
                <w:rFonts w:ascii="Times New Roman" w:hAnsi="Times New Roman"/>
                <w:noProof/>
                <w:sz w:val="18"/>
              </w:rPr>
              <w:t>C6.I4</w:t>
            </w:r>
          </w:p>
          <w:p w14:paraId="5A8AE53F" w14:textId="77777777" w:rsidR="00740F0F" w:rsidRPr="0029070D" w:rsidRDefault="00100B64">
            <w:pPr>
              <w:jc w:val="center"/>
              <w:rPr>
                <w:rFonts w:ascii="Times New Roman" w:eastAsia="Times New Roman" w:hAnsi="Times New Roman" w:cs="Times New Roman"/>
                <w:noProof/>
                <w:sz w:val="18"/>
                <w:szCs w:val="18"/>
              </w:rPr>
            </w:pPr>
            <w:r>
              <w:rPr>
                <w:rFonts w:ascii="Times New Roman" w:hAnsi="Times New Roman"/>
                <w:noProof/>
                <w:sz w:val="18"/>
              </w:rPr>
              <w:t>Spatial</w:t>
            </w:r>
          </w:p>
        </w:tc>
        <w:tc>
          <w:tcPr>
            <w:tcW w:w="11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40" w14:textId="77777777" w:rsidR="00740F0F" w:rsidRPr="0029070D" w:rsidRDefault="00100B64">
            <w:pPr>
              <w:spacing w:before="1"/>
              <w:ind w:left="120"/>
              <w:rPr>
                <w:rFonts w:ascii="Times New Roman" w:eastAsia="Times New Roman" w:hAnsi="Times New Roman" w:cs="Times New Roman"/>
                <w:noProof/>
                <w:sz w:val="18"/>
                <w:szCs w:val="18"/>
              </w:rPr>
            </w:pPr>
            <w:r>
              <w:rPr>
                <w:rFonts w:ascii="Times New Roman" w:hAnsi="Times New Roman"/>
                <w:noProof/>
                <w:sz w:val="18"/>
              </w:rPr>
              <w:t>Jalon</w:t>
            </w:r>
          </w:p>
        </w:tc>
        <w:tc>
          <w:tcPr>
            <w:tcW w:w="184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41" w14:textId="77777777" w:rsidR="00740F0F" w:rsidRPr="0029070D" w:rsidRDefault="00100B64">
            <w:pPr>
              <w:spacing w:before="1"/>
              <w:ind w:left="47" w:right="8"/>
              <w:rPr>
                <w:rFonts w:ascii="Times New Roman" w:eastAsia="Times New Roman" w:hAnsi="Times New Roman" w:cs="Times New Roman"/>
                <w:noProof/>
                <w:sz w:val="18"/>
                <w:szCs w:val="18"/>
              </w:rPr>
            </w:pPr>
            <w:r>
              <w:rPr>
                <w:rFonts w:ascii="Times New Roman" w:hAnsi="Times New Roman"/>
                <w:noProof/>
                <w:sz w:val="18"/>
              </w:rPr>
              <w:t>Investissements dans Ariane 6</w:t>
            </w:r>
          </w:p>
        </w:tc>
        <w:tc>
          <w:tcPr>
            <w:tcW w:w="17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42" w14:textId="77777777" w:rsidR="00740F0F" w:rsidRPr="0029070D" w:rsidRDefault="00100B64">
            <w:pPr>
              <w:spacing w:line="254" w:lineRule="auto"/>
              <w:rPr>
                <w:rFonts w:ascii="Times New Roman" w:eastAsia="Times New Roman" w:hAnsi="Times New Roman" w:cs="Times New Roman"/>
                <w:noProof/>
                <w:sz w:val="18"/>
                <w:szCs w:val="18"/>
              </w:rPr>
            </w:pPr>
            <w:r>
              <w:rPr>
                <w:rFonts w:ascii="Times New Roman" w:hAnsi="Times New Roman"/>
                <w:noProof/>
                <w:sz w:val="18"/>
              </w:rPr>
              <w:t>Suivi des progrès de l’Agence spatiale européenne par le Centre national d’études spatiales (CNES)</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43" w14:textId="77777777" w:rsidR="00740F0F" w:rsidRPr="0029070D" w:rsidRDefault="00740F0F">
            <w:pPr>
              <w:rPr>
                <w:rFonts w:ascii="Times New Roman" w:eastAsia="Times New Roman" w:hAnsi="Times New Roman" w:cs="Times New Roman"/>
                <w:noProof/>
                <w:sz w:val="18"/>
                <w:szCs w:val="18"/>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44" w14:textId="77777777" w:rsidR="00740F0F" w:rsidRPr="0029070D" w:rsidRDefault="00740F0F">
            <w:pPr>
              <w:rPr>
                <w:rFonts w:ascii="Times New Roman" w:eastAsia="Times New Roman" w:hAnsi="Times New Roman" w:cs="Times New Roman"/>
                <w:noProof/>
                <w:sz w:val="18"/>
                <w:szCs w:val="18"/>
              </w:rPr>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45" w14:textId="77777777" w:rsidR="00740F0F" w:rsidRPr="0029070D" w:rsidRDefault="00740F0F">
            <w:pPr>
              <w:rPr>
                <w:rFonts w:ascii="Times New Roman" w:eastAsia="Times New Roman" w:hAnsi="Times New Roman" w:cs="Times New Roman"/>
                <w:noProof/>
                <w:sz w:val="18"/>
                <w:szCs w:val="18"/>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46" w14:textId="77777777" w:rsidR="00740F0F" w:rsidRPr="0029070D" w:rsidRDefault="00100B64">
            <w:pPr>
              <w:spacing w:before="1"/>
              <w:ind w:left="268" w:right="248"/>
              <w:jc w:val="center"/>
              <w:rPr>
                <w:rFonts w:ascii="Times New Roman" w:eastAsia="Times New Roman" w:hAnsi="Times New Roman" w:cs="Times New Roman"/>
                <w:noProof/>
                <w:sz w:val="18"/>
                <w:szCs w:val="18"/>
              </w:rPr>
            </w:pPr>
            <w:r>
              <w:rPr>
                <w:rFonts w:ascii="Times New Roman" w:hAnsi="Times New Roman"/>
                <w:noProof/>
                <w:sz w:val="18"/>
              </w:rPr>
              <w:t>T4</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47" w14:textId="77777777" w:rsidR="00740F0F" w:rsidRPr="0029070D" w:rsidRDefault="00100B64">
            <w:pPr>
              <w:spacing w:before="1"/>
              <w:ind w:left="213" w:right="73"/>
              <w:jc w:val="center"/>
              <w:rPr>
                <w:rFonts w:ascii="Times New Roman" w:eastAsia="Times New Roman" w:hAnsi="Times New Roman" w:cs="Times New Roman"/>
                <w:noProof/>
                <w:sz w:val="18"/>
                <w:szCs w:val="18"/>
              </w:rPr>
            </w:pPr>
            <w:r>
              <w:rPr>
                <w:rFonts w:ascii="Times New Roman" w:hAnsi="Times New Roman"/>
                <w:noProof/>
                <w:sz w:val="18"/>
              </w:rPr>
              <w:t>2024</w:t>
            </w:r>
          </w:p>
        </w:tc>
        <w:tc>
          <w:tcPr>
            <w:tcW w:w="38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548" w14:textId="77777777" w:rsidR="00740F0F" w:rsidRPr="0029070D" w:rsidRDefault="00100B64">
            <w:pPr>
              <w:spacing w:before="1"/>
              <w:ind w:left="70"/>
              <w:rPr>
                <w:rFonts w:ascii="Times New Roman" w:eastAsia="Times New Roman" w:hAnsi="Times New Roman" w:cs="Times New Roman"/>
                <w:noProof/>
                <w:sz w:val="18"/>
                <w:szCs w:val="18"/>
              </w:rPr>
            </w:pPr>
            <w:r>
              <w:rPr>
                <w:rFonts w:ascii="Times New Roman" w:hAnsi="Times New Roman"/>
                <w:noProof/>
                <w:sz w:val="18"/>
              </w:rPr>
              <w:t>Réalisation du programme Ariane 6</w:t>
            </w:r>
          </w:p>
        </w:tc>
      </w:tr>
    </w:tbl>
    <w:p w14:paraId="5A8AE54A" w14:textId="77777777" w:rsidR="00740F0F" w:rsidRPr="0029070D" w:rsidRDefault="00740F0F">
      <w:pPr>
        <w:spacing w:before="120" w:after="120" w:line="360" w:lineRule="auto"/>
        <w:rPr>
          <w:rFonts w:ascii="Times New Roman" w:eastAsia="Calibri" w:hAnsi="Times New Roman" w:cs="Times New Roman"/>
          <w:noProof/>
          <w:kern w:val="0"/>
          <w:sz w:val="19"/>
          <w:szCs w:val="22"/>
          <w14:ligatures w14:val="none"/>
        </w:rPr>
        <w:sectPr w:rsidR="00740F0F" w:rsidRPr="0029070D">
          <w:headerReference w:type="even" r:id="rId84"/>
          <w:headerReference w:type="default" r:id="rId85"/>
          <w:footerReference w:type="even" r:id="rId86"/>
          <w:footerReference w:type="default" r:id="rId87"/>
          <w:headerReference w:type="first" r:id="rId88"/>
          <w:footerReference w:type="first" r:id="rId89"/>
          <w:pgSz w:w="16860" w:h="11920" w:orient="landscape"/>
          <w:pgMar w:top="1134" w:right="1134" w:bottom="1134" w:left="1134" w:header="567" w:footer="567" w:gutter="0"/>
          <w:cols w:space="720"/>
          <w:docGrid w:linePitch="326"/>
        </w:sectPr>
      </w:pPr>
    </w:p>
    <w:p w14:paraId="5A8AE54B" w14:textId="77777777" w:rsidR="00740F0F" w:rsidRPr="0029070D" w:rsidRDefault="00100B64">
      <w:pPr>
        <w:widowControl w:val="0"/>
        <w:numPr>
          <w:ilvl w:val="1"/>
          <w:numId w:val="1"/>
        </w:numPr>
        <w:tabs>
          <w:tab w:val="left" w:pos="401"/>
        </w:tabs>
        <w:autoSpaceDE w:val="0"/>
        <w:autoSpaceDN w:val="0"/>
        <w:spacing w:before="111" w:after="0" w:line="240" w:lineRule="auto"/>
        <w:ind w:left="400"/>
        <w:jc w:val="both"/>
        <w:rPr>
          <w:rFonts w:ascii="Times New Roman" w:eastAsia="Times New Roman" w:hAnsi="Times New Roman" w:cs="Times New Roman"/>
          <w:b/>
          <w:noProof/>
          <w:kern w:val="0"/>
          <w:szCs w:val="20"/>
          <w14:ligatures w14:val="none"/>
        </w:rPr>
      </w:pPr>
      <w:r>
        <w:rPr>
          <w:rFonts w:ascii="Times New Roman" w:hAnsi="Times New Roman"/>
          <w:b/>
          <w:noProof/>
        </w:rPr>
        <w:t>COMPOSANTE 7: Mise à niveau numérique de l’État, des territoires et des entreprises, culture</w:t>
      </w:r>
    </w:p>
    <w:p w14:paraId="5A8AE54C" w14:textId="77777777" w:rsidR="00740F0F" w:rsidRPr="0029070D" w:rsidRDefault="00100B64">
      <w:pPr>
        <w:widowControl w:val="0"/>
        <w:autoSpaceDE w:val="0"/>
        <w:autoSpaceDN w:val="0"/>
        <w:spacing w:before="108" w:after="0" w:line="242" w:lineRule="auto"/>
        <w:ind w:left="100" w:right="255"/>
        <w:jc w:val="both"/>
        <w:rPr>
          <w:rFonts w:ascii="Times New Roman" w:eastAsia="Times New Roman" w:hAnsi="Times New Roman" w:cs="Times New Roman"/>
          <w:noProof/>
          <w:kern w:val="0"/>
          <w:szCs w:val="20"/>
          <w14:ligatures w14:val="none"/>
        </w:rPr>
      </w:pPr>
      <w:r>
        <w:rPr>
          <w:rFonts w:ascii="Times New Roman" w:hAnsi="Times New Roman"/>
          <w:noProof/>
        </w:rPr>
        <w:t>Cette composante du plan national de relance et de résilience français concerne les investissements et les réformes dans le domaine de la mise à niveau numérique de l’État, des territoires et des PME, le soutien au secteur culturel et les réformes dans le domaine de la simplification administrative et des finances publiques.</w:t>
      </w:r>
    </w:p>
    <w:p w14:paraId="5A8AE54D" w14:textId="77777777" w:rsidR="00740F0F" w:rsidRPr="0029070D" w:rsidRDefault="00100B64">
      <w:pPr>
        <w:widowControl w:val="0"/>
        <w:autoSpaceDE w:val="0"/>
        <w:autoSpaceDN w:val="0"/>
        <w:spacing w:before="110" w:after="0" w:line="247" w:lineRule="auto"/>
        <w:ind w:left="100" w:right="270"/>
        <w:jc w:val="both"/>
        <w:rPr>
          <w:rFonts w:ascii="Times New Roman" w:eastAsia="Times New Roman" w:hAnsi="Times New Roman" w:cs="Times New Roman"/>
          <w:noProof/>
          <w:kern w:val="0"/>
          <w:szCs w:val="20"/>
          <w14:ligatures w14:val="none"/>
        </w:rPr>
      </w:pPr>
      <w:r>
        <w:rPr>
          <w:rFonts w:ascii="Times New Roman" w:hAnsi="Times New Roman"/>
          <w:noProof/>
        </w:rPr>
        <w:t>La numérisation, en particulier des entreprises, est essentielle pour accroître la productivité en France, comme le souligne le Conseil national de la productivité.</w:t>
      </w:r>
    </w:p>
    <w:p w14:paraId="5A8AE54E" w14:textId="77777777" w:rsidR="00740F0F" w:rsidRPr="0029070D" w:rsidRDefault="00100B64">
      <w:pPr>
        <w:widowControl w:val="0"/>
        <w:autoSpaceDE w:val="0"/>
        <w:autoSpaceDN w:val="0"/>
        <w:spacing w:before="106" w:after="0" w:line="240" w:lineRule="auto"/>
        <w:ind w:left="100" w:right="239"/>
        <w:jc w:val="both"/>
        <w:rPr>
          <w:rFonts w:ascii="Times New Roman" w:eastAsia="Times New Roman" w:hAnsi="Times New Roman" w:cs="Times New Roman"/>
          <w:noProof/>
          <w:kern w:val="0"/>
          <w:szCs w:val="20"/>
          <w14:ligatures w14:val="none"/>
        </w:rPr>
      </w:pPr>
      <w:r>
        <w:rPr>
          <w:rFonts w:ascii="Times New Roman" w:hAnsi="Times New Roman"/>
          <w:noProof/>
        </w:rPr>
        <w:t>La numérisation de l’État vise non seulement à accroître l’efficacité de l’administration publique par des mises à niveau technologiques, mais aussi à contribuer à une plus grande inclusivité, en complémentarité des réformes de la composante visant la simplification et la décentralisation (loi 3DS).</w:t>
      </w:r>
    </w:p>
    <w:p w14:paraId="5A8AE54F" w14:textId="77777777" w:rsidR="00740F0F" w:rsidRPr="0029070D" w:rsidRDefault="00100B64">
      <w:pPr>
        <w:widowControl w:val="0"/>
        <w:autoSpaceDE w:val="0"/>
        <w:autoSpaceDN w:val="0"/>
        <w:spacing w:before="131" w:after="0" w:line="235" w:lineRule="auto"/>
        <w:ind w:left="100" w:right="250"/>
        <w:jc w:val="both"/>
        <w:rPr>
          <w:rFonts w:ascii="Times New Roman" w:eastAsia="Times New Roman" w:hAnsi="Times New Roman" w:cs="Times New Roman"/>
          <w:noProof/>
          <w:kern w:val="0"/>
          <w:szCs w:val="20"/>
          <w14:ligatures w14:val="none"/>
        </w:rPr>
      </w:pPr>
      <w:r>
        <w:rPr>
          <w:rFonts w:ascii="Times New Roman" w:hAnsi="Times New Roman"/>
          <w:noProof/>
        </w:rPr>
        <w:t>Les mesures de soutien aux secteurs de la culture visent à redresser un secteur gravement touché par des investissements ciblés dans les secteurs de la rénovation, du patrimoine, de l’emploi dans le domaine des arts et de la modernisation de la formation, du cinéma, de la presse et du livre, en mettant l’accent sur la transition climatique et la jeunesse.</w:t>
      </w:r>
    </w:p>
    <w:p w14:paraId="5A8AE550" w14:textId="77777777" w:rsidR="00740F0F" w:rsidRPr="0029070D" w:rsidRDefault="00100B64">
      <w:pPr>
        <w:widowControl w:val="0"/>
        <w:autoSpaceDE w:val="0"/>
        <w:autoSpaceDN w:val="0"/>
        <w:spacing w:before="131" w:after="0" w:line="242" w:lineRule="auto"/>
        <w:ind w:left="100" w:right="251"/>
        <w:jc w:val="both"/>
        <w:rPr>
          <w:rFonts w:ascii="Times New Roman" w:eastAsia="Times New Roman" w:hAnsi="Times New Roman" w:cs="Times New Roman"/>
          <w:noProof/>
          <w:kern w:val="0"/>
          <w:szCs w:val="20"/>
          <w14:ligatures w14:val="none"/>
        </w:rPr>
      </w:pPr>
      <w:r>
        <w:rPr>
          <w:rFonts w:ascii="Times New Roman" w:hAnsi="Times New Roman"/>
          <w:noProof/>
        </w:rPr>
        <w:t>Enfin, les deux réformes des finances publiques contribuent à répondre aux recommandations par pays 2019.1.2 et 2020.1.1 sur la gestion de la dette et des dépenses publiques, notamment en traçant une trajectoire durable pour les finances publiques sur le long terme après la crise de la COVID.</w:t>
      </w:r>
    </w:p>
    <w:p w14:paraId="5A8AE551" w14:textId="77777777" w:rsidR="00740F0F" w:rsidRPr="0029070D" w:rsidRDefault="00100B64">
      <w:pPr>
        <w:widowControl w:val="0"/>
        <w:autoSpaceDE w:val="0"/>
        <w:autoSpaceDN w:val="0"/>
        <w:spacing w:before="107" w:after="0" w:line="240" w:lineRule="auto"/>
        <w:ind w:left="100" w:right="243"/>
        <w:jc w:val="both"/>
        <w:rPr>
          <w:rFonts w:ascii="Times New Roman" w:eastAsia="Times New Roman" w:hAnsi="Times New Roman" w:cs="Times New Roman"/>
          <w:noProof/>
          <w:kern w:val="0"/>
          <w:szCs w:val="20"/>
          <w14:ligatures w14:val="none"/>
        </w:rPr>
      </w:pPr>
      <w:r>
        <w:rPr>
          <w:rFonts w:ascii="Times New Roman" w:hAnsi="Times New Roman"/>
          <w:noProof/>
        </w:rPr>
        <w:t>Les investissements en faveur de la numérisation répondent aux recommandations par pays 2019.3.3 et 2020.3.4 et 3.7 relatives aux infrastructures numériques. Les réformes de simplification portent sur certaines parties des recommandations par pays 2020.4.1 et 4.2 relatives à l’environnement des affaires. Les investissements dans la culture contribuent à concentrer les investissements publics sur les travaux de rénovation du patrimoine (recommandation par pays 2020.3.2) et à atténuer les conséquences de la crise sur l’emploi (recommandation par pays 2020.2.1). Enfin, les réformes des finances publiques répondent à certaines parties des recommandations par pays 2019.1.3 (économies et efficacité des dépenses) et 2020.1.1 (politiques budgétaires visant à parvenir à des positions budgétaires à moyen terme prudentes et à garantir la viabilité de la dette).</w:t>
      </w:r>
    </w:p>
    <w:p w14:paraId="5A8AE552" w14:textId="77777777" w:rsidR="00740F0F" w:rsidRPr="0029070D" w:rsidRDefault="00100B64">
      <w:pPr>
        <w:widowControl w:val="0"/>
        <w:autoSpaceDE w:val="0"/>
        <w:autoSpaceDN w:val="0"/>
        <w:spacing w:before="120" w:after="0" w:line="240" w:lineRule="auto"/>
        <w:ind w:left="100" w:right="254"/>
        <w:jc w:val="both"/>
        <w:rPr>
          <w:rFonts w:ascii="Times New Roman" w:eastAsia="Times New Roman" w:hAnsi="Times New Roman" w:cs="Times New Roman"/>
          <w:noProof/>
          <w:kern w:val="0"/>
          <w:szCs w:val="20"/>
          <w14:ligatures w14:val="none"/>
        </w:rPr>
      </w:pPr>
      <w:r>
        <w:rPr>
          <w:rFonts w:ascii="Times New Roman" w:hAnsi="Times New Roman"/>
          <w:noProof/>
        </w:rPr>
        <w:t>Aucune mesure relevant de cette composante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w:t>
      </w:r>
    </w:p>
    <w:p w14:paraId="5A8AE553" w14:textId="77777777" w:rsidR="00740F0F" w:rsidRPr="0029070D" w:rsidRDefault="00740F0F">
      <w:pPr>
        <w:widowControl w:val="0"/>
        <w:autoSpaceDE w:val="0"/>
        <w:autoSpaceDN w:val="0"/>
        <w:spacing w:before="3" w:after="0" w:line="240" w:lineRule="auto"/>
        <w:rPr>
          <w:rFonts w:ascii="Times New Roman" w:eastAsia="Times New Roman" w:hAnsi="Times New Roman" w:cs="Times New Roman"/>
          <w:noProof/>
          <w:kern w:val="0"/>
          <w:sz w:val="45"/>
          <w:szCs w:val="20"/>
          <w14:ligatures w14:val="none"/>
        </w:rPr>
      </w:pPr>
    </w:p>
    <w:p w14:paraId="5A8AE554" w14:textId="77777777" w:rsidR="00740F0F" w:rsidRPr="00E409C3" w:rsidRDefault="00100B64">
      <w:pPr>
        <w:widowControl w:val="0"/>
        <w:numPr>
          <w:ilvl w:val="2"/>
          <w:numId w:val="1"/>
        </w:numPr>
        <w:tabs>
          <w:tab w:val="left" w:pos="581"/>
        </w:tabs>
        <w:autoSpaceDE w:val="0"/>
        <w:autoSpaceDN w:val="0"/>
        <w:spacing w:before="1" w:after="0" w:line="240" w:lineRule="auto"/>
        <w:ind w:left="580" w:hanging="481"/>
        <w:jc w:val="both"/>
        <w:outlineLvl w:val="1"/>
        <w:rPr>
          <w:rFonts w:ascii="Times New Roman" w:eastAsia="Times New Roman" w:hAnsi="Times New Roman" w:cs="Times New Roman"/>
          <w:b/>
          <w:noProof/>
          <w:kern w:val="0"/>
          <w:szCs w:val="20"/>
          <w:u w:val="single"/>
          <w14:ligatures w14:val="none"/>
        </w:rPr>
      </w:pPr>
      <w:r>
        <w:rPr>
          <w:rFonts w:ascii="Times New Roman" w:hAnsi="Times New Roman"/>
          <w:b/>
          <w:noProof/>
          <w:u w:val="single"/>
        </w:rPr>
        <w:t>Description des réformes et des investissements en vue du soutien financier non remboursable</w:t>
      </w:r>
    </w:p>
    <w:p w14:paraId="5A8AE555" w14:textId="77777777" w:rsidR="00740F0F" w:rsidRPr="0029070D" w:rsidRDefault="00100B64">
      <w:pPr>
        <w:widowControl w:val="0"/>
        <w:autoSpaceDE w:val="0"/>
        <w:autoSpaceDN w:val="0"/>
        <w:spacing w:before="129" w:after="0" w:line="235" w:lineRule="auto"/>
        <w:ind w:left="100" w:right="265"/>
        <w:jc w:val="both"/>
        <w:rPr>
          <w:rFonts w:ascii="Times New Roman" w:eastAsia="Times New Roman" w:hAnsi="Times New Roman" w:cs="Times New Roman"/>
          <w:noProof/>
          <w:kern w:val="0"/>
          <w:szCs w:val="20"/>
          <w14:ligatures w14:val="none"/>
        </w:rPr>
      </w:pPr>
      <w:r>
        <w:rPr>
          <w:rFonts w:ascii="Times New Roman" w:hAnsi="Times New Roman"/>
          <w:noProof/>
          <w:u w:val="single"/>
        </w:rPr>
        <w:t>Réforme 1 (C7.R1): loi relative à la différenciation, la décentralisation, la déconcentration et</w:t>
      </w:r>
      <w:r>
        <w:rPr>
          <w:rFonts w:ascii="Times New Roman" w:hAnsi="Times New Roman"/>
          <w:noProof/>
        </w:rPr>
        <w:t xml:space="preserve"> </w:t>
      </w:r>
      <w:r>
        <w:rPr>
          <w:rFonts w:ascii="Times New Roman" w:hAnsi="Times New Roman"/>
          <w:noProof/>
          <w:u w:val="single"/>
        </w:rPr>
        <w:t>portant diverses mesures de simplification de l’action publique locale (3DS)</w:t>
      </w:r>
    </w:p>
    <w:p w14:paraId="5A8AE556" w14:textId="77777777" w:rsidR="00740F0F" w:rsidRPr="0029070D" w:rsidRDefault="00100B64">
      <w:pPr>
        <w:widowControl w:val="0"/>
        <w:autoSpaceDE w:val="0"/>
        <w:autoSpaceDN w:val="0"/>
        <w:spacing w:before="106" w:after="0" w:line="240" w:lineRule="auto"/>
        <w:ind w:left="100" w:right="248"/>
        <w:jc w:val="both"/>
        <w:rPr>
          <w:rFonts w:ascii="Times New Roman" w:eastAsia="Times New Roman" w:hAnsi="Times New Roman" w:cs="Times New Roman"/>
          <w:noProof/>
          <w:kern w:val="0"/>
          <w14:ligatures w14:val="none"/>
        </w:rPr>
      </w:pPr>
      <w:r>
        <w:rPr>
          <w:rFonts w:ascii="Times New Roman" w:hAnsi="Times New Roman"/>
          <w:noProof/>
        </w:rPr>
        <w:t>La mesure vise à rendre le service public des collectivités territoriales plus efficient et adaptable, en tenant compte des besoins locaux.</w:t>
      </w:r>
    </w:p>
    <w:p w14:paraId="5A8AE557" w14:textId="6FF7E159" w:rsidR="00740F0F" w:rsidRPr="0029070D" w:rsidRDefault="00100B64">
      <w:pPr>
        <w:widowControl w:val="0"/>
        <w:autoSpaceDE w:val="0"/>
        <w:autoSpaceDN w:val="0"/>
        <w:spacing w:before="106" w:after="0" w:line="240" w:lineRule="auto"/>
        <w:ind w:left="100" w:right="248"/>
        <w:jc w:val="both"/>
        <w:rPr>
          <w:rFonts w:ascii="Times New Roman" w:eastAsia="Times New Roman" w:hAnsi="Times New Roman" w:cs="Times New Roman"/>
          <w:noProof/>
          <w:kern w:val="0"/>
          <w:szCs w:val="20"/>
          <w14:ligatures w14:val="none"/>
        </w:rPr>
      </w:pPr>
      <w:r>
        <w:rPr>
          <w:rFonts w:ascii="Times New Roman" w:hAnsi="Times New Roman"/>
          <w:noProof/>
        </w:rPr>
        <w:t>Elle consiste en l’entrée en vigueur de la loi «Différenciation, décentralisation, déconcentration et simplification» (loi 3DS) et en l’évaluation du principe de différentiation dans le cadre de la loi.</w:t>
      </w:r>
    </w:p>
    <w:p w14:paraId="5A8AE558" w14:textId="77777777" w:rsidR="00740F0F" w:rsidRPr="0029070D" w:rsidRDefault="00100B64">
      <w:pPr>
        <w:widowControl w:val="0"/>
        <w:autoSpaceDE w:val="0"/>
        <w:autoSpaceDN w:val="0"/>
        <w:spacing w:before="125" w:after="0" w:line="242" w:lineRule="auto"/>
        <w:ind w:left="100" w:right="270"/>
        <w:jc w:val="both"/>
        <w:rPr>
          <w:rFonts w:ascii="Times New Roman" w:eastAsia="Times New Roman" w:hAnsi="Times New Roman" w:cs="Times New Roman"/>
          <w:noProof/>
          <w:kern w:val="0"/>
          <w14:ligatures w14:val="none"/>
        </w:rPr>
      </w:pPr>
      <w:r>
        <w:rPr>
          <w:rFonts w:ascii="Times New Roman" w:hAnsi="Times New Roman"/>
          <w:noProof/>
          <w:u w:val="single"/>
        </w:rPr>
        <w:t>Réforme 2 (C7.R2): loi organique relative à la simplification des expérimentations mises en œuvre sur le fondement du quatrième alinéa de l’article 72 de la Constitution</w:t>
      </w:r>
    </w:p>
    <w:p w14:paraId="5A8AE559" w14:textId="77777777" w:rsidR="00740F0F" w:rsidRPr="0029070D" w:rsidRDefault="00100B64">
      <w:pPr>
        <w:widowControl w:val="0"/>
        <w:autoSpaceDE w:val="0"/>
        <w:autoSpaceDN w:val="0"/>
        <w:spacing w:before="109" w:after="0" w:line="240" w:lineRule="auto"/>
        <w:ind w:left="100" w:right="232"/>
        <w:jc w:val="both"/>
        <w:rPr>
          <w:rFonts w:ascii="Times New Roman" w:eastAsia="Times New Roman" w:hAnsi="Times New Roman" w:cs="Times New Roman"/>
          <w:noProof/>
        </w:rPr>
      </w:pPr>
      <w:r>
        <w:rPr>
          <w:rFonts w:ascii="Times New Roman" w:hAnsi="Times New Roman"/>
          <w:noProof/>
        </w:rPr>
        <w:t>L’objectif de la mesure est de préserver le «droit à la différenciation» des collectivités locales en simplifiant les expérimentations menées sur la base de l’article 72, quatrième alinéa, de la Constitution.</w:t>
      </w:r>
    </w:p>
    <w:p w14:paraId="5A8AE55A" w14:textId="43627132" w:rsidR="00740F0F" w:rsidRPr="0029070D" w:rsidRDefault="00100B64">
      <w:pPr>
        <w:widowControl w:val="0"/>
        <w:autoSpaceDE w:val="0"/>
        <w:autoSpaceDN w:val="0"/>
        <w:spacing w:before="123" w:after="0" w:line="240" w:lineRule="auto"/>
        <w:ind w:left="100" w:right="229"/>
        <w:jc w:val="both"/>
        <w:rPr>
          <w:rFonts w:ascii="Times New Roman" w:eastAsia="Times New Roman" w:hAnsi="Times New Roman" w:cs="Times New Roman"/>
          <w:noProof/>
          <w:kern w:val="0"/>
          <w14:ligatures w14:val="none"/>
        </w:rPr>
      </w:pPr>
      <w:r>
        <w:rPr>
          <w:rFonts w:ascii="Times New Roman" w:hAnsi="Times New Roman"/>
          <w:noProof/>
        </w:rPr>
        <w:t>La mesure consiste en l’entrée en vigueur de la loi et en la publication de rapports évaluant les propositions d’expérimentations soumises par les autorités locales.</w:t>
      </w:r>
    </w:p>
    <w:p w14:paraId="5A8AE55B" w14:textId="77777777" w:rsidR="00740F0F" w:rsidRPr="0029070D" w:rsidRDefault="00100B64">
      <w:pPr>
        <w:widowControl w:val="0"/>
        <w:autoSpaceDE w:val="0"/>
        <w:autoSpaceDN w:val="0"/>
        <w:spacing w:before="222"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Réforme 3 (C7.R3): transformation de la fonction publique</w:t>
      </w:r>
    </w:p>
    <w:p w14:paraId="5A8AE55C" w14:textId="77777777" w:rsidR="00740F0F" w:rsidRPr="0029070D" w:rsidRDefault="00100B64">
      <w:pPr>
        <w:widowControl w:val="0"/>
        <w:autoSpaceDE w:val="0"/>
        <w:autoSpaceDN w:val="0"/>
        <w:spacing w:before="117" w:after="0" w:line="240" w:lineRule="auto"/>
        <w:ind w:left="100" w:right="245"/>
        <w:jc w:val="both"/>
        <w:rPr>
          <w:rFonts w:ascii="Times New Roman" w:eastAsia="Times New Roman" w:hAnsi="Times New Roman" w:cs="Times New Roman"/>
          <w:noProof/>
          <w:kern w:val="0"/>
          <w:szCs w:val="20"/>
          <w14:ligatures w14:val="none"/>
        </w:rPr>
      </w:pPr>
      <w:r>
        <w:rPr>
          <w:rFonts w:ascii="Times New Roman" w:hAnsi="Times New Roman"/>
          <w:noProof/>
        </w:rPr>
        <w:t>La transformation de la fonction publique vise à répondre à plusieurs enjeux: rendre la fonction publique plus représentative de la société, contribuer à une insertion professionnelle des jeunes et des personnes peu qualifiées, innover dans les organisations de travail, valoriser le mérite, la compétence, l’engagement, garantir l’égalité entre les femmes et les hommes, et lutter contre toutes les formes de discrimination. Cette action s’appuie sur la mise en œuvre de la loi de transformation de la fonction publique du 6 août 2019.</w:t>
      </w:r>
    </w:p>
    <w:p w14:paraId="5A8AE55D" w14:textId="77777777" w:rsidR="00740F0F" w:rsidRPr="0029070D" w:rsidRDefault="00100B64">
      <w:pPr>
        <w:widowControl w:val="0"/>
        <w:autoSpaceDE w:val="0"/>
        <w:autoSpaceDN w:val="0"/>
        <w:spacing w:before="116"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rPr>
        <w:t>La mesure consiste en la mise en œuvre de deux plans d’action.</w:t>
      </w:r>
    </w:p>
    <w:p w14:paraId="5A8AE55E" w14:textId="77777777" w:rsidR="00740F0F" w:rsidRPr="0029070D" w:rsidRDefault="00100B64">
      <w:pPr>
        <w:widowControl w:val="0"/>
        <w:autoSpaceDE w:val="0"/>
        <w:autoSpaceDN w:val="0"/>
        <w:spacing w:before="129" w:after="0" w:line="240" w:lineRule="auto"/>
        <w:ind w:left="100" w:right="257"/>
        <w:jc w:val="both"/>
        <w:rPr>
          <w:rFonts w:ascii="Times New Roman" w:eastAsia="Times New Roman" w:hAnsi="Times New Roman" w:cs="Times New Roman"/>
          <w:noProof/>
          <w:kern w:val="0"/>
          <w:szCs w:val="20"/>
          <w14:ligatures w14:val="none"/>
        </w:rPr>
      </w:pPr>
      <w:r>
        <w:rPr>
          <w:rFonts w:ascii="Times New Roman" w:hAnsi="Times New Roman"/>
          <w:noProof/>
        </w:rPr>
        <w:t>Le plan d’action pour la professionnalisation de la fonction publique repose sur huit mesures : 1) le développement d’une marque État employeur, 2) l’organisation des processus de recrutement, 3) la professionnalisation et la formation des acteurs, 4) l’amélioration de l’intégration des nouveaux arrivants, 5) la refonte du site web «Place de l’emploi public», 6) la recherche des compétences («sourcing»), 7) la constitution de viviers de talents et 8) le pilotage stratégique des recrutements.</w:t>
      </w:r>
    </w:p>
    <w:p w14:paraId="5A8AE55F" w14:textId="77777777" w:rsidR="00740F0F" w:rsidRPr="0029070D" w:rsidRDefault="00100B64">
      <w:pPr>
        <w:widowControl w:val="0"/>
        <w:autoSpaceDE w:val="0"/>
        <w:autoSpaceDN w:val="0"/>
        <w:spacing w:before="125" w:after="0" w:line="242" w:lineRule="auto"/>
        <w:ind w:left="100" w:right="261"/>
        <w:jc w:val="both"/>
        <w:rPr>
          <w:rFonts w:ascii="Times New Roman" w:eastAsia="Times New Roman" w:hAnsi="Times New Roman" w:cs="Times New Roman"/>
          <w:noProof/>
          <w:kern w:val="0"/>
          <w:szCs w:val="20"/>
          <w14:ligatures w14:val="none"/>
        </w:rPr>
      </w:pPr>
      <w:r>
        <w:rPr>
          <w:rFonts w:ascii="Times New Roman" w:hAnsi="Times New Roman"/>
          <w:noProof/>
        </w:rPr>
        <w:t>Le plan pour l’égalité des chances s’articule autour de trois axes d’actions: 1) repérer et accompagner vers la réussite les jeunes talents sur l’ensemble du territoire; 2) rénover les voies d’accès par concours à la fonction publique; 3) développer un parcours professionnel exempt de discriminations.</w:t>
      </w:r>
    </w:p>
    <w:p w14:paraId="5A8AE560" w14:textId="55B8D624" w:rsidR="00740F0F" w:rsidRPr="0029070D" w:rsidRDefault="00100B64">
      <w:pPr>
        <w:widowControl w:val="0"/>
        <w:autoSpaceDE w:val="0"/>
        <w:autoSpaceDN w:val="0"/>
        <w:spacing w:before="112" w:after="0" w:line="235" w:lineRule="auto"/>
        <w:ind w:left="100" w:right="253"/>
        <w:jc w:val="both"/>
        <w:rPr>
          <w:rFonts w:ascii="Times New Roman" w:eastAsia="Times New Roman" w:hAnsi="Times New Roman" w:cs="Times New Roman"/>
          <w:noProof/>
          <w:kern w:val="0"/>
          <w:szCs w:val="20"/>
          <w14:ligatures w14:val="none"/>
        </w:rPr>
      </w:pPr>
      <w:r>
        <w:rPr>
          <w:rFonts w:ascii="Times New Roman" w:hAnsi="Times New Roman"/>
          <w:noProof/>
        </w:rPr>
        <w:t>Les actions prévues dans ces deux plans d’action sont mises en œuvre avant le 31</w:t>
      </w:r>
      <w:r>
        <w:rPr>
          <w:rFonts w:ascii="Times New Roman" w:hAnsi="Times New Roman"/>
          <w:noProof/>
          <w:sz w:val="20"/>
        </w:rPr>
        <w:t> </w:t>
      </w:r>
      <w:r>
        <w:rPr>
          <w:rFonts w:ascii="Times New Roman" w:hAnsi="Times New Roman"/>
          <w:noProof/>
        </w:rPr>
        <w:t>mars 2022.</w:t>
      </w:r>
    </w:p>
    <w:p w14:paraId="5A8AE561" w14:textId="77777777" w:rsidR="00740F0F" w:rsidRPr="0029070D" w:rsidRDefault="00100B64">
      <w:pPr>
        <w:widowControl w:val="0"/>
        <w:autoSpaceDE w:val="0"/>
        <w:autoSpaceDN w:val="0"/>
        <w:spacing w:before="101"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Réforme 4 (C7.R4): gouvernance des finances publiques</w:t>
      </w:r>
    </w:p>
    <w:p w14:paraId="5A8AE562" w14:textId="7BF3622D" w:rsidR="00740F0F" w:rsidRPr="0029070D" w:rsidRDefault="00100B64">
      <w:pPr>
        <w:widowControl w:val="0"/>
        <w:tabs>
          <w:tab w:val="left" w:pos="8789"/>
        </w:tabs>
        <w:autoSpaceDE w:val="0"/>
        <w:autoSpaceDN w:val="0"/>
        <w:spacing w:before="135" w:after="0" w:line="237" w:lineRule="auto"/>
        <w:ind w:left="100" w:right="248"/>
        <w:jc w:val="both"/>
        <w:rPr>
          <w:rFonts w:ascii="Times New Roman" w:eastAsia="Times New Roman" w:hAnsi="Times New Roman" w:cs="Times New Roman"/>
          <w:noProof/>
          <w:kern w:val="0"/>
          <w:szCs w:val="20"/>
          <w14:ligatures w14:val="none"/>
        </w:rPr>
      </w:pPr>
      <w:r>
        <w:rPr>
          <w:rFonts w:ascii="Times New Roman" w:hAnsi="Times New Roman"/>
          <w:noProof/>
        </w:rPr>
        <w:t>Cette réforme de la gouvernance des finances publiques vise à mettre en place une stratégie de redressement des finances publiques à moyen et long terme. Cette stratégie est basée sur les recommandations de la Commission sur l’avenir des finances publiques (rapport du 18</w:t>
      </w:r>
      <w:r>
        <w:rPr>
          <w:rFonts w:ascii="Times New Roman" w:hAnsi="Times New Roman"/>
          <w:noProof/>
          <w:sz w:val="20"/>
        </w:rPr>
        <w:t> </w:t>
      </w:r>
      <w:r>
        <w:rPr>
          <w:rFonts w:ascii="Times New Roman" w:hAnsi="Times New Roman"/>
          <w:noProof/>
        </w:rPr>
        <w:t>mars 2021). Certaines de ces recommandations sont mises en œuvre via l’entrée en vigueur d’une loi organique en temps utile pour être applicables pour le budget 2023 et la prochaine loi de programmation des finances publiques. La loi organique vise à étendre les prérogatives du Haut conseil des finances publiques et à établir une règle de dépenses pluriannuelles pour les dépenses publiques. Ces règles en matière de dépenses assurent la cohérence entre les projets de loi de finances annuelles et les objectifs pluriannuels. La mise en œuvre de ce nouveau cadre de gouvernance, ainsi qu’une trajectoire pluriannuelle des finances publiques permettant de stabiliser puis de réduire le ratio de dette, sont inscrites dans une nouvelle loi de programmation des finances publiques pour 2023. Le gouvernement met également en place un schéma de cantonnement de la dette Covid dans le but d’allouer des ressources spécifiques à son remboursement.</w:t>
      </w:r>
    </w:p>
    <w:p w14:paraId="5A8AE563" w14:textId="77777777" w:rsidR="00740F0F" w:rsidRPr="0029070D" w:rsidRDefault="00100B64">
      <w:pPr>
        <w:widowControl w:val="0"/>
        <w:autoSpaceDE w:val="0"/>
        <w:autoSpaceDN w:val="0"/>
        <w:spacing w:before="217"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Réforme 5 (C7.R5): évaluation de la qualité des dépenses publiques</w:t>
      </w:r>
    </w:p>
    <w:p w14:paraId="5A8AE564" w14:textId="77777777" w:rsidR="00740F0F" w:rsidRPr="0029070D" w:rsidRDefault="00100B64">
      <w:pPr>
        <w:widowControl w:val="0"/>
        <w:autoSpaceDE w:val="0"/>
        <w:autoSpaceDN w:val="0"/>
        <w:spacing w:before="113" w:after="0" w:line="242" w:lineRule="auto"/>
        <w:ind w:left="100" w:right="246"/>
        <w:jc w:val="both"/>
        <w:rPr>
          <w:rFonts w:ascii="Times New Roman" w:eastAsia="Times New Roman" w:hAnsi="Times New Roman" w:cs="Times New Roman"/>
          <w:noProof/>
          <w:kern w:val="0"/>
          <w14:ligatures w14:val="none"/>
        </w:rPr>
      </w:pPr>
      <w:r>
        <w:rPr>
          <w:rFonts w:ascii="Times New Roman" w:hAnsi="Times New Roman"/>
          <w:noProof/>
        </w:rPr>
        <w:t>La mesure vise à conduire une évaluation des dépenses publiques en sortie de crise dans l’objectif d’orienter les dépenses publiques vers celles qui sont les plus efficientes en faveur de la croissance, de l’inclusion sociale et de la transition écologique et numérique.</w:t>
      </w:r>
    </w:p>
    <w:p w14:paraId="5A8AE565" w14:textId="77777777" w:rsidR="00740F0F" w:rsidRPr="0029070D" w:rsidRDefault="00100B64">
      <w:pPr>
        <w:widowControl w:val="0"/>
        <w:autoSpaceDE w:val="0"/>
        <w:autoSpaceDN w:val="0"/>
        <w:spacing w:before="106" w:after="0" w:line="240" w:lineRule="auto"/>
        <w:ind w:left="100" w:right="234"/>
        <w:jc w:val="both"/>
        <w:rPr>
          <w:rFonts w:ascii="Times New Roman" w:eastAsia="Times New Roman" w:hAnsi="Times New Roman" w:cs="Times New Roman"/>
          <w:noProof/>
          <w:kern w:val="0"/>
          <w14:ligatures w14:val="none"/>
        </w:rPr>
      </w:pPr>
      <w:r>
        <w:rPr>
          <w:rFonts w:ascii="Times New Roman" w:hAnsi="Times New Roman"/>
          <w:noProof/>
        </w:rPr>
        <w:t>Cette mesure consiste en un bilan des résultats des réformes sur l’efficacité de l’action publique au cours du mandat présidentiel, la publication d’un rapport d’audit sur les finances publiques par la Cour des comptes et la conduite, à partir de 2023, d’une évaluation régulière de la qualité des dépenses publiques, à l’appui de la préparation des prochaines lois de finances.</w:t>
      </w:r>
    </w:p>
    <w:p w14:paraId="5A8AE566" w14:textId="77777777" w:rsidR="00740F0F" w:rsidRPr="0029070D" w:rsidRDefault="00100B64">
      <w:pPr>
        <w:widowControl w:val="0"/>
        <w:autoSpaceDE w:val="0"/>
        <w:autoSpaceDN w:val="0"/>
        <w:spacing w:before="221"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1 (C7.I1): numérisation des entreprises</w:t>
      </w:r>
    </w:p>
    <w:p w14:paraId="5A8AE567" w14:textId="77777777" w:rsidR="00740F0F" w:rsidRPr="0029070D" w:rsidRDefault="00100B64">
      <w:pPr>
        <w:widowControl w:val="0"/>
        <w:autoSpaceDE w:val="0"/>
        <w:autoSpaceDN w:val="0"/>
        <w:spacing w:before="113"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rPr>
        <w:t>L’objectif de cette mesure est de moderniser les entreprises.</w:t>
      </w:r>
    </w:p>
    <w:p w14:paraId="5A8AE568" w14:textId="22818B24" w:rsidR="00740F0F" w:rsidRPr="0029070D" w:rsidRDefault="00100B64">
      <w:pPr>
        <w:widowControl w:val="0"/>
        <w:autoSpaceDE w:val="0"/>
        <w:autoSpaceDN w:val="0"/>
        <w:spacing w:before="132" w:after="0" w:line="240" w:lineRule="auto"/>
        <w:ind w:left="100" w:right="231"/>
        <w:jc w:val="both"/>
        <w:rPr>
          <w:rFonts w:ascii="Times New Roman" w:eastAsia="Times New Roman" w:hAnsi="Times New Roman" w:cs="Times New Roman"/>
          <w:noProof/>
          <w:kern w:val="0"/>
          <w:szCs w:val="20"/>
          <w14:ligatures w14:val="none"/>
        </w:rPr>
      </w:pPr>
      <w:r>
        <w:rPr>
          <w:rFonts w:ascii="Times New Roman" w:hAnsi="Times New Roman"/>
          <w:noProof/>
        </w:rPr>
        <w:t>Cette mesure consiste à étendre le soutien aux entreprises afin de favoriser les investissements numériques par l’intermédiaire du dispositif «Industrie du futur».</w:t>
      </w:r>
    </w:p>
    <w:p w14:paraId="5A8AE569" w14:textId="77777777" w:rsidR="00740F0F" w:rsidRPr="0029070D" w:rsidRDefault="00100B64">
      <w:pPr>
        <w:widowControl w:val="0"/>
        <w:autoSpaceDE w:val="0"/>
        <w:autoSpaceDN w:val="0"/>
        <w:spacing w:before="222"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2 (C7.I2): mise à niveau numérique de l’État et des territoires</w:t>
      </w:r>
    </w:p>
    <w:p w14:paraId="5A8AE56A" w14:textId="77777777" w:rsidR="00740F0F" w:rsidRPr="0029070D" w:rsidRDefault="00100B64">
      <w:pPr>
        <w:widowControl w:val="0"/>
        <w:autoSpaceDE w:val="0"/>
        <w:autoSpaceDN w:val="0"/>
        <w:spacing w:before="113" w:after="0" w:line="242" w:lineRule="auto"/>
        <w:ind w:left="100" w:right="254"/>
        <w:jc w:val="both"/>
        <w:rPr>
          <w:rFonts w:ascii="Times New Roman" w:eastAsia="Times New Roman" w:hAnsi="Times New Roman" w:cs="Times New Roman"/>
          <w:noProof/>
          <w:kern w:val="0"/>
          <w:szCs w:val="20"/>
          <w14:ligatures w14:val="none"/>
        </w:rPr>
      </w:pPr>
      <w:r>
        <w:rPr>
          <w:rFonts w:ascii="Times New Roman" w:hAnsi="Times New Roman"/>
          <w:noProof/>
        </w:rPr>
        <w:t>Cet investissement vise à identifier les approches numériques innovantes permettant d’améliorer l’efficacité de l’action publique et la qualité de l’environnement de travail des agents publics, y compris pour l’e-mobilité.</w:t>
      </w:r>
    </w:p>
    <w:p w14:paraId="5A8AE56B" w14:textId="77777777" w:rsidR="00740F0F" w:rsidRPr="0029070D" w:rsidRDefault="00100B64">
      <w:pPr>
        <w:widowControl w:val="0"/>
        <w:autoSpaceDE w:val="0"/>
        <w:autoSpaceDN w:val="0"/>
        <w:spacing w:before="112" w:after="0" w:line="240" w:lineRule="auto"/>
        <w:ind w:left="100" w:right="229"/>
        <w:jc w:val="both"/>
        <w:rPr>
          <w:rFonts w:ascii="Times New Roman" w:eastAsia="Times New Roman" w:hAnsi="Times New Roman" w:cs="Times New Roman"/>
          <w:noProof/>
          <w:kern w:val="0"/>
          <w:szCs w:val="20"/>
          <w14:ligatures w14:val="none"/>
        </w:rPr>
      </w:pPr>
      <w:r>
        <w:rPr>
          <w:rFonts w:ascii="Times New Roman" w:hAnsi="Times New Roman"/>
          <w:noProof/>
        </w:rPr>
        <w:t>À cette fin, deux dispositifs sont mis en place: un fonds «Sac à dos numérique de l’agent public» pour les projets qui visent à moderniser le poste de travail des agents de l’État et un fonds «Innovation et transformation numériques», afin d’appuyer les initiatives numériques à fort impact au sein de l’État et des collectivités territoriales, tout en soutenant la filière du numérique.</w:t>
      </w:r>
    </w:p>
    <w:p w14:paraId="5A8AE56C" w14:textId="77777777" w:rsidR="00740F0F" w:rsidRPr="0029070D" w:rsidRDefault="00100B64">
      <w:pPr>
        <w:widowControl w:val="0"/>
        <w:autoSpaceDE w:val="0"/>
        <w:autoSpaceDN w:val="0"/>
        <w:spacing w:before="129" w:after="0" w:line="237" w:lineRule="auto"/>
        <w:ind w:left="100" w:right="250"/>
        <w:jc w:val="both"/>
        <w:rPr>
          <w:rFonts w:ascii="Times New Roman" w:eastAsia="Times New Roman" w:hAnsi="Times New Roman" w:cs="Times New Roman"/>
          <w:noProof/>
          <w:kern w:val="0"/>
          <w:szCs w:val="20"/>
          <w14:ligatures w14:val="none"/>
        </w:rPr>
      </w:pPr>
      <w:r>
        <w:rPr>
          <w:rFonts w:ascii="Times New Roman" w:hAnsi="Times New Roman"/>
          <w:noProof/>
        </w:rPr>
        <w:t>Afin de fournir un environnement de travail numérique plus performant, plus collaboratif et plus mobile pour les agents de l’État, les projets financés appartiennent à cinq thèmes: l’augmentation des performances des réseaux de transport de données; le développement de l’identification numérique fédérée des agents de l’État; le développement de solutions d’accès sécurisées à distance aux outils numériques; le développement de solutions de communication unifiées à l’échelle interministérielle; et l’accompagnement de l’appropriation par les cadres et les équipes des méthodes de travail numériques.</w:t>
      </w:r>
    </w:p>
    <w:p w14:paraId="5A8AE56D" w14:textId="77777777" w:rsidR="00740F0F" w:rsidRPr="0029070D" w:rsidRDefault="00100B64">
      <w:pPr>
        <w:widowControl w:val="0"/>
        <w:autoSpaceDE w:val="0"/>
        <w:autoSpaceDN w:val="0"/>
        <w:spacing w:before="132" w:after="0" w:line="240" w:lineRule="auto"/>
        <w:ind w:left="100" w:right="245"/>
        <w:jc w:val="both"/>
        <w:rPr>
          <w:rFonts w:ascii="Times New Roman" w:eastAsia="Times New Roman" w:hAnsi="Times New Roman" w:cs="Times New Roman"/>
          <w:noProof/>
          <w:kern w:val="0"/>
          <w:szCs w:val="20"/>
          <w14:ligatures w14:val="none"/>
        </w:rPr>
      </w:pPr>
      <w:r>
        <w:rPr>
          <w:rFonts w:ascii="Times New Roman" w:hAnsi="Times New Roman"/>
          <w:noProof/>
        </w:rPr>
        <w:t>Pour stimuler l’innovation numérique et accélérer la transformation numérique de l’État, les projets financés rentrent dans huit thèmes dont les objectifs sont respectivement: accélérer la dématérialisation de qualité des démarches administratives les plus utilisées par les citoyens et entreprises; développer de nouvelles politiques publiques nativement numériques; étendre des bonnes pratiques numériques nées dans les services de l’État locaux; professionnaliser les filières numériques publiques; développer l’usage de la donnée au service de l’action publique; étudier et expérimenter le recours à des technologies et approches numériques en devenir; transformer numériquement les collectivités territoriales; soutenir des projets structurants mobilisant des leviers de transformation multiples.</w:t>
      </w:r>
    </w:p>
    <w:p w14:paraId="5A8AE56E" w14:textId="77777777" w:rsidR="00740F0F" w:rsidRPr="0029070D" w:rsidRDefault="00100B64">
      <w:pPr>
        <w:widowControl w:val="0"/>
        <w:autoSpaceDE w:val="0"/>
        <w:autoSpaceDN w:val="0"/>
        <w:spacing w:before="217"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3 (C7.I3): cybersécurité des services de l’État</w:t>
      </w:r>
    </w:p>
    <w:p w14:paraId="5A8AE56F" w14:textId="77777777" w:rsidR="00740F0F" w:rsidRPr="0029070D" w:rsidRDefault="00100B64">
      <w:pPr>
        <w:widowControl w:val="0"/>
        <w:autoSpaceDE w:val="0"/>
        <w:autoSpaceDN w:val="0"/>
        <w:spacing w:before="112" w:after="0" w:line="242" w:lineRule="auto"/>
        <w:ind w:left="100" w:right="230"/>
        <w:jc w:val="both"/>
        <w:rPr>
          <w:rFonts w:ascii="Times New Roman" w:eastAsia="Times New Roman" w:hAnsi="Times New Roman" w:cs="Times New Roman"/>
          <w:noProof/>
          <w:kern w:val="0"/>
          <w:szCs w:val="20"/>
          <w14:ligatures w14:val="none"/>
        </w:rPr>
      </w:pPr>
      <w:r>
        <w:rPr>
          <w:rFonts w:ascii="Times New Roman" w:hAnsi="Times New Roman"/>
          <w:noProof/>
        </w:rPr>
        <w:t>L’investissement vise à soutenir le renforcement des capacités de cybersécurité des services publics; encourager le développement d’une offre de cybersécurité compétitive et innovante au profit de l’économie et de la société et renforcer la capacité à prévenir et à répondre aux cyberattaques.</w:t>
      </w:r>
    </w:p>
    <w:p w14:paraId="5A8AE570" w14:textId="77777777" w:rsidR="00740F0F" w:rsidRPr="0029070D" w:rsidRDefault="00100B64">
      <w:pPr>
        <w:widowControl w:val="0"/>
        <w:autoSpaceDE w:val="0"/>
        <w:autoSpaceDN w:val="0"/>
        <w:spacing w:before="201" w:after="0" w:line="240" w:lineRule="auto"/>
        <w:ind w:left="100"/>
        <w:rPr>
          <w:rFonts w:ascii="Times New Roman" w:eastAsia="Times New Roman" w:hAnsi="Times New Roman" w:cs="Times New Roman"/>
          <w:noProof/>
          <w:kern w:val="0"/>
          <w:szCs w:val="20"/>
          <w14:ligatures w14:val="none"/>
        </w:rPr>
      </w:pPr>
      <w:r>
        <w:rPr>
          <w:rFonts w:ascii="Times New Roman" w:hAnsi="Times New Roman"/>
          <w:noProof/>
        </w:rPr>
        <w:t>Les projets suivants sont notamment mis en œuvre:</w:t>
      </w:r>
    </w:p>
    <w:p w14:paraId="5A8AE571" w14:textId="77777777" w:rsidR="00740F0F" w:rsidRPr="0029070D" w:rsidRDefault="00100B64">
      <w:pPr>
        <w:widowControl w:val="0"/>
        <w:numPr>
          <w:ilvl w:val="0"/>
          <w:numId w:val="37"/>
        </w:numPr>
        <w:tabs>
          <w:tab w:val="left" w:pos="822"/>
          <w:tab w:val="left" w:pos="823"/>
        </w:tabs>
        <w:autoSpaceDE w:val="0"/>
        <w:autoSpaceDN w:val="0"/>
        <w:spacing w:before="113" w:after="0" w:line="240" w:lineRule="auto"/>
        <w:rPr>
          <w:rFonts w:ascii="Symbol" w:eastAsia="Times New Roman" w:hAnsi="Symbol" w:cs="Times New Roman"/>
          <w:noProof/>
          <w:kern w:val="0"/>
          <w:szCs w:val="20"/>
          <w14:ligatures w14:val="none"/>
        </w:rPr>
      </w:pPr>
      <w:r>
        <w:rPr>
          <w:rFonts w:ascii="Times New Roman" w:hAnsi="Times New Roman"/>
          <w:noProof/>
        </w:rPr>
        <w:t>création d’équipes de réponse à incidents dans les territoires;</w:t>
      </w:r>
    </w:p>
    <w:p w14:paraId="5A8AE572" w14:textId="77777777" w:rsidR="00740F0F" w:rsidRPr="0029070D" w:rsidRDefault="00100B64">
      <w:pPr>
        <w:widowControl w:val="0"/>
        <w:numPr>
          <w:ilvl w:val="0"/>
          <w:numId w:val="37"/>
        </w:numPr>
        <w:tabs>
          <w:tab w:val="left" w:pos="822"/>
          <w:tab w:val="left" w:pos="823"/>
        </w:tabs>
        <w:autoSpaceDE w:val="0"/>
        <w:autoSpaceDN w:val="0"/>
        <w:spacing w:before="1" w:after="0" w:line="292" w:lineRule="exact"/>
        <w:rPr>
          <w:rFonts w:ascii="Symbol" w:eastAsia="Times New Roman" w:hAnsi="Symbol" w:cs="Times New Roman"/>
          <w:noProof/>
          <w:kern w:val="0"/>
          <w:szCs w:val="20"/>
          <w14:ligatures w14:val="none"/>
        </w:rPr>
      </w:pPr>
      <w:r>
        <w:rPr>
          <w:rFonts w:ascii="Times New Roman" w:hAnsi="Times New Roman"/>
          <w:noProof/>
        </w:rPr>
        <w:t>déploiement de packs de diagnostic et de sécurité pour les bénéficiaires éligibles;</w:t>
      </w:r>
    </w:p>
    <w:p w14:paraId="5A8AE573" w14:textId="77777777" w:rsidR="00740F0F" w:rsidRPr="0029070D" w:rsidRDefault="00100B64">
      <w:pPr>
        <w:widowControl w:val="0"/>
        <w:numPr>
          <w:ilvl w:val="0"/>
          <w:numId w:val="37"/>
        </w:numPr>
        <w:tabs>
          <w:tab w:val="left" w:pos="822"/>
          <w:tab w:val="left" w:pos="823"/>
        </w:tabs>
        <w:autoSpaceDE w:val="0"/>
        <w:autoSpaceDN w:val="0"/>
        <w:spacing w:before="120" w:after="0" w:line="292" w:lineRule="exact"/>
        <w:rPr>
          <w:rFonts w:ascii="Symbol" w:eastAsia="Times New Roman" w:hAnsi="Symbol" w:cs="Times New Roman"/>
          <w:noProof/>
          <w:kern w:val="0"/>
          <w:szCs w:val="20"/>
          <w14:ligatures w14:val="none"/>
        </w:rPr>
      </w:pPr>
      <w:r>
        <w:rPr>
          <w:rFonts w:ascii="Times New Roman" w:hAnsi="Times New Roman"/>
          <w:noProof/>
        </w:rPr>
        <w:t>acquisition de produits de sécurité au profit de l’État et des services publics;</w:t>
      </w:r>
    </w:p>
    <w:p w14:paraId="5A8AE574" w14:textId="77777777" w:rsidR="00740F0F" w:rsidRPr="0029070D" w:rsidRDefault="00100B64">
      <w:pPr>
        <w:widowControl w:val="0"/>
        <w:numPr>
          <w:ilvl w:val="0"/>
          <w:numId w:val="37"/>
        </w:numPr>
        <w:tabs>
          <w:tab w:val="left" w:pos="822"/>
          <w:tab w:val="left" w:pos="823"/>
        </w:tabs>
        <w:autoSpaceDE w:val="0"/>
        <w:autoSpaceDN w:val="0"/>
        <w:spacing w:before="20" w:after="0" w:line="240" w:lineRule="auto"/>
        <w:rPr>
          <w:rFonts w:ascii="Symbol" w:eastAsia="Times New Roman" w:hAnsi="Symbol" w:cs="Times New Roman"/>
          <w:noProof/>
          <w:kern w:val="0"/>
          <w:szCs w:val="20"/>
          <w14:ligatures w14:val="none"/>
        </w:rPr>
      </w:pPr>
      <w:r>
        <w:rPr>
          <w:rFonts w:ascii="Times New Roman" w:hAnsi="Times New Roman"/>
          <w:noProof/>
        </w:rPr>
        <w:t>augmentation de la capacité nationale de détection des cyberattaques.</w:t>
      </w:r>
    </w:p>
    <w:p w14:paraId="5A8AE575" w14:textId="77777777" w:rsidR="00740F0F" w:rsidRPr="0029070D" w:rsidRDefault="00100B64">
      <w:pPr>
        <w:widowControl w:val="0"/>
        <w:autoSpaceDE w:val="0"/>
        <w:autoSpaceDN w:val="0"/>
        <w:spacing w:before="240"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4 (C7.I4): mise à niveau numérique de l’État: identité numérique</w:t>
      </w:r>
    </w:p>
    <w:p w14:paraId="5A8AE576" w14:textId="77777777" w:rsidR="00740F0F" w:rsidRPr="0029070D" w:rsidRDefault="00100B64">
      <w:pPr>
        <w:widowControl w:val="0"/>
        <w:autoSpaceDE w:val="0"/>
        <w:autoSpaceDN w:val="0"/>
        <w:spacing w:before="131" w:after="0" w:line="235" w:lineRule="auto"/>
        <w:ind w:left="100" w:right="265"/>
        <w:jc w:val="both"/>
        <w:rPr>
          <w:rFonts w:ascii="Times New Roman" w:eastAsia="Times New Roman" w:hAnsi="Times New Roman" w:cs="Times New Roman"/>
          <w:noProof/>
          <w:kern w:val="0"/>
          <w:szCs w:val="20"/>
          <w14:ligatures w14:val="none"/>
        </w:rPr>
      </w:pPr>
      <w:r>
        <w:rPr>
          <w:rFonts w:ascii="Times New Roman" w:hAnsi="Times New Roman"/>
          <w:noProof/>
        </w:rPr>
        <w:t>Deux sous-mesures sont mises en œuvre: le déploiement de la carte nationale d’identité électronique et le développement d’une solution d’identité numérique régalienne. Ces deux mesures contribuent également à améliorer la sécurité et l’interopérabilité.</w:t>
      </w:r>
    </w:p>
    <w:p w14:paraId="5A8AE577" w14:textId="77777777" w:rsidR="00740F0F" w:rsidRPr="0029070D" w:rsidRDefault="00100B64">
      <w:pPr>
        <w:widowControl w:val="0"/>
        <w:autoSpaceDE w:val="0"/>
        <w:autoSpaceDN w:val="0"/>
        <w:spacing w:before="207" w:after="0" w:line="240" w:lineRule="auto"/>
        <w:ind w:left="100" w:right="234"/>
        <w:jc w:val="both"/>
        <w:rPr>
          <w:rFonts w:ascii="Times New Roman" w:eastAsia="Times New Roman" w:hAnsi="Times New Roman" w:cs="Times New Roman"/>
          <w:noProof/>
          <w:kern w:val="0"/>
          <w:szCs w:val="20"/>
          <w14:ligatures w14:val="none"/>
        </w:rPr>
      </w:pPr>
      <w:r>
        <w:rPr>
          <w:rFonts w:ascii="Times New Roman" w:hAnsi="Times New Roman"/>
          <w:noProof/>
        </w:rPr>
        <w:t>Pour appuyer le déploiement des nouvelles cartes d’identité, sans rupture de service aux usagers, les systèmes, équipements et réseaux informatiques liés doivent faire l’objet d’évolutions. En particulier, les systèmes suivants doivent être mis à niveau: l’application «Titres électroniques sécurisés» (et la mise à niveau ultérieure de la cybersécurité), la mise en place de dispositifs de recueil d’empreintes digitales et le portail utilisateur de l’Agence nationale des titres sécurisés afin de permettre aux usagers d’accéder à leurs démarches. Le développement d’un système d’identification numérique régalien remplace la pratique des identifiants/mots de passe par un système d’identification numérique plus sécurisé. Le développement du nouveau système se fait dans un contexte européen d’interopérabilité numérique (règlement dit eIDAS). La solution permet de développer de nouveaux usages publics et privés sensibles et de lutter contre la fraude et l’usurpation d’identité en ligne.</w:t>
      </w:r>
    </w:p>
    <w:p w14:paraId="5A8AE578" w14:textId="77777777" w:rsidR="00740F0F" w:rsidRPr="0029070D" w:rsidRDefault="00100B64">
      <w:pPr>
        <w:widowControl w:val="0"/>
        <w:autoSpaceDE w:val="0"/>
        <w:autoSpaceDN w:val="0"/>
        <w:spacing w:before="224"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5 (C7.I5): équipements et infrastructures du ministère de l’intérieur</w:t>
      </w:r>
    </w:p>
    <w:p w14:paraId="5A8AE579" w14:textId="77777777" w:rsidR="00740F0F" w:rsidRPr="0029070D" w:rsidRDefault="00100B64">
      <w:pPr>
        <w:widowControl w:val="0"/>
        <w:autoSpaceDE w:val="0"/>
        <w:autoSpaceDN w:val="0"/>
        <w:spacing w:before="115" w:after="0" w:line="247" w:lineRule="auto"/>
        <w:ind w:left="100" w:right="271"/>
        <w:jc w:val="both"/>
        <w:rPr>
          <w:rFonts w:ascii="Times New Roman" w:eastAsia="Times New Roman" w:hAnsi="Times New Roman" w:cs="Times New Roman"/>
          <w:noProof/>
          <w:kern w:val="0"/>
          <w:szCs w:val="20"/>
          <w14:ligatures w14:val="none"/>
        </w:rPr>
      </w:pPr>
      <w:r>
        <w:rPr>
          <w:rFonts w:ascii="Times New Roman" w:hAnsi="Times New Roman"/>
          <w:noProof/>
        </w:rPr>
        <w:t>La mesure développe les applications du ministère de l’intérieur et assure leur résilience. Plus précisément, les projets soutenus concernent plusieurs infrastructures techniques:</w:t>
      </w:r>
    </w:p>
    <w:p w14:paraId="5A8AE57A" w14:textId="77777777" w:rsidR="00740F0F" w:rsidRPr="0029070D" w:rsidRDefault="00100B64">
      <w:pPr>
        <w:widowControl w:val="0"/>
        <w:numPr>
          <w:ilvl w:val="0"/>
          <w:numId w:val="37"/>
        </w:numPr>
        <w:tabs>
          <w:tab w:val="left" w:pos="823"/>
        </w:tabs>
        <w:autoSpaceDE w:val="0"/>
        <w:autoSpaceDN w:val="0"/>
        <w:spacing w:before="123" w:after="0" w:line="242" w:lineRule="auto"/>
        <w:ind w:right="233"/>
        <w:jc w:val="both"/>
        <w:rPr>
          <w:rFonts w:ascii="Symbol" w:eastAsia="Times New Roman" w:hAnsi="Symbol" w:cs="Times New Roman"/>
          <w:noProof/>
          <w:kern w:val="0"/>
          <w:szCs w:val="20"/>
          <w14:ligatures w14:val="none"/>
        </w:rPr>
      </w:pPr>
      <w:r>
        <w:rPr>
          <w:rFonts w:ascii="Times New Roman" w:hAnsi="Times New Roman"/>
          <w:noProof/>
        </w:rPr>
        <w:t>Réseau interministériel de l’État: suppression progressive du réseau téléphonique RIMBAUD et doublement des liens réseaux existants.</w:t>
      </w:r>
    </w:p>
    <w:p w14:paraId="5A8AE57B" w14:textId="77777777" w:rsidR="00740F0F" w:rsidRPr="0029070D" w:rsidRDefault="00100B64">
      <w:pPr>
        <w:widowControl w:val="0"/>
        <w:numPr>
          <w:ilvl w:val="0"/>
          <w:numId w:val="37"/>
        </w:numPr>
        <w:tabs>
          <w:tab w:val="left" w:pos="823"/>
        </w:tabs>
        <w:autoSpaceDE w:val="0"/>
        <w:autoSpaceDN w:val="0"/>
        <w:spacing w:before="34" w:after="0" w:line="254" w:lineRule="auto"/>
        <w:ind w:right="253"/>
        <w:jc w:val="both"/>
        <w:rPr>
          <w:rFonts w:ascii="Symbol" w:eastAsia="Times New Roman" w:hAnsi="Symbol" w:cs="Times New Roman"/>
          <w:noProof/>
          <w:kern w:val="0"/>
          <w:szCs w:val="20"/>
          <w14:ligatures w14:val="none"/>
        </w:rPr>
      </w:pPr>
      <w:r>
        <w:rPr>
          <w:rFonts w:ascii="Times New Roman" w:hAnsi="Times New Roman"/>
          <w:noProof/>
        </w:rPr>
        <w:t>Socle informatique de l’administration territoriale de l’État: construction du socle, accompagné d’une nouvelle organisation pour animer le réseau des services interministériels départementaux des systèmes d’information et de communication.</w:t>
      </w:r>
    </w:p>
    <w:p w14:paraId="5A8AE57C" w14:textId="77777777" w:rsidR="00740F0F" w:rsidRPr="0029070D" w:rsidRDefault="00100B64">
      <w:pPr>
        <w:widowControl w:val="0"/>
        <w:numPr>
          <w:ilvl w:val="0"/>
          <w:numId w:val="37"/>
        </w:numPr>
        <w:tabs>
          <w:tab w:val="left" w:pos="823"/>
        </w:tabs>
        <w:autoSpaceDE w:val="0"/>
        <w:autoSpaceDN w:val="0"/>
        <w:spacing w:before="15" w:after="0" w:line="254" w:lineRule="auto"/>
        <w:ind w:right="258"/>
        <w:jc w:val="both"/>
        <w:rPr>
          <w:rFonts w:ascii="Symbol" w:eastAsia="Times New Roman" w:hAnsi="Symbol" w:cs="Times New Roman"/>
          <w:noProof/>
          <w:kern w:val="0"/>
          <w:szCs w:val="20"/>
          <w14:ligatures w14:val="none"/>
        </w:rPr>
      </w:pPr>
      <w:r>
        <w:rPr>
          <w:rFonts w:ascii="Times New Roman" w:hAnsi="Times New Roman"/>
          <w:noProof/>
        </w:rPr>
        <w:t>Plan de vidéoprotection de la préfecture de police: développer et offrir de nouvelles capacités de stockage et de réseau au système de vidéoprotection de la préfecture de police de Paris en particulier dans la perspective des Jeux olympiques de 2024.</w:t>
      </w:r>
    </w:p>
    <w:p w14:paraId="5A8AE57D" w14:textId="77777777" w:rsidR="00740F0F" w:rsidRPr="0029070D" w:rsidRDefault="00100B64">
      <w:pPr>
        <w:widowControl w:val="0"/>
        <w:numPr>
          <w:ilvl w:val="0"/>
          <w:numId w:val="37"/>
        </w:numPr>
        <w:tabs>
          <w:tab w:val="left" w:pos="823"/>
        </w:tabs>
        <w:autoSpaceDE w:val="0"/>
        <w:autoSpaceDN w:val="0"/>
        <w:spacing w:before="1" w:after="0" w:line="240" w:lineRule="auto"/>
        <w:jc w:val="both"/>
        <w:rPr>
          <w:rFonts w:ascii="Symbol" w:eastAsia="Times New Roman" w:hAnsi="Symbol" w:cs="Times New Roman"/>
          <w:noProof/>
          <w:kern w:val="0"/>
          <w:szCs w:val="20"/>
          <w14:ligatures w14:val="none"/>
        </w:rPr>
      </w:pPr>
      <w:r>
        <w:rPr>
          <w:rFonts w:ascii="Times New Roman" w:hAnsi="Times New Roman"/>
          <w:noProof/>
        </w:rPr>
        <w:t>Sécurisation des réseaux: renforcement de la sécurité numérique du ministère (cyberdéfense).</w:t>
      </w:r>
    </w:p>
    <w:p w14:paraId="5A8AE57E" w14:textId="77777777" w:rsidR="00740F0F" w:rsidRPr="0029070D" w:rsidRDefault="00100B64">
      <w:pPr>
        <w:widowControl w:val="0"/>
        <w:numPr>
          <w:ilvl w:val="0"/>
          <w:numId w:val="37"/>
        </w:numPr>
        <w:tabs>
          <w:tab w:val="left" w:pos="823"/>
        </w:tabs>
        <w:autoSpaceDE w:val="0"/>
        <w:autoSpaceDN w:val="0"/>
        <w:spacing w:before="21" w:after="0" w:line="247" w:lineRule="auto"/>
        <w:ind w:right="266"/>
        <w:jc w:val="both"/>
        <w:rPr>
          <w:rFonts w:ascii="Symbol" w:eastAsia="Times New Roman" w:hAnsi="Symbol" w:cs="Times New Roman"/>
          <w:noProof/>
          <w:kern w:val="0"/>
          <w:szCs w:val="20"/>
          <w14:ligatures w14:val="none"/>
        </w:rPr>
      </w:pPr>
      <w:r>
        <w:rPr>
          <w:rFonts w:ascii="Times New Roman" w:hAnsi="Times New Roman"/>
          <w:noProof/>
        </w:rPr>
        <w:t>Résilience des data centers: travaux d’infrastructures permettant d’assurer une résilience énergétique pour les data centers du ministère.</w:t>
      </w:r>
    </w:p>
    <w:p w14:paraId="5A8AE57F" w14:textId="77777777" w:rsidR="00740F0F" w:rsidRPr="0029070D" w:rsidRDefault="00100B64">
      <w:pPr>
        <w:widowControl w:val="0"/>
        <w:numPr>
          <w:ilvl w:val="0"/>
          <w:numId w:val="37"/>
        </w:numPr>
        <w:tabs>
          <w:tab w:val="left" w:pos="823"/>
        </w:tabs>
        <w:autoSpaceDE w:val="0"/>
        <w:autoSpaceDN w:val="0"/>
        <w:spacing w:before="27" w:after="0" w:line="254" w:lineRule="auto"/>
        <w:ind w:right="254"/>
        <w:jc w:val="both"/>
        <w:rPr>
          <w:rFonts w:ascii="Symbol" w:eastAsia="Times New Roman" w:hAnsi="Symbol" w:cs="Times New Roman"/>
          <w:noProof/>
          <w:kern w:val="0"/>
          <w:szCs w:val="20"/>
          <w14:ligatures w14:val="none"/>
        </w:rPr>
      </w:pPr>
      <w:r>
        <w:rPr>
          <w:rFonts w:ascii="Times New Roman" w:hAnsi="Times New Roman"/>
          <w:noProof/>
        </w:rPr>
        <w:t>Système d’alerte et d’information des populations: faire évoluer le système d’alerte et d’information aux populations notamment dans la perspective de la mise en place du nouveau système FR-Alert (voir également la mesure «Applications du ministère de l’intérieur»).</w:t>
      </w:r>
    </w:p>
    <w:p w14:paraId="5A8AE580" w14:textId="77777777" w:rsidR="00740F0F" w:rsidRPr="0029070D" w:rsidRDefault="00100B64">
      <w:pPr>
        <w:widowControl w:val="0"/>
        <w:autoSpaceDE w:val="0"/>
        <w:autoSpaceDN w:val="0"/>
        <w:spacing w:before="236"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6 (C7.I6): applications du ministère de l’intérieur</w:t>
      </w:r>
    </w:p>
    <w:p w14:paraId="5A8AE581" w14:textId="5EC3B227" w:rsidR="00740F0F" w:rsidRPr="0029070D" w:rsidRDefault="68059263" w:rsidP="497EC4FB">
      <w:pPr>
        <w:widowControl w:val="0"/>
        <w:autoSpaceDE w:val="0"/>
        <w:autoSpaceDN w:val="0"/>
        <w:spacing w:before="133" w:after="0" w:line="235" w:lineRule="auto"/>
        <w:ind w:left="100" w:right="261"/>
        <w:jc w:val="both"/>
        <w:rPr>
          <w:rFonts w:ascii="Times New Roman" w:eastAsia="Times New Roman" w:hAnsi="Times New Roman" w:cs="Times New Roman"/>
          <w:noProof/>
          <w:kern w:val="0"/>
          <w14:ligatures w14:val="none"/>
        </w:rPr>
      </w:pPr>
      <w:r>
        <w:rPr>
          <w:rFonts w:ascii="Times New Roman" w:hAnsi="Times New Roman"/>
          <w:noProof/>
        </w:rPr>
        <w:t>Cette mesure vise à soutenir les applications numériques, logiciels ou systèmes destinés au ministère de l’intérieur.</w:t>
      </w:r>
    </w:p>
    <w:p w14:paraId="5A8AE582" w14:textId="53039F56" w:rsidR="00740F0F" w:rsidRPr="0029070D" w:rsidRDefault="00100B64">
      <w:pPr>
        <w:widowControl w:val="0"/>
        <w:autoSpaceDE w:val="0"/>
        <w:autoSpaceDN w:val="0"/>
        <w:spacing w:before="133" w:after="0" w:line="235" w:lineRule="auto"/>
        <w:ind w:left="100" w:right="261"/>
        <w:jc w:val="both"/>
        <w:rPr>
          <w:rFonts w:ascii="Times New Roman" w:eastAsia="Times New Roman" w:hAnsi="Times New Roman" w:cs="Times New Roman"/>
          <w:noProof/>
          <w:kern w:val="0"/>
          <w:szCs w:val="20"/>
          <w14:ligatures w14:val="none"/>
        </w:rPr>
      </w:pPr>
      <w:r>
        <w:rPr>
          <w:rFonts w:ascii="Times New Roman" w:hAnsi="Times New Roman"/>
          <w:noProof/>
        </w:rPr>
        <w:t>Elle consiste en la création ou la mise à jour de trois applications numériques ou logiciels pour le ministère de l’intérieur et en la</w:t>
      </w:r>
      <w:r>
        <w:rPr>
          <w:noProof/>
        </w:rPr>
        <w:t xml:space="preserve"> </w:t>
      </w:r>
      <w:r>
        <w:rPr>
          <w:rFonts w:ascii="Times New Roman" w:hAnsi="Times New Roman"/>
          <w:noProof/>
        </w:rPr>
        <w:t xml:space="preserve">disponibilité du système Ubiquity en vue de son utilisation par les gendarmes sur le terrain. </w:t>
      </w:r>
    </w:p>
    <w:p w14:paraId="5A8AE583" w14:textId="77777777" w:rsidR="00740F0F" w:rsidRPr="0029070D" w:rsidRDefault="00100B64">
      <w:pPr>
        <w:widowControl w:val="0"/>
        <w:autoSpaceDE w:val="0"/>
        <w:autoSpaceDN w:val="0"/>
        <w:spacing w:before="238"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7 (C7.I7): mobilité et télétravail au ministère de l’intérieur</w:t>
      </w:r>
    </w:p>
    <w:p w14:paraId="5A8AE584" w14:textId="77777777" w:rsidR="00740F0F" w:rsidRPr="0029070D" w:rsidRDefault="00100B64">
      <w:pPr>
        <w:widowControl w:val="0"/>
        <w:autoSpaceDE w:val="0"/>
        <w:autoSpaceDN w:val="0"/>
        <w:spacing w:before="115" w:after="0" w:line="247" w:lineRule="auto"/>
        <w:ind w:left="100" w:right="249"/>
        <w:jc w:val="both"/>
        <w:rPr>
          <w:rFonts w:ascii="Times New Roman" w:eastAsia="Times New Roman" w:hAnsi="Times New Roman" w:cs="Times New Roman"/>
          <w:noProof/>
          <w:kern w:val="0"/>
          <w:szCs w:val="20"/>
          <w14:ligatures w14:val="none"/>
        </w:rPr>
      </w:pPr>
      <w:r>
        <w:rPr>
          <w:rFonts w:ascii="Times New Roman" w:hAnsi="Times New Roman"/>
          <w:noProof/>
        </w:rPr>
        <w:t>Cet investissement soutient un ensemble de mesures destinées à favoriser le développement de la mobilité et du télétravail au sein du ministère de l’intérieur. Trois actions sont mises en œuvre:</w:t>
      </w:r>
    </w:p>
    <w:p w14:paraId="5A8AE585" w14:textId="77777777" w:rsidR="00740F0F" w:rsidRPr="0029070D" w:rsidRDefault="00100B64">
      <w:pPr>
        <w:widowControl w:val="0"/>
        <w:numPr>
          <w:ilvl w:val="0"/>
          <w:numId w:val="37"/>
        </w:numPr>
        <w:tabs>
          <w:tab w:val="left" w:pos="823"/>
        </w:tabs>
        <w:autoSpaceDE w:val="0"/>
        <w:autoSpaceDN w:val="0"/>
        <w:spacing w:before="117" w:after="0" w:line="254" w:lineRule="auto"/>
        <w:ind w:right="265"/>
        <w:jc w:val="both"/>
        <w:rPr>
          <w:rFonts w:ascii="Symbol" w:eastAsia="Times New Roman" w:hAnsi="Symbol" w:cs="Times New Roman"/>
          <w:noProof/>
          <w:kern w:val="0"/>
          <w:szCs w:val="20"/>
          <w14:ligatures w14:val="none"/>
        </w:rPr>
      </w:pPr>
      <w:r>
        <w:rPr>
          <w:rFonts w:ascii="Times New Roman" w:hAnsi="Times New Roman"/>
          <w:noProof/>
        </w:rPr>
        <w:t>Amélioration de l’environnement numérique et développement du télétravail: destinée à favoriser le développement de solutions de travail collaboratif, l’acquisition de postes de télétravail et la mise en place des systèmes permettant le télétravail pour les agents du ministère.</w:t>
      </w:r>
    </w:p>
    <w:p w14:paraId="5A8AE586" w14:textId="77777777" w:rsidR="00740F0F" w:rsidRPr="0029070D" w:rsidRDefault="00100B64">
      <w:pPr>
        <w:widowControl w:val="0"/>
        <w:numPr>
          <w:ilvl w:val="0"/>
          <w:numId w:val="37"/>
        </w:numPr>
        <w:tabs>
          <w:tab w:val="left" w:pos="823"/>
        </w:tabs>
        <w:autoSpaceDE w:val="0"/>
        <w:autoSpaceDN w:val="0"/>
        <w:spacing w:before="18" w:after="0" w:line="252" w:lineRule="auto"/>
        <w:ind w:right="259"/>
        <w:jc w:val="both"/>
        <w:rPr>
          <w:rFonts w:ascii="Symbol" w:eastAsia="Times New Roman" w:hAnsi="Symbol" w:cs="Times New Roman"/>
          <w:noProof/>
          <w:kern w:val="0"/>
          <w:szCs w:val="20"/>
          <w14:ligatures w14:val="none"/>
        </w:rPr>
      </w:pPr>
      <w:r>
        <w:rPr>
          <w:rFonts w:ascii="Times New Roman" w:hAnsi="Times New Roman"/>
          <w:noProof/>
        </w:rPr>
        <w:t>Les premières actions liées au Réseau radio du futur (à savoir: l’accès à la couverture radioélectrique, le développement et la mise en place de l’intégrateur, du cœur de réseau, d’un système de communication, le développement et la mise en place de passerelles et des interconnexions, du système informatique de gestion, le maintien, l’intégration et le développement de l’environnement du projet PCSTORM, et les formations et expérimentations associées) afin de permettre le déploiement d’un réseau LTE (Long Term Evolution) pour les acteurs publics et privés de la sécurité (forces de l’ordre, pompiers, Samu et polices municipales). Il fournit des moyens de communication efficaces et résilients, permettant une réponse adaptée aux besoins de maintien de l’ordre et de réponse aux crises.</w:t>
      </w:r>
    </w:p>
    <w:p w14:paraId="5A8AE587" w14:textId="00ABB71D" w:rsidR="00740F0F" w:rsidRPr="0029070D" w:rsidRDefault="00100B64">
      <w:pPr>
        <w:widowControl w:val="0"/>
        <w:numPr>
          <w:ilvl w:val="0"/>
          <w:numId w:val="37"/>
        </w:numPr>
        <w:tabs>
          <w:tab w:val="left" w:pos="823"/>
        </w:tabs>
        <w:autoSpaceDE w:val="0"/>
        <w:autoSpaceDN w:val="0"/>
        <w:spacing w:before="21" w:after="0" w:line="254" w:lineRule="auto"/>
        <w:ind w:right="242"/>
        <w:jc w:val="both"/>
        <w:rPr>
          <w:rFonts w:ascii="Symbol" w:eastAsia="Times New Roman" w:hAnsi="Symbol" w:cs="Times New Roman"/>
          <w:noProof/>
          <w:kern w:val="0"/>
          <w:szCs w:val="20"/>
          <w14:ligatures w14:val="none"/>
        </w:rPr>
      </w:pPr>
      <w:r>
        <w:rPr>
          <w:rFonts w:ascii="Times New Roman" w:hAnsi="Times New Roman"/>
          <w:noProof/>
        </w:rPr>
        <w:t>Postes NEO: vise à étendre l’équipement de la police avec 40</w:t>
      </w:r>
      <w:r>
        <w:rPr>
          <w:rFonts w:ascii="Times New Roman" w:hAnsi="Times New Roman"/>
          <w:noProof/>
          <w:sz w:val="20"/>
        </w:rPr>
        <w:t> </w:t>
      </w:r>
      <w:r>
        <w:rPr>
          <w:rFonts w:ascii="Times New Roman" w:hAnsi="Times New Roman"/>
          <w:noProof/>
        </w:rPr>
        <w:t>000 terminaux mobiles sécurisés. Ces terminaux et le système applicatif les accompagnant permettent aux agents des forces de l’ordre de réaliser en mobilité des actions autrefois réalisées dans les locaux professionnels. Ils limitent ainsi les déplacements tant pour l’agent que pour l’usager et assurent une meilleure efficacité globale.</w:t>
      </w:r>
    </w:p>
    <w:p w14:paraId="5A8AE588" w14:textId="77777777" w:rsidR="00740F0F" w:rsidRPr="0029070D" w:rsidRDefault="00100B64">
      <w:pPr>
        <w:widowControl w:val="0"/>
        <w:autoSpaceDE w:val="0"/>
        <w:autoSpaceDN w:val="0"/>
        <w:spacing w:before="244"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9 (C7.I9): continuité pédagogique: transformation numérique de l’école</w:t>
      </w:r>
    </w:p>
    <w:p w14:paraId="5A8AE589" w14:textId="77777777" w:rsidR="00740F0F" w:rsidRPr="0029070D" w:rsidRDefault="00100B64">
      <w:pPr>
        <w:widowControl w:val="0"/>
        <w:autoSpaceDE w:val="0"/>
        <w:autoSpaceDN w:val="0"/>
        <w:spacing w:before="130" w:after="0" w:line="240" w:lineRule="auto"/>
        <w:ind w:left="100" w:right="253"/>
        <w:jc w:val="both"/>
        <w:rPr>
          <w:rFonts w:ascii="Times New Roman" w:eastAsia="Times New Roman" w:hAnsi="Times New Roman" w:cs="Times New Roman"/>
          <w:noProof/>
          <w:kern w:val="0"/>
          <w:szCs w:val="20"/>
          <w14:ligatures w14:val="none"/>
        </w:rPr>
      </w:pPr>
      <w:r>
        <w:rPr>
          <w:rFonts w:ascii="Times New Roman" w:hAnsi="Times New Roman"/>
          <w:noProof/>
        </w:rPr>
        <w:t>Cet investissement vise à soutenir l’installation d’équipements numériques mobiles dans les salles de classe, prérequis pour développer l’enseignement hybride. Il vise également à soutenir les investissements dans les vidéoprojecteurs, les équipements mobiles partagés, les équipements spécifiques à l’école élémentaire, ainsi que le réseau permettant l’enseignement en présentiel et en distanciel. Il finance également des services et des ressources pour l’enseignement du premier degré ainsi que des équipements permettant un enseignement hybride au lycée.</w:t>
      </w:r>
    </w:p>
    <w:p w14:paraId="5A8AE58A" w14:textId="77777777" w:rsidR="00740F0F" w:rsidRPr="0029070D" w:rsidRDefault="00100B64">
      <w:pPr>
        <w:widowControl w:val="0"/>
        <w:autoSpaceDE w:val="0"/>
        <w:autoSpaceDN w:val="0"/>
        <w:spacing w:before="213" w:after="0" w:line="232" w:lineRule="auto"/>
        <w:ind w:left="100" w:right="247"/>
        <w:jc w:val="both"/>
        <w:rPr>
          <w:rFonts w:ascii="Times New Roman" w:eastAsia="Times New Roman" w:hAnsi="Times New Roman" w:cs="Times New Roman"/>
          <w:noProof/>
          <w:kern w:val="0"/>
          <w:szCs w:val="20"/>
          <w14:ligatures w14:val="none"/>
        </w:rPr>
      </w:pPr>
      <w:r>
        <w:rPr>
          <w:rFonts w:ascii="Times New Roman" w:hAnsi="Times New Roman"/>
          <w:noProof/>
        </w:rPr>
        <w:t>Les enseignants sont formés pour maîtriser les nouveaux outils et services éducatifs numériques ainsi que le nouvel environnement numérique.</w:t>
      </w:r>
    </w:p>
    <w:p w14:paraId="5A8AE58B" w14:textId="77777777" w:rsidR="00740F0F" w:rsidRPr="0029070D" w:rsidRDefault="00100B64">
      <w:pPr>
        <w:widowControl w:val="0"/>
        <w:autoSpaceDE w:val="0"/>
        <w:autoSpaceDN w:val="0"/>
        <w:spacing w:before="229" w:after="0" w:line="235" w:lineRule="auto"/>
        <w:ind w:left="100" w:right="739"/>
        <w:jc w:val="both"/>
        <w:rPr>
          <w:rFonts w:ascii="Times New Roman" w:eastAsia="Times New Roman" w:hAnsi="Times New Roman" w:cs="Times New Roman"/>
          <w:noProof/>
          <w:kern w:val="0"/>
          <w:szCs w:val="20"/>
          <w14:ligatures w14:val="none"/>
        </w:rPr>
      </w:pPr>
      <w:r>
        <w:rPr>
          <w:rFonts w:ascii="Times New Roman" w:hAnsi="Times New Roman"/>
          <w:noProof/>
          <w:u w:val="single"/>
        </w:rPr>
        <w:t xml:space="preserve">Investissement 10 (C7.I10): numérisation des services publics: développer l’accès à l’enseignement supérieur partout sur le territoire grâce au numérique </w:t>
      </w:r>
    </w:p>
    <w:p w14:paraId="5A8AE58C" w14:textId="77777777" w:rsidR="00740F0F" w:rsidRPr="0029070D" w:rsidRDefault="00100B64">
      <w:pPr>
        <w:widowControl w:val="0"/>
        <w:autoSpaceDE w:val="0"/>
        <w:autoSpaceDN w:val="0"/>
        <w:spacing w:before="131" w:after="0" w:line="240" w:lineRule="auto"/>
        <w:ind w:left="100" w:right="238"/>
        <w:jc w:val="both"/>
        <w:rPr>
          <w:rFonts w:ascii="Times New Roman" w:eastAsia="Times New Roman" w:hAnsi="Times New Roman" w:cs="Times New Roman"/>
          <w:noProof/>
          <w:kern w:val="0"/>
          <w:szCs w:val="20"/>
          <w14:ligatures w14:val="none"/>
        </w:rPr>
      </w:pPr>
      <w:r>
        <w:rPr>
          <w:rFonts w:ascii="Times New Roman" w:hAnsi="Times New Roman"/>
          <w:noProof/>
        </w:rPr>
        <w:t>Cet investissement vise à financer la mise en place de modules de cours dématérialisés dans les établissements d’enseignement supérieur ainsi que le déploiement des infrastructures numériques nécessaires. Le développement des cours à distance et des infrastructures correspondantes est une réponse à la situation sanitaire actuelle en évitant la promiscuité dans les amphithéâtres et les salles de cours. Il répond également à une stratégie de plus long terme d’accessibilité de l’enseignement supérieur destinée à toucher un public plus large sur l’ensemble du territoire national mais également à l’étranger. En outre, il permet d’offrir une offre de formation plus complète et plus adaptée aux contraintes de certains étudiants devant concilier leurs études avec une activité professionnelle.</w:t>
      </w:r>
    </w:p>
    <w:p w14:paraId="5A8AE58D" w14:textId="77777777" w:rsidR="00740F0F" w:rsidRPr="0029070D" w:rsidRDefault="00100B64">
      <w:pPr>
        <w:widowControl w:val="0"/>
        <w:autoSpaceDE w:val="0"/>
        <w:autoSpaceDN w:val="0"/>
        <w:spacing w:before="120"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rPr>
        <w:t>Les investissements soutiennent des projets de:</w:t>
      </w:r>
    </w:p>
    <w:p w14:paraId="5A8AE58E" w14:textId="77777777" w:rsidR="00740F0F" w:rsidRPr="0029070D" w:rsidRDefault="00100B64">
      <w:pPr>
        <w:widowControl w:val="0"/>
        <w:numPr>
          <w:ilvl w:val="0"/>
          <w:numId w:val="37"/>
        </w:numPr>
        <w:tabs>
          <w:tab w:val="left" w:pos="823"/>
        </w:tabs>
        <w:autoSpaceDE w:val="0"/>
        <w:autoSpaceDN w:val="0"/>
        <w:spacing w:before="113" w:after="0" w:line="240" w:lineRule="auto"/>
        <w:jc w:val="both"/>
        <w:rPr>
          <w:rFonts w:ascii="Symbol" w:eastAsia="Times New Roman" w:hAnsi="Symbol" w:cs="Times New Roman"/>
          <w:noProof/>
          <w:kern w:val="0"/>
          <w:szCs w:val="20"/>
          <w14:ligatures w14:val="none"/>
        </w:rPr>
      </w:pPr>
      <w:r>
        <w:rPr>
          <w:rFonts w:ascii="Times New Roman" w:hAnsi="Times New Roman"/>
          <w:noProof/>
        </w:rPr>
        <w:t>création de modules numériques et accessibles en ligne dans les établissements d’enseignement supérieur;</w:t>
      </w:r>
    </w:p>
    <w:p w14:paraId="5A8AE58F" w14:textId="77777777" w:rsidR="00740F0F" w:rsidRPr="0029070D" w:rsidRDefault="00100B64">
      <w:pPr>
        <w:widowControl w:val="0"/>
        <w:numPr>
          <w:ilvl w:val="0"/>
          <w:numId w:val="37"/>
        </w:numPr>
        <w:tabs>
          <w:tab w:val="left" w:pos="823"/>
        </w:tabs>
        <w:autoSpaceDE w:val="0"/>
        <w:autoSpaceDN w:val="0"/>
        <w:spacing w:before="1" w:after="0" w:line="240" w:lineRule="auto"/>
        <w:jc w:val="both"/>
        <w:rPr>
          <w:rFonts w:ascii="Symbol" w:eastAsia="Times New Roman" w:hAnsi="Symbol" w:cs="Times New Roman"/>
          <w:noProof/>
          <w:kern w:val="0"/>
          <w:szCs w:val="20"/>
          <w14:ligatures w14:val="none"/>
        </w:rPr>
      </w:pPr>
      <w:r>
        <w:rPr>
          <w:rFonts w:ascii="Times New Roman" w:hAnsi="Times New Roman"/>
          <w:noProof/>
        </w:rPr>
        <w:t>formation aux compétences numériques des enseignants chercheurs des universités;</w:t>
      </w:r>
    </w:p>
    <w:p w14:paraId="5A8AE590" w14:textId="77777777" w:rsidR="00740F0F" w:rsidRPr="0029070D" w:rsidRDefault="00100B64">
      <w:pPr>
        <w:widowControl w:val="0"/>
        <w:numPr>
          <w:ilvl w:val="0"/>
          <w:numId w:val="37"/>
        </w:numPr>
        <w:tabs>
          <w:tab w:val="left" w:pos="823"/>
        </w:tabs>
        <w:autoSpaceDE w:val="0"/>
        <w:autoSpaceDN w:val="0"/>
        <w:spacing w:before="120" w:after="0" w:line="290" w:lineRule="exact"/>
        <w:ind w:right="242"/>
        <w:jc w:val="both"/>
        <w:rPr>
          <w:rFonts w:ascii="Symbol" w:eastAsia="Times New Roman" w:hAnsi="Symbol" w:cs="Times New Roman"/>
          <w:noProof/>
          <w:kern w:val="0"/>
          <w:szCs w:val="20"/>
          <w14:ligatures w14:val="none"/>
        </w:rPr>
      </w:pPr>
      <w:r>
        <w:rPr>
          <w:rFonts w:ascii="Times New Roman" w:hAnsi="Times New Roman"/>
          <w:noProof/>
        </w:rPr>
        <w:t>développement de plateformes de dimension nationale (classe virtuelle, webinaire, examens à distance, learning management system) qui, à terme, offriront l’ensemble des modules licence et master;</w:t>
      </w:r>
    </w:p>
    <w:p w14:paraId="5A8AE591" w14:textId="77777777" w:rsidR="00740F0F" w:rsidRPr="0029070D" w:rsidRDefault="00100B64">
      <w:pPr>
        <w:widowControl w:val="0"/>
        <w:numPr>
          <w:ilvl w:val="0"/>
          <w:numId w:val="37"/>
        </w:numPr>
        <w:tabs>
          <w:tab w:val="left" w:pos="823"/>
        </w:tabs>
        <w:autoSpaceDE w:val="0"/>
        <w:autoSpaceDN w:val="0"/>
        <w:spacing w:before="120" w:after="0" w:line="290" w:lineRule="exact"/>
        <w:ind w:right="242"/>
        <w:jc w:val="both"/>
        <w:rPr>
          <w:rFonts w:ascii="Symbol" w:eastAsia="Times New Roman" w:hAnsi="Symbol" w:cs="Times New Roman"/>
          <w:noProof/>
          <w:kern w:val="0"/>
          <w:szCs w:val="20"/>
          <w14:ligatures w14:val="none"/>
        </w:rPr>
      </w:pPr>
      <w:r>
        <w:rPr>
          <w:rFonts w:ascii="Times New Roman" w:hAnsi="Times New Roman"/>
          <w:noProof/>
        </w:rPr>
        <w:t>appel à projets dédiés aux services numériques tournés vers le parcours de l’étudiant.</w:t>
      </w:r>
    </w:p>
    <w:p w14:paraId="5A8AE592" w14:textId="77777777" w:rsidR="00740F0F" w:rsidRPr="0029070D" w:rsidRDefault="00100B64">
      <w:pPr>
        <w:widowControl w:val="0"/>
        <w:autoSpaceDE w:val="0"/>
        <w:autoSpaceDN w:val="0"/>
        <w:spacing w:before="236"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11 (C7.I11): soutien aux filières culturelles et rénovations patrimoniales</w:t>
      </w:r>
    </w:p>
    <w:p w14:paraId="5A8AE593" w14:textId="77777777" w:rsidR="00740F0F" w:rsidRPr="0029070D" w:rsidRDefault="00100B64">
      <w:pPr>
        <w:widowControl w:val="0"/>
        <w:autoSpaceDE w:val="0"/>
        <w:autoSpaceDN w:val="0"/>
        <w:spacing w:before="113" w:after="0" w:line="240" w:lineRule="auto"/>
        <w:ind w:left="100"/>
        <w:jc w:val="both"/>
        <w:rPr>
          <w:rFonts w:ascii="Times New Roman" w:eastAsia="Times New Roman" w:hAnsi="Times New Roman" w:cs="Times New Roman"/>
          <w:noProof/>
          <w:kern w:val="0"/>
          <w14:ligatures w14:val="none"/>
        </w:rPr>
      </w:pPr>
      <w:r>
        <w:rPr>
          <w:rFonts w:ascii="Times New Roman" w:hAnsi="Times New Roman"/>
          <w:noProof/>
        </w:rPr>
        <w:t>L’objectif de cette mesure est de soutenir la rénovation du patrimoine culturel et à promouvoir le spectacle vivant.</w:t>
      </w:r>
    </w:p>
    <w:p w14:paraId="5A8AE594" w14:textId="77777777" w:rsidR="00740F0F" w:rsidRPr="0029070D" w:rsidRDefault="00100B64">
      <w:pPr>
        <w:widowControl w:val="0"/>
        <w:autoSpaceDE w:val="0"/>
        <w:autoSpaceDN w:val="0"/>
        <w:spacing w:before="127" w:after="0" w:line="240" w:lineRule="auto"/>
        <w:ind w:left="100" w:right="229"/>
        <w:jc w:val="both"/>
        <w:rPr>
          <w:rFonts w:ascii="Times New Roman" w:eastAsia="Times New Roman" w:hAnsi="Times New Roman" w:cs="Times New Roman"/>
          <w:noProof/>
          <w:kern w:val="0"/>
          <w14:ligatures w14:val="none"/>
        </w:rPr>
      </w:pPr>
      <w:r>
        <w:rPr>
          <w:rFonts w:ascii="Times New Roman" w:hAnsi="Times New Roman"/>
          <w:noProof/>
        </w:rPr>
        <w:t>Cet investissement consiste en deux sous-mesures: i) la rénovation de monuments historiques et ii) le soutien à l’emploi et à la modernisation de la formation dans les filières culturelles.</w:t>
      </w:r>
    </w:p>
    <w:p w14:paraId="5A8AE595" w14:textId="77777777" w:rsidR="00740F0F" w:rsidRPr="0029070D" w:rsidRDefault="00740F0F">
      <w:pPr>
        <w:widowControl w:val="0"/>
        <w:autoSpaceDE w:val="0"/>
        <w:autoSpaceDN w:val="0"/>
        <w:spacing w:before="3" w:after="0" w:line="240" w:lineRule="auto"/>
        <w:rPr>
          <w:rFonts w:ascii="Times New Roman" w:eastAsia="Times New Roman" w:hAnsi="Times New Roman" w:cs="Times New Roman"/>
          <w:noProof/>
          <w:kern w:val="0"/>
          <w:sz w:val="37"/>
          <w:szCs w:val="20"/>
          <w14:ligatures w14:val="none"/>
        </w:rPr>
      </w:pPr>
    </w:p>
    <w:p w14:paraId="5A8AE596" w14:textId="77777777" w:rsidR="00740F0F" w:rsidRPr="0029070D" w:rsidRDefault="00100B64">
      <w:pPr>
        <w:widowControl w:val="0"/>
        <w:autoSpaceDE w:val="0"/>
        <w:autoSpaceDN w:val="0"/>
        <w:spacing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Contrôles et audits:</w:t>
      </w:r>
    </w:p>
    <w:p w14:paraId="5A8AE597" w14:textId="77777777" w:rsidR="00740F0F" w:rsidRPr="0029070D" w:rsidRDefault="00100B64">
      <w:pPr>
        <w:widowControl w:val="0"/>
        <w:autoSpaceDE w:val="0"/>
        <w:autoSpaceDN w:val="0"/>
        <w:spacing w:before="147" w:after="0" w:line="259" w:lineRule="auto"/>
        <w:ind w:left="100" w:right="240"/>
        <w:jc w:val="both"/>
        <w:rPr>
          <w:rFonts w:ascii="Times New Roman" w:eastAsia="Times New Roman" w:hAnsi="Times New Roman" w:cs="Times New Roman"/>
          <w:noProof/>
          <w:kern w:val="0"/>
          <w:szCs w:val="20"/>
          <w14:ligatures w14:val="none"/>
        </w:rPr>
      </w:pPr>
      <w:r>
        <w:rPr>
          <w:rFonts w:ascii="Times New Roman" w:hAnsi="Times New Roman"/>
          <w:noProof/>
        </w:rPr>
        <w:t>Le suivi de la mise en œuvre du plan national de relance et de résilience est du ressort du Secrétariat général France Relance, service rattaché au Premier ministre et au ministre de l’économie, des finances et de la relance. La mise en œuvre est déléguée aux ministères par le biais de conventions et de chartes de gestion. En ce qui concerne le système de contrôle interne, les autorités en charge de la facilité pour la reprise et la résilience en France s’appuient sur le système national de contrôle du budget national existant. La Commission interministérielle de coordination des contrôles (CiCC) est le service coordinateur national chargé des audits et des contrôles.</w:t>
      </w:r>
    </w:p>
    <w:p w14:paraId="5A8AE598" w14:textId="77777777" w:rsidR="00740F0F" w:rsidRPr="0029070D" w:rsidRDefault="00100B64">
      <w:pPr>
        <w:widowControl w:val="0"/>
        <w:autoSpaceDE w:val="0"/>
        <w:autoSpaceDN w:val="0"/>
        <w:spacing w:before="117"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rPr>
        <w:t>Une circulaire sera signée par le Premier ministre pour préciser:</w:t>
      </w:r>
    </w:p>
    <w:p w14:paraId="5A8AE599" w14:textId="77777777" w:rsidR="00740F0F" w:rsidRPr="0029070D" w:rsidRDefault="00100B64">
      <w:pPr>
        <w:widowControl w:val="0"/>
        <w:numPr>
          <w:ilvl w:val="0"/>
          <w:numId w:val="38"/>
        </w:numPr>
        <w:tabs>
          <w:tab w:val="left" w:pos="823"/>
        </w:tabs>
        <w:autoSpaceDE w:val="0"/>
        <w:autoSpaceDN w:val="0"/>
        <w:spacing w:before="143" w:after="0" w:line="244" w:lineRule="auto"/>
        <w:ind w:right="247"/>
        <w:jc w:val="both"/>
        <w:rPr>
          <w:rFonts w:ascii="Times New Roman" w:eastAsia="Times New Roman" w:hAnsi="Times New Roman" w:cs="Times New Roman"/>
          <w:noProof/>
          <w:kern w:val="0"/>
          <w:szCs w:val="20"/>
          <w14:ligatures w14:val="none"/>
        </w:rPr>
      </w:pPr>
      <w:r>
        <w:rPr>
          <w:rFonts w:ascii="Times New Roman" w:hAnsi="Times New Roman"/>
          <w:noProof/>
        </w:rPr>
        <w:t>l’organisation du système et les obligations incombant à chaque structure en matière de fiabilité et de contrôle des données relatives aux indicateurs;</w:t>
      </w:r>
    </w:p>
    <w:p w14:paraId="5A8AE59A" w14:textId="77777777" w:rsidR="00740F0F" w:rsidRPr="0029070D" w:rsidRDefault="00100B64">
      <w:pPr>
        <w:widowControl w:val="0"/>
        <w:numPr>
          <w:ilvl w:val="0"/>
          <w:numId w:val="38"/>
        </w:numPr>
        <w:tabs>
          <w:tab w:val="left" w:pos="823"/>
        </w:tabs>
        <w:autoSpaceDE w:val="0"/>
        <w:autoSpaceDN w:val="0"/>
        <w:spacing w:before="143" w:after="0" w:line="244" w:lineRule="auto"/>
        <w:ind w:right="247"/>
        <w:jc w:val="both"/>
        <w:rPr>
          <w:rFonts w:ascii="Times New Roman" w:eastAsia="Times New Roman" w:hAnsi="Times New Roman" w:cs="Times New Roman"/>
          <w:noProof/>
          <w:kern w:val="0"/>
          <w:szCs w:val="20"/>
          <w14:ligatures w14:val="none"/>
        </w:rPr>
      </w:pPr>
      <w:r>
        <w:rPr>
          <w:rFonts w:ascii="Times New Roman" w:hAnsi="Times New Roman"/>
          <w:noProof/>
        </w:rPr>
        <w:t>les procédures de collecte et de stockage des données des bénéficiaires finaux.</w:t>
      </w:r>
    </w:p>
    <w:p w14:paraId="5A8AE59B" w14:textId="77777777" w:rsidR="00740F0F" w:rsidRPr="0029070D" w:rsidRDefault="00100B64">
      <w:pPr>
        <w:widowControl w:val="0"/>
        <w:autoSpaceDE w:val="0"/>
        <w:autoSpaceDN w:val="0"/>
        <w:spacing w:before="126" w:after="0" w:line="242" w:lineRule="auto"/>
        <w:ind w:left="100" w:right="232"/>
        <w:jc w:val="both"/>
        <w:rPr>
          <w:rFonts w:ascii="Times New Roman" w:eastAsia="Times New Roman" w:hAnsi="Times New Roman" w:cs="Times New Roman"/>
          <w:noProof/>
          <w:kern w:val="0"/>
          <w:szCs w:val="20"/>
          <w14:ligatures w14:val="none"/>
        </w:rPr>
      </w:pPr>
      <w:r>
        <w:rPr>
          <w:rFonts w:ascii="Times New Roman" w:hAnsi="Times New Roman"/>
          <w:noProof/>
        </w:rPr>
        <w:t>Étant donné que la circulaire doit définir des éléments importants du système de contrôle et d’audit, qui ne sont pas encore disponibles à la date de présentation du plan, un jalon relatif à la signature de ces circulaires est prévu. De plus, le jalon inclut également un rapport de la CiCC détaillant sa stratégie en matière d’audits et décrivant le travail d’audit envisagé sur les demandes de paiement.</w:t>
      </w:r>
    </w:p>
    <w:p w14:paraId="5A8AE59C" w14:textId="77777777" w:rsidR="00740F0F" w:rsidRPr="0029070D" w:rsidRDefault="00740F0F">
      <w:pPr>
        <w:spacing w:before="120" w:after="120" w:line="242" w:lineRule="auto"/>
        <w:rPr>
          <w:rFonts w:ascii="Times New Roman" w:eastAsia="Calibri" w:hAnsi="Times New Roman" w:cs="Times New Roman"/>
          <w:noProof/>
          <w:kern w:val="0"/>
          <w:szCs w:val="22"/>
          <w14:ligatures w14:val="none"/>
        </w:rPr>
        <w:sectPr w:rsidR="00740F0F" w:rsidRPr="0029070D">
          <w:headerReference w:type="even" r:id="rId90"/>
          <w:headerReference w:type="default" r:id="rId91"/>
          <w:footerReference w:type="even" r:id="rId92"/>
          <w:footerReference w:type="default" r:id="rId93"/>
          <w:headerReference w:type="first" r:id="rId94"/>
          <w:footerReference w:type="first" r:id="rId95"/>
          <w:pgSz w:w="11920" w:h="16860"/>
          <w:pgMar w:top="1134" w:right="1134" w:bottom="1134" w:left="1134" w:header="567" w:footer="567" w:gutter="0"/>
          <w:cols w:space="720"/>
          <w:docGrid w:linePitch="326"/>
        </w:sectPr>
      </w:pPr>
    </w:p>
    <w:p w14:paraId="5A8AE59D" w14:textId="4523117C" w:rsidR="00740F0F" w:rsidRPr="003A373D" w:rsidRDefault="00100B64" w:rsidP="00E409C3">
      <w:pPr>
        <w:pStyle w:val="ListParagraph"/>
        <w:widowControl w:val="0"/>
        <w:numPr>
          <w:ilvl w:val="2"/>
          <w:numId w:val="1"/>
        </w:numPr>
        <w:autoSpaceDE w:val="0"/>
        <w:autoSpaceDN w:val="0"/>
        <w:spacing w:before="136" w:after="0" w:line="240" w:lineRule="auto"/>
        <w:jc w:val="left"/>
        <w:outlineLvl w:val="1"/>
        <w:rPr>
          <w:rFonts w:ascii="Times New Roman" w:eastAsia="Times New Roman" w:hAnsi="Times New Roman" w:cs="Times New Roman"/>
          <w:b/>
          <w:noProof/>
          <w:kern w:val="0"/>
          <w:szCs w:val="20"/>
          <w:u w:val="single"/>
          <w14:ligatures w14:val="none"/>
        </w:rPr>
      </w:pPr>
      <w:r>
        <w:rPr>
          <w:rFonts w:ascii="Times New Roman" w:hAnsi="Times New Roman"/>
          <w:b/>
          <w:noProof/>
          <w:u w:val="single"/>
        </w:rPr>
        <w:t xml:space="preserve"> Jalons, cibles, indicateurs et calendrier de suivi et de mise en œuvre en vue du soutien financier non remboursable</w:t>
      </w:r>
    </w:p>
    <w:p w14:paraId="5A8AE59E" w14:textId="77777777" w:rsidR="00740F0F" w:rsidRPr="00E409C3" w:rsidRDefault="00740F0F">
      <w:pPr>
        <w:widowControl w:val="0"/>
        <w:autoSpaceDE w:val="0"/>
        <w:autoSpaceDN w:val="0"/>
        <w:spacing w:before="6" w:after="0" w:line="240" w:lineRule="auto"/>
        <w:rPr>
          <w:rFonts w:ascii="Times New Roman" w:eastAsia="Times New Roman" w:hAnsi="Times New Roman" w:cs="Times New Roman"/>
          <w:b/>
          <w:noProof/>
          <w:kern w:val="0"/>
          <w:sz w:val="15"/>
          <w:szCs w:val="20"/>
          <w14:ligatures w14:val="none"/>
        </w:rPr>
      </w:pPr>
    </w:p>
    <w:tbl>
      <w:tblPr>
        <w:tblStyle w:val="NormalTable0"/>
        <w:tblW w:w="1563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1114"/>
        <w:gridCol w:w="1291"/>
        <w:gridCol w:w="1134"/>
        <w:gridCol w:w="1837"/>
        <w:gridCol w:w="1423"/>
        <w:gridCol w:w="993"/>
        <w:gridCol w:w="850"/>
        <w:gridCol w:w="992"/>
        <w:gridCol w:w="993"/>
        <w:gridCol w:w="1134"/>
        <w:gridCol w:w="3870"/>
      </w:tblGrid>
      <w:tr w:rsidR="00782477" w:rsidRPr="0029070D" w14:paraId="5A8AE5A7" w14:textId="77777777" w:rsidTr="009C520E">
        <w:trPr>
          <w:trHeight w:val="834"/>
          <w:tblHeader/>
          <w:jc w:val="center"/>
        </w:trPr>
        <w:tc>
          <w:tcPr>
            <w:tcW w:w="1114" w:type="dxa"/>
            <w:vMerge w:val="restart"/>
            <w:tcBorders>
              <w:top w:val="single" w:sz="4" w:space="0" w:color="auto"/>
              <w:left w:val="single" w:sz="4" w:space="0" w:color="auto"/>
              <w:bottom w:val="single" w:sz="4" w:space="0" w:color="auto"/>
              <w:right w:val="single" w:sz="4" w:space="0" w:color="auto"/>
            </w:tcBorders>
            <w:shd w:val="clear" w:color="auto" w:fill="C5D9EF"/>
            <w:vAlign w:val="center"/>
          </w:tcPr>
          <w:p w14:paraId="5A8AE59F" w14:textId="77777777" w:rsidR="00740F0F" w:rsidRPr="0029070D" w:rsidRDefault="00100B64">
            <w:pPr>
              <w:spacing w:before="166" w:line="249" w:lineRule="auto"/>
              <w:ind w:left="208" w:right="170" w:hanging="120"/>
              <w:jc w:val="center"/>
              <w:rPr>
                <w:rFonts w:ascii="Times New Roman" w:eastAsia="Times New Roman" w:hAnsi="Times New Roman" w:cs="Times New Roman"/>
                <w:b/>
                <w:noProof/>
                <w:sz w:val="18"/>
                <w:szCs w:val="18"/>
              </w:rPr>
            </w:pPr>
            <w:r>
              <w:rPr>
                <w:rFonts w:ascii="Times New Roman" w:hAnsi="Times New Roman"/>
                <w:b/>
                <w:noProof/>
                <w:sz w:val="18"/>
              </w:rPr>
              <w:t>Numéro séquentiel</w:t>
            </w:r>
          </w:p>
        </w:tc>
        <w:tc>
          <w:tcPr>
            <w:tcW w:w="1291" w:type="dxa"/>
            <w:vMerge w:val="restart"/>
            <w:tcBorders>
              <w:top w:val="single" w:sz="4" w:space="0" w:color="auto"/>
              <w:left w:val="single" w:sz="4" w:space="0" w:color="auto"/>
              <w:bottom w:val="single" w:sz="4" w:space="0" w:color="auto"/>
              <w:right w:val="single" w:sz="4" w:space="0" w:color="auto"/>
            </w:tcBorders>
            <w:shd w:val="clear" w:color="auto" w:fill="C5D9EF"/>
            <w:vAlign w:val="center"/>
          </w:tcPr>
          <w:p w14:paraId="5A8AE5A0" w14:textId="77777777" w:rsidR="00740F0F" w:rsidRPr="0029070D" w:rsidRDefault="00100B64">
            <w:pPr>
              <w:ind w:left="174"/>
              <w:jc w:val="center"/>
              <w:rPr>
                <w:rFonts w:ascii="Times New Roman" w:eastAsia="Times New Roman" w:hAnsi="Times New Roman" w:cs="Times New Roman"/>
                <w:b/>
                <w:noProof/>
                <w:sz w:val="18"/>
                <w:szCs w:val="18"/>
              </w:rPr>
            </w:pPr>
            <w:r>
              <w:rPr>
                <w:rFonts w:ascii="Times New Roman" w:hAnsi="Times New Roman"/>
                <w:b/>
                <w:noProof/>
                <w:sz w:val="18"/>
              </w:rPr>
              <w:t>Mesure</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C5D9EF"/>
            <w:vAlign w:val="center"/>
          </w:tcPr>
          <w:p w14:paraId="5A8AE5A1" w14:textId="77777777" w:rsidR="00740F0F" w:rsidRPr="0029070D" w:rsidRDefault="00100B64">
            <w:pPr>
              <w:spacing w:before="171"/>
              <w:ind w:left="201"/>
              <w:jc w:val="center"/>
              <w:rPr>
                <w:rFonts w:ascii="Times New Roman" w:eastAsia="Times New Roman" w:hAnsi="Times New Roman" w:cs="Times New Roman"/>
                <w:b/>
                <w:noProof/>
                <w:sz w:val="18"/>
                <w:szCs w:val="18"/>
              </w:rPr>
            </w:pPr>
            <w:r>
              <w:rPr>
                <w:rFonts w:ascii="Times New Roman" w:hAnsi="Times New Roman"/>
                <w:b/>
                <w:noProof/>
                <w:sz w:val="18"/>
              </w:rPr>
              <w:t>Jalon / Cible</w:t>
            </w:r>
          </w:p>
        </w:tc>
        <w:tc>
          <w:tcPr>
            <w:tcW w:w="1837" w:type="dxa"/>
            <w:vMerge w:val="restart"/>
            <w:tcBorders>
              <w:top w:val="single" w:sz="4" w:space="0" w:color="auto"/>
              <w:left w:val="single" w:sz="4" w:space="0" w:color="auto"/>
              <w:bottom w:val="single" w:sz="4" w:space="0" w:color="auto"/>
              <w:right w:val="single" w:sz="4" w:space="0" w:color="auto"/>
            </w:tcBorders>
            <w:shd w:val="clear" w:color="auto" w:fill="C5D9EF"/>
            <w:vAlign w:val="center"/>
          </w:tcPr>
          <w:p w14:paraId="5A8AE5A2" w14:textId="77777777" w:rsidR="00740F0F" w:rsidRPr="0029070D" w:rsidRDefault="00100B64">
            <w:pPr>
              <w:ind w:left="668" w:right="643"/>
              <w:jc w:val="center"/>
              <w:rPr>
                <w:rFonts w:ascii="Times New Roman" w:eastAsia="Times New Roman" w:hAnsi="Times New Roman" w:cs="Times New Roman"/>
                <w:b/>
                <w:noProof/>
                <w:sz w:val="18"/>
                <w:szCs w:val="18"/>
              </w:rPr>
            </w:pPr>
            <w:r>
              <w:rPr>
                <w:rFonts w:ascii="Times New Roman" w:hAnsi="Times New Roman"/>
                <w:b/>
                <w:noProof/>
                <w:sz w:val="18"/>
              </w:rPr>
              <w:t>Dénomination</w:t>
            </w:r>
          </w:p>
        </w:tc>
        <w:tc>
          <w:tcPr>
            <w:tcW w:w="1423" w:type="dxa"/>
            <w:vMerge w:val="restart"/>
            <w:tcBorders>
              <w:top w:val="single" w:sz="4" w:space="0" w:color="auto"/>
              <w:left w:val="single" w:sz="4" w:space="0" w:color="auto"/>
              <w:bottom w:val="single" w:sz="4" w:space="0" w:color="auto"/>
              <w:right w:val="single" w:sz="4" w:space="0" w:color="auto"/>
            </w:tcBorders>
            <w:shd w:val="clear" w:color="auto" w:fill="C5D9EF"/>
            <w:vAlign w:val="center"/>
          </w:tcPr>
          <w:p w14:paraId="5A8AE5A3" w14:textId="77777777" w:rsidR="00740F0F" w:rsidRPr="0029070D" w:rsidRDefault="00100B64">
            <w:pPr>
              <w:spacing w:before="137" w:line="256" w:lineRule="auto"/>
              <w:ind w:left="198" w:right="152" w:firstLine="2"/>
              <w:jc w:val="center"/>
              <w:rPr>
                <w:rFonts w:ascii="Times New Roman" w:eastAsia="Times New Roman" w:hAnsi="Times New Roman" w:cs="Times New Roman"/>
                <w:b/>
                <w:noProof/>
                <w:sz w:val="18"/>
                <w:szCs w:val="18"/>
              </w:rPr>
            </w:pPr>
            <w:r>
              <w:rPr>
                <w:rFonts w:ascii="Times New Roman" w:hAnsi="Times New Roman"/>
                <w:b/>
                <w:noProof/>
                <w:sz w:val="18"/>
              </w:rPr>
              <w:t>Indicateurs qualitatifs (pour les jalons)</w:t>
            </w:r>
          </w:p>
        </w:tc>
        <w:tc>
          <w:tcPr>
            <w:tcW w:w="2835" w:type="dxa"/>
            <w:gridSpan w:val="3"/>
            <w:tcBorders>
              <w:top w:val="single" w:sz="4" w:space="0" w:color="auto"/>
              <w:left w:val="single" w:sz="4" w:space="0" w:color="auto"/>
              <w:bottom w:val="single" w:sz="4" w:space="0" w:color="auto"/>
              <w:right w:val="single" w:sz="4" w:space="0" w:color="auto"/>
            </w:tcBorders>
            <w:shd w:val="clear" w:color="auto" w:fill="C5D9EF"/>
            <w:vAlign w:val="center"/>
          </w:tcPr>
          <w:p w14:paraId="5A8AE5A4" w14:textId="77777777" w:rsidR="00740F0F" w:rsidRPr="0029070D" w:rsidRDefault="00100B64">
            <w:pPr>
              <w:spacing w:line="247" w:lineRule="auto"/>
              <w:ind w:left="1319" w:right="231" w:hanging="944"/>
              <w:rPr>
                <w:rFonts w:ascii="Times New Roman" w:eastAsia="Times New Roman" w:hAnsi="Times New Roman" w:cs="Times New Roman"/>
                <w:b/>
                <w:noProof/>
                <w:sz w:val="18"/>
                <w:szCs w:val="18"/>
              </w:rPr>
            </w:pPr>
            <w:r>
              <w:rPr>
                <w:rFonts w:ascii="Times New Roman" w:hAnsi="Times New Roman"/>
                <w:b/>
                <w:noProof/>
                <w:sz w:val="18"/>
              </w:rPr>
              <w:t>Indicateurs quantitatifs (pour les cibles)</w:t>
            </w:r>
          </w:p>
        </w:tc>
        <w:tc>
          <w:tcPr>
            <w:tcW w:w="2127" w:type="dxa"/>
            <w:gridSpan w:val="2"/>
            <w:tcBorders>
              <w:top w:val="single" w:sz="4" w:space="0" w:color="auto"/>
              <w:left w:val="single" w:sz="4" w:space="0" w:color="auto"/>
              <w:bottom w:val="single" w:sz="4" w:space="0" w:color="auto"/>
              <w:right w:val="single" w:sz="4" w:space="0" w:color="auto"/>
            </w:tcBorders>
            <w:shd w:val="clear" w:color="auto" w:fill="C5D9EF"/>
            <w:vAlign w:val="center"/>
          </w:tcPr>
          <w:p w14:paraId="5A8AE5A5" w14:textId="77777777" w:rsidR="00740F0F" w:rsidRPr="0029070D" w:rsidRDefault="00100B64">
            <w:pPr>
              <w:spacing w:line="247" w:lineRule="auto"/>
              <w:ind w:left="317" w:right="85" w:hanging="197"/>
              <w:jc w:val="center"/>
              <w:rPr>
                <w:rFonts w:ascii="Times New Roman" w:eastAsia="Times New Roman" w:hAnsi="Times New Roman" w:cs="Times New Roman"/>
                <w:b/>
                <w:noProof/>
                <w:sz w:val="18"/>
                <w:szCs w:val="18"/>
              </w:rPr>
            </w:pPr>
            <w:r>
              <w:rPr>
                <w:rFonts w:ascii="Times New Roman" w:hAnsi="Times New Roman"/>
                <w:b/>
                <w:noProof/>
                <w:sz w:val="18"/>
              </w:rPr>
              <w:t>Calendrier indicatif de réalisation</w:t>
            </w:r>
          </w:p>
        </w:tc>
        <w:tc>
          <w:tcPr>
            <w:tcW w:w="3870" w:type="dxa"/>
            <w:vMerge w:val="restart"/>
            <w:tcBorders>
              <w:top w:val="single" w:sz="4" w:space="0" w:color="auto"/>
              <w:left w:val="single" w:sz="4" w:space="0" w:color="auto"/>
              <w:bottom w:val="single" w:sz="4" w:space="0" w:color="auto"/>
              <w:right w:val="single" w:sz="4" w:space="0" w:color="auto"/>
            </w:tcBorders>
            <w:shd w:val="clear" w:color="auto" w:fill="C5D9EF"/>
            <w:vAlign w:val="center"/>
          </w:tcPr>
          <w:p w14:paraId="5A8AE5A6" w14:textId="77777777" w:rsidR="00740F0F" w:rsidRPr="0029070D" w:rsidRDefault="00100B64">
            <w:pPr>
              <w:jc w:val="center"/>
              <w:rPr>
                <w:rFonts w:ascii="Times New Roman" w:eastAsia="Times New Roman" w:hAnsi="Times New Roman" w:cs="Times New Roman"/>
                <w:b/>
                <w:noProof/>
                <w:sz w:val="18"/>
                <w:szCs w:val="18"/>
              </w:rPr>
            </w:pPr>
            <w:r>
              <w:rPr>
                <w:rFonts w:ascii="Times New Roman" w:hAnsi="Times New Roman"/>
                <w:b/>
                <w:noProof/>
                <w:sz w:val="18"/>
              </w:rPr>
              <w:t>Description de chaque jalon et cible</w:t>
            </w:r>
          </w:p>
        </w:tc>
      </w:tr>
      <w:tr w:rsidR="00782477" w:rsidRPr="0029070D" w14:paraId="5A8AE5B3" w14:textId="77777777" w:rsidTr="009C520E">
        <w:trPr>
          <w:trHeight w:val="405"/>
          <w:tblHeader/>
          <w:jc w:val="center"/>
        </w:trPr>
        <w:tc>
          <w:tcPr>
            <w:tcW w:w="1114" w:type="dxa"/>
            <w:vMerge/>
          </w:tcPr>
          <w:p w14:paraId="5A8AE5A8" w14:textId="77777777" w:rsidR="00740F0F" w:rsidRPr="0029070D" w:rsidRDefault="00740F0F">
            <w:pPr>
              <w:spacing w:before="120" w:after="120" w:line="360" w:lineRule="auto"/>
              <w:rPr>
                <w:rFonts w:ascii="Times New Roman" w:eastAsia="Calibri" w:hAnsi="Times New Roman" w:cs="Times New Roman"/>
                <w:noProof/>
                <w:sz w:val="18"/>
                <w:szCs w:val="18"/>
              </w:rPr>
            </w:pPr>
          </w:p>
        </w:tc>
        <w:tc>
          <w:tcPr>
            <w:tcW w:w="1291" w:type="dxa"/>
            <w:vMerge/>
          </w:tcPr>
          <w:p w14:paraId="5A8AE5A9" w14:textId="77777777" w:rsidR="00740F0F" w:rsidRPr="0029070D" w:rsidRDefault="00740F0F">
            <w:pPr>
              <w:spacing w:before="120" w:after="120" w:line="360" w:lineRule="auto"/>
              <w:rPr>
                <w:rFonts w:ascii="Times New Roman" w:eastAsia="Calibri" w:hAnsi="Times New Roman" w:cs="Times New Roman"/>
                <w:noProof/>
                <w:sz w:val="18"/>
                <w:szCs w:val="18"/>
              </w:rPr>
            </w:pPr>
          </w:p>
        </w:tc>
        <w:tc>
          <w:tcPr>
            <w:tcW w:w="1134" w:type="dxa"/>
            <w:vMerge/>
          </w:tcPr>
          <w:p w14:paraId="5A8AE5AA" w14:textId="77777777" w:rsidR="00740F0F" w:rsidRPr="0029070D" w:rsidRDefault="00740F0F">
            <w:pPr>
              <w:spacing w:before="120" w:after="120" w:line="360" w:lineRule="auto"/>
              <w:rPr>
                <w:rFonts w:ascii="Times New Roman" w:eastAsia="Calibri" w:hAnsi="Times New Roman" w:cs="Times New Roman"/>
                <w:noProof/>
                <w:sz w:val="18"/>
                <w:szCs w:val="18"/>
              </w:rPr>
            </w:pPr>
          </w:p>
        </w:tc>
        <w:tc>
          <w:tcPr>
            <w:tcW w:w="1837" w:type="dxa"/>
            <w:vMerge/>
          </w:tcPr>
          <w:p w14:paraId="5A8AE5AB" w14:textId="77777777" w:rsidR="00740F0F" w:rsidRPr="0029070D" w:rsidRDefault="00740F0F">
            <w:pPr>
              <w:spacing w:before="120" w:after="120" w:line="360" w:lineRule="auto"/>
              <w:rPr>
                <w:rFonts w:ascii="Times New Roman" w:eastAsia="Calibri" w:hAnsi="Times New Roman" w:cs="Times New Roman"/>
                <w:noProof/>
                <w:sz w:val="18"/>
                <w:szCs w:val="18"/>
              </w:rPr>
            </w:pPr>
          </w:p>
        </w:tc>
        <w:tc>
          <w:tcPr>
            <w:tcW w:w="1423" w:type="dxa"/>
            <w:vMerge/>
          </w:tcPr>
          <w:p w14:paraId="5A8AE5AC" w14:textId="77777777" w:rsidR="00740F0F" w:rsidRPr="0029070D" w:rsidRDefault="00740F0F">
            <w:pPr>
              <w:spacing w:before="120" w:after="120" w:line="360" w:lineRule="auto"/>
              <w:rPr>
                <w:rFonts w:ascii="Times New Roman" w:eastAsia="Calibri"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D9EF"/>
            <w:vAlign w:val="center"/>
          </w:tcPr>
          <w:p w14:paraId="5A8AE5AD" w14:textId="77777777" w:rsidR="00740F0F" w:rsidRPr="0029070D" w:rsidRDefault="00100B64">
            <w:pPr>
              <w:spacing w:before="168" w:line="217" w:lineRule="exact"/>
              <w:ind w:left="299"/>
              <w:rPr>
                <w:rFonts w:ascii="Times New Roman" w:eastAsia="Times New Roman" w:hAnsi="Times New Roman" w:cs="Times New Roman"/>
                <w:b/>
                <w:noProof/>
                <w:sz w:val="18"/>
                <w:szCs w:val="18"/>
              </w:rPr>
            </w:pPr>
            <w:r>
              <w:rPr>
                <w:rFonts w:ascii="Times New Roman" w:hAnsi="Times New Roman"/>
                <w:b/>
                <w:noProof/>
                <w:sz w:val="18"/>
              </w:rPr>
              <w:t>Unité de mesure</w:t>
            </w:r>
          </w:p>
        </w:tc>
        <w:tc>
          <w:tcPr>
            <w:tcW w:w="850" w:type="dxa"/>
            <w:tcBorders>
              <w:top w:val="single" w:sz="4" w:space="0" w:color="auto"/>
              <w:left w:val="single" w:sz="4" w:space="0" w:color="auto"/>
              <w:bottom w:val="single" w:sz="4" w:space="0" w:color="auto"/>
              <w:right w:val="single" w:sz="4" w:space="0" w:color="auto"/>
            </w:tcBorders>
            <w:shd w:val="clear" w:color="auto" w:fill="C5D9EF"/>
            <w:vAlign w:val="center"/>
          </w:tcPr>
          <w:p w14:paraId="5A8AE5AE" w14:textId="77777777" w:rsidR="00740F0F" w:rsidRPr="0029070D" w:rsidRDefault="00100B64">
            <w:pPr>
              <w:spacing w:before="168" w:line="217" w:lineRule="exact"/>
              <w:ind w:left="103"/>
              <w:rPr>
                <w:rFonts w:ascii="Times New Roman" w:eastAsia="Times New Roman" w:hAnsi="Times New Roman" w:cs="Times New Roman"/>
                <w:b/>
                <w:noProof/>
                <w:sz w:val="18"/>
                <w:szCs w:val="18"/>
              </w:rPr>
            </w:pPr>
            <w:r>
              <w:rPr>
                <w:rFonts w:ascii="Times New Roman" w:hAnsi="Times New Roman"/>
                <w:b/>
                <w:noProof/>
                <w:sz w:val="18"/>
              </w:rPr>
              <w:t>Base de référence</w:t>
            </w:r>
          </w:p>
        </w:tc>
        <w:tc>
          <w:tcPr>
            <w:tcW w:w="992" w:type="dxa"/>
            <w:tcBorders>
              <w:top w:val="single" w:sz="4" w:space="0" w:color="auto"/>
              <w:left w:val="single" w:sz="4" w:space="0" w:color="auto"/>
              <w:bottom w:val="single" w:sz="4" w:space="0" w:color="auto"/>
              <w:right w:val="single" w:sz="4" w:space="0" w:color="auto"/>
            </w:tcBorders>
            <w:shd w:val="clear" w:color="auto" w:fill="C5D9EF"/>
            <w:vAlign w:val="center"/>
          </w:tcPr>
          <w:p w14:paraId="5A8AE5AF" w14:textId="77777777" w:rsidR="00740F0F" w:rsidRPr="0029070D" w:rsidRDefault="00100B64">
            <w:pPr>
              <w:spacing w:before="168" w:line="217" w:lineRule="exact"/>
              <w:ind w:left="282"/>
              <w:rPr>
                <w:rFonts w:ascii="Times New Roman" w:eastAsia="Times New Roman" w:hAnsi="Times New Roman" w:cs="Times New Roman"/>
                <w:b/>
                <w:noProof/>
                <w:sz w:val="18"/>
                <w:szCs w:val="18"/>
              </w:rPr>
            </w:pPr>
            <w:r>
              <w:rPr>
                <w:rFonts w:ascii="Times New Roman" w:hAnsi="Times New Roman"/>
                <w:b/>
                <w:noProof/>
                <w:sz w:val="18"/>
              </w:rPr>
              <w:t>Objectif</w:t>
            </w:r>
          </w:p>
        </w:tc>
        <w:tc>
          <w:tcPr>
            <w:tcW w:w="993" w:type="dxa"/>
            <w:tcBorders>
              <w:top w:val="single" w:sz="4" w:space="0" w:color="auto"/>
              <w:left w:val="single" w:sz="4" w:space="0" w:color="auto"/>
              <w:bottom w:val="single" w:sz="4" w:space="0" w:color="auto"/>
              <w:right w:val="single" w:sz="4" w:space="0" w:color="auto"/>
            </w:tcBorders>
            <w:shd w:val="clear" w:color="auto" w:fill="C5D9EF"/>
            <w:vAlign w:val="center"/>
          </w:tcPr>
          <w:p w14:paraId="5A8AE5B0" w14:textId="77777777" w:rsidR="00740F0F" w:rsidRPr="0029070D" w:rsidRDefault="00100B64">
            <w:pPr>
              <w:spacing w:before="168" w:line="217" w:lineRule="exact"/>
              <w:ind w:left="100" w:right="89"/>
              <w:rPr>
                <w:rFonts w:ascii="Times New Roman" w:eastAsia="Times New Roman" w:hAnsi="Times New Roman" w:cs="Times New Roman"/>
                <w:b/>
                <w:noProof/>
                <w:sz w:val="18"/>
                <w:szCs w:val="18"/>
              </w:rPr>
            </w:pPr>
            <w:r>
              <w:rPr>
                <w:rFonts w:ascii="Times New Roman" w:hAnsi="Times New Roman"/>
                <w:b/>
                <w:noProof/>
                <w:sz w:val="18"/>
              </w:rPr>
              <w:t>Trimestre</w:t>
            </w:r>
          </w:p>
        </w:tc>
        <w:tc>
          <w:tcPr>
            <w:tcW w:w="1134" w:type="dxa"/>
            <w:tcBorders>
              <w:top w:val="single" w:sz="4" w:space="0" w:color="auto"/>
              <w:left w:val="single" w:sz="4" w:space="0" w:color="auto"/>
              <w:bottom w:val="single" w:sz="4" w:space="0" w:color="auto"/>
              <w:right w:val="single" w:sz="4" w:space="0" w:color="auto"/>
            </w:tcBorders>
            <w:shd w:val="clear" w:color="auto" w:fill="C5D9EF"/>
            <w:vAlign w:val="center"/>
          </w:tcPr>
          <w:p w14:paraId="5A8AE5B1" w14:textId="77777777" w:rsidR="00740F0F" w:rsidRPr="0029070D" w:rsidRDefault="00100B64">
            <w:pPr>
              <w:spacing w:before="168" w:line="217" w:lineRule="exact"/>
              <w:ind w:right="206"/>
              <w:jc w:val="center"/>
              <w:rPr>
                <w:rFonts w:ascii="Times New Roman" w:eastAsia="Times New Roman" w:hAnsi="Times New Roman" w:cs="Times New Roman"/>
                <w:b/>
                <w:noProof/>
                <w:sz w:val="18"/>
                <w:szCs w:val="18"/>
              </w:rPr>
            </w:pPr>
            <w:r>
              <w:rPr>
                <w:rFonts w:ascii="Times New Roman" w:hAnsi="Times New Roman"/>
                <w:b/>
                <w:noProof/>
                <w:sz w:val="18"/>
              </w:rPr>
              <w:t>Année</w:t>
            </w:r>
          </w:p>
        </w:tc>
        <w:tc>
          <w:tcPr>
            <w:tcW w:w="3870" w:type="dxa"/>
            <w:vMerge/>
            <w:vAlign w:val="center"/>
          </w:tcPr>
          <w:p w14:paraId="5A8AE5B2" w14:textId="77777777" w:rsidR="00740F0F" w:rsidRPr="0029070D" w:rsidRDefault="00740F0F">
            <w:pPr>
              <w:spacing w:before="120" w:after="120" w:line="360" w:lineRule="auto"/>
              <w:rPr>
                <w:rFonts w:ascii="Times New Roman" w:eastAsia="Calibri" w:hAnsi="Times New Roman" w:cs="Times New Roman"/>
                <w:noProof/>
                <w:sz w:val="18"/>
                <w:szCs w:val="18"/>
              </w:rPr>
            </w:pPr>
          </w:p>
        </w:tc>
      </w:tr>
      <w:tr w:rsidR="00782477" w:rsidRPr="0029070D" w14:paraId="5A8AE5C0" w14:textId="77777777" w:rsidTr="003259A7">
        <w:trPr>
          <w:trHeight w:val="3814"/>
          <w:jc w:val="center"/>
        </w:trPr>
        <w:tc>
          <w:tcPr>
            <w:tcW w:w="1114" w:type="dxa"/>
            <w:tcBorders>
              <w:top w:val="single" w:sz="4" w:space="0" w:color="auto"/>
              <w:left w:val="single" w:sz="4" w:space="0" w:color="auto"/>
              <w:bottom w:val="single" w:sz="4" w:space="0" w:color="auto"/>
              <w:right w:val="single" w:sz="4" w:space="0" w:color="auto"/>
            </w:tcBorders>
            <w:shd w:val="clear" w:color="auto" w:fill="C5EDCE"/>
          </w:tcPr>
          <w:p w14:paraId="5A8AE5B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7-1</w:t>
            </w:r>
          </w:p>
        </w:tc>
        <w:tc>
          <w:tcPr>
            <w:tcW w:w="1291" w:type="dxa"/>
            <w:tcBorders>
              <w:top w:val="single" w:sz="4" w:space="0" w:color="auto"/>
              <w:left w:val="single" w:sz="4" w:space="0" w:color="auto"/>
              <w:bottom w:val="single" w:sz="4" w:space="0" w:color="auto"/>
              <w:right w:val="single" w:sz="4" w:space="0" w:color="auto"/>
            </w:tcBorders>
            <w:shd w:val="clear" w:color="auto" w:fill="C5EDCE"/>
          </w:tcPr>
          <w:p w14:paraId="5A8AE5B5" w14:textId="77777777" w:rsidR="00740F0F" w:rsidRPr="0029070D" w:rsidRDefault="00100B64">
            <w:pPr>
              <w:spacing w:line="214" w:lineRule="exact"/>
              <w:ind w:left="9" w:firstLine="27"/>
              <w:jc w:val="center"/>
              <w:rPr>
                <w:rFonts w:ascii="Times New Roman" w:eastAsia="Times New Roman" w:hAnsi="Times New Roman" w:cs="Times New Roman"/>
                <w:noProof/>
                <w:sz w:val="18"/>
                <w:szCs w:val="18"/>
              </w:rPr>
            </w:pPr>
            <w:r>
              <w:rPr>
                <w:rFonts w:ascii="Times New Roman" w:hAnsi="Times New Roman"/>
                <w:noProof/>
                <w:sz w:val="18"/>
              </w:rPr>
              <w:t>C7.R1</w:t>
            </w:r>
          </w:p>
          <w:p w14:paraId="5A8AE5B6" w14:textId="77777777" w:rsidR="00740F0F" w:rsidRPr="0029070D" w:rsidRDefault="00100B64">
            <w:pPr>
              <w:spacing w:line="214" w:lineRule="exact"/>
              <w:ind w:left="9" w:firstLine="27"/>
              <w:jc w:val="center"/>
              <w:rPr>
                <w:rFonts w:ascii="Times New Roman" w:eastAsia="Times New Roman" w:hAnsi="Times New Roman" w:cs="Times New Roman"/>
                <w:noProof/>
                <w:sz w:val="18"/>
                <w:szCs w:val="18"/>
              </w:rPr>
            </w:pPr>
            <w:r>
              <w:rPr>
                <w:rFonts w:ascii="Times New Roman" w:hAnsi="Times New Roman"/>
                <w:noProof/>
                <w:sz w:val="18"/>
              </w:rPr>
              <w:t>Loi 3DS</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5B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37" w:type="dxa"/>
            <w:tcBorders>
              <w:top w:val="single" w:sz="4" w:space="0" w:color="auto"/>
              <w:left w:val="single" w:sz="4" w:space="0" w:color="auto"/>
              <w:bottom w:val="single" w:sz="4" w:space="0" w:color="auto"/>
              <w:right w:val="single" w:sz="4" w:space="0" w:color="auto"/>
            </w:tcBorders>
            <w:shd w:val="clear" w:color="auto" w:fill="C5EDCE"/>
          </w:tcPr>
          <w:p w14:paraId="5A8AE5B8" w14:textId="77777777" w:rsidR="00740F0F" w:rsidRPr="0029070D" w:rsidRDefault="00100B64">
            <w:pPr>
              <w:spacing w:line="214" w:lineRule="exact"/>
              <w:ind w:left="9" w:right="11"/>
              <w:rPr>
                <w:rFonts w:ascii="Times New Roman" w:eastAsia="Times New Roman" w:hAnsi="Times New Roman" w:cs="Times New Roman"/>
                <w:noProof/>
                <w:sz w:val="18"/>
                <w:szCs w:val="18"/>
              </w:rPr>
            </w:pPr>
            <w:r>
              <w:rPr>
                <w:rFonts w:ascii="Times New Roman" w:hAnsi="Times New Roman"/>
                <w:noProof/>
                <w:sz w:val="18"/>
              </w:rPr>
              <w:t>Entrée en vigueur de la loi 3DS</w:t>
            </w:r>
          </w:p>
        </w:tc>
        <w:tc>
          <w:tcPr>
            <w:tcW w:w="1423" w:type="dxa"/>
            <w:tcBorders>
              <w:top w:val="single" w:sz="4" w:space="0" w:color="auto"/>
              <w:left w:val="single" w:sz="4" w:space="0" w:color="auto"/>
              <w:bottom w:val="single" w:sz="4" w:space="0" w:color="auto"/>
              <w:right w:val="single" w:sz="4" w:space="0" w:color="auto"/>
            </w:tcBorders>
            <w:shd w:val="clear" w:color="auto" w:fill="C5EDCE"/>
          </w:tcPr>
          <w:p w14:paraId="5A8AE5B9" w14:textId="77777777" w:rsidR="00740F0F" w:rsidRPr="0029070D" w:rsidRDefault="00100B64" w:rsidP="003259A7">
            <w:pPr>
              <w:ind w:left="57" w:right="57"/>
              <w:rPr>
                <w:rFonts w:ascii="Times New Roman" w:eastAsia="Times New Roman" w:hAnsi="Times New Roman" w:cs="Times New Roman"/>
                <w:noProof/>
                <w:sz w:val="18"/>
                <w:szCs w:val="18"/>
              </w:rPr>
            </w:pPr>
            <w:r>
              <w:rPr>
                <w:rFonts w:ascii="Times New Roman" w:hAnsi="Times New Roman"/>
                <w:noProof/>
                <w:sz w:val="18"/>
              </w:rPr>
              <w:t>Entrée en vigueur</w:t>
            </w: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5BA"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5BB"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5BC"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5BD" w14:textId="77777777" w:rsidR="00740F0F" w:rsidRPr="0029070D" w:rsidRDefault="00100B64">
            <w:pPr>
              <w:spacing w:line="214" w:lineRule="exact"/>
              <w:ind w:left="9" w:right="62"/>
              <w:jc w:val="center"/>
              <w:rPr>
                <w:rFonts w:ascii="Times New Roman" w:eastAsia="Times New Roman" w:hAnsi="Times New Roman" w:cs="Times New Roman"/>
                <w:noProof/>
                <w:sz w:val="18"/>
                <w:szCs w:val="18"/>
              </w:rPr>
            </w:pPr>
            <w:r>
              <w:rPr>
                <w:rFonts w:ascii="Times New Roman" w:hAnsi="Times New Roman"/>
                <w:noProof/>
                <w:sz w:val="18"/>
              </w:rPr>
              <w:t>T1</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5BE" w14:textId="77777777" w:rsidR="00740F0F" w:rsidRPr="0029070D" w:rsidRDefault="00100B64">
            <w:pPr>
              <w:spacing w:line="214" w:lineRule="exact"/>
              <w:ind w:left="9" w:right="20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3870" w:type="dxa"/>
            <w:tcBorders>
              <w:top w:val="single" w:sz="4" w:space="0" w:color="auto"/>
              <w:left w:val="single" w:sz="4" w:space="0" w:color="auto"/>
              <w:bottom w:val="single" w:sz="4" w:space="0" w:color="auto"/>
              <w:right w:val="single" w:sz="4" w:space="0" w:color="auto"/>
            </w:tcBorders>
            <w:shd w:val="clear" w:color="auto" w:fill="C5EDCE"/>
          </w:tcPr>
          <w:p w14:paraId="5A8AE5BF" w14:textId="77777777" w:rsidR="00740F0F" w:rsidRPr="0029070D" w:rsidRDefault="00100B64">
            <w:pPr>
              <w:spacing w:line="214" w:lineRule="exact"/>
              <w:ind w:left="9" w:right="100"/>
              <w:rPr>
                <w:rFonts w:ascii="Times New Roman" w:eastAsia="Times New Roman" w:hAnsi="Times New Roman" w:cs="Times New Roman"/>
                <w:noProof/>
                <w:sz w:val="18"/>
                <w:szCs w:val="18"/>
              </w:rPr>
            </w:pPr>
            <w:r>
              <w:rPr>
                <w:rFonts w:ascii="Times New Roman" w:hAnsi="Times New Roman"/>
                <w:noProof/>
                <w:sz w:val="18"/>
              </w:rPr>
              <w:t>Entrée en vigueur de la loi 3DS visant à renforcer l’efficacité des services publics en favorisant la différenciation, la décentralisation, la déconcentration et la simplification. La loi prévoit des dispositions dans les domaines du logement, des transports, de la transition écologique, de la santé et des solidarités. Elle poursuit quatre objectifs: 1) la décentralisation: pour rendre plus lisible et plus efficace l’action publique, en transférant certains blocs de compétences aux collectivités locales; 2) la différentiation: pour faire en sorte que chaque territoire soit en mesure d’apporter des réponses à ses spécificités, par des outils et des moyens adaptés; 3) la déconcentration: pour rendre l’État plus proche des territoires locaux et mieux adapter les prises de décisions aux réalités locales; 4) la simplification: pour simplifier l’action publique locale.</w:t>
            </w:r>
          </w:p>
        </w:tc>
      </w:tr>
      <w:tr w:rsidR="00782477" w:rsidRPr="0029070D" w14:paraId="5A8AE5CD" w14:textId="77777777" w:rsidTr="009C520E">
        <w:trPr>
          <w:trHeight w:val="944"/>
          <w:jc w:val="center"/>
        </w:trPr>
        <w:tc>
          <w:tcPr>
            <w:tcW w:w="1114" w:type="dxa"/>
            <w:tcBorders>
              <w:top w:val="single" w:sz="4" w:space="0" w:color="auto"/>
              <w:left w:val="single" w:sz="4" w:space="0" w:color="auto"/>
              <w:bottom w:val="single" w:sz="4" w:space="0" w:color="auto"/>
              <w:right w:val="single" w:sz="4" w:space="0" w:color="auto"/>
            </w:tcBorders>
            <w:shd w:val="clear" w:color="auto" w:fill="C5EDCE"/>
          </w:tcPr>
          <w:p w14:paraId="5A8AE5C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7-2</w:t>
            </w:r>
          </w:p>
        </w:tc>
        <w:tc>
          <w:tcPr>
            <w:tcW w:w="1291" w:type="dxa"/>
            <w:tcBorders>
              <w:top w:val="single" w:sz="4" w:space="0" w:color="auto"/>
              <w:left w:val="single" w:sz="4" w:space="0" w:color="auto"/>
              <w:bottom w:val="single" w:sz="4" w:space="0" w:color="auto"/>
              <w:right w:val="single" w:sz="4" w:space="0" w:color="auto"/>
            </w:tcBorders>
            <w:shd w:val="clear" w:color="auto" w:fill="C5EDCE"/>
          </w:tcPr>
          <w:p w14:paraId="5A8AE5C2" w14:textId="77777777" w:rsidR="00740F0F" w:rsidRPr="0029070D" w:rsidRDefault="00100B64">
            <w:pPr>
              <w:spacing w:line="214" w:lineRule="exact"/>
              <w:ind w:left="9" w:firstLine="27"/>
              <w:jc w:val="center"/>
              <w:rPr>
                <w:rFonts w:ascii="Times New Roman" w:eastAsia="Times New Roman" w:hAnsi="Times New Roman" w:cs="Times New Roman"/>
                <w:noProof/>
                <w:sz w:val="18"/>
                <w:szCs w:val="18"/>
              </w:rPr>
            </w:pPr>
            <w:r>
              <w:rPr>
                <w:rFonts w:ascii="Times New Roman" w:hAnsi="Times New Roman"/>
                <w:noProof/>
                <w:sz w:val="18"/>
              </w:rPr>
              <w:t>C7.R1</w:t>
            </w:r>
          </w:p>
          <w:p w14:paraId="5A8AE5C3" w14:textId="77777777" w:rsidR="00740F0F" w:rsidRPr="0029070D" w:rsidRDefault="00100B64">
            <w:pPr>
              <w:spacing w:line="214" w:lineRule="exact"/>
              <w:ind w:left="9" w:firstLine="27"/>
              <w:jc w:val="center"/>
              <w:rPr>
                <w:rFonts w:ascii="Times New Roman" w:eastAsia="Times New Roman" w:hAnsi="Times New Roman" w:cs="Times New Roman"/>
                <w:noProof/>
                <w:sz w:val="18"/>
                <w:szCs w:val="18"/>
              </w:rPr>
            </w:pPr>
            <w:r>
              <w:rPr>
                <w:rFonts w:ascii="Times New Roman" w:hAnsi="Times New Roman"/>
                <w:noProof/>
                <w:sz w:val="18"/>
              </w:rPr>
              <w:t>Loi 3DS</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5C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37" w:type="dxa"/>
            <w:tcBorders>
              <w:top w:val="single" w:sz="4" w:space="0" w:color="auto"/>
              <w:left w:val="single" w:sz="4" w:space="0" w:color="auto"/>
              <w:bottom w:val="single" w:sz="4" w:space="0" w:color="auto"/>
              <w:right w:val="single" w:sz="4" w:space="0" w:color="auto"/>
            </w:tcBorders>
            <w:shd w:val="clear" w:color="auto" w:fill="C5EDCE"/>
          </w:tcPr>
          <w:p w14:paraId="5A8AE5C5" w14:textId="632882C9" w:rsidR="00740F0F" w:rsidRPr="0029070D" w:rsidRDefault="009447E5" w:rsidP="009C520E">
            <w:pPr>
              <w:spacing w:line="214" w:lineRule="exact"/>
              <w:ind w:left="9" w:right="68"/>
              <w:rPr>
                <w:rFonts w:ascii="Times New Roman" w:eastAsia="Times New Roman" w:hAnsi="Times New Roman" w:cs="Times New Roman"/>
                <w:noProof/>
                <w:sz w:val="18"/>
                <w:szCs w:val="18"/>
              </w:rPr>
            </w:pPr>
            <w:r>
              <w:rPr>
                <w:rFonts w:ascii="Times New Roman" w:hAnsi="Times New Roman"/>
                <w:noProof/>
                <w:sz w:val="18"/>
              </w:rPr>
              <w:t>Évaluation du principe de différenciation dans le cadre de la loi 3DS</w:t>
            </w:r>
          </w:p>
        </w:tc>
        <w:tc>
          <w:tcPr>
            <w:tcW w:w="1423" w:type="dxa"/>
            <w:tcBorders>
              <w:top w:val="single" w:sz="4" w:space="0" w:color="auto"/>
              <w:left w:val="single" w:sz="4" w:space="0" w:color="auto"/>
              <w:bottom w:val="single" w:sz="4" w:space="0" w:color="auto"/>
              <w:right w:val="single" w:sz="4" w:space="0" w:color="auto"/>
            </w:tcBorders>
            <w:shd w:val="clear" w:color="auto" w:fill="C5EDCE"/>
          </w:tcPr>
          <w:p w14:paraId="5A8AE5C6" w14:textId="77777777" w:rsidR="00740F0F" w:rsidRPr="0029070D" w:rsidRDefault="00100B64" w:rsidP="003259A7">
            <w:pPr>
              <w:spacing w:line="214" w:lineRule="exact"/>
              <w:ind w:left="9" w:right="45"/>
              <w:rPr>
                <w:rFonts w:ascii="Times New Roman" w:eastAsia="Times New Roman" w:hAnsi="Times New Roman" w:cs="Times New Roman"/>
                <w:noProof/>
                <w:sz w:val="18"/>
                <w:szCs w:val="18"/>
              </w:rPr>
            </w:pPr>
            <w:r>
              <w:rPr>
                <w:rFonts w:ascii="Times New Roman" w:hAnsi="Times New Roman"/>
                <w:noProof/>
                <w:sz w:val="18"/>
              </w:rPr>
              <w:t>Rapport d’évaluation</w:t>
            </w: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5C7"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5C8"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5C9"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5CA" w14:textId="77777777" w:rsidR="00740F0F" w:rsidRPr="0029070D" w:rsidRDefault="00100B64">
            <w:pPr>
              <w:spacing w:line="214" w:lineRule="exact"/>
              <w:ind w:left="9" w:right="62"/>
              <w:jc w:val="center"/>
              <w:rPr>
                <w:rFonts w:ascii="Times New Roman" w:eastAsia="Times New Roman" w:hAnsi="Times New Roman" w:cs="Times New Roman"/>
                <w:noProof/>
                <w:sz w:val="18"/>
                <w:szCs w:val="18"/>
              </w:rPr>
            </w:pPr>
            <w:r>
              <w:rPr>
                <w:rFonts w:ascii="Times New Roman" w:hAnsi="Times New Roman"/>
                <w:noProof/>
                <w:sz w:val="18"/>
              </w:rPr>
              <w:t>T2</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5CB" w14:textId="77777777" w:rsidR="00740F0F" w:rsidRPr="0029070D" w:rsidRDefault="00100B64">
            <w:pPr>
              <w:spacing w:line="214" w:lineRule="exact"/>
              <w:ind w:left="9" w:right="209"/>
              <w:jc w:val="center"/>
              <w:rPr>
                <w:rFonts w:ascii="Times New Roman" w:eastAsia="Times New Roman" w:hAnsi="Times New Roman" w:cs="Times New Roman"/>
                <w:noProof/>
                <w:sz w:val="18"/>
                <w:szCs w:val="18"/>
              </w:rPr>
            </w:pPr>
            <w:r>
              <w:rPr>
                <w:rFonts w:ascii="Times New Roman" w:hAnsi="Times New Roman"/>
                <w:noProof/>
                <w:sz w:val="18"/>
              </w:rPr>
              <w:t>2025</w:t>
            </w:r>
          </w:p>
        </w:tc>
        <w:tc>
          <w:tcPr>
            <w:tcW w:w="3870" w:type="dxa"/>
            <w:tcBorders>
              <w:top w:val="single" w:sz="4" w:space="0" w:color="auto"/>
              <w:left w:val="single" w:sz="4" w:space="0" w:color="auto"/>
              <w:bottom w:val="single" w:sz="4" w:space="0" w:color="auto"/>
              <w:right w:val="single" w:sz="4" w:space="0" w:color="auto"/>
            </w:tcBorders>
            <w:shd w:val="clear" w:color="auto" w:fill="C5EDCE"/>
          </w:tcPr>
          <w:p w14:paraId="5A8AE5CC" w14:textId="69C7D39E" w:rsidR="00740F0F" w:rsidRPr="0029070D" w:rsidRDefault="00100B64">
            <w:pPr>
              <w:spacing w:line="214" w:lineRule="exact"/>
              <w:ind w:left="9" w:right="100"/>
              <w:rPr>
                <w:rFonts w:ascii="Times New Roman" w:eastAsia="Times New Roman" w:hAnsi="Times New Roman" w:cs="Times New Roman"/>
                <w:noProof/>
                <w:sz w:val="18"/>
                <w:szCs w:val="18"/>
              </w:rPr>
            </w:pPr>
            <w:r>
              <w:rPr>
                <w:rFonts w:ascii="Times New Roman" w:hAnsi="Times New Roman"/>
                <w:noProof/>
                <w:sz w:val="18"/>
              </w:rPr>
              <w:t>Publication de rapports évaluant la mise en œuvre du principe de différenciation dans le cadre de la loi 3DS.</w:t>
            </w:r>
          </w:p>
        </w:tc>
      </w:tr>
      <w:tr w:rsidR="00782477" w:rsidRPr="0029070D" w14:paraId="5A8AE5DA" w14:textId="77777777" w:rsidTr="009C520E">
        <w:trPr>
          <w:trHeight w:val="910"/>
          <w:jc w:val="center"/>
        </w:trPr>
        <w:tc>
          <w:tcPr>
            <w:tcW w:w="1114" w:type="dxa"/>
            <w:tcBorders>
              <w:top w:val="single" w:sz="4" w:space="0" w:color="auto"/>
              <w:left w:val="single" w:sz="4" w:space="0" w:color="auto"/>
              <w:bottom w:val="single" w:sz="4" w:space="0" w:color="auto"/>
              <w:right w:val="single" w:sz="4" w:space="0" w:color="auto"/>
            </w:tcBorders>
            <w:shd w:val="clear" w:color="auto" w:fill="C5EDCE"/>
          </w:tcPr>
          <w:p w14:paraId="5A8AE5C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7-3</w:t>
            </w:r>
          </w:p>
        </w:tc>
        <w:tc>
          <w:tcPr>
            <w:tcW w:w="1291" w:type="dxa"/>
            <w:tcBorders>
              <w:top w:val="single" w:sz="4" w:space="0" w:color="auto"/>
              <w:left w:val="single" w:sz="4" w:space="0" w:color="auto"/>
              <w:bottom w:val="single" w:sz="4" w:space="0" w:color="auto"/>
              <w:right w:val="single" w:sz="4" w:space="0" w:color="auto"/>
            </w:tcBorders>
            <w:shd w:val="clear" w:color="auto" w:fill="C5EDCE"/>
          </w:tcPr>
          <w:p w14:paraId="5A8AE5C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C7.R2</w:t>
            </w:r>
          </w:p>
          <w:p w14:paraId="5A8AE5D0" w14:textId="5F0F3AB0"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Loi organique Expérimentation</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5D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37" w:type="dxa"/>
            <w:tcBorders>
              <w:top w:val="single" w:sz="4" w:space="0" w:color="auto"/>
              <w:left w:val="single" w:sz="4" w:space="0" w:color="auto"/>
              <w:bottom w:val="single" w:sz="4" w:space="0" w:color="auto"/>
              <w:right w:val="single" w:sz="4" w:space="0" w:color="auto"/>
            </w:tcBorders>
            <w:shd w:val="clear" w:color="auto" w:fill="C5EDCE"/>
          </w:tcPr>
          <w:p w14:paraId="5A8AE5D2"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Entrée en vigueur de la loi visant à consacrer le droit à la différenciation</w:t>
            </w:r>
          </w:p>
        </w:tc>
        <w:tc>
          <w:tcPr>
            <w:tcW w:w="1423" w:type="dxa"/>
            <w:tcBorders>
              <w:top w:val="single" w:sz="4" w:space="0" w:color="auto"/>
              <w:left w:val="single" w:sz="4" w:space="0" w:color="auto"/>
              <w:bottom w:val="single" w:sz="4" w:space="0" w:color="auto"/>
              <w:right w:val="single" w:sz="4" w:space="0" w:color="auto"/>
            </w:tcBorders>
            <w:shd w:val="clear" w:color="auto" w:fill="C5EDCE"/>
          </w:tcPr>
          <w:p w14:paraId="5A8AE5D3" w14:textId="6580464F" w:rsidR="00740F0F" w:rsidRPr="0029070D" w:rsidRDefault="009C520E" w:rsidP="003259A7">
            <w:pPr>
              <w:spacing w:line="214" w:lineRule="exact"/>
              <w:ind w:left="9" w:hanging="204"/>
              <w:rPr>
                <w:rFonts w:ascii="Times New Roman" w:eastAsia="Times New Roman" w:hAnsi="Times New Roman" w:cs="Times New Roman"/>
                <w:noProof/>
                <w:sz w:val="18"/>
                <w:szCs w:val="18"/>
              </w:rPr>
            </w:pPr>
            <w:r>
              <w:rPr>
                <w:rFonts w:ascii="Times New Roman" w:hAnsi="Times New Roman"/>
                <w:noProof/>
                <w:sz w:val="18"/>
              </w:rPr>
              <w:t>Entrée en vigueur</w:t>
            </w: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5D4" w14:textId="77777777" w:rsidR="00740F0F" w:rsidRPr="0029070D" w:rsidRDefault="00740F0F" w:rsidP="003259A7">
            <w:pPr>
              <w:spacing w:line="214" w:lineRule="exact"/>
              <w:ind w:left="9"/>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5D5" w14:textId="77777777" w:rsidR="00740F0F" w:rsidRPr="0029070D" w:rsidRDefault="00740F0F" w:rsidP="003259A7">
            <w:pPr>
              <w:spacing w:line="214" w:lineRule="exact"/>
              <w:ind w:left="9"/>
              <w:jc w:val="center"/>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5D6" w14:textId="77777777" w:rsidR="00740F0F" w:rsidRPr="0029070D" w:rsidRDefault="00740F0F" w:rsidP="003259A7">
            <w:pPr>
              <w:spacing w:line="214" w:lineRule="exact"/>
              <w:ind w:left="9"/>
              <w:jc w:val="center"/>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5D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T2</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5D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3870" w:type="dxa"/>
            <w:tcBorders>
              <w:top w:val="single" w:sz="4" w:space="0" w:color="auto"/>
              <w:left w:val="single" w:sz="4" w:space="0" w:color="auto"/>
              <w:bottom w:val="single" w:sz="4" w:space="0" w:color="auto"/>
              <w:right w:val="single" w:sz="4" w:space="0" w:color="auto"/>
            </w:tcBorders>
            <w:shd w:val="clear" w:color="auto" w:fill="C5EDCE"/>
          </w:tcPr>
          <w:p w14:paraId="5A8AE5D9" w14:textId="58F6E30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Entrée en vigueur de la loi visant à consacrer le droit à la différenciation, qui comprend les éléments suivants: le droit des collectivités locales de décider par une simple délibération de participer à une expérimentation, des procédures simplifiées pour l’entrée en vigueur des décisions adoptées par les collectivités locales et des conditions relatives au contrôle de la légalité des décisions prises dans le cadre de l’expérimentation, la spécification des résultats possibles des expérimentations, y compris leur maintien dans la totalité ou une partie des collectivités locales qui ont participé à l’expérimentation ou leur extension à d’autres collectivités locales, et la possibilité de modifier les normes régissant l’exercice de la compétence locale ayant fait l’objet de l’expérimentation à l’issue de celle-ci.</w:t>
            </w:r>
          </w:p>
        </w:tc>
      </w:tr>
      <w:tr w:rsidR="00782477" w:rsidRPr="0029070D" w14:paraId="5A8AE5E7" w14:textId="77777777" w:rsidTr="009C520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00"/>
          <w:jc w:val="center"/>
        </w:trPr>
        <w:tc>
          <w:tcPr>
            <w:tcW w:w="1114" w:type="dxa"/>
            <w:tcBorders>
              <w:top w:val="single" w:sz="4" w:space="0" w:color="auto"/>
              <w:left w:val="single" w:sz="4" w:space="0" w:color="auto"/>
              <w:bottom w:val="single" w:sz="4" w:space="0" w:color="auto"/>
              <w:right w:val="single" w:sz="4" w:space="0" w:color="auto"/>
            </w:tcBorders>
            <w:shd w:val="clear" w:color="auto" w:fill="C5EDCE"/>
          </w:tcPr>
          <w:p w14:paraId="5A8AE5D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7-4</w:t>
            </w:r>
          </w:p>
        </w:tc>
        <w:tc>
          <w:tcPr>
            <w:tcW w:w="1291" w:type="dxa"/>
            <w:tcBorders>
              <w:top w:val="single" w:sz="4" w:space="0" w:color="auto"/>
              <w:left w:val="single" w:sz="4" w:space="0" w:color="auto"/>
              <w:bottom w:val="single" w:sz="4" w:space="0" w:color="auto"/>
              <w:right w:val="single" w:sz="4" w:space="0" w:color="auto"/>
            </w:tcBorders>
            <w:shd w:val="clear" w:color="auto" w:fill="C5EDCE"/>
          </w:tcPr>
          <w:p w14:paraId="5A8AE5DC" w14:textId="77777777" w:rsidR="00740F0F" w:rsidRPr="0029070D" w:rsidRDefault="00100B64">
            <w:pPr>
              <w:spacing w:line="214" w:lineRule="exact"/>
              <w:ind w:left="9" w:right="60"/>
              <w:jc w:val="center"/>
              <w:rPr>
                <w:rFonts w:ascii="Times New Roman" w:eastAsia="Times New Roman" w:hAnsi="Times New Roman" w:cs="Times New Roman"/>
                <w:noProof/>
                <w:sz w:val="18"/>
                <w:szCs w:val="18"/>
              </w:rPr>
            </w:pPr>
            <w:r>
              <w:rPr>
                <w:rFonts w:ascii="Times New Roman" w:hAnsi="Times New Roman"/>
                <w:noProof/>
                <w:sz w:val="18"/>
              </w:rPr>
              <w:t>C7.R2</w:t>
            </w:r>
          </w:p>
          <w:p w14:paraId="5A8AE5DD" w14:textId="77777777" w:rsidR="00740F0F" w:rsidRPr="0029070D" w:rsidRDefault="00100B64">
            <w:pPr>
              <w:spacing w:line="214" w:lineRule="exact"/>
              <w:ind w:left="9" w:firstLine="2"/>
              <w:jc w:val="center"/>
              <w:rPr>
                <w:rFonts w:ascii="Times New Roman" w:eastAsia="Times New Roman" w:hAnsi="Times New Roman" w:cs="Times New Roman"/>
                <w:noProof/>
                <w:sz w:val="18"/>
                <w:szCs w:val="18"/>
              </w:rPr>
            </w:pPr>
            <w:r>
              <w:rPr>
                <w:rFonts w:ascii="Times New Roman" w:hAnsi="Times New Roman"/>
                <w:noProof/>
                <w:sz w:val="18"/>
              </w:rPr>
              <w:t>Loi organique Expérimentation</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5D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37" w:type="dxa"/>
            <w:tcBorders>
              <w:top w:val="single" w:sz="4" w:space="0" w:color="auto"/>
              <w:left w:val="single" w:sz="4" w:space="0" w:color="auto"/>
              <w:bottom w:val="single" w:sz="4" w:space="0" w:color="auto"/>
              <w:right w:val="single" w:sz="4" w:space="0" w:color="auto"/>
            </w:tcBorders>
            <w:shd w:val="clear" w:color="auto" w:fill="C5EDCE"/>
          </w:tcPr>
          <w:p w14:paraId="5A8AE5DF" w14:textId="3F8EDAF3" w:rsidR="00740F0F" w:rsidRPr="0029070D" w:rsidRDefault="5E22D3E3">
            <w:pPr>
              <w:spacing w:line="214" w:lineRule="exact"/>
              <w:ind w:left="9" w:right="43"/>
              <w:rPr>
                <w:noProof/>
                <w:highlight w:val="yellow"/>
              </w:rPr>
            </w:pPr>
            <w:r>
              <w:rPr>
                <w:rFonts w:ascii="Times New Roman" w:hAnsi="Times New Roman"/>
                <w:noProof/>
                <w:sz w:val="18"/>
              </w:rPr>
              <w:t>Évaluation des propositions expérimentales</w:t>
            </w:r>
          </w:p>
        </w:tc>
        <w:tc>
          <w:tcPr>
            <w:tcW w:w="1423" w:type="dxa"/>
            <w:tcBorders>
              <w:top w:val="single" w:sz="4" w:space="0" w:color="auto"/>
              <w:left w:val="single" w:sz="4" w:space="0" w:color="auto"/>
              <w:bottom w:val="single" w:sz="4" w:space="0" w:color="auto"/>
              <w:right w:val="single" w:sz="4" w:space="0" w:color="auto"/>
            </w:tcBorders>
            <w:shd w:val="clear" w:color="auto" w:fill="C5EDCE"/>
          </w:tcPr>
          <w:p w14:paraId="5A8AE5E0" w14:textId="77777777" w:rsidR="00740F0F" w:rsidRPr="0029070D" w:rsidRDefault="00100B64">
            <w:pPr>
              <w:spacing w:line="214" w:lineRule="exact"/>
              <w:ind w:left="9" w:right="45"/>
              <w:rPr>
                <w:rFonts w:ascii="Times New Roman" w:eastAsia="Times New Roman" w:hAnsi="Times New Roman" w:cs="Times New Roman"/>
                <w:noProof/>
                <w:sz w:val="18"/>
                <w:szCs w:val="18"/>
              </w:rPr>
            </w:pPr>
            <w:r>
              <w:rPr>
                <w:rFonts w:ascii="Times New Roman" w:hAnsi="Times New Roman"/>
                <w:noProof/>
                <w:sz w:val="18"/>
              </w:rPr>
              <w:t>Rapport d’évaluation</w:t>
            </w: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5E1"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5E2"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5E3"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5E4" w14:textId="77777777" w:rsidR="00740F0F" w:rsidRPr="0029070D" w:rsidRDefault="00100B64">
            <w:pPr>
              <w:spacing w:line="214" w:lineRule="exact"/>
              <w:ind w:left="9" w:right="62"/>
              <w:jc w:val="center"/>
              <w:rPr>
                <w:rFonts w:ascii="Times New Roman" w:eastAsia="Times New Roman" w:hAnsi="Times New Roman" w:cs="Times New Roman"/>
                <w:noProof/>
                <w:sz w:val="18"/>
                <w:szCs w:val="18"/>
              </w:rPr>
            </w:pPr>
            <w:r>
              <w:rPr>
                <w:rFonts w:ascii="Times New Roman" w:hAnsi="Times New Roman"/>
                <w:noProof/>
                <w:sz w:val="18"/>
              </w:rPr>
              <w:t>T2</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5E5" w14:textId="77777777" w:rsidR="00740F0F" w:rsidRPr="0029070D" w:rsidRDefault="00100B64">
            <w:pPr>
              <w:spacing w:line="214" w:lineRule="exact"/>
              <w:ind w:left="9" w:right="98"/>
              <w:jc w:val="center"/>
              <w:rPr>
                <w:rFonts w:ascii="Times New Roman" w:eastAsia="Times New Roman" w:hAnsi="Times New Roman" w:cs="Times New Roman"/>
                <w:noProof/>
                <w:sz w:val="18"/>
                <w:szCs w:val="18"/>
              </w:rPr>
            </w:pPr>
            <w:r>
              <w:rPr>
                <w:rFonts w:ascii="Times New Roman" w:hAnsi="Times New Roman"/>
                <w:noProof/>
                <w:sz w:val="18"/>
              </w:rPr>
              <w:t>2025</w:t>
            </w:r>
          </w:p>
        </w:tc>
        <w:tc>
          <w:tcPr>
            <w:tcW w:w="3870" w:type="dxa"/>
            <w:tcBorders>
              <w:top w:val="single" w:sz="4" w:space="0" w:color="auto"/>
              <w:left w:val="single" w:sz="4" w:space="0" w:color="auto"/>
              <w:bottom w:val="single" w:sz="4" w:space="0" w:color="auto"/>
              <w:right w:val="single" w:sz="4" w:space="0" w:color="auto"/>
            </w:tcBorders>
            <w:shd w:val="clear" w:color="auto" w:fill="C5EDCE"/>
          </w:tcPr>
          <w:p w14:paraId="5A8AE5E6" w14:textId="3A1D8EF5"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Publication de rapports évaluant les propositions d’expérimentation par les autorités locales.</w:t>
            </w:r>
          </w:p>
        </w:tc>
      </w:tr>
      <w:tr w:rsidR="00782477" w:rsidRPr="0029070D" w14:paraId="5A8AE5F4" w14:textId="77777777" w:rsidTr="003259A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56"/>
          <w:jc w:val="center"/>
        </w:trPr>
        <w:tc>
          <w:tcPr>
            <w:tcW w:w="1114" w:type="dxa"/>
            <w:tcBorders>
              <w:top w:val="single" w:sz="4" w:space="0" w:color="auto"/>
              <w:left w:val="single" w:sz="4" w:space="0" w:color="auto"/>
              <w:bottom w:val="single" w:sz="4" w:space="0" w:color="auto"/>
              <w:right w:val="single" w:sz="4" w:space="0" w:color="auto"/>
            </w:tcBorders>
            <w:shd w:val="clear" w:color="auto" w:fill="C5EDCE"/>
          </w:tcPr>
          <w:p w14:paraId="5A8AE5E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7-5</w:t>
            </w:r>
          </w:p>
        </w:tc>
        <w:tc>
          <w:tcPr>
            <w:tcW w:w="1291" w:type="dxa"/>
            <w:tcBorders>
              <w:top w:val="single" w:sz="4" w:space="0" w:color="auto"/>
              <w:left w:val="single" w:sz="4" w:space="0" w:color="auto"/>
              <w:bottom w:val="single" w:sz="4" w:space="0" w:color="auto"/>
              <w:right w:val="single" w:sz="4" w:space="0" w:color="auto"/>
            </w:tcBorders>
            <w:shd w:val="clear" w:color="auto" w:fill="C5EDCE"/>
          </w:tcPr>
          <w:p w14:paraId="5A8AE5E9" w14:textId="77777777" w:rsidR="00740F0F" w:rsidRPr="009447E5" w:rsidRDefault="00100B64">
            <w:pPr>
              <w:spacing w:line="214" w:lineRule="exact"/>
              <w:ind w:left="9" w:right="-52"/>
              <w:jc w:val="center"/>
              <w:rPr>
                <w:rFonts w:ascii="Times New Roman" w:eastAsia="Times New Roman" w:hAnsi="Times New Roman" w:cs="Times New Roman"/>
                <w:noProof/>
                <w:sz w:val="18"/>
                <w:szCs w:val="18"/>
              </w:rPr>
            </w:pPr>
            <w:r>
              <w:rPr>
                <w:rFonts w:ascii="Times New Roman" w:hAnsi="Times New Roman"/>
                <w:noProof/>
                <w:sz w:val="18"/>
              </w:rPr>
              <w:t>C7.R3</w:t>
            </w:r>
          </w:p>
          <w:p w14:paraId="5A8AE5EA" w14:textId="77777777" w:rsidR="00740F0F" w:rsidRPr="009447E5" w:rsidRDefault="00100B64">
            <w:pPr>
              <w:spacing w:line="214" w:lineRule="exact"/>
              <w:ind w:left="9" w:hanging="3"/>
              <w:jc w:val="center"/>
              <w:rPr>
                <w:rFonts w:ascii="Times New Roman" w:eastAsia="Times New Roman" w:hAnsi="Times New Roman" w:cs="Times New Roman"/>
                <w:noProof/>
                <w:sz w:val="18"/>
                <w:szCs w:val="18"/>
              </w:rPr>
            </w:pPr>
            <w:r>
              <w:rPr>
                <w:rFonts w:ascii="Times New Roman" w:hAnsi="Times New Roman"/>
                <w:noProof/>
                <w:sz w:val="18"/>
              </w:rPr>
              <w:t>Transformation de la fonction publique</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5E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37" w:type="dxa"/>
            <w:tcBorders>
              <w:top w:val="single" w:sz="4" w:space="0" w:color="auto"/>
              <w:left w:val="single" w:sz="4" w:space="0" w:color="auto"/>
              <w:bottom w:val="single" w:sz="4" w:space="0" w:color="auto"/>
              <w:right w:val="single" w:sz="4" w:space="0" w:color="auto"/>
            </w:tcBorders>
            <w:shd w:val="clear" w:color="auto" w:fill="C5EDCE"/>
          </w:tcPr>
          <w:p w14:paraId="5A8AE5EC" w14:textId="77777777" w:rsidR="00740F0F" w:rsidRPr="0029070D" w:rsidRDefault="00100B64">
            <w:pPr>
              <w:spacing w:line="214" w:lineRule="exact"/>
              <w:ind w:left="9" w:right="47" w:hanging="4"/>
              <w:rPr>
                <w:rFonts w:ascii="Times New Roman" w:eastAsia="Times New Roman" w:hAnsi="Times New Roman" w:cs="Times New Roman"/>
                <w:noProof/>
                <w:sz w:val="18"/>
                <w:szCs w:val="18"/>
              </w:rPr>
            </w:pPr>
            <w:r>
              <w:rPr>
                <w:rFonts w:ascii="Times New Roman" w:hAnsi="Times New Roman"/>
                <w:noProof/>
                <w:sz w:val="18"/>
              </w:rPr>
              <w:t>Mise en œuvre des actions identifiées dans le cadre des chantiers lancés sur le recrutement et l’égalité des chances</w:t>
            </w:r>
          </w:p>
        </w:tc>
        <w:tc>
          <w:tcPr>
            <w:tcW w:w="1423" w:type="dxa"/>
            <w:tcBorders>
              <w:top w:val="single" w:sz="4" w:space="0" w:color="auto"/>
              <w:left w:val="single" w:sz="4" w:space="0" w:color="auto"/>
              <w:bottom w:val="single" w:sz="4" w:space="0" w:color="auto"/>
              <w:right w:val="single" w:sz="4" w:space="0" w:color="auto"/>
            </w:tcBorders>
            <w:shd w:val="clear" w:color="auto" w:fill="C5EDCE"/>
          </w:tcPr>
          <w:p w14:paraId="5A8AE5ED" w14:textId="77777777" w:rsidR="00740F0F" w:rsidRPr="0029070D" w:rsidRDefault="00100B64">
            <w:pPr>
              <w:spacing w:line="214" w:lineRule="exact"/>
              <w:ind w:left="9" w:right="15"/>
              <w:rPr>
                <w:rFonts w:ascii="Times New Roman" w:eastAsia="Times New Roman" w:hAnsi="Times New Roman" w:cs="Times New Roman"/>
                <w:noProof/>
                <w:sz w:val="18"/>
                <w:szCs w:val="18"/>
              </w:rPr>
            </w:pPr>
            <w:r>
              <w:rPr>
                <w:rFonts w:ascii="Times New Roman" w:hAnsi="Times New Roman"/>
                <w:noProof/>
                <w:sz w:val="18"/>
              </w:rPr>
              <w:t>Rapport de mise en œuvre</w:t>
            </w: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5EE"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5EF"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5F0"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5F1" w14:textId="77777777" w:rsidR="00740F0F" w:rsidRPr="0029070D" w:rsidRDefault="00100B64">
            <w:pPr>
              <w:spacing w:line="214" w:lineRule="exact"/>
              <w:ind w:left="9" w:right="72"/>
              <w:jc w:val="center"/>
              <w:rPr>
                <w:rFonts w:ascii="Times New Roman" w:eastAsia="Times New Roman" w:hAnsi="Times New Roman" w:cs="Times New Roman"/>
                <w:noProof/>
                <w:sz w:val="18"/>
                <w:szCs w:val="18"/>
              </w:rPr>
            </w:pPr>
            <w:r>
              <w:rPr>
                <w:rFonts w:ascii="Times New Roman" w:hAnsi="Times New Roman"/>
                <w:noProof/>
                <w:sz w:val="18"/>
              </w:rPr>
              <w:t>T1</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5F2" w14:textId="77777777" w:rsidR="00740F0F" w:rsidRPr="0029070D" w:rsidRDefault="00100B64">
            <w:pPr>
              <w:spacing w:line="214" w:lineRule="exact"/>
              <w:ind w:left="9" w:right="112"/>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3870" w:type="dxa"/>
            <w:tcBorders>
              <w:top w:val="single" w:sz="4" w:space="0" w:color="auto"/>
              <w:left w:val="single" w:sz="4" w:space="0" w:color="auto"/>
              <w:bottom w:val="single" w:sz="4" w:space="0" w:color="auto"/>
              <w:right w:val="single" w:sz="4" w:space="0" w:color="auto"/>
            </w:tcBorders>
            <w:shd w:val="clear" w:color="auto" w:fill="C5EDCE"/>
          </w:tcPr>
          <w:p w14:paraId="5A8AE5F3" w14:textId="48930205"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Mise en œuvre du plan pour l’égalité des chances, avec les objectifs suivants: augmentation du nombre de jeunes apprentis, de travailleurs handicapés, plan en faveur de l’égalité entre les femmes et les hommes dans l’encadrement supérieur dirigeant de l’État, rénovation des voies d’accès à la fonction publique par de nouveaux concours, accompagnement vers la réussite des jeunes talents sur l’ensemble du territoire, développement du tutorat et du mentorat pour l’égalité des chances.</w:t>
            </w:r>
          </w:p>
        </w:tc>
      </w:tr>
      <w:tr w:rsidR="00782477" w:rsidRPr="0029070D" w14:paraId="5A8AE601" w14:textId="77777777" w:rsidTr="009C520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303"/>
          <w:jc w:val="center"/>
        </w:trPr>
        <w:tc>
          <w:tcPr>
            <w:tcW w:w="1114" w:type="dxa"/>
            <w:tcBorders>
              <w:top w:val="single" w:sz="4" w:space="0" w:color="auto"/>
              <w:left w:val="single" w:sz="4" w:space="0" w:color="auto"/>
              <w:bottom w:val="single" w:sz="4" w:space="0" w:color="auto"/>
              <w:right w:val="single" w:sz="4" w:space="0" w:color="auto"/>
            </w:tcBorders>
            <w:shd w:val="clear" w:color="auto" w:fill="C5EDCE"/>
          </w:tcPr>
          <w:p w14:paraId="5A8AE5F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7-6</w:t>
            </w:r>
          </w:p>
        </w:tc>
        <w:tc>
          <w:tcPr>
            <w:tcW w:w="1291" w:type="dxa"/>
            <w:tcBorders>
              <w:top w:val="single" w:sz="4" w:space="0" w:color="auto"/>
              <w:left w:val="single" w:sz="4" w:space="0" w:color="auto"/>
              <w:bottom w:val="single" w:sz="4" w:space="0" w:color="auto"/>
              <w:right w:val="single" w:sz="4" w:space="0" w:color="auto"/>
            </w:tcBorders>
            <w:shd w:val="clear" w:color="auto" w:fill="C5EDCE"/>
          </w:tcPr>
          <w:p w14:paraId="5A8AE5F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C7.R4</w:t>
            </w:r>
          </w:p>
          <w:p w14:paraId="5A8AE5F7" w14:textId="77777777" w:rsidR="00740F0F" w:rsidRPr="0029070D" w:rsidRDefault="00100B64">
            <w:pPr>
              <w:spacing w:line="214" w:lineRule="exact"/>
              <w:ind w:left="9" w:firstLine="4"/>
              <w:jc w:val="center"/>
              <w:rPr>
                <w:rFonts w:ascii="Times New Roman" w:eastAsia="Times New Roman" w:hAnsi="Times New Roman" w:cs="Times New Roman"/>
                <w:noProof/>
                <w:sz w:val="18"/>
                <w:szCs w:val="18"/>
              </w:rPr>
            </w:pPr>
            <w:r>
              <w:rPr>
                <w:rFonts w:ascii="Times New Roman" w:hAnsi="Times New Roman"/>
                <w:noProof/>
                <w:sz w:val="18"/>
              </w:rPr>
              <w:t>Gouvernance des finances publiques</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5F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37" w:type="dxa"/>
            <w:tcBorders>
              <w:top w:val="single" w:sz="4" w:space="0" w:color="auto"/>
              <w:left w:val="single" w:sz="4" w:space="0" w:color="auto"/>
              <w:bottom w:val="single" w:sz="4" w:space="0" w:color="auto"/>
              <w:right w:val="single" w:sz="4" w:space="0" w:color="auto"/>
            </w:tcBorders>
            <w:shd w:val="clear" w:color="auto" w:fill="C5EDCE"/>
          </w:tcPr>
          <w:p w14:paraId="5A8AE5F9" w14:textId="77777777" w:rsidR="00740F0F" w:rsidRPr="009447E5" w:rsidRDefault="00100B64">
            <w:pPr>
              <w:spacing w:line="214" w:lineRule="exact"/>
              <w:ind w:left="9" w:right="50"/>
              <w:rPr>
                <w:rFonts w:ascii="Times New Roman" w:eastAsia="Times New Roman" w:hAnsi="Times New Roman" w:cs="Times New Roman"/>
                <w:noProof/>
                <w:sz w:val="18"/>
                <w:szCs w:val="18"/>
              </w:rPr>
            </w:pPr>
            <w:r>
              <w:rPr>
                <w:rFonts w:ascii="Times New Roman" w:hAnsi="Times New Roman"/>
                <w:noProof/>
                <w:sz w:val="18"/>
              </w:rPr>
              <w:t>Remise du rapport de la Commission sur l’avenir des finances publiques (CAFP)</w:t>
            </w:r>
          </w:p>
        </w:tc>
        <w:tc>
          <w:tcPr>
            <w:tcW w:w="1423" w:type="dxa"/>
            <w:tcBorders>
              <w:top w:val="single" w:sz="4" w:space="0" w:color="auto"/>
              <w:left w:val="single" w:sz="4" w:space="0" w:color="auto"/>
              <w:bottom w:val="single" w:sz="4" w:space="0" w:color="auto"/>
              <w:right w:val="single" w:sz="4" w:space="0" w:color="auto"/>
            </w:tcBorders>
            <w:shd w:val="clear" w:color="auto" w:fill="C5EDCE"/>
          </w:tcPr>
          <w:p w14:paraId="5A8AE5FA" w14:textId="77777777" w:rsidR="00740F0F" w:rsidRPr="0029070D" w:rsidRDefault="00100B64">
            <w:pPr>
              <w:spacing w:line="214" w:lineRule="exact"/>
              <w:ind w:left="9" w:right="54"/>
              <w:rPr>
                <w:rFonts w:ascii="Times New Roman" w:eastAsia="Times New Roman" w:hAnsi="Times New Roman" w:cs="Times New Roman"/>
                <w:noProof/>
                <w:sz w:val="18"/>
                <w:szCs w:val="18"/>
              </w:rPr>
            </w:pPr>
            <w:r>
              <w:rPr>
                <w:rFonts w:ascii="Times New Roman" w:hAnsi="Times New Roman"/>
                <w:noProof/>
                <w:sz w:val="18"/>
              </w:rPr>
              <w:t>Remise du rapport</w:t>
            </w: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5FB"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5FC"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5FD"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5FE" w14:textId="77777777" w:rsidR="00740F0F" w:rsidRPr="0029070D" w:rsidRDefault="00100B64">
            <w:pPr>
              <w:spacing w:line="214" w:lineRule="exact"/>
              <w:ind w:left="9" w:right="62"/>
              <w:jc w:val="center"/>
              <w:rPr>
                <w:rFonts w:ascii="Times New Roman" w:eastAsia="Times New Roman" w:hAnsi="Times New Roman" w:cs="Times New Roman"/>
                <w:noProof/>
                <w:sz w:val="18"/>
                <w:szCs w:val="18"/>
              </w:rPr>
            </w:pPr>
            <w:r>
              <w:rPr>
                <w:rFonts w:ascii="Times New Roman" w:hAnsi="Times New Roman"/>
                <w:noProof/>
                <w:sz w:val="18"/>
              </w:rPr>
              <w:t>T1</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5FF" w14:textId="77777777" w:rsidR="00740F0F" w:rsidRPr="0029070D" w:rsidRDefault="00100B64">
            <w:pPr>
              <w:spacing w:line="214" w:lineRule="exact"/>
              <w:ind w:left="9" w:right="98"/>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3870" w:type="dxa"/>
            <w:tcBorders>
              <w:top w:val="single" w:sz="4" w:space="0" w:color="auto"/>
              <w:left w:val="single" w:sz="4" w:space="0" w:color="auto"/>
              <w:bottom w:val="single" w:sz="4" w:space="0" w:color="auto"/>
              <w:right w:val="single" w:sz="4" w:space="0" w:color="auto"/>
            </w:tcBorders>
            <w:shd w:val="clear" w:color="auto" w:fill="C5EDCE"/>
          </w:tcPr>
          <w:p w14:paraId="5A8AE600"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Remise du rapport de la Commission sur l’avenir des finances publiques (CAFP) sur la stratégie budgétaire post-crise et sur la rénovation du cadre de gouvernance des finances publiques.</w:t>
            </w:r>
          </w:p>
        </w:tc>
      </w:tr>
      <w:tr w:rsidR="00782477" w:rsidRPr="0029070D" w14:paraId="5A8AE610" w14:textId="77777777" w:rsidTr="003259A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02"/>
          <w:jc w:val="center"/>
        </w:trPr>
        <w:tc>
          <w:tcPr>
            <w:tcW w:w="1114" w:type="dxa"/>
            <w:tcBorders>
              <w:top w:val="single" w:sz="4" w:space="0" w:color="auto"/>
              <w:left w:val="single" w:sz="4" w:space="0" w:color="auto"/>
              <w:bottom w:val="single" w:sz="4" w:space="0" w:color="auto"/>
              <w:right w:val="single" w:sz="4" w:space="0" w:color="auto"/>
            </w:tcBorders>
            <w:shd w:val="clear" w:color="auto" w:fill="C5EDCE"/>
          </w:tcPr>
          <w:p w14:paraId="5A8AE60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7-7</w:t>
            </w:r>
          </w:p>
        </w:tc>
        <w:tc>
          <w:tcPr>
            <w:tcW w:w="1291" w:type="dxa"/>
            <w:tcBorders>
              <w:top w:val="single" w:sz="4" w:space="0" w:color="auto"/>
              <w:left w:val="single" w:sz="4" w:space="0" w:color="auto"/>
              <w:bottom w:val="single" w:sz="4" w:space="0" w:color="auto"/>
              <w:right w:val="single" w:sz="4" w:space="0" w:color="auto"/>
            </w:tcBorders>
            <w:shd w:val="clear" w:color="auto" w:fill="C5EDCE"/>
          </w:tcPr>
          <w:p w14:paraId="5A8AE60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C7.R4</w:t>
            </w:r>
          </w:p>
          <w:p w14:paraId="5A8AE604" w14:textId="77777777" w:rsidR="00740F0F" w:rsidRPr="0029070D" w:rsidRDefault="00100B64">
            <w:pPr>
              <w:spacing w:line="214" w:lineRule="exact"/>
              <w:ind w:left="9" w:firstLine="4"/>
              <w:jc w:val="center"/>
              <w:rPr>
                <w:rFonts w:ascii="Times New Roman" w:eastAsia="Times New Roman" w:hAnsi="Times New Roman" w:cs="Times New Roman"/>
                <w:noProof/>
                <w:sz w:val="18"/>
                <w:szCs w:val="18"/>
              </w:rPr>
            </w:pPr>
            <w:r>
              <w:rPr>
                <w:rFonts w:ascii="Times New Roman" w:hAnsi="Times New Roman"/>
                <w:noProof/>
                <w:sz w:val="18"/>
              </w:rPr>
              <w:t>Gouvernance des finances publiques</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0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37" w:type="dxa"/>
            <w:tcBorders>
              <w:top w:val="single" w:sz="4" w:space="0" w:color="auto"/>
              <w:left w:val="single" w:sz="4" w:space="0" w:color="auto"/>
              <w:bottom w:val="single" w:sz="4" w:space="0" w:color="auto"/>
              <w:right w:val="single" w:sz="4" w:space="0" w:color="auto"/>
            </w:tcBorders>
            <w:shd w:val="clear" w:color="auto" w:fill="C5EDCE"/>
          </w:tcPr>
          <w:p w14:paraId="5A8AE606" w14:textId="77777777" w:rsidR="00740F0F" w:rsidRPr="0029070D" w:rsidRDefault="00100B64">
            <w:pPr>
              <w:spacing w:line="214" w:lineRule="exact"/>
              <w:ind w:left="9" w:firstLine="10"/>
              <w:rPr>
                <w:rFonts w:ascii="Times New Roman" w:eastAsia="Times New Roman" w:hAnsi="Times New Roman" w:cs="Times New Roman"/>
                <w:noProof/>
                <w:sz w:val="18"/>
                <w:szCs w:val="18"/>
              </w:rPr>
            </w:pPr>
            <w:r>
              <w:rPr>
                <w:rFonts w:ascii="Times New Roman" w:hAnsi="Times New Roman"/>
                <w:noProof/>
                <w:sz w:val="18"/>
              </w:rPr>
              <w:t>Mise en œuvre de certaines recommandations du rapport de la CAFP</w:t>
            </w:r>
          </w:p>
        </w:tc>
        <w:tc>
          <w:tcPr>
            <w:tcW w:w="1423" w:type="dxa"/>
            <w:tcBorders>
              <w:top w:val="single" w:sz="4" w:space="0" w:color="auto"/>
              <w:left w:val="single" w:sz="4" w:space="0" w:color="auto"/>
              <w:bottom w:val="single" w:sz="4" w:space="0" w:color="auto"/>
              <w:right w:val="single" w:sz="4" w:space="0" w:color="auto"/>
            </w:tcBorders>
            <w:shd w:val="clear" w:color="auto" w:fill="C5EDCE"/>
          </w:tcPr>
          <w:p w14:paraId="5A8AE607"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Entrée en vigueur</w:t>
            </w: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08"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609"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60A"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0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0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3870" w:type="dxa"/>
            <w:tcBorders>
              <w:top w:val="single" w:sz="4" w:space="0" w:color="auto"/>
              <w:left w:val="single" w:sz="4" w:space="0" w:color="auto"/>
              <w:bottom w:val="single" w:sz="4" w:space="0" w:color="auto"/>
              <w:right w:val="single" w:sz="4" w:space="0" w:color="auto"/>
            </w:tcBorders>
            <w:shd w:val="clear" w:color="auto" w:fill="C5EDCE"/>
          </w:tcPr>
          <w:p w14:paraId="5A8AE60D"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Mise en œuvre en temps utile pour qu’elles soient applicables dès le budget 2023 de certaines recommandations du rapport du CAFP par l’adoption de dispositions législatives organiques, avec pour objectif:</w:t>
            </w:r>
          </w:p>
          <w:p w14:paraId="5A8AE60E" w14:textId="77777777" w:rsidR="00740F0F" w:rsidRPr="0029070D" w:rsidRDefault="00100B64">
            <w:pPr>
              <w:numPr>
                <w:ilvl w:val="0"/>
                <w:numId w:val="39"/>
              </w:numPr>
              <w:spacing w:line="214" w:lineRule="exact"/>
              <w:ind w:left="9"/>
              <w:rPr>
                <w:rFonts w:ascii="Times New Roman" w:eastAsia="Times New Roman" w:hAnsi="Times New Roman" w:cs="Times New Roman"/>
                <w:noProof/>
                <w:sz w:val="18"/>
                <w:szCs w:val="18"/>
              </w:rPr>
            </w:pPr>
            <w:r>
              <w:rPr>
                <w:rFonts w:ascii="Times New Roman" w:hAnsi="Times New Roman"/>
                <w:noProof/>
                <w:sz w:val="18"/>
              </w:rPr>
              <w:t>L’extension des prérogatives du Haut conseil des finances publiques (HCFP)</w:t>
            </w:r>
          </w:p>
          <w:p w14:paraId="5A8AE60F" w14:textId="77777777" w:rsidR="00740F0F" w:rsidRPr="0029070D" w:rsidRDefault="00100B64">
            <w:pPr>
              <w:numPr>
                <w:ilvl w:val="0"/>
                <w:numId w:val="39"/>
              </w:numPr>
              <w:spacing w:line="214" w:lineRule="exact"/>
              <w:ind w:left="9"/>
              <w:rPr>
                <w:rFonts w:ascii="Times New Roman" w:eastAsia="Times New Roman" w:hAnsi="Times New Roman" w:cs="Times New Roman"/>
                <w:noProof/>
                <w:sz w:val="18"/>
                <w:szCs w:val="18"/>
              </w:rPr>
            </w:pPr>
            <w:r>
              <w:rPr>
                <w:rFonts w:ascii="Times New Roman" w:hAnsi="Times New Roman"/>
                <w:noProof/>
                <w:sz w:val="18"/>
              </w:rPr>
              <w:t>La mise en place d’une règle de dépenses pluriannuelles comme règle de pilotage. Cette règle en matière de dépenses assure la cohérence entre les projets de loi de finances annuelles et les objectifs pluriannuels.</w:t>
            </w:r>
          </w:p>
        </w:tc>
      </w:tr>
      <w:tr w:rsidR="00782477" w:rsidRPr="0029070D" w14:paraId="5A8AE61D" w14:textId="77777777" w:rsidTr="009C520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335"/>
          <w:jc w:val="center"/>
        </w:trPr>
        <w:tc>
          <w:tcPr>
            <w:tcW w:w="1114" w:type="dxa"/>
            <w:tcBorders>
              <w:top w:val="single" w:sz="4" w:space="0" w:color="auto"/>
              <w:left w:val="single" w:sz="4" w:space="0" w:color="auto"/>
              <w:bottom w:val="single" w:sz="4" w:space="0" w:color="auto"/>
              <w:right w:val="single" w:sz="4" w:space="0" w:color="auto"/>
            </w:tcBorders>
            <w:shd w:val="clear" w:color="auto" w:fill="C5EDCE"/>
          </w:tcPr>
          <w:p w14:paraId="5A8AE61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7-8</w:t>
            </w:r>
          </w:p>
        </w:tc>
        <w:tc>
          <w:tcPr>
            <w:tcW w:w="1291" w:type="dxa"/>
            <w:tcBorders>
              <w:top w:val="single" w:sz="4" w:space="0" w:color="auto"/>
              <w:left w:val="single" w:sz="4" w:space="0" w:color="auto"/>
              <w:bottom w:val="single" w:sz="4" w:space="0" w:color="auto"/>
              <w:right w:val="single" w:sz="4" w:space="0" w:color="auto"/>
            </w:tcBorders>
            <w:shd w:val="clear" w:color="auto" w:fill="C5EDCE"/>
          </w:tcPr>
          <w:p w14:paraId="5A8AE61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C7.R4</w:t>
            </w:r>
          </w:p>
          <w:p w14:paraId="5A8AE613" w14:textId="77777777" w:rsidR="00740F0F" w:rsidRPr="0029070D" w:rsidRDefault="00100B64">
            <w:pPr>
              <w:spacing w:line="214" w:lineRule="exact"/>
              <w:ind w:left="9" w:firstLine="4"/>
              <w:jc w:val="center"/>
              <w:rPr>
                <w:rFonts w:ascii="Times New Roman" w:eastAsia="Times New Roman" w:hAnsi="Times New Roman" w:cs="Times New Roman"/>
                <w:noProof/>
                <w:sz w:val="18"/>
                <w:szCs w:val="18"/>
              </w:rPr>
            </w:pPr>
            <w:r>
              <w:rPr>
                <w:rFonts w:ascii="Times New Roman" w:hAnsi="Times New Roman"/>
                <w:noProof/>
                <w:sz w:val="18"/>
              </w:rPr>
              <w:t>Gouvernance des finances publiques</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1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37" w:type="dxa"/>
            <w:tcBorders>
              <w:top w:val="single" w:sz="4" w:space="0" w:color="auto"/>
              <w:left w:val="single" w:sz="4" w:space="0" w:color="auto"/>
              <w:bottom w:val="single" w:sz="4" w:space="0" w:color="auto"/>
              <w:right w:val="single" w:sz="4" w:space="0" w:color="auto"/>
            </w:tcBorders>
            <w:shd w:val="clear" w:color="auto" w:fill="C5EDCE"/>
          </w:tcPr>
          <w:p w14:paraId="5A8AE615"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Mise en place d’un schéma de cantonnement de la dette COVID</w:t>
            </w:r>
          </w:p>
        </w:tc>
        <w:tc>
          <w:tcPr>
            <w:tcW w:w="1423" w:type="dxa"/>
            <w:tcBorders>
              <w:top w:val="single" w:sz="4" w:space="0" w:color="auto"/>
              <w:left w:val="single" w:sz="4" w:space="0" w:color="auto"/>
              <w:bottom w:val="single" w:sz="4" w:space="0" w:color="auto"/>
              <w:right w:val="single" w:sz="4" w:space="0" w:color="auto"/>
            </w:tcBorders>
            <w:shd w:val="clear" w:color="auto" w:fill="C5EDCE"/>
          </w:tcPr>
          <w:p w14:paraId="5A8AE616" w14:textId="77777777" w:rsidR="00740F0F" w:rsidRPr="0029070D" w:rsidRDefault="00100B64">
            <w:pPr>
              <w:spacing w:line="214" w:lineRule="exact"/>
              <w:ind w:left="9" w:firstLine="13"/>
              <w:rPr>
                <w:rFonts w:ascii="Times New Roman" w:eastAsia="Times New Roman" w:hAnsi="Times New Roman" w:cs="Times New Roman"/>
                <w:noProof/>
                <w:sz w:val="18"/>
                <w:szCs w:val="18"/>
              </w:rPr>
            </w:pPr>
            <w:r>
              <w:rPr>
                <w:rFonts w:ascii="Times New Roman" w:hAnsi="Times New Roman"/>
                <w:noProof/>
                <w:sz w:val="18"/>
              </w:rPr>
              <w:t>Mise en place d’un schéma de cantonnement de la dette COVID</w:t>
            </w: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17"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618"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619"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1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1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3870" w:type="dxa"/>
            <w:tcBorders>
              <w:top w:val="single" w:sz="4" w:space="0" w:color="auto"/>
              <w:left w:val="single" w:sz="4" w:space="0" w:color="auto"/>
              <w:bottom w:val="single" w:sz="4" w:space="0" w:color="auto"/>
              <w:right w:val="single" w:sz="4" w:space="0" w:color="auto"/>
            </w:tcBorders>
            <w:shd w:val="clear" w:color="auto" w:fill="C5EDCE"/>
          </w:tcPr>
          <w:p w14:paraId="5A8AE61C"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Mise en place d’un schéma de cantonnement de la dette COVID dans le projet de plan budgétaire</w:t>
            </w:r>
          </w:p>
        </w:tc>
      </w:tr>
      <w:tr w:rsidR="00782477" w:rsidRPr="0029070D" w14:paraId="5A8AE62A" w14:textId="77777777" w:rsidTr="009C520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463"/>
          <w:jc w:val="center"/>
        </w:trPr>
        <w:tc>
          <w:tcPr>
            <w:tcW w:w="1114" w:type="dxa"/>
            <w:tcBorders>
              <w:top w:val="single" w:sz="4" w:space="0" w:color="auto"/>
              <w:left w:val="single" w:sz="4" w:space="0" w:color="auto"/>
              <w:bottom w:val="single" w:sz="4" w:space="0" w:color="auto"/>
              <w:right w:val="single" w:sz="4" w:space="0" w:color="auto"/>
            </w:tcBorders>
            <w:shd w:val="clear" w:color="auto" w:fill="C5EDCE"/>
          </w:tcPr>
          <w:p w14:paraId="5A8AE61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7-9</w:t>
            </w:r>
          </w:p>
        </w:tc>
        <w:tc>
          <w:tcPr>
            <w:tcW w:w="1291" w:type="dxa"/>
            <w:tcBorders>
              <w:top w:val="single" w:sz="4" w:space="0" w:color="auto"/>
              <w:left w:val="single" w:sz="4" w:space="0" w:color="auto"/>
              <w:bottom w:val="single" w:sz="4" w:space="0" w:color="auto"/>
              <w:right w:val="single" w:sz="4" w:space="0" w:color="auto"/>
            </w:tcBorders>
            <w:shd w:val="clear" w:color="auto" w:fill="C5EDCE"/>
          </w:tcPr>
          <w:p w14:paraId="5A8AE61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C7.R4</w:t>
            </w:r>
          </w:p>
          <w:p w14:paraId="5A8AE620" w14:textId="77777777" w:rsidR="00740F0F" w:rsidRPr="0029070D" w:rsidRDefault="00100B64">
            <w:pPr>
              <w:spacing w:line="214" w:lineRule="exact"/>
              <w:ind w:left="9" w:right="11" w:firstLine="28"/>
              <w:jc w:val="center"/>
              <w:rPr>
                <w:rFonts w:ascii="Times New Roman" w:eastAsia="Times New Roman" w:hAnsi="Times New Roman" w:cs="Times New Roman"/>
                <w:noProof/>
                <w:sz w:val="18"/>
                <w:szCs w:val="18"/>
              </w:rPr>
            </w:pPr>
            <w:r>
              <w:rPr>
                <w:rFonts w:ascii="Times New Roman" w:hAnsi="Times New Roman"/>
                <w:noProof/>
                <w:sz w:val="18"/>
              </w:rPr>
              <w:t>Gouvernance des finances publiques</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2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37" w:type="dxa"/>
            <w:tcBorders>
              <w:top w:val="single" w:sz="4" w:space="0" w:color="auto"/>
              <w:left w:val="single" w:sz="4" w:space="0" w:color="auto"/>
              <w:bottom w:val="single" w:sz="4" w:space="0" w:color="auto"/>
              <w:right w:val="single" w:sz="4" w:space="0" w:color="auto"/>
            </w:tcBorders>
            <w:shd w:val="clear" w:color="auto" w:fill="C5EDCE"/>
          </w:tcPr>
          <w:p w14:paraId="5A8AE622" w14:textId="77777777" w:rsidR="00740F0F" w:rsidRPr="009447E5" w:rsidRDefault="00100B64">
            <w:pPr>
              <w:spacing w:line="214" w:lineRule="exact"/>
              <w:ind w:left="9" w:right="46"/>
              <w:rPr>
                <w:rFonts w:ascii="Times New Roman" w:eastAsia="Times New Roman" w:hAnsi="Times New Roman" w:cs="Times New Roman"/>
                <w:noProof/>
                <w:sz w:val="18"/>
                <w:szCs w:val="18"/>
              </w:rPr>
            </w:pPr>
            <w:r>
              <w:rPr>
                <w:rFonts w:ascii="Times New Roman" w:hAnsi="Times New Roman"/>
                <w:noProof/>
                <w:sz w:val="18"/>
              </w:rPr>
              <w:t>Nouvelle loi de programmation des finances publiques (LPFP)</w:t>
            </w:r>
          </w:p>
        </w:tc>
        <w:tc>
          <w:tcPr>
            <w:tcW w:w="1423" w:type="dxa"/>
            <w:tcBorders>
              <w:top w:val="single" w:sz="4" w:space="0" w:color="auto"/>
              <w:left w:val="single" w:sz="4" w:space="0" w:color="auto"/>
              <w:bottom w:val="single" w:sz="4" w:space="0" w:color="auto"/>
              <w:right w:val="single" w:sz="4" w:space="0" w:color="auto"/>
            </w:tcBorders>
            <w:shd w:val="clear" w:color="auto" w:fill="C5EDCE"/>
          </w:tcPr>
          <w:p w14:paraId="5A8AE623" w14:textId="77777777" w:rsidR="00740F0F" w:rsidRPr="0029070D" w:rsidRDefault="00100B64">
            <w:pPr>
              <w:spacing w:line="214" w:lineRule="exact"/>
              <w:ind w:left="9" w:right="-15"/>
              <w:rPr>
                <w:rFonts w:ascii="Times New Roman" w:eastAsia="Times New Roman" w:hAnsi="Times New Roman" w:cs="Times New Roman"/>
                <w:noProof/>
                <w:sz w:val="18"/>
                <w:szCs w:val="18"/>
              </w:rPr>
            </w:pPr>
            <w:r>
              <w:rPr>
                <w:rFonts w:ascii="Times New Roman" w:hAnsi="Times New Roman"/>
                <w:noProof/>
                <w:sz w:val="18"/>
              </w:rPr>
              <w:t>Entrée en vigueur</w:t>
            </w: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24"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625"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626"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27" w14:textId="77777777" w:rsidR="00740F0F" w:rsidRPr="0029070D" w:rsidRDefault="00100B64">
            <w:pPr>
              <w:spacing w:line="214" w:lineRule="exact"/>
              <w:ind w:left="9" w:right="72"/>
              <w:jc w:val="center"/>
              <w:rPr>
                <w:rFonts w:ascii="Times New Roman" w:eastAsia="Times New Roman" w:hAnsi="Times New Roman" w:cs="Times New Roman"/>
                <w:noProof/>
                <w:sz w:val="18"/>
                <w:szCs w:val="18"/>
              </w:rPr>
            </w:pPr>
            <w:r>
              <w:rPr>
                <w:rFonts w:ascii="Times New Roman" w:hAnsi="Times New Roman"/>
                <w:noProof/>
                <w:sz w:val="18"/>
              </w:rPr>
              <w:t>T1</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28" w14:textId="77777777" w:rsidR="00740F0F" w:rsidRPr="0029070D" w:rsidRDefault="00100B64">
            <w:pPr>
              <w:spacing w:line="214" w:lineRule="exact"/>
              <w:ind w:left="9" w:right="112"/>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3870" w:type="dxa"/>
            <w:tcBorders>
              <w:top w:val="single" w:sz="4" w:space="0" w:color="auto"/>
              <w:left w:val="single" w:sz="4" w:space="0" w:color="auto"/>
              <w:bottom w:val="single" w:sz="4" w:space="0" w:color="auto"/>
              <w:right w:val="single" w:sz="4" w:space="0" w:color="auto"/>
            </w:tcBorders>
            <w:shd w:val="clear" w:color="auto" w:fill="C5EDCE"/>
          </w:tcPr>
          <w:p w14:paraId="5A8AE629" w14:textId="77777777" w:rsidR="00740F0F" w:rsidRPr="0029070D" w:rsidRDefault="00100B64">
            <w:pPr>
              <w:spacing w:line="214" w:lineRule="exact"/>
              <w:ind w:left="9" w:right="100"/>
              <w:rPr>
                <w:rFonts w:ascii="Times New Roman" w:eastAsia="Times New Roman" w:hAnsi="Times New Roman" w:cs="Times New Roman"/>
                <w:noProof/>
                <w:sz w:val="18"/>
                <w:szCs w:val="18"/>
              </w:rPr>
            </w:pPr>
            <w:r>
              <w:rPr>
                <w:rFonts w:ascii="Times New Roman" w:hAnsi="Times New Roman"/>
                <w:noProof/>
                <w:sz w:val="18"/>
              </w:rPr>
              <w:t>Entrée en vigueur d’une nouvelle loi de programmation des finances publiques (LPFP) mettant en œuvre les nouvelles dispositions législatives organiques adoptées et fixant une trajectoire de finances publiques permettant de stabiliser puis de faire décroître le ratio de la dette.</w:t>
            </w:r>
          </w:p>
        </w:tc>
      </w:tr>
      <w:tr w:rsidR="00782477" w:rsidRPr="0029070D" w14:paraId="5A8AE637" w14:textId="77777777" w:rsidTr="009C520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163"/>
          <w:jc w:val="center"/>
        </w:trPr>
        <w:tc>
          <w:tcPr>
            <w:tcW w:w="1114" w:type="dxa"/>
            <w:tcBorders>
              <w:top w:val="single" w:sz="4" w:space="0" w:color="auto"/>
              <w:left w:val="single" w:sz="4" w:space="0" w:color="auto"/>
              <w:bottom w:val="single" w:sz="4" w:space="0" w:color="auto"/>
              <w:right w:val="single" w:sz="4" w:space="0" w:color="auto"/>
            </w:tcBorders>
            <w:shd w:val="clear" w:color="auto" w:fill="C5EDCE"/>
          </w:tcPr>
          <w:p w14:paraId="5A8AE62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7-10</w:t>
            </w:r>
          </w:p>
        </w:tc>
        <w:tc>
          <w:tcPr>
            <w:tcW w:w="1291" w:type="dxa"/>
            <w:tcBorders>
              <w:top w:val="single" w:sz="4" w:space="0" w:color="auto"/>
              <w:left w:val="single" w:sz="4" w:space="0" w:color="auto"/>
              <w:bottom w:val="single" w:sz="4" w:space="0" w:color="auto"/>
              <w:right w:val="single" w:sz="4" w:space="0" w:color="auto"/>
            </w:tcBorders>
            <w:shd w:val="clear" w:color="auto" w:fill="C5EDCE"/>
          </w:tcPr>
          <w:p w14:paraId="5A8AE62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C7.R5</w:t>
            </w:r>
          </w:p>
          <w:p w14:paraId="5A8AE62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Évaluation de la qualité des dépenses publiques</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2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37" w:type="dxa"/>
            <w:tcBorders>
              <w:top w:val="single" w:sz="4" w:space="0" w:color="auto"/>
              <w:left w:val="single" w:sz="4" w:space="0" w:color="auto"/>
              <w:bottom w:val="single" w:sz="4" w:space="0" w:color="auto"/>
              <w:right w:val="single" w:sz="4" w:space="0" w:color="auto"/>
            </w:tcBorders>
            <w:shd w:val="clear" w:color="auto" w:fill="C5EDCE"/>
          </w:tcPr>
          <w:p w14:paraId="5A8AE62F" w14:textId="77777777" w:rsidR="00740F0F" w:rsidRPr="0029070D" w:rsidRDefault="00100B64">
            <w:pPr>
              <w:spacing w:line="214" w:lineRule="exact"/>
              <w:ind w:left="9" w:hanging="1"/>
              <w:rPr>
                <w:rFonts w:ascii="Times New Roman" w:eastAsia="Times New Roman" w:hAnsi="Times New Roman" w:cs="Times New Roman"/>
                <w:noProof/>
                <w:sz w:val="18"/>
                <w:szCs w:val="18"/>
              </w:rPr>
            </w:pPr>
            <w:r>
              <w:rPr>
                <w:rFonts w:ascii="Times New Roman" w:hAnsi="Times New Roman"/>
                <w:noProof/>
                <w:sz w:val="18"/>
              </w:rPr>
              <w:t>Publication du bilan des réformes de productivité</w:t>
            </w:r>
          </w:p>
        </w:tc>
        <w:tc>
          <w:tcPr>
            <w:tcW w:w="1423" w:type="dxa"/>
            <w:tcBorders>
              <w:top w:val="single" w:sz="4" w:space="0" w:color="auto"/>
              <w:left w:val="single" w:sz="4" w:space="0" w:color="auto"/>
              <w:bottom w:val="single" w:sz="4" w:space="0" w:color="auto"/>
              <w:right w:val="single" w:sz="4" w:space="0" w:color="auto"/>
            </w:tcBorders>
            <w:shd w:val="clear" w:color="auto" w:fill="C5EDCE"/>
          </w:tcPr>
          <w:p w14:paraId="5A8AE630"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Publication du bilan</w:t>
            </w: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31"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632"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633"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3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3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3870" w:type="dxa"/>
            <w:tcBorders>
              <w:top w:val="single" w:sz="4" w:space="0" w:color="auto"/>
              <w:left w:val="single" w:sz="4" w:space="0" w:color="auto"/>
              <w:bottom w:val="single" w:sz="4" w:space="0" w:color="auto"/>
              <w:right w:val="single" w:sz="4" w:space="0" w:color="auto"/>
            </w:tcBorders>
            <w:shd w:val="clear" w:color="auto" w:fill="C5EDCE"/>
          </w:tcPr>
          <w:p w14:paraId="5A8AE636"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Publication du bilan des réformes de productivité de l’action publique réalisées sur le quinquennat</w:t>
            </w:r>
          </w:p>
        </w:tc>
      </w:tr>
      <w:tr w:rsidR="00782477" w:rsidRPr="0029070D" w14:paraId="5A8AE644" w14:textId="77777777" w:rsidTr="009C520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408"/>
          <w:jc w:val="center"/>
        </w:trPr>
        <w:tc>
          <w:tcPr>
            <w:tcW w:w="1114" w:type="dxa"/>
            <w:tcBorders>
              <w:top w:val="single" w:sz="4" w:space="0" w:color="auto"/>
              <w:left w:val="single" w:sz="4" w:space="0" w:color="auto"/>
              <w:bottom w:val="single" w:sz="4" w:space="0" w:color="auto"/>
              <w:right w:val="single" w:sz="4" w:space="0" w:color="auto"/>
            </w:tcBorders>
            <w:shd w:val="clear" w:color="auto" w:fill="C5EDCE"/>
          </w:tcPr>
          <w:p w14:paraId="5A8AE63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7-11</w:t>
            </w:r>
          </w:p>
        </w:tc>
        <w:tc>
          <w:tcPr>
            <w:tcW w:w="1291" w:type="dxa"/>
            <w:tcBorders>
              <w:top w:val="single" w:sz="4" w:space="0" w:color="auto"/>
              <w:left w:val="single" w:sz="4" w:space="0" w:color="auto"/>
              <w:bottom w:val="single" w:sz="4" w:space="0" w:color="auto"/>
              <w:right w:val="single" w:sz="4" w:space="0" w:color="auto"/>
            </w:tcBorders>
            <w:shd w:val="clear" w:color="auto" w:fill="C5EDCE"/>
          </w:tcPr>
          <w:p w14:paraId="5A8AE63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C7.R5</w:t>
            </w:r>
          </w:p>
          <w:p w14:paraId="5A8AE63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Évaluation de la qualité des dépenses publiques</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3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37" w:type="dxa"/>
            <w:tcBorders>
              <w:top w:val="single" w:sz="4" w:space="0" w:color="auto"/>
              <w:left w:val="single" w:sz="4" w:space="0" w:color="auto"/>
              <w:bottom w:val="single" w:sz="4" w:space="0" w:color="auto"/>
              <w:right w:val="single" w:sz="4" w:space="0" w:color="auto"/>
            </w:tcBorders>
            <w:shd w:val="clear" w:color="auto" w:fill="C5EDCE"/>
          </w:tcPr>
          <w:p w14:paraId="5A8AE63C" w14:textId="77777777" w:rsidR="00740F0F" w:rsidRPr="0029070D" w:rsidRDefault="00100B64">
            <w:pPr>
              <w:spacing w:line="214" w:lineRule="exact"/>
              <w:ind w:left="9" w:hanging="1"/>
              <w:rPr>
                <w:rFonts w:ascii="Times New Roman" w:eastAsia="Times New Roman" w:hAnsi="Times New Roman" w:cs="Times New Roman"/>
                <w:noProof/>
                <w:sz w:val="18"/>
                <w:szCs w:val="18"/>
              </w:rPr>
            </w:pPr>
            <w:r>
              <w:rPr>
                <w:rFonts w:ascii="Times New Roman" w:hAnsi="Times New Roman"/>
                <w:noProof/>
                <w:sz w:val="18"/>
              </w:rPr>
              <w:t>Rapport de la mission d’audit de la Cour des comptes sur les finances publiques</w:t>
            </w:r>
          </w:p>
        </w:tc>
        <w:tc>
          <w:tcPr>
            <w:tcW w:w="1423" w:type="dxa"/>
            <w:tcBorders>
              <w:top w:val="single" w:sz="4" w:space="0" w:color="auto"/>
              <w:left w:val="single" w:sz="4" w:space="0" w:color="auto"/>
              <w:bottom w:val="single" w:sz="4" w:space="0" w:color="auto"/>
              <w:right w:val="single" w:sz="4" w:space="0" w:color="auto"/>
            </w:tcBorders>
            <w:shd w:val="clear" w:color="auto" w:fill="C5EDCE"/>
          </w:tcPr>
          <w:p w14:paraId="5A8AE63D"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Publication du rapport</w:t>
            </w: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3E"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63F"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640"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4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T2</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4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3870" w:type="dxa"/>
            <w:tcBorders>
              <w:top w:val="single" w:sz="4" w:space="0" w:color="auto"/>
              <w:left w:val="single" w:sz="4" w:space="0" w:color="auto"/>
              <w:bottom w:val="single" w:sz="4" w:space="0" w:color="auto"/>
              <w:right w:val="single" w:sz="4" w:space="0" w:color="auto"/>
            </w:tcBorders>
            <w:shd w:val="clear" w:color="auto" w:fill="C5EDCE"/>
          </w:tcPr>
          <w:p w14:paraId="5A8AE643"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Rapport de la mission d’audit de la Cour des comptes sur les finances publiques.</w:t>
            </w:r>
          </w:p>
        </w:tc>
      </w:tr>
      <w:tr w:rsidR="00782477" w:rsidRPr="0029070D" w14:paraId="5A8AE651" w14:textId="77777777" w:rsidTr="009C520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616"/>
          <w:jc w:val="center"/>
        </w:trPr>
        <w:tc>
          <w:tcPr>
            <w:tcW w:w="1114" w:type="dxa"/>
            <w:tcBorders>
              <w:top w:val="single" w:sz="4" w:space="0" w:color="auto"/>
              <w:left w:val="single" w:sz="4" w:space="0" w:color="auto"/>
              <w:bottom w:val="single" w:sz="4" w:space="0" w:color="auto"/>
              <w:right w:val="single" w:sz="4" w:space="0" w:color="auto"/>
            </w:tcBorders>
            <w:shd w:val="clear" w:color="auto" w:fill="C5EDCE"/>
          </w:tcPr>
          <w:p w14:paraId="5A8AE64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7-12</w:t>
            </w:r>
          </w:p>
        </w:tc>
        <w:tc>
          <w:tcPr>
            <w:tcW w:w="1291" w:type="dxa"/>
            <w:tcBorders>
              <w:top w:val="single" w:sz="4" w:space="0" w:color="auto"/>
              <w:left w:val="single" w:sz="4" w:space="0" w:color="auto"/>
              <w:bottom w:val="single" w:sz="4" w:space="0" w:color="auto"/>
              <w:right w:val="single" w:sz="4" w:space="0" w:color="auto"/>
            </w:tcBorders>
            <w:shd w:val="clear" w:color="auto" w:fill="C5EDCE"/>
          </w:tcPr>
          <w:p w14:paraId="5A8AE64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C7.R5</w:t>
            </w:r>
          </w:p>
          <w:p w14:paraId="5A8AE647" w14:textId="77777777" w:rsidR="00740F0F" w:rsidRPr="0029070D" w:rsidRDefault="00100B64">
            <w:pPr>
              <w:spacing w:line="214" w:lineRule="exact"/>
              <w:ind w:left="9" w:firstLine="2"/>
              <w:jc w:val="center"/>
              <w:rPr>
                <w:rFonts w:ascii="Times New Roman" w:eastAsia="Times New Roman" w:hAnsi="Times New Roman" w:cs="Times New Roman"/>
                <w:noProof/>
                <w:sz w:val="18"/>
                <w:szCs w:val="18"/>
              </w:rPr>
            </w:pPr>
            <w:r>
              <w:rPr>
                <w:rFonts w:ascii="Times New Roman" w:hAnsi="Times New Roman"/>
                <w:noProof/>
                <w:sz w:val="18"/>
              </w:rPr>
              <w:t>Évaluation de la qualité des dépenses publiques</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4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37" w:type="dxa"/>
            <w:tcBorders>
              <w:top w:val="single" w:sz="4" w:space="0" w:color="auto"/>
              <w:left w:val="single" w:sz="4" w:space="0" w:color="auto"/>
              <w:bottom w:val="single" w:sz="4" w:space="0" w:color="auto"/>
              <w:right w:val="single" w:sz="4" w:space="0" w:color="auto"/>
            </w:tcBorders>
            <w:shd w:val="clear" w:color="auto" w:fill="C5EDCE"/>
          </w:tcPr>
          <w:p w14:paraId="5A8AE649"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Sortie des dispositifs d’urgence sous condition sanitaire</w:t>
            </w:r>
          </w:p>
        </w:tc>
        <w:tc>
          <w:tcPr>
            <w:tcW w:w="1423" w:type="dxa"/>
            <w:tcBorders>
              <w:top w:val="single" w:sz="4" w:space="0" w:color="auto"/>
              <w:left w:val="single" w:sz="4" w:space="0" w:color="auto"/>
              <w:bottom w:val="single" w:sz="4" w:space="0" w:color="auto"/>
              <w:right w:val="single" w:sz="4" w:space="0" w:color="auto"/>
            </w:tcBorders>
            <w:shd w:val="clear" w:color="auto" w:fill="C5EDCE"/>
          </w:tcPr>
          <w:p w14:paraId="5A8AE64A"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Sortie des dispositifs d’urgence</w:t>
            </w: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4B"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64C"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64D"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4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4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3870" w:type="dxa"/>
            <w:tcBorders>
              <w:top w:val="single" w:sz="4" w:space="0" w:color="auto"/>
              <w:left w:val="single" w:sz="4" w:space="0" w:color="auto"/>
              <w:bottom w:val="single" w:sz="4" w:space="0" w:color="auto"/>
              <w:right w:val="single" w:sz="4" w:space="0" w:color="auto"/>
            </w:tcBorders>
            <w:shd w:val="clear" w:color="auto" w:fill="C5EDCE"/>
          </w:tcPr>
          <w:p w14:paraId="5A8AE650"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Sortie des dispositifs d’urgence sous condition sanitaire, sur la base des recommandations du rapport de la mission d’audit de la Cour des comptes.</w:t>
            </w:r>
          </w:p>
        </w:tc>
      </w:tr>
      <w:tr w:rsidR="00782477" w:rsidRPr="0029070D" w14:paraId="5A8AE65E" w14:textId="77777777" w:rsidTr="009C520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989"/>
          <w:jc w:val="center"/>
        </w:trPr>
        <w:tc>
          <w:tcPr>
            <w:tcW w:w="1114" w:type="dxa"/>
            <w:tcBorders>
              <w:top w:val="single" w:sz="4" w:space="0" w:color="auto"/>
              <w:left w:val="single" w:sz="4" w:space="0" w:color="auto"/>
              <w:bottom w:val="single" w:sz="4" w:space="0" w:color="auto"/>
              <w:right w:val="single" w:sz="4" w:space="0" w:color="auto"/>
            </w:tcBorders>
            <w:shd w:val="clear" w:color="auto" w:fill="C5EDCE"/>
          </w:tcPr>
          <w:p w14:paraId="5A8AE65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7-13</w:t>
            </w:r>
          </w:p>
        </w:tc>
        <w:tc>
          <w:tcPr>
            <w:tcW w:w="1291" w:type="dxa"/>
            <w:tcBorders>
              <w:top w:val="single" w:sz="4" w:space="0" w:color="auto"/>
              <w:left w:val="single" w:sz="4" w:space="0" w:color="auto"/>
              <w:bottom w:val="single" w:sz="4" w:space="0" w:color="auto"/>
              <w:right w:val="single" w:sz="4" w:space="0" w:color="auto"/>
            </w:tcBorders>
            <w:shd w:val="clear" w:color="auto" w:fill="C5EDCE"/>
          </w:tcPr>
          <w:p w14:paraId="5A8AE65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C7.R5</w:t>
            </w:r>
          </w:p>
          <w:p w14:paraId="5A8AE65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Évaluation de la qualité des dépenses publiques</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5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37" w:type="dxa"/>
            <w:tcBorders>
              <w:top w:val="single" w:sz="4" w:space="0" w:color="auto"/>
              <w:left w:val="single" w:sz="4" w:space="0" w:color="auto"/>
              <w:bottom w:val="single" w:sz="4" w:space="0" w:color="auto"/>
              <w:right w:val="single" w:sz="4" w:space="0" w:color="auto"/>
            </w:tcBorders>
            <w:shd w:val="clear" w:color="auto" w:fill="C5EDCE"/>
          </w:tcPr>
          <w:p w14:paraId="5A8AE656" w14:textId="77777777" w:rsidR="00740F0F" w:rsidRPr="0029070D" w:rsidRDefault="00100B64">
            <w:pPr>
              <w:spacing w:line="214" w:lineRule="exact"/>
              <w:ind w:left="9" w:hanging="10"/>
              <w:rPr>
                <w:rFonts w:ascii="Times New Roman" w:eastAsia="Times New Roman" w:hAnsi="Times New Roman" w:cs="Times New Roman"/>
                <w:noProof/>
                <w:sz w:val="18"/>
                <w:szCs w:val="18"/>
              </w:rPr>
            </w:pPr>
            <w:r>
              <w:rPr>
                <w:rFonts w:ascii="Times New Roman" w:hAnsi="Times New Roman"/>
                <w:noProof/>
                <w:sz w:val="18"/>
              </w:rPr>
              <w:t>Construction des lois de finances articulée avec les évaluations de la dépense publique couvrant le champ des administrations publiques (APU) dans le respect de la trajectoire de dépenses de la loi de programmation des finances publiques</w:t>
            </w:r>
          </w:p>
        </w:tc>
        <w:tc>
          <w:tcPr>
            <w:tcW w:w="1423" w:type="dxa"/>
            <w:tcBorders>
              <w:top w:val="single" w:sz="4" w:space="0" w:color="auto"/>
              <w:left w:val="single" w:sz="4" w:space="0" w:color="auto"/>
              <w:bottom w:val="single" w:sz="4" w:space="0" w:color="auto"/>
              <w:right w:val="single" w:sz="4" w:space="0" w:color="auto"/>
            </w:tcBorders>
            <w:shd w:val="clear" w:color="auto" w:fill="C5EDCE"/>
          </w:tcPr>
          <w:p w14:paraId="5A8AE657"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Construction des lois financières</w:t>
            </w: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58"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659"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65A"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5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5C" w14:textId="77777777" w:rsidR="00740F0F" w:rsidRPr="0029070D" w:rsidRDefault="00100B64">
            <w:pPr>
              <w:spacing w:line="214" w:lineRule="exact"/>
              <w:ind w:left="9"/>
              <w:jc w:val="right"/>
              <w:rPr>
                <w:rFonts w:ascii="Times New Roman" w:eastAsia="Times New Roman" w:hAnsi="Times New Roman" w:cs="Times New Roman"/>
                <w:noProof/>
                <w:sz w:val="18"/>
                <w:szCs w:val="18"/>
              </w:rPr>
            </w:pPr>
            <w:r>
              <w:rPr>
                <w:rFonts w:ascii="Times New Roman" w:hAnsi="Times New Roman"/>
                <w:noProof/>
                <w:sz w:val="18"/>
              </w:rPr>
              <w:t>2022</w:t>
            </w:r>
          </w:p>
        </w:tc>
        <w:tc>
          <w:tcPr>
            <w:tcW w:w="3870" w:type="dxa"/>
            <w:tcBorders>
              <w:top w:val="single" w:sz="4" w:space="0" w:color="auto"/>
              <w:left w:val="single" w:sz="4" w:space="0" w:color="auto"/>
              <w:bottom w:val="single" w:sz="4" w:space="0" w:color="auto"/>
              <w:right w:val="single" w:sz="4" w:space="0" w:color="auto"/>
            </w:tcBorders>
            <w:shd w:val="clear" w:color="auto" w:fill="C5EDCE"/>
          </w:tcPr>
          <w:p w14:paraId="5A8AE65D"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Construction des lois de finances articulée avec les évaluations de la dépense publique couvrant le champ des administrations publiques (APU) dans le respect de la trajectoire de dépenses de la loi de programmation des finances publiques.</w:t>
            </w:r>
          </w:p>
        </w:tc>
      </w:tr>
      <w:tr w:rsidR="00782477" w:rsidRPr="0029070D" w14:paraId="5A8AE66B" w14:textId="77777777" w:rsidTr="009C520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593"/>
          <w:jc w:val="center"/>
        </w:trPr>
        <w:tc>
          <w:tcPr>
            <w:tcW w:w="1114" w:type="dxa"/>
            <w:tcBorders>
              <w:top w:val="single" w:sz="4" w:space="0" w:color="auto"/>
              <w:left w:val="single" w:sz="4" w:space="0" w:color="auto"/>
              <w:bottom w:val="single" w:sz="4" w:space="0" w:color="auto"/>
              <w:right w:val="single" w:sz="4" w:space="0" w:color="auto"/>
            </w:tcBorders>
            <w:shd w:val="clear" w:color="auto" w:fill="C5EDCE"/>
          </w:tcPr>
          <w:p w14:paraId="5A8AE65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7-14</w:t>
            </w:r>
          </w:p>
        </w:tc>
        <w:tc>
          <w:tcPr>
            <w:tcW w:w="1291" w:type="dxa"/>
            <w:tcBorders>
              <w:top w:val="single" w:sz="4" w:space="0" w:color="auto"/>
              <w:left w:val="single" w:sz="4" w:space="0" w:color="auto"/>
              <w:bottom w:val="single" w:sz="4" w:space="0" w:color="auto"/>
              <w:right w:val="single" w:sz="4" w:space="0" w:color="auto"/>
            </w:tcBorders>
            <w:shd w:val="clear" w:color="auto" w:fill="C5EDCE"/>
          </w:tcPr>
          <w:p w14:paraId="5A8AE660" w14:textId="77777777" w:rsidR="00740F0F" w:rsidRPr="0029070D" w:rsidRDefault="00100B64">
            <w:pPr>
              <w:spacing w:line="214" w:lineRule="exact"/>
              <w:ind w:left="9" w:right="60"/>
              <w:jc w:val="center"/>
              <w:rPr>
                <w:rFonts w:ascii="Times New Roman" w:eastAsia="Times New Roman" w:hAnsi="Times New Roman" w:cs="Times New Roman"/>
                <w:noProof/>
                <w:sz w:val="18"/>
                <w:szCs w:val="18"/>
              </w:rPr>
            </w:pPr>
            <w:r>
              <w:rPr>
                <w:rFonts w:ascii="Times New Roman" w:hAnsi="Times New Roman"/>
                <w:noProof/>
                <w:sz w:val="18"/>
              </w:rPr>
              <w:t>C7.R5</w:t>
            </w:r>
          </w:p>
          <w:p w14:paraId="5A8AE661" w14:textId="77777777" w:rsidR="00740F0F" w:rsidRPr="0029070D" w:rsidRDefault="00100B64">
            <w:pPr>
              <w:spacing w:line="214" w:lineRule="exact"/>
              <w:ind w:left="9" w:right="71"/>
              <w:jc w:val="center"/>
              <w:rPr>
                <w:rFonts w:ascii="Times New Roman" w:eastAsia="Times New Roman" w:hAnsi="Times New Roman" w:cs="Times New Roman"/>
                <w:noProof/>
                <w:sz w:val="18"/>
                <w:szCs w:val="18"/>
              </w:rPr>
            </w:pPr>
            <w:r>
              <w:rPr>
                <w:rFonts w:ascii="Times New Roman" w:hAnsi="Times New Roman"/>
                <w:noProof/>
                <w:sz w:val="18"/>
              </w:rPr>
              <w:t>Évaluation de la qualité des dépenses publiques</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62"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37" w:type="dxa"/>
            <w:tcBorders>
              <w:top w:val="single" w:sz="4" w:space="0" w:color="auto"/>
              <w:left w:val="single" w:sz="4" w:space="0" w:color="auto"/>
              <w:bottom w:val="single" w:sz="4" w:space="0" w:color="auto"/>
              <w:right w:val="single" w:sz="4" w:space="0" w:color="auto"/>
            </w:tcBorders>
            <w:shd w:val="clear" w:color="auto" w:fill="C5EDCE"/>
          </w:tcPr>
          <w:p w14:paraId="5A8AE663" w14:textId="77777777" w:rsidR="00740F0F" w:rsidRPr="0029070D" w:rsidRDefault="00100B64">
            <w:pPr>
              <w:spacing w:line="214" w:lineRule="exact"/>
              <w:ind w:left="9" w:right="70"/>
              <w:rPr>
                <w:rFonts w:ascii="Times New Roman" w:eastAsia="Times New Roman" w:hAnsi="Times New Roman" w:cs="Times New Roman"/>
                <w:noProof/>
                <w:sz w:val="18"/>
                <w:szCs w:val="18"/>
              </w:rPr>
            </w:pPr>
            <w:r>
              <w:rPr>
                <w:rFonts w:ascii="Times New Roman" w:hAnsi="Times New Roman"/>
                <w:noProof/>
                <w:sz w:val="18"/>
              </w:rPr>
              <w:t>Évaluation annuelle des mesures prises pour améliorer la qualité des dépenses publiques adoptées depuis la loi de finances 2023</w:t>
            </w:r>
          </w:p>
        </w:tc>
        <w:tc>
          <w:tcPr>
            <w:tcW w:w="1423" w:type="dxa"/>
            <w:tcBorders>
              <w:top w:val="single" w:sz="4" w:space="0" w:color="auto"/>
              <w:left w:val="single" w:sz="4" w:space="0" w:color="auto"/>
              <w:bottom w:val="single" w:sz="4" w:space="0" w:color="auto"/>
              <w:right w:val="single" w:sz="4" w:space="0" w:color="auto"/>
            </w:tcBorders>
            <w:shd w:val="clear" w:color="auto" w:fill="C5EDCE"/>
          </w:tcPr>
          <w:p w14:paraId="5A8AE664" w14:textId="77777777" w:rsidR="00740F0F" w:rsidRPr="0029070D" w:rsidRDefault="00100B64">
            <w:pPr>
              <w:spacing w:line="214" w:lineRule="exact"/>
              <w:ind w:left="9" w:right="45"/>
              <w:rPr>
                <w:rFonts w:ascii="Times New Roman" w:eastAsia="Times New Roman" w:hAnsi="Times New Roman" w:cs="Times New Roman"/>
                <w:noProof/>
                <w:sz w:val="18"/>
                <w:szCs w:val="18"/>
              </w:rPr>
            </w:pPr>
            <w:r>
              <w:rPr>
                <w:rFonts w:ascii="Times New Roman" w:hAnsi="Times New Roman"/>
                <w:noProof/>
                <w:sz w:val="18"/>
              </w:rPr>
              <w:t>Publication de l’évaluation</w:t>
            </w: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65"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666"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667"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68" w14:textId="77777777" w:rsidR="00740F0F" w:rsidRPr="0029070D" w:rsidRDefault="00100B64">
            <w:pPr>
              <w:spacing w:line="214" w:lineRule="exact"/>
              <w:ind w:left="9" w:right="62"/>
              <w:jc w:val="center"/>
              <w:rPr>
                <w:rFonts w:ascii="Times New Roman" w:eastAsia="Times New Roman" w:hAnsi="Times New Roman" w:cs="Times New Roman"/>
                <w:noProof/>
                <w:sz w:val="18"/>
                <w:szCs w:val="18"/>
              </w:rPr>
            </w:pPr>
            <w:r>
              <w:rPr>
                <w:rFonts w:ascii="Times New Roman" w:hAnsi="Times New Roman"/>
                <w:noProof/>
                <w:sz w:val="18"/>
              </w:rPr>
              <w:t>T1</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6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2024</w:t>
            </w:r>
          </w:p>
        </w:tc>
        <w:tc>
          <w:tcPr>
            <w:tcW w:w="3870" w:type="dxa"/>
            <w:tcBorders>
              <w:top w:val="single" w:sz="4" w:space="0" w:color="auto"/>
              <w:left w:val="single" w:sz="4" w:space="0" w:color="auto"/>
              <w:bottom w:val="single" w:sz="4" w:space="0" w:color="auto"/>
              <w:right w:val="single" w:sz="4" w:space="0" w:color="auto"/>
            </w:tcBorders>
            <w:shd w:val="clear" w:color="auto" w:fill="C5EDCE"/>
          </w:tcPr>
          <w:p w14:paraId="5A8AE66A" w14:textId="77777777" w:rsidR="00740F0F" w:rsidRPr="0029070D" w:rsidRDefault="00100B64">
            <w:pPr>
              <w:spacing w:line="214" w:lineRule="exact"/>
              <w:ind w:left="9" w:right="118"/>
              <w:rPr>
                <w:rFonts w:ascii="Times New Roman" w:eastAsia="Times New Roman" w:hAnsi="Times New Roman" w:cs="Times New Roman"/>
                <w:noProof/>
                <w:sz w:val="18"/>
                <w:szCs w:val="18"/>
              </w:rPr>
            </w:pPr>
            <w:r>
              <w:rPr>
                <w:rFonts w:ascii="Times New Roman" w:hAnsi="Times New Roman"/>
                <w:noProof/>
                <w:sz w:val="18"/>
              </w:rPr>
              <w:t>Évaluation annuelle des mesures prises pour améliorer la qualité des dépenses publiques adoptées depuis la loi de finances 2023.</w:t>
            </w:r>
          </w:p>
        </w:tc>
      </w:tr>
      <w:tr w:rsidR="00782477" w:rsidRPr="0029070D" w14:paraId="5A8AE678" w14:textId="77777777" w:rsidTr="009C520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531"/>
          <w:jc w:val="center"/>
        </w:trPr>
        <w:tc>
          <w:tcPr>
            <w:tcW w:w="1114" w:type="dxa"/>
            <w:tcBorders>
              <w:top w:val="single" w:sz="4" w:space="0" w:color="auto"/>
              <w:left w:val="single" w:sz="4" w:space="0" w:color="auto"/>
              <w:bottom w:val="single" w:sz="4" w:space="0" w:color="auto"/>
              <w:right w:val="single" w:sz="4" w:space="0" w:color="auto"/>
            </w:tcBorders>
            <w:shd w:val="clear" w:color="auto" w:fill="C5EDCE"/>
          </w:tcPr>
          <w:p w14:paraId="5A8AE66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7-14a</w:t>
            </w:r>
          </w:p>
        </w:tc>
        <w:tc>
          <w:tcPr>
            <w:tcW w:w="1291" w:type="dxa"/>
            <w:tcBorders>
              <w:top w:val="single" w:sz="4" w:space="0" w:color="auto"/>
              <w:left w:val="single" w:sz="4" w:space="0" w:color="auto"/>
              <w:bottom w:val="single" w:sz="4" w:space="0" w:color="auto"/>
              <w:right w:val="single" w:sz="4" w:space="0" w:color="auto"/>
            </w:tcBorders>
            <w:shd w:val="clear" w:color="auto" w:fill="C5EDCE"/>
          </w:tcPr>
          <w:p w14:paraId="5A8AE66D" w14:textId="77777777" w:rsidR="00740F0F" w:rsidRPr="0029070D" w:rsidRDefault="00100B64">
            <w:pPr>
              <w:spacing w:line="214" w:lineRule="exact"/>
              <w:ind w:left="9" w:right="35"/>
              <w:jc w:val="center"/>
              <w:rPr>
                <w:rFonts w:ascii="Times New Roman" w:eastAsia="Times New Roman" w:hAnsi="Times New Roman" w:cs="Times New Roman"/>
                <w:noProof/>
                <w:sz w:val="18"/>
                <w:szCs w:val="18"/>
              </w:rPr>
            </w:pPr>
            <w:r>
              <w:rPr>
                <w:rFonts w:ascii="Times New Roman" w:hAnsi="Times New Roman"/>
                <w:noProof/>
                <w:sz w:val="18"/>
              </w:rPr>
              <w:t>C7.R5</w:t>
            </w:r>
          </w:p>
          <w:p w14:paraId="5A8AE66E" w14:textId="77777777" w:rsidR="00740F0F" w:rsidRPr="0029070D" w:rsidRDefault="00100B64">
            <w:pPr>
              <w:spacing w:line="214" w:lineRule="exact"/>
              <w:ind w:left="9" w:right="71"/>
              <w:jc w:val="center"/>
              <w:rPr>
                <w:rFonts w:ascii="Times New Roman" w:eastAsia="Times New Roman" w:hAnsi="Times New Roman" w:cs="Times New Roman"/>
                <w:noProof/>
                <w:sz w:val="18"/>
                <w:szCs w:val="18"/>
              </w:rPr>
            </w:pPr>
            <w:r>
              <w:rPr>
                <w:rFonts w:ascii="Times New Roman" w:hAnsi="Times New Roman"/>
                <w:noProof/>
                <w:sz w:val="18"/>
              </w:rPr>
              <w:t>Évaluation de la qualité des dépenses publiques</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6F"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37" w:type="dxa"/>
            <w:tcBorders>
              <w:top w:val="single" w:sz="4" w:space="0" w:color="auto"/>
              <w:left w:val="single" w:sz="4" w:space="0" w:color="auto"/>
              <w:bottom w:val="single" w:sz="4" w:space="0" w:color="auto"/>
              <w:right w:val="single" w:sz="4" w:space="0" w:color="auto"/>
            </w:tcBorders>
            <w:shd w:val="clear" w:color="auto" w:fill="C5EDCE"/>
          </w:tcPr>
          <w:p w14:paraId="5A8AE670" w14:textId="1B0231C9" w:rsidR="00740F0F" w:rsidRPr="0029070D" w:rsidRDefault="00FF5292">
            <w:pPr>
              <w:spacing w:line="214" w:lineRule="exact"/>
              <w:ind w:left="9" w:right="66"/>
              <w:rPr>
                <w:rFonts w:ascii="Times New Roman" w:eastAsia="Times New Roman" w:hAnsi="Times New Roman" w:cs="Times New Roman"/>
                <w:noProof/>
                <w:sz w:val="18"/>
                <w:szCs w:val="18"/>
              </w:rPr>
            </w:pPr>
            <w:r>
              <w:rPr>
                <w:rFonts w:ascii="Times New Roman" w:hAnsi="Times New Roman"/>
                <w:noProof/>
                <w:sz w:val="18"/>
              </w:rPr>
              <w:t>Évaluation des mesures prises pour améliorer la qualité des dépenses publiques adoptées depuis la loi de finances 2023</w:t>
            </w:r>
          </w:p>
        </w:tc>
        <w:tc>
          <w:tcPr>
            <w:tcW w:w="1423" w:type="dxa"/>
            <w:tcBorders>
              <w:top w:val="single" w:sz="4" w:space="0" w:color="auto"/>
              <w:left w:val="single" w:sz="4" w:space="0" w:color="auto"/>
              <w:bottom w:val="single" w:sz="4" w:space="0" w:color="auto"/>
              <w:right w:val="single" w:sz="4" w:space="0" w:color="auto"/>
            </w:tcBorders>
            <w:shd w:val="clear" w:color="auto" w:fill="C5EDCE"/>
          </w:tcPr>
          <w:p w14:paraId="5A8AE671" w14:textId="77777777" w:rsidR="00740F0F" w:rsidRPr="0029070D" w:rsidRDefault="00100B64">
            <w:pPr>
              <w:spacing w:line="214" w:lineRule="exact"/>
              <w:ind w:left="9" w:right="56"/>
              <w:rPr>
                <w:rFonts w:ascii="Times New Roman" w:eastAsia="Times New Roman" w:hAnsi="Times New Roman" w:cs="Times New Roman"/>
                <w:noProof/>
                <w:sz w:val="18"/>
                <w:szCs w:val="18"/>
              </w:rPr>
            </w:pPr>
            <w:r>
              <w:rPr>
                <w:rFonts w:ascii="Times New Roman" w:hAnsi="Times New Roman"/>
                <w:noProof/>
                <w:sz w:val="18"/>
              </w:rPr>
              <w:t>Publication de l’évaluation</w:t>
            </w: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72"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673"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674"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75" w14:textId="77777777" w:rsidR="00740F0F" w:rsidRPr="0029070D" w:rsidRDefault="00100B64">
            <w:pPr>
              <w:spacing w:line="214" w:lineRule="exact"/>
              <w:ind w:left="9" w:right="19"/>
              <w:jc w:val="center"/>
              <w:rPr>
                <w:rFonts w:ascii="Times New Roman" w:eastAsia="Times New Roman" w:hAnsi="Times New Roman" w:cs="Times New Roman"/>
                <w:noProof/>
                <w:sz w:val="18"/>
                <w:szCs w:val="18"/>
              </w:rPr>
            </w:pPr>
            <w:r>
              <w:rPr>
                <w:rFonts w:ascii="Times New Roman" w:hAnsi="Times New Roman"/>
                <w:noProof/>
                <w:sz w:val="18"/>
              </w:rPr>
              <w:t>T1</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7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2025</w:t>
            </w:r>
          </w:p>
        </w:tc>
        <w:tc>
          <w:tcPr>
            <w:tcW w:w="3870" w:type="dxa"/>
            <w:tcBorders>
              <w:top w:val="single" w:sz="4" w:space="0" w:color="auto"/>
              <w:left w:val="single" w:sz="4" w:space="0" w:color="auto"/>
              <w:bottom w:val="single" w:sz="4" w:space="0" w:color="auto"/>
              <w:right w:val="single" w:sz="4" w:space="0" w:color="auto"/>
            </w:tcBorders>
            <w:shd w:val="clear" w:color="auto" w:fill="C5EDCE"/>
          </w:tcPr>
          <w:p w14:paraId="5A8AE677" w14:textId="3E3CAB42" w:rsidR="00740F0F" w:rsidRPr="0029070D" w:rsidRDefault="00FF5292">
            <w:pPr>
              <w:spacing w:line="214" w:lineRule="exact"/>
              <w:ind w:left="9" w:right="100"/>
              <w:rPr>
                <w:rFonts w:ascii="Times New Roman" w:eastAsia="Times New Roman" w:hAnsi="Times New Roman" w:cs="Times New Roman"/>
                <w:noProof/>
                <w:sz w:val="18"/>
                <w:szCs w:val="18"/>
              </w:rPr>
            </w:pPr>
            <w:r>
              <w:rPr>
                <w:rFonts w:ascii="Times New Roman" w:hAnsi="Times New Roman"/>
                <w:noProof/>
                <w:sz w:val="18"/>
              </w:rPr>
              <w:t>Évaluation des mesures prises pour améliorer la qualité des dépenses publiques adoptées depuis la loi de finances 2023</w:t>
            </w:r>
          </w:p>
        </w:tc>
      </w:tr>
      <w:tr w:rsidR="00782477" w:rsidRPr="0029070D" w14:paraId="5A8AE685" w14:textId="77777777" w:rsidTr="009C520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985"/>
          <w:jc w:val="center"/>
        </w:trPr>
        <w:tc>
          <w:tcPr>
            <w:tcW w:w="1114" w:type="dxa"/>
            <w:tcBorders>
              <w:top w:val="single" w:sz="4" w:space="0" w:color="auto"/>
              <w:left w:val="single" w:sz="4" w:space="0" w:color="auto"/>
              <w:bottom w:val="single" w:sz="4" w:space="0" w:color="auto"/>
              <w:right w:val="single" w:sz="4" w:space="0" w:color="auto"/>
            </w:tcBorders>
            <w:shd w:val="clear" w:color="auto" w:fill="C5EDCE"/>
          </w:tcPr>
          <w:p w14:paraId="5A8AE67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7-15</w:t>
            </w:r>
          </w:p>
        </w:tc>
        <w:tc>
          <w:tcPr>
            <w:tcW w:w="1291" w:type="dxa"/>
            <w:tcBorders>
              <w:top w:val="single" w:sz="4" w:space="0" w:color="auto"/>
              <w:left w:val="single" w:sz="4" w:space="0" w:color="auto"/>
              <w:bottom w:val="single" w:sz="4" w:space="0" w:color="auto"/>
              <w:right w:val="single" w:sz="4" w:space="0" w:color="auto"/>
            </w:tcBorders>
            <w:shd w:val="clear" w:color="auto" w:fill="C5EDCE"/>
          </w:tcPr>
          <w:p w14:paraId="5A8AE67A" w14:textId="77777777" w:rsidR="00740F0F" w:rsidRPr="0029070D" w:rsidRDefault="00100B64">
            <w:pPr>
              <w:spacing w:line="214" w:lineRule="exact"/>
              <w:ind w:left="9" w:right="65"/>
              <w:jc w:val="center"/>
              <w:rPr>
                <w:rFonts w:ascii="Times New Roman" w:eastAsia="Times New Roman" w:hAnsi="Times New Roman" w:cs="Times New Roman"/>
                <w:noProof/>
                <w:sz w:val="18"/>
                <w:szCs w:val="18"/>
              </w:rPr>
            </w:pPr>
            <w:r>
              <w:rPr>
                <w:rFonts w:ascii="Times New Roman" w:hAnsi="Times New Roman"/>
                <w:noProof/>
                <w:sz w:val="18"/>
              </w:rPr>
              <w:t>C7.I1</w:t>
            </w:r>
          </w:p>
          <w:p w14:paraId="5A8AE67B" w14:textId="77777777" w:rsidR="00740F0F" w:rsidRPr="0029070D" w:rsidRDefault="00100B64">
            <w:pPr>
              <w:spacing w:line="214" w:lineRule="exact"/>
              <w:ind w:left="9" w:right="71"/>
              <w:jc w:val="center"/>
              <w:rPr>
                <w:rFonts w:ascii="Times New Roman" w:eastAsia="Times New Roman" w:hAnsi="Times New Roman" w:cs="Times New Roman"/>
                <w:noProof/>
                <w:sz w:val="18"/>
                <w:szCs w:val="18"/>
              </w:rPr>
            </w:pPr>
            <w:r>
              <w:rPr>
                <w:rFonts w:ascii="Times New Roman" w:hAnsi="Times New Roman"/>
                <w:noProof/>
                <w:sz w:val="18"/>
              </w:rPr>
              <w:t>Mise à niveau numérique des entreprises</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7C" w14:textId="77777777" w:rsidR="00740F0F" w:rsidRPr="0029070D" w:rsidRDefault="00100B64">
            <w:pPr>
              <w:spacing w:line="214" w:lineRule="exact"/>
              <w:ind w:left="9" w:right="41"/>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37" w:type="dxa"/>
            <w:tcBorders>
              <w:top w:val="single" w:sz="4" w:space="0" w:color="auto"/>
              <w:left w:val="single" w:sz="4" w:space="0" w:color="auto"/>
              <w:bottom w:val="single" w:sz="4" w:space="0" w:color="auto"/>
              <w:right w:val="single" w:sz="4" w:space="0" w:color="auto"/>
            </w:tcBorders>
            <w:shd w:val="clear" w:color="auto" w:fill="C5EDCE"/>
          </w:tcPr>
          <w:p w14:paraId="5A8AE67D" w14:textId="77777777" w:rsidR="00740F0F" w:rsidRPr="0029070D" w:rsidRDefault="00100B64">
            <w:pPr>
              <w:spacing w:line="214" w:lineRule="exact"/>
              <w:ind w:left="9" w:right="106"/>
              <w:rPr>
                <w:rFonts w:ascii="Times New Roman" w:eastAsia="Times New Roman" w:hAnsi="Times New Roman" w:cs="Times New Roman"/>
                <w:noProof/>
                <w:sz w:val="18"/>
                <w:szCs w:val="18"/>
              </w:rPr>
            </w:pPr>
            <w:r>
              <w:rPr>
                <w:rFonts w:ascii="Times New Roman" w:hAnsi="Times New Roman"/>
                <w:noProof/>
                <w:sz w:val="18"/>
              </w:rPr>
              <w:t>Nombre d’entreprises ayant reçu une subvention en faveur des investissements numériques</w:t>
            </w:r>
          </w:p>
        </w:tc>
        <w:tc>
          <w:tcPr>
            <w:tcW w:w="1423" w:type="dxa"/>
            <w:tcBorders>
              <w:top w:val="single" w:sz="4" w:space="0" w:color="auto"/>
              <w:left w:val="single" w:sz="4" w:space="0" w:color="auto"/>
              <w:bottom w:val="single" w:sz="4" w:space="0" w:color="auto"/>
              <w:right w:val="single" w:sz="4" w:space="0" w:color="auto"/>
            </w:tcBorders>
            <w:shd w:val="clear" w:color="auto" w:fill="C5EDCE"/>
          </w:tcPr>
          <w:p w14:paraId="5A8AE67E"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7F" w14:textId="77777777" w:rsidR="00740F0F" w:rsidRPr="0029070D" w:rsidRDefault="00100B64">
            <w:pPr>
              <w:spacing w:line="214" w:lineRule="exact"/>
              <w:ind w:left="9" w:right="94"/>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68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68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3 320</w:t>
            </w: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82" w14:textId="77777777" w:rsidR="00740F0F" w:rsidRPr="0029070D" w:rsidRDefault="00100B64">
            <w:pPr>
              <w:spacing w:line="214" w:lineRule="exact"/>
              <w:ind w:left="9" w:right="62"/>
              <w:jc w:val="center"/>
              <w:rPr>
                <w:rFonts w:ascii="Times New Roman" w:eastAsia="Times New Roman" w:hAnsi="Times New Roman" w:cs="Times New Roman"/>
                <w:noProof/>
                <w:sz w:val="18"/>
                <w:szCs w:val="18"/>
              </w:rPr>
            </w:pPr>
            <w:r>
              <w:rPr>
                <w:rFonts w:ascii="Times New Roman" w:hAnsi="Times New Roman"/>
                <w:noProof/>
                <w:sz w:val="18"/>
              </w:rPr>
              <w:t>T1</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8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3870" w:type="dxa"/>
            <w:tcBorders>
              <w:top w:val="single" w:sz="4" w:space="0" w:color="auto"/>
              <w:left w:val="single" w:sz="4" w:space="0" w:color="auto"/>
              <w:bottom w:val="single" w:sz="4" w:space="0" w:color="auto"/>
              <w:right w:val="single" w:sz="4" w:space="0" w:color="auto"/>
            </w:tcBorders>
            <w:shd w:val="clear" w:color="auto" w:fill="C5EDCE"/>
          </w:tcPr>
          <w:p w14:paraId="5A8AE684" w14:textId="77777777" w:rsidR="00740F0F" w:rsidRPr="0029070D" w:rsidRDefault="00100B64">
            <w:pPr>
              <w:spacing w:line="214" w:lineRule="exact"/>
              <w:ind w:left="9" w:right="118"/>
              <w:rPr>
                <w:rFonts w:ascii="Times New Roman" w:eastAsia="Times New Roman" w:hAnsi="Times New Roman" w:cs="Times New Roman"/>
                <w:noProof/>
                <w:sz w:val="18"/>
                <w:szCs w:val="18"/>
              </w:rPr>
            </w:pPr>
            <w:r>
              <w:rPr>
                <w:rFonts w:ascii="Times New Roman" w:hAnsi="Times New Roman"/>
                <w:noProof/>
                <w:sz w:val="18"/>
              </w:rPr>
              <w:t>Nombre d’entreprises ayant reçu un soutien pour stimuler les investissements numériques dans le cadre du dispositif Industrie du futur.</w:t>
            </w:r>
          </w:p>
        </w:tc>
      </w:tr>
      <w:tr w:rsidR="00782477" w:rsidRPr="0029070D" w14:paraId="5A8AE69F" w14:textId="77777777" w:rsidTr="003259A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256"/>
          <w:jc w:val="center"/>
        </w:trPr>
        <w:tc>
          <w:tcPr>
            <w:tcW w:w="1114" w:type="dxa"/>
            <w:tcBorders>
              <w:top w:val="single" w:sz="4" w:space="0" w:color="auto"/>
              <w:left w:val="single" w:sz="4" w:space="0" w:color="auto"/>
              <w:bottom w:val="single" w:sz="4" w:space="0" w:color="auto"/>
              <w:right w:val="single" w:sz="4" w:space="0" w:color="auto"/>
            </w:tcBorders>
            <w:shd w:val="clear" w:color="auto" w:fill="C5EDCE"/>
          </w:tcPr>
          <w:p w14:paraId="5A8AE69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7-17</w:t>
            </w:r>
          </w:p>
        </w:tc>
        <w:tc>
          <w:tcPr>
            <w:tcW w:w="1291" w:type="dxa"/>
            <w:tcBorders>
              <w:top w:val="single" w:sz="4" w:space="0" w:color="auto"/>
              <w:left w:val="single" w:sz="4" w:space="0" w:color="auto"/>
              <w:bottom w:val="single" w:sz="4" w:space="0" w:color="auto"/>
              <w:right w:val="single" w:sz="4" w:space="0" w:color="auto"/>
            </w:tcBorders>
            <w:shd w:val="clear" w:color="auto" w:fill="C5EDCE"/>
          </w:tcPr>
          <w:p w14:paraId="5A8AE69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C7.I2</w:t>
            </w:r>
          </w:p>
          <w:p w14:paraId="5A8AE695" w14:textId="77777777" w:rsidR="00740F0F" w:rsidRPr="0029070D" w:rsidRDefault="00100B64">
            <w:pPr>
              <w:spacing w:line="214" w:lineRule="exact"/>
              <w:ind w:left="9" w:firstLine="14"/>
              <w:jc w:val="center"/>
              <w:rPr>
                <w:rFonts w:ascii="Times New Roman" w:eastAsia="Times New Roman" w:hAnsi="Times New Roman" w:cs="Times New Roman"/>
                <w:noProof/>
                <w:sz w:val="18"/>
                <w:szCs w:val="18"/>
              </w:rPr>
            </w:pPr>
            <w:r>
              <w:rPr>
                <w:rFonts w:ascii="Times New Roman" w:hAnsi="Times New Roman"/>
                <w:noProof/>
                <w:sz w:val="18"/>
              </w:rPr>
              <w:t>Mise à niveau numérique de l’État et des autorités locales</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9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37" w:type="dxa"/>
            <w:tcBorders>
              <w:top w:val="single" w:sz="4" w:space="0" w:color="auto"/>
              <w:left w:val="single" w:sz="4" w:space="0" w:color="auto"/>
              <w:bottom w:val="single" w:sz="4" w:space="0" w:color="auto"/>
              <w:right w:val="single" w:sz="4" w:space="0" w:color="auto"/>
            </w:tcBorders>
            <w:shd w:val="clear" w:color="auto" w:fill="C5EDCE"/>
          </w:tcPr>
          <w:p w14:paraId="5A8AE697" w14:textId="77777777" w:rsidR="00740F0F" w:rsidRPr="0029070D" w:rsidRDefault="00100B64">
            <w:pPr>
              <w:spacing w:line="214" w:lineRule="exact"/>
              <w:ind w:left="9" w:firstLine="5"/>
              <w:rPr>
                <w:rFonts w:ascii="Times New Roman" w:eastAsia="Times New Roman" w:hAnsi="Times New Roman" w:cs="Times New Roman"/>
                <w:noProof/>
                <w:sz w:val="18"/>
                <w:szCs w:val="18"/>
              </w:rPr>
            </w:pPr>
            <w:r>
              <w:rPr>
                <w:rFonts w:ascii="Times New Roman" w:hAnsi="Times New Roman"/>
                <w:noProof/>
                <w:sz w:val="18"/>
              </w:rPr>
              <w:t>Nombre d’entreprises bénéficiaires de commandes publiques</w:t>
            </w:r>
          </w:p>
        </w:tc>
        <w:tc>
          <w:tcPr>
            <w:tcW w:w="1423" w:type="dxa"/>
            <w:tcBorders>
              <w:top w:val="single" w:sz="4" w:space="0" w:color="auto"/>
              <w:left w:val="single" w:sz="4" w:space="0" w:color="auto"/>
              <w:bottom w:val="single" w:sz="4" w:space="0" w:color="auto"/>
              <w:right w:val="single" w:sz="4" w:space="0" w:color="auto"/>
            </w:tcBorders>
            <w:shd w:val="clear" w:color="auto" w:fill="C5EDCE"/>
          </w:tcPr>
          <w:p w14:paraId="5A8AE698"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9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69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69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200</w:t>
            </w: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9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T1</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9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3870" w:type="dxa"/>
            <w:tcBorders>
              <w:top w:val="single" w:sz="4" w:space="0" w:color="auto"/>
              <w:left w:val="single" w:sz="4" w:space="0" w:color="auto"/>
              <w:bottom w:val="single" w:sz="4" w:space="0" w:color="auto"/>
              <w:right w:val="single" w:sz="4" w:space="0" w:color="auto"/>
            </w:tcBorders>
            <w:shd w:val="clear" w:color="auto" w:fill="C5EDCE"/>
          </w:tcPr>
          <w:p w14:paraId="5A8AE69E"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d’entreprises bénéficiaires de commandes publiques dans le cadre des fonds «Innovation et transformation numériques» et «Sac à dos numérique de l’agent public» pour la mise à niveau numérique de l’État et des territoires</w:t>
            </w:r>
          </w:p>
        </w:tc>
      </w:tr>
      <w:tr w:rsidR="00782477" w:rsidRPr="0029070D" w14:paraId="5A8AE6AD" w14:textId="77777777" w:rsidTr="009C520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758"/>
          <w:jc w:val="center"/>
        </w:trPr>
        <w:tc>
          <w:tcPr>
            <w:tcW w:w="1114" w:type="dxa"/>
            <w:tcBorders>
              <w:top w:val="single" w:sz="4" w:space="0" w:color="auto"/>
              <w:left w:val="single" w:sz="4" w:space="0" w:color="auto"/>
              <w:bottom w:val="single" w:sz="4" w:space="0" w:color="auto"/>
              <w:right w:val="single" w:sz="4" w:space="0" w:color="auto"/>
            </w:tcBorders>
            <w:shd w:val="clear" w:color="auto" w:fill="C5EDCE"/>
          </w:tcPr>
          <w:p w14:paraId="5A8AE6A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7-18</w:t>
            </w:r>
          </w:p>
        </w:tc>
        <w:tc>
          <w:tcPr>
            <w:tcW w:w="1291" w:type="dxa"/>
            <w:tcBorders>
              <w:top w:val="single" w:sz="4" w:space="0" w:color="auto"/>
              <w:left w:val="single" w:sz="4" w:space="0" w:color="auto"/>
              <w:bottom w:val="single" w:sz="4" w:space="0" w:color="auto"/>
              <w:right w:val="single" w:sz="4" w:space="0" w:color="auto"/>
            </w:tcBorders>
            <w:shd w:val="clear" w:color="auto" w:fill="C5EDCE"/>
          </w:tcPr>
          <w:p w14:paraId="5A8AE6A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C7.I2</w:t>
            </w:r>
          </w:p>
          <w:p w14:paraId="5A8AE6A2" w14:textId="77777777" w:rsidR="00740F0F" w:rsidRPr="0029070D" w:rsidRDefault="00100B64">
            <w:pPr>
              <w:spacing w:line="214" w:lineRule="exact"/>
              <w:ind w:left="9" w:firstLine="4"/>
              <w:jc w:val="center"/>
              <w:rPr>
                <w:rFonts w:ascii="Times New Roman" w:eastAsia="Times New Roman" w:hAnsi="Times New Roman" w:cs="Times New Roman"/>
                <w:noProof/>
                <w:sz w:val="18"/>
                <w:szCs w:val="18"/>
              </w:rPr>
            </w:pPr>
            <w:r>
              <w:rPr>
                <w:rFonts w:ascii="Times New Roman" w:hAnsi="Times New Roman"/>
                <w:noProof/>
                <w:sz w:val="18"/>
              </w:rPr>
              <w:t>Mise à niveau numérique de l’État et des autorités locales</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A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37" w:type="dxa"/>
            <w:tcBorders>
              <w:top w:val="single" w:sz="4" w:space="0" w:color="auto"/>
              <w:left w:val="single" w:sz="4" w:space="0" w:color="auto"/>
              <w:bottom w:val="single" w:sz="4" w:space="0" w:color="auto"/>
              <w:right w:val="single" w:sz="4" w:space="0" w:color="auto"/>
            </w:tcBorders>
            <w:shd w:val="clear" w:color="auto" w:fill="C5EDCE"/>
          </w:tcPr>
          <w:p w14:paraId="5A8AE6A4" w14:textId="77777777" w:rsidR="00740F0F" w:rsidRPr="0029070D" w:rsidRDefault="00100B64">
            <w:pPr>
              <w:spacing w:line="214" w:lineRule="exact"/>
              <w:ind w:left="9" w:hanging="6"/>
              <w:rPr>
                <w:rFonts w:ascii="Times New Roman" w:eastAsia="Times New Roman" w:hAnsi="Times New Roman" w:cs="Times New Roman"/>
                <w:noProof/>
                <w:sz w:val="18"/>
                <w:szCs w:val="18"/>
              </w:rPr>
            </w:pPr>
            <w:r>
              <w:rPr>
                <w:rFonts w:ascii="Times New Roman" w:hAnsi="Times New Roman"/>
                <w:noProof/>
                <w:sz w:val="18"/>
              </w:rPr>
              <w:t>Pourcentage d’agents publics outillés pour le travail à distance</w:t>
            </w:r>
          </w:p>
        </w:tc>
        <w:tc>
          <w:tcPr>
            <w:tcW w:w="1423" w:type="dxa"/>
            <w:tcBorders>
              <w:top w:val="single" w:sz="4" w:space="0" w:color="auto"/>
              <w:left w:val="single" w:sz="4" w:space="0" w:color="auto"/>
              <w:bottom w:val="single" w:sz="4" w:space="0" w:color="auto"/>
              <w:right w:val="single" w:sz="4" w:space="0" w:color="auto"/>
            </w:tcBorders>
            <w:shd w:val="clear" w:color="auto" w:fill="C5EDCE"/>
          </w:tcPr>
          <w:p w14:paraId="5A8AE6A5"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A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Pourcentage</w:t>
            </w: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6A7"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6A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95 %</w:t>
            </w: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A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T3</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A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3870" w:type="dxa"/>
            <w:tcBorders>
              <w:top w:val="single" w:sz="4" w:space="0" w:color="auto"/>
              <w:left w:val="single" w:sz="4" w:space="0" w:color="auto"/>
              <w:bottom w:val="single" w:sz="4" w:space="0" w:color="auto"/>
              <w:right w:val="single" w:sz="4" w:space="0" w:color="auto"/>
            </w:tcBorders>
            <w:shd w:val="clear" w:color="auto" w:fill="C5EDCE"/>
          </w:tcPr>
          <w:p w14:paraId="5A8AE6AB"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Pourcentage d’agents publics outillés pour le travail à distance sur la base d’un recensement mené par l’intermédiaire des directions du numérique de l’État.</w:t>
            </w:r>
          </w:p>
          <w:p w14:paraId="5A8AE6AC"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Cette cible est évaluée sur la base d’un ensemble de référence de 395 000 agents publics dont le travail peut être effectué à distance.</w:t>
            </w:r>
          </w:p>
        </w:tc>
      </w:tr>
      <w:tr w:rsidR="00782477" w:rsidRPr="0029070D" w14:paraId="5A8AE6BE" w14:textId="77777777" w:rsidTr="003259A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133"/>
          <w:jc w:val="center"/>
        </w:trPr>
        <w:tc>
          <w:tcPr>
            <w:tcW w:w="1114" w:type="dxa"/>
            <w:tcBorders>
              <w:top w:val="single" w:sz="4" w:space="0" w:color="auto"/>
              <w:left w:val="single" w:sz="4" w:space="0" w:color="auto"/>
              <w:bottom w:val="single" w:sz="4" w:space="0" w:color="auto"/>
              <w:right w:val="single" w:sz="4" w:space="0" w:color="auto"/>
            </w:tcBorders>
            <w:shd w:val="clear" w:color="auto" w:fill="C5EDCE"/>
          </w:tcPr>
          <w:p w14:paraId="5A8AE6AE" w14:textId="77777777" w:rsidR="00740F0F" w:rsidRPr="0029070D" w:rsidRDefault="00100B64">
            <w:pPr>
              <w:spacing w:line="216" w:lineRule="exact"/>
              <w:ind w:left="297" w:right="348"/>
              <w:jc w:val="center"/>
              <w:rPr>
                <w:rFonts w:ascii="Times New Roman" w:eastAsia="Times New Roman" w:hAnsi="Times New Roman" w:cs="Times New Roman"/>
                <w:noProof/>
                <w:sz w:val="18"/>
                <w:szCs w:val="18"/>
              </w:rPr>
            </w:pPr>
            <w:r>
              <w:rPr>
                <w:rFonts w:ascii="Times New Roman" w:hAnsi="Times New Roman"/>
                <w:noProof/>
                <w:sz w:val="18"/>
              </w:rPr>
              <w:t>7-19</w:t>
            </w:r>
          </w:p>
        </w:tc>
        <w:tc>
          <w:tcPr>
            <w:tcW w:w="1291" w:type="dxa"/>
            <w:tcBorders>
              <w:top w:val="single" w:sz="4" w:space="0" w:color="auto"/>
              <w:left w:val="single" w:sz="4" w:space="0" w:color="auto"/>
              <w:bottom w:val="single" w:sz="4" w:space="0" w:color="auto"/>
              <w:right w:val="single" w:sz="4" w:space="0" w:color="auto"/>
            </w:tcBorders>
            <w:shd w:val="clear" w:color="auto" w:fill="C5EDCE"/>
          </w:tcPr>
          <w:p w14:paraId="5A8AE6AF" w14:textId="77777777" w:rsidR="00740F0F" w:rsidRPr="0029070D" w:rsidRDefault="00100B64">
            <w:pPr>
              <w:spacing w:line="216" w:lineRule="exact"/>
              <w:ind w:left="20"/>
              <w:jc w:val="center"/>
              <w:rPr>
                <w:rFonts w:ascii="Times New Roman" w:eastAsia="Times New Roman" w:hAnsi="Times New Roman" w:cs="Times New Roman"/>
                <w:noProof/>
                <w:sz w:val="18"/>
                <w:szCs w:val="18"/>
              </w:rPr>
            </w:pPr>
            <w:r>
              <w:rPr>
                <w:rFonts w:ascii="Times New Roman" w:hAnsi="Times New Roman"/>
                <w:noProof/>
                <w:sz w:val="18"/>
              </w:rPr>
              <w:t>C7.I3</w:t>
            </w:r>
          </w:p>
          <w:p w14:paraId="5A8AE6B0" w14:textId="77777777" w:rsidR="00740F0F" w:rsidRPr="0029070D" w:rsidRDefault="00100B64">
            <w:pPr>
              <w:spacing w:line="256" w:lineRule="auto"/>
              <w:ind w:left="20" w:right="-52" w:hanging="10"/>
              <w:jc w:val="center"/>
              <w:rPr>
                <w:rFonts w:ascii="Times New Roman" w:eastAsia="Times New Roman" w:hAnsi="Times New Roman" w:cs="Times New Roman"/>
                <w:noProof/>
                <w:sz w:val="18"/>
                <w:szCs w:val="18"/>
              </w:rPr>
            </w:pPr>
            <w:r>
              <w:rPr>
                <w:rFonts w:ascii="Times New Roman" w:hAnsi="Times New Roman"/>
                <w:noProof/>
                <w:sz w:val="18"/>
              </w:rPr>
              <w:t>Cybersécurité des services de l’État</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B1" w14:textId="77777777" w:rsidR="00740F0F" w:rsidRPr="0029070D" w:rsidRDefault="00100B64">
            <w:pPr>
              <w:spacing w:line="216" w:lineRule="exact"/>
              <w:ind w:left="65" w:right="41"/>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37" w:type="dxa"/>
            <w:tcBorders>
              <w:top w:val="single" w:sz="4" w:space="0" w:color="auto"/>
              <w:left w:val="single" w:sz="4" w:space="0" w:color="auto"/>
              <w:bottom w:val="single" w:sz="4" w:space="0" w:color="auto"/>
              <w:right w:val="single" w:sz="4" w:space="0" w:color="auto"/>
            </w:tcBorders>
            <w:shd w:val="clear" w:color="auto" w:fill="C5EDCE"/>
          </w:tcPr>
          <w:p w14:paraId="5A8AE6B2" w14:textId="77777777" w:rsidR="00740F0F" w:rsidRPr="0029070D" w:rsidRDefault="00100B64">
            <w:pPr>
              <w:spacing w:line="252" w:lineRule="auto"/>
              <w:ind w:right="68"/>
              <w:rPr>
                <w:rFonts w:ascii="Times New Roman" w:eastAsia="Times New Roman" w:hAnsi="Times New Roman" w:cs="Times New Roman"/>
                <w:noProof/>
                <w:sz w:val="18"/>
                <w:szCs w:val="18"/>
              </w:rPr>
            </w:pPr>
            <w:r>
              <w:rPr>
                <w:rFonts w:ascii="Times New Roman" w:hAnsi="Times New Roman"/>
                <w:noProof/>
                <w:sz w:val="18"/>
              </w:rPr>
              <w:t>Investissement visant à renforcer la cybersécurité des services de l’État</w:t>
            </w:r>
          </w:p>
        </w:tc>
        <w:tc>
          <w:tcPr>
            <w:tcW w:w="1423" w:type="dxa"/>
            <w:tcBorders>
              <w:top w:val="single" w:sz="4" w:space="0" w:color="auto"/>
              <w:left w:val="single" w:sz="4" w:space="0" w:color="auto"/>
              <w:bottom w:val="single" w:sz="4" w:space="0" w:color="auto"/>
              <w:right w:val="single" w:sz="4" w:space="0" w:color="auto"/>
            </w:tcBorders>
            <w:shd w:val="clear" w:color="auto" w:fill="C5EDCE"/>
          </w:tcPr>
          <w:p w14:paraId="5A8AE6B3" w14:textId="77777777" w:rsidR="00740F0F" w:rsidRPr="0029070D" w:rsidRDefault="00100B64">
            <w:pPr>
              <w:spacing w:line="252" w:lineRule="auto"/>
              <w:ind w:left="3" w:hanging="2"/>
              <w:rPr>
                <w:rFonts w:ascii="Times New Roman" w:eastAsia="Times New Roman" w:hAnsi="Times New Roman" w:cs="Times New Roman"/>
                <w:noProof/>
                <w:sz w:val="18"/>
                <w:szCs w:val="18"/>
              </w:rPr>
            </w:pPr>
            <w:r>
              <w:rPr>
                <w:rFonts w:ascii="Times New Roman" w:hAnsi="Times New Roman"/>
                <w:noProof/>
                <w:sz w:val="18"/>
              </w:rPr>
              <w:t>Rapport publié par le gouvernement français pour prouver l’achèvement des travaux</w:t>
            </w: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B4" w14:textId="77777777" w:rsidR="00740F0F" w:rsidRPr="0029070D" w:rsidRDefault="00740F0F">
            <w:pP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6B5" w14:textId="77777777" w:rsidR="00740F0F" w:rsidRPr="0029070D" w:rsidRDefault="00740F0F">
            <w:pPr>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6B6" w14:textId="77777777" w:rsidR="00740F0F" w:rsidRPr="0029070D" w:rsidRDefault="00740F0F">
            <w:pPr>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B7" w14:textId="77777777" w:rsidR="00740F0F" w:rsidRPr="0029070D" w:rsidRDefault="00100B64">
            <w:pPr>
              <w:spacing w:line="216" w:lineRule="exact"/>
              <w:ind w:left="77" w:right="62"/>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B8" w14:textId="77777777" w:rsidR="00740F0F" w:rsidRPr="0029070D" w:rsidRDefault="00100B64">
            <w:pPr>
              <w:spacing w:line="216" w:lineRule="exact"/>
              <w:ind w:right="209"/>
              <w:jc w:val="center"/>
              <w:rPr>
                <w:rFonts w:ascii="Times New Roman" w:eastAsia="Times New Roman" w:hAnsi="Times New Roman" w:cs="Times New Roman"/>
                <w:noProof/>
                <w:sz w:val="18"/>
                <w:szCs w:val="18"/>
              </w:rPr>
            </w:pPr>
            <w:r>
              <w:rPr>
                <w:rFonts w:ascii="Times New Roman" w:hAnsi="Times New Roman"/>
                <w:noProof/>
                <w:sz w:val="18"/>
              </w:rPr>
              <w:t>2024</w:t>
            </w:r>
          </w:p>
        </w:tc>
        <w:tc>
          <w:tcPr>
            <w:tcW w:w="3870" w:type="dxa"/>
            <w:tcBorders>
              <w:top w:val="single" w:sz="4" w:space="0" w:color="auto"/>
              <w:left w:val="single" w:sz="4" w:space="0" w:color="auto"/>
              <w:bottom w:val="single" w:sz="4" w:space="0" w:color="auto"/>
              <w:right w:val="single" w:sz="4" w:space="0" w:color="auto"/>
            </w:tcBorders>
            <w:shd w:val="clear" w:color="auto" w:fill="C5EDCE"/>
          </w:tcPr>
          <w:p w14:paraId="5A8AE6B9" w14:textId="77777777" w:rsidR="00740F0F" w:rsidRPr="0029070D" w:rsidRDefault="00100B64">
            <w:pPr>
              <w:spacing w:line="244" w:lineRule="auto"/>
              <w:ind w:left="28" w:right="118"/>
              <w:rPr>
                <w:rFonts w:ascii="Times New Roman" w:eastAsia="Times New Roman" w:hAnsi="Times New Roman" w:cs="Times New Roman"/>
                <w:noProof/>
                <w:sz w:val="18"/>
                <w:szCs w:val="18"/>
              </w:rPr>
            </w:pPr>
            <w:r>
              <w:rPr>
                <w:rFonts w:ascii="Times New Roman" w:hAnsi="Times New Roman"/>
                <w:noProof/>
                <w:sz w:val="18"/>
              </w:rPr>
              <w:t>Achèvement des quatre actions visant à accroître la cybersécurité des services de l’État:</w:t>
            </w:r>
          </w:p>
          <w:p w14:paraId="5A8AE6BA" w14:textId="77777777" w:rsidR="00740F0F" w:rsidRPr="0029070D" w:rsidRDefault="00100B64">
            <w:pPr>
              <w:numPr>
                <w:ilvl w:val="0"/>
                <w:numId w:val="40"/>
              </w:numPr>
              <w:tabs>
                <w:tab w:val="left" w:pos="748"/>
                <w:tab w:val="left" w:pos="749"/>
              </w:tabs>
              <w:spacing w:before="1" w:line="232" w:lineRule="exact"/>
              <w:ind w:left="443" w:hanging="284"/>
              <w:rPr>
                <w:rFonts w:ascii="Times New Roman" w:eastAsia="Times New Roman" w:hAnsi="Times New Roman" w:cs="Times New Roman"/>
                <w:noProof/>
                <w:sz w:val="18"/>
                <w:szCs w:val="18"/>
              </w:rPr>
            </w:pPr>
            <w:r>
              <w:rPr>
                <w:rFonts w:ascii="Times New Roman" w:hAnsi="Times New Roman"/>
                <w:noProof/>
                <w:sz w:val="18"/>
              </w:rPr>
              <w:t>création d’équipes de réponse à incidents,</w:t>
            </w:r>
          </w:p>
          <w:p w14:paraId="5A8AE6BB" w14:textId="77777777" w:rsidR="00740F0F" w:rsidRPr="0029070D" w:rsidRDefault="00100B64">
            <w:pPr>
              <w:numPr>
                <w:ilvl w:val="0"/>
                <w:numId w:val="40"/>
              </w:numPr>
              <w:spacing w:before="120" w:line="232" w:lineRule="exact"/>
              <w:ind w:left="443" w:hanging="284"/>
              <w:rPr>
                <w:rFonts w:ascii="Times New Roman" w:eastAsia="Times New Roman" w:hAnsi="Times New Roman" w:cs="Times New Roman"/>
                <w:noProof/>
                <w:sz w:val="18"/>
                <w:szCs w:val="18"/>
              </w:rPr>
            </w:pPr>
            <w:r>
              <w:rPr>
                <w:rFonts w:ascii="Times New Roman" w:hAnsi="Times New Roman"/>
                <w:noProof/>
                <w:sz w:val="18"/>
              </w:rPr>
              <w:t>déploiement de packs de diagnostic,</w:t>
            </w:r>
          </w:p>
          <w:p w14:paraId="5A8AE6BC" w14:textId="77777777" w:rsidR="00740F0F" w:rsidRPr="0029070D" w:rsidRDefault="00100B64">
            <w:pPr>
              <w:numPr>
                <w:ilvl w:val="0"/>
                <w:numId w:val="40"/>
              </w:numPr>
              <w:tabs>
                <w:tab w:val="left" w:pos="748"/>
                <w:tab w:val="left" w:pos="749"/>
              </w:tabs>
              <w:spacing w:before="120"/>
              <w:ind w:left="443" w:hanging="284"/>
              <w:rPr>
                <w:rFonts w:ascii="Times New Roman" w:eastAsia="Times New Roman" w:hAnsi="Times New Roman" w:cs="Times New Roman"/>
                <w:noProof/>
                <w:sz w:val="18"/>
                <w:szCs w:val="18"/>
              </w:rPr>
            </w:pPr>
            <w:r>
              <w:rPr>
                <w:rFonts w:ascii="Times New Roman" w:hAnsi="Times New Roman"/>
                <w:noProof/>
                <w:sz w:val="18"/>
              </w:rPr>
              <w:t>acquisition d’outils de cybersécurité,</w:t>
            </w:r>
          </w:p>
          <w:p w14:paraId="5A8AE6BD" w14:textId="77777777" w:rsidR="00740F0F" w:rsidRPr="0029070D" w:rsidRDefault="00100B64">
            <w:pPr>
              <w:numPr>
                <w:ilvl w:val="0"/>
                <w:numId w:val="40"/>
              </w:numPr>
              <w:tabs>
                <w:tab w:val="left" w:pos="748"/>
                <w:tab w:val="left" w:pos="749"/>
              </w:tabs>
              <w:spacing w:before="120" w:line="259" w:lineRule="auto"/>
              <w:ind w:left="443" w:right="1143" w:hanging="284"/>
              <w:rPr>
                <w:rFonts w:ascii="Times New Roman" w:eastAsia="Times New Roman" w:hAnsi="Times New Roman" w:cs="Times New Roman"/>
                <w:noProof/>
                <w:sz w:val="18"/>
                <w:szCs w:val="18"/>
              </w:rPr>
            </w:pPr>
            <w:r>
              <w:rPr>
                <w:rFonts w:ascii="Times New Roman" w:hAnsi="Times New Roman"/>
                <w:noProof/>
                <w:sz w:val="18"/>
              </w:rPr>
              <w:t>augmentation de la capacité de détection des cyberattaques.</w:t>
            </w:r>
          </w:p>
        </w:tc>
      </w:tr>
      <w:tr w:rsidR="00782477" w:rsidRPr="0029070D" w14:paraId="5A8AE6CB" w14:textId="77777777" w:rsidTr="003259A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127"/>
          <w:jc w:val="center"/>
        </w:trPr>
        <w:tc>
          <w:tcPr>
            <w:tcW w:w="1114" w:type="dxa"/>
            <w:tcBorders>
              <w:top w:val="single" w:sz="4" w:space="0" w:color="auto"/>
              <w:left w:val="single" w:sz="4" w:space="0" w:color="auto"/>
              <w:bottom w:val="single" w:sz="4" w:space="0" w:color="auto"/>
              <w:right w:val="single" w:sz="4" w:space="0" w:color="auto"/>
            </w:tcBorders>
            <w:shd w:val="clear" w:color="auto" w:fill="C5EDCE"/>
          </w:tcPr>
          <w:p w14:paraId="5A8AE6B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7-20</w:t>
            </w:r>
          </w:p>
        </w:tc>
        <w:tc>
          <w:tcPr>
            <w:tcW w:w="1291" w:type="dxa"/>
            <w:tcBorders>
              <w:top w:val="single" w:sz="4" w:space="0" w:color="auto"/>
              <w:left w:val="single" w:sz="4" w:space="0" w:color="auto"/>
              <w:bottom w:val="single" w:sz="4" w:space="0" w:color="auto"/>
              <w:right w:val="single" w:sz="4" w:space="0" w:color="auto"/>
            </w:tcBorders>
            <w:shd w:val="clear" w:color="auto" w:fill="C5EDCE"/>
          </w:tcPr>
          <w:p w14:paraId="5A8AE6C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C7.I4</w:t>
            </w:r>
          </w:p>
          <w:p w14:paraId="5A8AE6C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Mise à niveau numérique de l’État – identité numérique</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C2" w14:textId="77777777" w:rsidR="00740F0F" w:rsidRPr="0029070D" w:rsidRDefault="00100B64" w:rsidP="003A373D">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37" w:type="dxa"/>
            <w:tcBorders>
              <w:top w:val="single" w:sz="4" w:space="0" w:color="auto"/>
              <w:left w:val="single" w:sz="4" w:space="0" w:color="auto"/>
              <w:bottom w:val="single" w:sz="4" w:space="0" w:color="auto"/>
              <w:right w:val="single" w:sz="4" w:space="0" w:color="auto"/>
            </w:tcBorders>
            <w:shd w:val="clear" w:color="auto" w:fill="C5EDCE"/>
          </w:tcPr>
          <w:p w14:paraId="5A8AE6C3" w14:textId="77777777" w:rsidR="00740F0F" w:rsidRPr="0029070D" w:rsidRDefault="00100B64">
            <w:pPr>
              <w:spacing w:line="214" w:lineRule="exact"/>
              <w:ind w:left="9" w:firstLine="45"/>
              <w:rPr>
                <w:rFonts w:ascii="Times New Roman" w:eastAsia="Times New Roman" w:hAnsi="Times New Roman" w:cs="Times New Roman"/>
                <w:noProof/>
                <w:sz w:val="18"/>
                <w:szCs w:val="18"/>
              </w:rPr>
            </w:pPr>
            <w:r>
              <w:rPr>
                <w:rFonts w:ascii="Times New Roman" w:hAnsi="Times New Roman"/>
                <w:noProof/>
                <w:sz w:val="18"/>
              </w:rPr>
              <w:t>Nombre de cartes nationales d’identité électroniques produites</w:t>
            </w:r>
          </w:p>
        </w:tc>
        <w:tc>
          <w:tcPr>
            <w:tcW w:w="1423" w:type="dxa"/>
            <w:tcBorders>
              <w:top w:val="single" w:sz="4" w:space="0" w:color="auto"/>
              <w:left w:val="single" w:sz="4" w:space="0" w:color="auto"/>
              <w:bottom w:val="single" w:sz="4" w:space="0" w:color="auto"/>
              <w:right w:val="single" w:sz="4" w:space="0" w:color="auto"/>
            </w:tcBorders>
            <w:shd w:val="clear" w:color="auto" w:fill="C5EDCE"/>
          </w:tcPr>
          <w:p w14:paraId="5A8AE6C4"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C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6C6"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6C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3 000 000</w:t>
            </w: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C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T1</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C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3870" w:type="dxa"/>
            <w:tcBorders>
              <w:top w:val="single" w:sz="4" w:space="0" w:color="auto"/>
              <w:left w:val="single" w:sz="4" w:space="0" w:color="auto"/>
              <w:bottom w:val="single" w:sz="4" w:space="0" w:color="auto"/>
              <w:right w:val="single" w:sz="4" w:space="0" w:color="auto"/>
            </w:tcBorders>
            <w:shd w:val="clear" w:color="auto" w:fill="C5EDCE"/>
          </w:tcPr>
          <w:p w14:paraId="5A8AE6CA"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nouvelles cartes d’identité produites et en circulation.</w:t>
            </w:r>
          </w:p>
        </w:tc>
      </w:tr>
      <w:tr w:rsidR="00782477" w:rsidRPr="0029070D" w14:paraId="5A8AE6D8" w14:textId="77777777" w:rsidTr="003259A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130"/>
          <w:jc w:val="center"/>
        </w:trPr>
        <w:tc>
          <w:tcPr>
            <w:tcW w:w="1114" w:type="dxa"/>
            <w:tcBorders>
              <w:top w:val="single" w:sz="4" w:space="0" w:color="auto"/>
              <w:left w:val="single" w:sz="4" w:space="0" w:color="auto"/>
              <w:bottom w:val="single" w:sz="4" w:space="0" w:color="auto"/>
              <w:right w:val="single" w:sz="4" w:space="0" w:color="auto"/>
            </w:tcBorders>
            <w:shd w:val="clear" w:color="auto" w:fill="C5EDCE"/>
          </w:tcPr>
          <w:p w14:paraId="5A8AE6C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7-21</w:t>
            </w:r>
          </w:p>
        </w:tc>
        <w:tc>
          <w:tcPr>
            <w:tcW w:w="1291" w:type="dxa"/>
            <w:tcBorders>
              <w:top w:val="single" w:sz="4" w:space="0" w:color="auto"/>
              <w:left w:val="single" w:sz="4" w:space="0" w:color="auto"/>
              <w:bottom w:val="single" w:sz="4" w:space="0" w:color="auto"/>
              <w:right w:val="single" w:sz="4" w:space="0" w:color="auto"/>
            </w:tcBorders>
            <w:shd w:val="clear" w:color="auto" w:fill="C5EDCE"/>
          </w:tcPr>
          <w:p w14:paraId="5A8AE6C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C7.I4</w:t>
            </w:r>
          </w:p>
          <w:p w14:paraId="5A8AE6C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Mise à niveau numérique de l’État – identité numérique</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CF" w14:textId="77777777" w:rsidR="00740F0F" w:rsidRPr="0029070D" w:rsidRDefault="00100B64" w:rsidP="003A373D">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37" w:type="dxa"/>
            <w:tcBorders>
              <w:top w:val="single" w:sz="4" w:space="0" w:color="auto"/>
              <w:left w:val="single" w:sz="4" w:space="0" w:color="auto"/>
              <w:bottom w:val="single" w:sz="4" w:space="0" w:color="auto"/>
              <w:right w:val="single" w:sz="4" w:space="0" w:color="auto"/>
            </w:tcBorders>
            <w:shd w:val="clear" w:color="auto" w:fill="C5EDCE"/>
          </w:tcPr>
          <w:p w14:paraId="5A8AE6D0"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détenteurs de la nouvelle carte d’identité dotée d’un compartiment «identité numérique»</w:t>
            </w:r>
          </w:p>
        </w:tc>
        <w:tc>
          <w:tcPr>
            <w:tcW w:w="1423" w:type="dxa"/>
            <w:tcBorders>
              <w:top w:val="single" w:sz="4" w:space="0" w:color="auto"/>
              <w:left w:val="single" w:sz="4" w:space="0" w:color="auto"/>
              <w:bottom w:val="single" w:sz="4" w:space="0" w:color="auto"/>
              <w:right w:val="single" w:sz="4" w:space="0" w:color="auto"/>
            </w:tcBorders>
            <w:shd w:val="clear" w:color="auto" w:fill="C5EDCE"/>
          </w:tcPr>
          <w:p w14:paraId="5A8AE6D1"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D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6D3"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6D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12 500 000</w:t>
            </w: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D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D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3870" w:type="dxa"/>
            <w:tcBorders>
              <w:top w:val="single" w:sz="4" w:space="0" w:color="auto"/>
              <w:left w:val="single" w:sz="4" w:space="0" w:color="auto"/>
              <w:bottom w:val="single" w:sz="4" w:space="0" w:color="auto"/>
              <w:right w:val="single" w:sz="4" w:space="0" w:color="auto"/>
            </w:tcBorders>
            <w:shd w:val="clear" w:color="auto" w:fill="C5EDCE"/>
          </w:tcPr>
          <w:p w14:paraId="5A8AE6D7"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détenteurs de la nouvelle carte d’identité avec un compartiment «identité numérique» leur permettant d’accéder à l’application d’identité numérique souveraine nouvellement développée.</w:t>
            </w:r>
          </w:p>
        </w:tc>
      </w:tr>
      <w:tr w:rsidR="00782477" w:rsidRPr="0029070D" w14:paraId="5A8AE6EC" w14:textId="77777777" w:rsidTr="009C520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979"/>
          <w:jc w:val="center"/>
        </w:trPr>
        <w:tc>
          <w:tcPr>
            <w:tcW w:w="1114" w:type="dxa"/>
            <w:tcBorders>
              <w:top w:val="single" w:sz="4" w:space="0" w:color="auto"/>
              <w:left w:val="single" w:sz="4" w:space="0" w:color="auto"/>
              <w:bottom w:val="single" w:sz="4" w:space="0" w:color="auto"/>
              <w:right w:val="single" w:sz="4" w:space="0" w:color="auto"/>
            </w:tcBorders>
            <w:shd w:val="clear" w:color="auto" w:fill="C5EDCE"/>
          </w:tcPr>
          <w:p w14:paraId="5A8AE6D9" w14:textId="77777777" w:rsidR="00740F0F" w:rsidRPr="0029070D" w:rsidRDefault="00100B64">
            <w:pPr>
              <w:spacing w:line="216" w:lineRule="exact"/>
              <w:ind w:left="297" w:right="348"/>
              <w:jc w:val="center"/>
              <w:rPr>
                <w:rFonts w:ascii="Times New Roman" w:eastAsia="Times New Roman" w:hAnsi="Times New Roman" w:cs="Times New Roman"/>
                <w:noProof/>
                <w:sz w:val="18"/>
                <w:szCs w:val="18"/>
              </w:rPr>
            </w:pPr>
            <w:r>
              <w:rPr>
                <w:rFonts w:ascii="Times New Roman" w:hAnsi="Times New Roman"/>
                <w:noProof/>
                <w:sz w:val="18"/>
              </w:rPr>
              <w:t>7-22</w:t>
            </w:r>
          </w:p>
        </w:tc>
        <w:tc>
          <w:tcPr>
            <w:tcW w:w="1291" w:type="dxa"/>
            <w:tcBorders>
              <w:top w:val="single" w:sz="4" w:space="0" w:color="auto"/>
              <w:left w:val="single" w:sz="4" w:space="0" w:color="auto"/>
              <w:bottom w:val="single" w:sz="4" w:space="0" w:color="auto"/>
              <w:right w:val="single" w:sz="4" w:space="0" w:color="auto"/>
            </w:tcBorders>
            <w:shd w:val="clear" w:color="auto" w:fill="C5EDCE"/>
          </w:tcPr>
          <w:p w14:paraId="5A8AE6DA" w14:textId="77777777" w:rsidR="00740F0F" w:rsidRPr="0029070D" w:rsidRDefault="00100B64">
            <w:pPr>
              <w:spacing w:line="216" w:lineRule="exact"/>
              <w:ind w:left="20"/>
              <w:jc w:val="center"/>
              <w:rPr>
                <w:rFonts w:ascii="Times New Roman" w:eastAsia="Times New Roman" w:hAnsi="Times New Roman" w:cs="Times New Roman"/>
                <w:noProof/>
                <w:sz w:val="18"/>
                <w:szCs w:val="18"/>
              </w:rPr>
            </w:pPr>
            <w:r>
              <w:rPr>
                <w:rFonts w:ascii="Times New Roman" w:hAnsi="Times New Roman"/>
                <w:noProof/>
                <w:sz w:val="18"/>
              </w:rPr>
              <w:t>C7.I5</w:t>
            </w:r>
          </w:p>
          <w:p w14:paraId="5A8AE6DB" w14:textId="77777777" w:rsidR="00740F0F" w:rsidRPr="0029070D" w:rsidRDefault="00100B64">
            <w:pPr>
              <w:spacing w:line="216" w:lineRule="exact"/>
              <w:ind w:left="20"/>
              <w:jc w:val="center"/>
              <w:rPr>
                <w:rFonts w:ascii="Times New Roman" w:eastAsia="Times New Roman" w:hAnsi="Times New Roman" w:cs="Times New Roman"/>
                <w:noProof/>
                <w:sz w:val="18"/>
                <w:szCs w:val="18"/>
              </w:rPr>
            </w:pPr>
            <w:r>
              <w:rPr>
                <w:rFonts w:ascii="Times New Roman" w:hAnsi="Times New Roman"/>
                <w:noProof/>
                <w:sz w:val="18"/>
              </w:rPr>
              <w:t>Équipement du ministère de l’intérieur</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DC" w14:textId="77777777" w:rsidR="00740F0F" w:rsidRPr="0029070D" w:rsidRDefault="00100B64">
            <w:pPr>
              <w:spacing w:line="216" w:lineRule="exact"/>
              <w:ind w:left="199"/>
              <w:rPr>
                <w:rFonts w:ascii="Times New Roman" w:eastAsia="Times New Roman" w:hAnsi="Times New Roman" w:cs="Times New Roman"/>
                <w:noProof/>
                <w:sz w:val="18"/>
                <w:szCs w:val="18"/>
              </w:rPr>
            </w:pPr>
            <w:r>
              <w:rPr>
                <w:rFonts w:ascii="Times New Roman" w:hAnsi="Times New Roman"/>
                <w:noProof/>
                <w:sz w:val="18"/>
              </w:rPr>
              <w:t>Jalon</w:t>
            </w:r>
          </w:p>
        </w:tc>
        <w:tc>
          <w:tcPr>
            <w:tcW w:w="1837" w:type="dxa"/>
            <w:tcBorders>
              <w:top w:val="single" w:sz="4" w:space="0" w:color="auto"/>
              <w:left w:val="single" w:sz="4" w:space="0" w:color="auto"/>
              <w:bottom w:val="single" w:sz="4" w:space="0" w:color="auto"/>
              <w:right w:val="single" w:sz="4" w:space="0" w:color="auto"/>
            </w:tcBorders>
            <w:shd w:val="clear" w:color="auto" w:fill="C5EDCE"/>
          </w:tcPr>
          <w:p w14:paraId="5A8AE6DD" w14:textId="77777777" w:rsidR="00740F0F" w:rsidRPr="0029070D" w:rsidRDefault="00100B64" w:rsidP="003259A7">
            <w:pPr>
              <w:ind w:left="57" w:right="57"/>
              <w:rPr>
                <w:rFonts w:ascii="Times New Roman" w:eastAsia="Times New Roman" w:hAnsi="Times New Roman" w:cs="Times New Roman"/>
                <w:noProof/>
                <w:sz w:val="18"/>
                <w:szCs w:val="18"/>
              </w:rPr>
            </w:pPr>
            <w:r>
              <w:rPr>
                <w:rFonts w:ascii="Times New Roman" w:hAnsi="Times New Roman"/>
                <w:noProof/>
                <w:sz w:val="18"/>
              </w:rPr>
              <w:t>Investissement pour renforcer l’équipement numérique du ministère de l’intérieur</w:t>
            </w:r>
          </w:p>
        </w:tc>
        <w:tc>
          <w:tcPr>
            <w:tcW w:w="1423" w:type="dxa"/>
            <w:tcBorders>
              <w:top w:val="single" w:sz="4" w:space="0" w:color="auto"/>
              <w:left w:val="single" w:sz="4" w:space="0" w:color="auto"/>
              <w:bottom w:val="single" w:sz="4" w:space="0" w:color="auto"/>
              <w:right w:val="single" w:sz="4" w:space="0" w:color="auto"/>
            </w:tcBorders>
            <w:shd w:val="clear" w:color="auto" w:fill="C5EDCE"/>
          </w:tcPr>
          <w:p w14:paraId="5A8AE6DE" w14:textId="77777777" w:rsidR="00740F0F" w:rsidRPr="0029070D" w:rsidRDefault="00100B64">
            <w:pPr>
              <w:spacing w:line="216" w:lineRule="exact"/>
              <w:ind w:left="6" w:right="24"/>
              <w:rPr>
                <w:rFonts w:ascii="Times New Roman" w:eastAsia="Times New Roman" w:hAnsi="Times New Roman" w:cs="Times New Roman"/>
                <w:noProof/>
                <w:sz w:val="18"/>
                <w:szCs w:val="18"/>
              </w:rPr>
            </w:pPr>
            <w:r>
              <w:rPr>
                <w:rFonts w:ascii="Times New Roman" w:hAnsi="Times New Roman"/>
                <w:noProof/>
                <w:sz w:val="18"/>
              </w:rPr>
              <w:t>Rapport publié par le gouvernement français pour prouver l’achèvement des travaux</w:t>
            </w: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DF" w14:textId="77777777" w:rsidR="00740F0F" w:rsidRPr="0029070D" w:rsidRDefault="00740F0F">
            <w:pPr>
              <w:spacing w:line="216" w:lineRule="exact"/>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6E0" w14:textId="77777777" w:rsidR="00740F0F" w:rsidRPr="0029070D" w:rsidRDefault="00740F0F">
            <w:pPr>
              <w:spacing w:line="216" w:lineRule="exact"/>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6E1" w14:textId="77777777" w:rsidR="00740F0F" w:rsidRPr="0029070D" w:rsidRDefault="00740F0F">
            <w:pPr>
              <w:spacing w:line="216" w:lineRule="exact"/>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E2" w14:textId="77777777" w:rsidR="00740F0F" w:rsidRPr="0029070D" w:rsidRDefault="00100B64">
            <w:pPr>
              <w:spacing w:line="216" w:lineRule="exact"/>
              <w:ind w:left="77" w:right="62"/>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E3" w14:textId="77777777" w:rsidR="00740F0F" w:rsidRPr="0029070D" w:rsidRDefault="00100B64">
            <w:pPr>
              <w:spacing w:line="216" w:lineRule="exact"/>
              <w:ind w:right="209"/>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3870" w:type="dxa"/>
            <w:tcBorders>
              <w:top w:val="single" w:sz="4" w:space="0" w:color="auto"/>
              <w:left w:val="single" w:sz="4" w:space="0" w:color="auto"/>
              <w:bottom w:val="single" w:sz="4" w:space="0" w:color="auto"/>
              <w:right w:val="single" w:sz="4" w:space="0" w:color="auto"/>
            </w:tcBorders>
            <w:shd w:val="clear" w:color="auto" w:fill="C5EDCE"/>
          </w:tcPr>
          <w:p w14:paraId="5A8AE6E4" w14:textId="77777777" w:rsidR="00740F0F" w:rsidRPr="0029070D" w:rsidRDefault="00100B64">
            <w:pPr>
              <w:spacing w:line="244" w:lineRule="auto"/>
              <w:ind w:left="28" w:right="266"/>
              <w:rPr>
                <w:rFonts w:ascii="Times New Roman" w:eastAsia="Times New Roman" w:hAnsi="Times New Roman" w:cs="Times New Roman"/>
                <w:noProof/>
                <w:sz w:val="18"/>
                <w:szCs w:val="18"/>
              </w:rPr>
            </w:pPr>
            <w:r>
              <w:rPr>
                <w:rFonts w:ascii="Times New Roman" w:hAnsi="Times New Roman"/>
                <w:noProof/>
                <w:sz w:val="18"/>
              </w:rPr>
              <w:t>Achèvement des six actions visant à renforcer l’équipement numérique du ministère de l’intérieur:</w:t>
            </w:r>
          </w:p>
          <w:p w14:paraId="5A8AE6E5" w14:textId="77777777" w:rsidR="00740F0F" w:rsidRPr="0029070D" w:rsidRDefault="00100B64">
            <w:pPr>
              <w:numPr>
                <w:ilvl w:val="0"/>
                <w:numId w:val="41"/>
              </w:numPr>
              <w:tabs>
                <w:tab w:val="left" w:pos="301"/>
              </w:tabs>
              <w:spacing w:line="244" w:lineRule="auto"/>
              <w:ind w:right="266" w:hanging="11"/>
              <w:rPr>
                <w:rFonts w:ascii="Times New Roman" w:eastAsia="Times New Roman" w:hAnsi="Times New Roman" w:cs="Times New Roman"/>
                <w:noProof/>
                <w:sz w:val="18"/>
                <w:szCs w:val="18"/>
              </w:rPr>
            </w:pPr>
            <w:r>
              <w:rPr>
                <w:rFonts w:ascii="Times New Roman" w:hAnsi="Times New Roman"/>
                <w:noProof/>
                <w:sz w:val="18"/>
              </w:rPr>
              <w:t>Réseau interministériel de l’État</w:t>
            </w:r>
          </w:p>
          <w:p w14:paraId="5A8AE6E6" w14:textId="77777777" w:rsidR="00740F0F" w:rsidRPr="0029070D" w:rsidRDefault="00100B64">
            <w:pPr>
              <w:numPr>
                <w:ilvl w:val="0"/>
                <w:numId w:val="41"/>
              </w:numPr>
              <w:tabs>
                <w:tab w:val="left" w:pos="301"/>
              </w:tabs>
              <w:spacing w:line="244" w:lineRule="auto"/>
              <w:ind w:right="266" w:hanging="11"/>
              <w:rPr>
                <w:rFonts w:ascii="Times New Roman" w:eastAsia="Times New Roman" w:hAnsi="Times New Roman" w:cs="Times New Roman"/>
                <w:noProof/>
                <w:sz w:val="18"/>
                <w:szCs w:val="18"/>
              </w:rPr>
            </w:pPr>
            <w:r>
              <w:rPr>
                <w:rFonts w:ascii="Times New Roman" w:hAnsi="Times New Roman"/>
                <w:noProof/>
                <w:sz w:val="18"/>
              </w:rPr>
              <w:t>Socle informatique de l’administration territoriale de l’État</w:t>
            </w:r>
          </w:p>
          <w:p w14:paraId="5A8AE6E7" w14:textId="77777777" w:rsidR="00740F0F" w:rsidRPr="0029070D" w:rsidRDefault="00100B64">
            <w:pPr>
              <w:numPr>
                <w:ilvl w:val="0"/>
                <w:numId w:val="41"/>
              </w:numPr>
              <w:tabs>
                <w:tab w:val="left" w:pos="301"/>
              </w:tabs>
              <w:spacing w:line="244" w:lineRule="auto"/>
              <w:ind w:right="266" w:hanging="11"/>
              <w:rPr>
                <w:rFonts w:ascii="Times New Roman" w:eastAsia="Times New Roman" w:hAnsi="Times New Roman" w:cs="Times New Roman"/>
                <w:noProof/>
                <w:sz w:val="18"/>
                <w:szCs w:val="18"/>
              </w:rPr>
            </w:pPr>
            <w:r>
              <w:rPr>
                <w:rFonts w:ascii="Times New Roman" w:hAnsi="Times New Roman"/>
                <w:noProof/>
                <w:sz w:val="18"/>
              </w:rPr>
              <w:t>Plan de vidéoprotection de la préfecture de police</w:t>
            </w:r>
          </w:p>
          <w:p w14:paraId="5A8AE6E8" w14:textId="77777777" w:rsidR="00740F0F" w:rsidRPr="0029070D" w:rsidRDefault="00100B64">
            <w:pPr>
              <w:numPr>
                <w:ilvl w:val="0"/>
                <w:numId w:val="41"/>
              </w:numPr>
              <w:tabs>
                <w:tab w:val="left" w:pos="301"/>
              </w:tabs>
              <w:spacing w:line="244" w:lineRule="auto"/>
              <w:ind w:right="266" w:hanging="11"/>
              <w:rPr>
                <w:rFonts w:ascii="Times New Roman" w:eastAsia="Times New Roman" w:hAnsi="Times New Roman" w:cs="Times New Roman"/>
                <w:noProof/>
                <w:sz w:val="18"/>
                <w:szCs w:val="18"/>
              </w:rPr>
            </w:pPr>
            <w:r>
              <w:rPr>
                <w:rFonts w:ascii="Times New Roman" w:hAnsi="Times New Roman"/>
                <w:noProof/>
                <w:sz w:val="18"/>
              </w:rPr>
              <w:t>Sécurité des réseaux</w:t>
            </w:r>
          </w:p>
          <w:p w14:paraId="5A8AE6E9" w14:textId="77777777" w:rsidR="00740F0F" w:rsidRPr="0029070D" w:rsidRDefault="00100B64">
            <w:pPr>
              <w:numPr>
                <w:ilvl w:val="0"/>
                <w:numId w:val="41"/>
              </w:numPr>
              <w:tabs>
                <w:tab w:val="left" w:pos="301"/>
              </w:tabs>
              <w:spacing w:line="244" w:lineRule="auto"/>
              <w:ind w:right="266" w:hanging="11"/>
              <w:rPr>
                <w:rFonts w:ascii="Times New Roman" w:eastAsia="Times New Roman" w:hAnsi="Times New Roman" w:cs="Times New Roman"/>
                <w:noProof/>
                <w:sz w:val="18"/>
                <w:szCs w:val="18"/>
              </w:rPr>
            </w:pPr>
            <w:r>
              <w:rPr>
                <w:rFonts w:ascii="Times New Roman" w:hAnsi="Times New Roman"/>
                <w:noProof/>
                <w:sz w:val="18"/>
              </w:rPr>
              <w:t>Résilience des data centers</w:t>
            </w:r>
          </w:p>
          <w:p w14:paraId="5A8AE6EA" w14:textId="77777777" w:rsidR="00740F0F" w:rsidRPr="0029070D" w:rsidRDefault="00100B64">
            <w:pPr>
              <w:numPr>
                <w:ilvl w:val="0"/>
                <w:numId w:val="41"/>
              </w:numPr>
              <w:tabs>
                <w:tab w:val="left" w:pos="301"/>
              </w:tabs>
              <w:spacing w:line="244" w:lineRule="auto"/>
              <w:ind w:right="266" w:hanging="11"/>
              <w:rPr>
                <w:rFonts w:ascii="Times New Roman" w:eastAsia="Times New Roman" w:hAnsi="Times New Roman" w:cs="Times New Roman"/>
                <w:noProof/>
                <w:sz w:val="18"/>
                <w:szCs w:val="18"/>
              </w:rPr>
            </w:pPr>
            <w:r>
              <w:rPr>
                <w:rFonts w:ascii="Times New Roman" w:hAnsi="Times New Roman"/>
                <w:noProof/>
                <w:sz w:val="18"/>
              </w:rPr>
              <w:t>Système d’alerte et d’information des populations</w:t>
            </w:r>
          </w:p>
          <w:p w14:paraId="5A8AE6EB" w14:textId="77777777" w:rsidR="00740F0F" w:rsidRPr="0029070D" w:rsidRDefault="00740F0F">
            <w:pPr>
              <w:tabs>
                <w:tab w:val="left" w:pos="301"/>
              </w:tabs>
              <w:spacing w:line="244" w:lineRule="auto"/>
              <w:ind w:left="17" w:right="266"/>
              <w:rPr>
                <w:rFonts w:ascii="Times New Roman" w:eastAsia="Times New Roman" w:hAnsi="Times New Roman" w:cs="Times New Roman"/>
                <w:noProof/>
                <w:sz w:val="18"/>
                <w:szCs w:val="18"/>
              </w:rPr>
            </w:pPr>
          </w:p>
        </w:tc>
      </w:tr>
      <w:tr w:rsidR="00782477" w:rsidRPr="0029070D" w14:paraId="5A8AE700" w14:textId="77777777" w:rsidTr="009C520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84"/>
          <w:jc w:val="center"/>
        </w:trPr>
        <w:tc>
          <w:tcPr>
            <w:tcW w:w="1114" w:type="dxa"/>
            <w:tcBorders>
              <w:top w:val="single" w:sz="4" w:space="0" w:color="auto"/>
              <w:left w:val="single" w:sz="4" w:space="0" w:color="auto"/>
              <w:bottom w:val="single" w:sz="4" w:space="0" w:color="auto"/>
              <w:right w:val="single" w:sz="4" w:space="0" w:color="auto"/>
            </w:tcBorders>
            <w:shd w:val="clear" w:color="auto" w:fill="C5EDCE"/>
          </w:tcPr>
          <w:p w14:paraId="5A8AE6ED" w14:textId="77777777" w:rsidR="00740F0F" w:rsidRPr="0029070D" w:rsidRDefault="00100B64">
            <w:pPr>
              <w:spacing w:line="216" w:lineRule="exact"/>
              <w:ind w:left="297" w:right="348"/>
              <w:jc w:val="center"/>
              <w:rPr>
                <w:rFonts w:ascii="Times New Roman" w:eastAsia="Times New Roman" w:hAnsi="Times New Roman" w:cs="Times New Roman"/>
                <w:noProof/>
                <w:sz w:val="18"/>
                <w:szCs w:val="18"/>
              </w:rPr>
            </w:pPr>
            <w:r>
              <w:rPr>
                <w:rFonts w:ascii="Times New Roman" w:hAnsi="Times New Roman"/>
                <w:noProof/>
                <w:sz w:val="18"/>
              </w:rPr>
              <w:t>7-23</w:t>
            </w:r>
          </w:p>
        </w:tc>
        <w:tc>
          <w:tcPr>
            <w:tcW w:w="1291" w:type="dxa"/>
            <w:tcBorders>
              <w:top w:val="single" w:sz="4" w:space="0" w:color="auto"/>
              <w:left w:val="single" w:sz="4" w:space="0" w:color="auto"/>
              <w:bottom w:val="single" w:sz="4" w:space="0" w:color="auto"/>
              <w:right w:val="single" w:sz="4" w:space="0" w:color="auto"/>
            </w:tcBorders>
            <w:shd w:val="clear" w:color="auto" w:fill="C5EDCE"/>
          </w:tcPr>
          <w:p w14:paraId="5A8AE6EE" w14:textId="77777777" w:rsidR="00740F0F" w:rsidRPr="0029070D" w:rsidRDefault="00100B64">
            <w:pPr>
              <w:spacing w:line="216" w:lineRule="exact"/>
              <w:ind w:left="114" w:right="65"/>
              <w:jc w:val="center"/>
              <w:rPr>
                <w:rFonts w:ascii="Times New Roman" w:eastAsia="Times New Roman" w:hAnsi="Times New Roman" w:cs="Times New Roman"/>
                <w:noProof/>
                <w:sz w:val="18"/>
                <w:szCs w:val="18"/>
              </w:rPr>
            </w:pPr>
            <w:r>
              <w:rPr>
                <w:rFonts w:ascii="Times New Roman" w:hAnsi="Times New Roman"/>
                <w:noProof/>
                <w:sz w:val="18"/>
              </w:rPr>
              <w:t>C7.I6</w:t>
            </w:r>
          </w:p>
          <w:p w14:paraId="5A8AE6EF" w14:textId="242E3901" w:rsidR="00740F0F" w:rsidRPr="0029070D" w:rsidRDefault="00100B64">
            <w:pPr>
              <w:spacing w:line="216" w:lineRule="exact"/>
              <w:ind w:right="61"/>
              <w:jc w:val="center"/>
              <w:rPr>
                <w:rFonts w:ascii="Times New Roman" w:eastAsia="Times New Roman" w:hAnsi="Times New Roman" w:cs="Times New Roman"/>
                <w:noProof/>
                <w:sz w:val="18"/>
                <w:szCs w:val="18"/>
              </w:rPr>
            </w:pPr>
            <w:r>
              <w:rPr>
                <w:rFonts w:ascii="Times New Roman" w:hAnsi="Times New Roman"/>
                <w:noProof/>
                <w:sz w:val="18"/>
              </w:rPr>
              <w:t>Applications du ministère de l’intérieur</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F0" w14:textId="77777777" w:rsidR="00740F0F" w:rsidRPr="0029070D" w:rsidRDefault="00100B64">
            <w:pPr>
              <w:spacing w:line="216" w:lineRule="exact"/>
              <w:ind w:left="62"/>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37" w:type="dxa"/>
            <w:tcBorders>
              <w:top w:val="single" w:sz="4" w:space="0" w:color="auto"/>
              <w:left w:val="single" w:sz="4" w:space="0" w:color="auto"/>
              <w:bottom w:val="single" w:sz="4" w:space="0" w:color="auto"/>
              <w:right w:val="single" w:sz="4" w:space="0" w:color="auto"/>
            </w:tcBorders>
            <w:shd w:val="clear" w:color="auto" w:fill="C5EDCE"/>
          </w:tcPr>
          <w:p w14:paraId="5A8AE6F1" w14:textId="49875491" w:rsidR="00740F0F" w:rsidRPr="0029070D" w:rsidRDefault="00100B64">
            <w:pPr>
              <w:spacing w:line="216" w:lineRule="exact"/>
              <w:ind w:right="70"/>
              <w:rPr>
                <w:rFonts w:ascii="Times New Roman" w:eastAsia="Times New Roman" w:hAnsi="Times New Roman" w:cs="Times New Roman"/>
                <w:noProof/>
                <w:sz w:val="18"/>
                <w:szCs w:val="18"/>
              </w:rPr>
            </w:pPr>
            <w:r>
              <w:rPr>
                <w:rFonts w:ascii="Times New Roman" w:hAnsi="Times New Roman"/>
                <w:noProof/>
                <w:sz w:val="18"/>
              </w:rPr>
              <w:t>Investissement dans les applications numériques, ou logiciels, ou systèmes développés pour le ministère de l’intérieur</w:t>
            </w:r>
          </w:p>
        </w:tc>
        <w:tc>
          <w:tcPr>
            <w:tcW w:w="1423" w:type="dxa"/>
            <w:tcBorders>
              <w:top w:val="single" w:sz="4" w:space="0" w:color="auto"/>
              <w:left w:val="single" w:sz="4" w:space="0" w:color="auto"/>
              <w:bottom w:val="single" w:sz="4" w:space="0" w:color="auto"/>
              <w:right w:val="single" w:sz="4" w:space="0" w:color="auto"/>
            </w:tcBorders>
            <w:shd w:val="clear" w:color="auto" w:fill="C5EDCE"/>
          </w:tcPr>
          <w:p w14:paraId="07733571" w14:textId="387A83A7" w:rsidR="00740F0F" w:rsidRPr="0029070D" w:rsidRDefault="00100B64" w:rsidP="003259A7">
            <w:pPr>
              <w:ind w:left="57" w:right="57"/>
              <w:rPr>
                <w:rFonts w:ascii="Times New Roman" w:eastAsia="Times New Roman" w:hAnsi="Times New Roman" w:cs="Times New Roman"/>
                <w:noProof/>
                <w:sz w:val="18"/>
                <w:szCs w:val="18"/>
              </w:rPr>
            </w:pPr>
            <w:r>
              <w:rPr>
                <w:rFonts w:ascii="Times New Roman" w:hAnsi="Times New Roman"/>
                <w:noProof/>
                <w:sz w:val="18"/>
              </w:rPr>
              <w:t>Création ou mise à jour des trois applications numériques ou logiciels</w:t>
            </w:r>
          </w:p>
          <w:p w14:paraId="5A8AE6F2" w14:textId="00A53DDF" w:rsidR="00740F0F" w:rsidRPr="0029070D" w:rsidRDefault="00F312B9" w:rsidP="003259A7">
            <w:pPr>
              <w:ind w:left="57" w:right="57"/>
              <w:rPr>
                <w:rFonts w:ascii="Times New Roman" w:eastAsia="Times New Roman" w:hAnsi="Times New Roman" w:cs="Times New Roman"/>
                <w:noProof/>
                <w:sz w:val="18"/>
                <w:szCs w:val="18"/>
              </w:rPr>
            </w:pPr>
            <w:r>
              <w:rPr>
                <w:rFonts w:ascii="Times New Roman" w:hAnsi="Times New Roman"/>
                <w:noProof/>
                <w:sz w:val="18"/>
              </w:rPr>
              <w:t>Disponibilité du système Ubiquity en vue de son utilisation</w:t>
            </w: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F3" w14:textId="77777777" w:rsidR="00740F0F" w:rsidRPr="0029070D" w:rsidRDefault="00740F0F">
            <w:pPr>
              <w:spacing w:line="216" w:lineRule="exact"/>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6F4" w14:textId="77777777" w:rsidR="00740F0F" w:rsidRPr="0029070D" w:rsidRDefault="00740F0F">
            <w:pPr>
              <w:spacing w:line="216" w:lineRule="exact"/>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6F5" w14:textId="77777777" w:rsidR="00740F0F" w:rsidRPr="0029070D" w:rsidRDefault="00740F0F">
            <w:pPr>
              <w:spacing w:line="216" w:lineRule="exact"/>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6F6" w14:textId="77777777" w:rsidR="00740F0F" w:rsidRPr="0029070D" w:rsidRDefault="00100B64">
            <w:pPr>
              <w:spacing w:line="216" w:lineRule="exact"/>
              <w:ind w:left="77" w:right="62"/>
              <w:jc w:val="center"/>
              <w:rPr>
                <w:rFonts w:ascii="Times New Roman" w:eastAsia="Times New Roman" w:hAnsi="Times New Roman" w:cs="Times New Roman"/>
                <w:noProof/>
                <w:sz w:val="18"/>
                <w:szCs w:val="18"/>
              </w:rPr>
            </w:pPr>
            <w:r>
              <w:rPr>
                <w:rFonts w:ascii="Times New Roman" w:hAnsi="Times New Roman"/>
                <w:noProof/>
                <w:sz w:val="18"/>
              </w:rPr>
              <w:t>T2</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6F7" w14:textId="77777777" w:rsidR="00740F0F" w:rsidRPr="0029070D" w:rsidRDefault="00100B64">
            <w:pPr>
              <w:spacing w:line="216" w:lineRule="exact"/>
              <w:ind w:right="209"/>
              <w:jc w:val="center"/>
              <w:rPr>
                <w:rFonts w:ascii="Times New Roman" w:eastAsia="Times New Roman" w:hAnsi="Times New Roman" w:cs="Times New Roman"/>
                <w:noProof/>
                <w:sz w:val="18"/>
                <w:szCs w:val="18"/>
              </w:rPr>
            </w:pPr>
            <w:r>
              <w:rPr>
                <w:rFonts w:ascii="Times New Roman" w:hAnsi="Times New Roman"/>
                <w:noProof/>
                <w:sz w:val="18"/>
              </w:rPr>
              <w:t>2025</w:t>
            </w:r>
          </w:p>
        </w:tc>
        <w:tc>
          <w:tcPr>
            <w:tcW w:w="3870" w:type="dxa"/>
            <w:tcBorders>
              <w:top w:val="single" w:sz="4" w:space="0" w:color="auto"/>
              <w:left w:val="single" w:sz="4" w:space="0" w:color="auto"/>
              <w:bottom w:val="single" w:sz="4" w:space="0" w:color="auto"/>
              <w:right w:val="single" w:sz="4" w:space="0" w:color="auto"/>
            </w:tcBorders>
            <w:shd w:val="clear" w:color="auto" w:fill="C5EDCE"/>
          </w:tcPr>
          <w:p w14:paraId="5A8AE6F9" w14:textId="21CC284F" w:rsidR="00740F0F" w:rsidRPr="0029070D" w:rsidRDefault="68059263" w:rsidP="002D67E0">
            <w:pPr>
              <w:spacing w:line="247" w:lineRule="auto"/>
              <w:ind w:left="28" w:right="100"/>
              <w:rPr>
                <w:rFonts w:ascii="Times New Roman" w:eastAsia="Times New Roman" w:hAnsi="Times New Roman" w:cs="Times New Roman"/>
                <w:noProof/>
                <w:sz w:val="18"/>
                <w:szCs w:val="18"/>
              </w:rPr>
            </w:pPr>
            <w:r>
              <w:rPr>
                <w:rFonts w:ascii="Times New Roman" w:hAnsi="Times New Roman"/>
                <w:noProof/>
                <w:sz w:val="18"/>
              </w:rPr>
              <w:t>Création ou mise à jour des trois applications numériques ou logiciels pour le ministère de l’intérieur:</w:t>
            </w:r>
          </w:p>
          <w:p w14:paraId="5A8AE6FA" w14:textId="77777777" w:rsidR="00740F0F" w:rsidRPr="0029070D" w:rsidRDefault="00100B64">
            <w:pPr>
              <w:numPr>
                <w:ilvl w:val="0"/>
                <w:numId w:val="42"/>
              </w:numPr>
              <w:tabs>
                <w:tab w:val="left" w:pos="392"/>
              </w:tabs>
              <w:ind w:hanging="255"/>
              <w:rPr>
                <w:rFonts w:ascii="Times New Roman" w:eastAsia="Times New Roman" w:hAnsi="Times New Roman" w:cs="Times New Roman"/>
                <w:noProof/>
                <w:sz w:val="18"/>
                <w:szCs w:val="18"/>
              </w:rPr>
            </w:pPr>
            <w:r>
              <w:rPr>
                <w:rFonts w:ascii="Times New Roman" w:hAnsi="Times New Roman"/>
                <w:noProof/>
                <w:sz w:val="18"/>
              </w:rPr>
              <w:t>Plainte en ligne: fournir un accompagnement en ligne aux victimes qui souhaitent déposer une plainte en ligne.</w:t>
            </w:r>
          </w:p>
          <w:p w14:paraId="5A8AE6FB" w14:textId="77777777" w:rsidR="00740F0F" w:rsidRPr="0029070D" w:rsidRDefault="00100B64">
            <w:pPr>
              <w:numPr>
                <w:ilvl w:val="0"/>
                <w:numId w:val="42"/>
              </w:numPr>
              <w:tabs>
                <w:tab w:val="left" w:pos="392"/>
              </w:tabs>
              <w:ind w:hanging="255"/>
              <w:rPr>
                <w:rFonts w:ascii="Times New Roman" w:eastAsia="Times New Roman" w:hAnsi="Times New Roman" w:cs="Times New Roman"/>
                <w:noProof/>
                <w:sz w:val="18"/>
                <w:szCs w:val="18"/>
              </w:rPr>
            </w:pPr>
            <w:r>
              <w:rPr>
                <w:rFonts w:ascii="Times New Roman" w:hAnsi="Times New Roman"/>
                <w:noProof/>
                <w:sz w:val="18"/>
              </w:rPr>
              <w:t>FR-Alert: permettre les alertes instantanées sur téléphone portable.</w:t>
            </w:r>
          </w:p>
          <w:p w14:paraId="15C6B089" w14:textId="2EA19078" w:rsidR="005C170C" w:rsidRPr="0029070D" w:rsidRDefault="00E662EC" w:rsidP="005C170C">
            <w:pPr>
              <w:numPr>
                <w:ilvl w:val="0"/>
                <w:numId w:val="42"/>
              </w:numPr>
              <w:tabs>
                <w:tab w:val="left" w:pos="392"/>
              </w:tabs>
              <w:ind w:hanging="255"/>
              <w:rPr>
                <w:rFonts w:ascii="Times New Roman" w:eastAsia="Times New Roman" w:hAnsi="Times New Roman" w:cs="Times New Roman"/>
                <w:noProof/>
                <w:sz w:val="18"/>
                <w:szCs w:val="18"/>
              </w:rPr>
            </w:pPr>
            <w:r>
              <w:rPr>
                <w:rFonts w:ascii="Times New Roman" w:hAnsi="Times New Roman"/>
                <w:noProof/>
                <w:sz w:val="18"/>
              </w:rPr>
              <w:t>ONE: centraliser au moins deux numéros d’urgence actuellement en usage en France.</w:t>
            </w:r>
          </w:p>
          <w:p w14:paraId="5A8AE6FF" w14:textId="1CD396C8" w:rsidR="00C85CF2" w:rsidRPr="0029070D" w:rsidRDefault="00B26FFE" w:rsidP="005C170C">
            <w:pPr>
              <w:tabs>
                <w:tab w:val="left" w:pos="392"/>
              </w:tabs>
              <w:rPr>
                <w:rFonts w:ascii="Times New Roman" w:eastAsia="Times New Roman" w:hAnsi="Times New Roman" w:cs="Times New Roman"/>
                <w:noProof/>
                <w:sz w:val="18"/>
                <w:szCs w:val="18"/>
              </w:rPr>
            </w:pPr>
            <w:r>
              <w:rPr>
                <w:rFonts w:ascii="Times New Roman" w:hAnsi="Times New Roman"/>
                <w:noProof/>
                <w:sz w:val="18"/>
              </w:rPr>
              <w:t>Disponibilité du système Ubiquity en vue de son utilisation par les gendarmes sur le terrain.</w:t>
            </w:r>
          </w:p>
        </w:tc>
      </w:tr>
      <w:tr w:rsidR="00782477" w:rsidRPr="0029070D" w14:paraId="5A8AE710" w14:textId="77777777" w:rsidTr="009C520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987"/>
          <w:jc w:val="center"/>
        </w:trPr>
        <w:tc>
          <w:tcPr>
            <w:tcW w:w="1114" w:type="dxa"/>
            <w:tcBorders>
              <w:top w:val="single" w:sz="4" w:space="0" w:color="auto"/>
              <w:left w:val="single" w:sz="4" w:space="0" w:color="auto"/>
              <w:bottom w:val="single" w:sz="4" w:space="0" w:color="auto"/>
              <w:right w:val="single" w:sz="4" w:space="0" w:color="auto"/>
            </w:tcBorders>
            <w:shd w:val="clear" w:color="auto" w:fill="C5EDCE"/>
          </w:tcPr>
          <w:p w14:paraId="5A8AE701" w14:textId="77777777" w:rsidR="00740F0F" w:rsidRPr="0029070D" w:rsidRDefault="00100B64">
            <w:pPr>
              <w:spacing w:line="216" w:lineRule="exact"/>
              <w:ind w:left="297" w:right="348"/>
              <w:jc w:val="center"/>
              <w:rPr>
                <w:rFonts w:ascii="Times New Roman" w:eastAsia="Times New Roman" w:hAnsi="Times New Roman" w:cs="Times New Roman"/>
                <w:noProof/>
                <w:sz w:val="18"/>
                <w:szCs w:val="18"/>
              </w:rPr>
            </w:pPr>
            <w:r>
              <w:rPr>
                <w:rFonts w:ascii="Times New Roman" w:hAnsi="Times New Roman"/>
                <w:noProof/>
                <w:sz w:val="18"/>
              </w:rPr>
              <w:t>7-24</w:t>
            </w:r>
          </w:p>
        </w:tc>
        <w:tc>
          <w:tcPr>
            <w:tcW w:w="1291" w:type="dxa"/>
            <w:tcBorders>
              <w:top w:val="single" w:sz="4" w:space="0" w:color="auto"/>
              <w:left w:val="single" w:sz="4" w:space="0" w:color="auto"/>
              <w:bottom w:val="single" w:sz="4" w:space="0" w:color="auto"/>
              <w:right w:val="single" w:sz="4" w:space="0" w:color="auto"/>
            </w:tcBorders>
            <w:shd w:val="clear" w:color="auto" w:fill="C5EDCE"/>
          </w:tcPr>
          <w:p w14:paraId="5A8AE702" w14:textId="77777777" w:rsidR="00740F0F" w:rsidRPr="0029070D" w:rsidRDefault="00100B64">
            <w:pPr>
              <w:spacing w:line="216" w:lineRule="exact"/>
              <w:ind w:left="114" w:right="65"/>
              <w:jc w:val="center"/>
              <w:rPr>
                <w:rFonts w:ascii="Times New Roman" w:eastAsia="Times New Roman" w:hAnsi="Times New Roman" w:cs="Times New Roman"/>
                <w:noProof/>
                <w:sz w:val="18"/>
                <w:szCs w:val="18"/>
              </w:rPr>
            </w:pPr>
            <w:r>
              <w:rPr>
                <w:rFonts w:ascii="Times New Roman" w:hAnsi="Times New Roman"/>
                <w:noProof/>
                <w:sz w:val="18"/>
              </w:rPr>
              <w:t>C7.I7</w:t>
            </w:r>
          </w:p>
          <w:p w14:paraId="5A8AE703" w14:textId="77777777" w:rsidR="00740F0F" w:rsidRPr="0029070D" w:rsidRDefault="00100B64">
            <w:pPr>
              <w:spacing w:line="216" w:lineRule="exact"/>
              <w:ind w:left="20"/>
              <w:jc w:val="center"/>
              <w:rPr>
                <w:rFonts w:ascii="Times New Roman" w:eastAsia="Times New Roman" w:hAnsi="Times New Roman" w:cs="Times New Roman"/>
                <w:noProof/>
                <w:sz w:val="18"/>
                <w:szCs w:val="18"/>
              </w:rPr>
            </w:pPr>
            <w:r>
              <w:rPr>
                <w:rFonts w:ascii="Times New Roman" w:hAnsi="Times New Roman"/>
                <w:noProof/>
                <w:sz w:val="18"/>
              </w:rPr>
              <w:t>Télétravail au sein du ministère de l’intérieur</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704" w14:textId="77777777" w:rsidR="00740F0F" w:rsidRPr="0029070D" w:rsidRDefault="00100B64">
            <w:pPr>
              <w:spacing w:line="216" w:lineRule="exact"/>
              <w:ind w:right="294"/>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37" w:type="dxa"/>
            <w:tcBorders>
              <w:top w:val="single" w:sz="4" w:space="0" w:color="auto"/>
              <w:left w:val="single" w:sz="4" w:space="0" w:color="auto"/>
              <w:bottom w:val="single" w:sz="4" w:space="0" w:color="auto"/>
              <w:right w:val="single" w:sz="4" w:space="0" w:color="auto"/>
            </w:tcBorders>
            <w:shd w:val="clear" w:color="auto" w:fill="C5EDCE"/>
          </w:tcPr>
          <w:p w14:paraId="5A8AE705" w14:textId="77777777" w:rsidR="00740F0F" w:rsidRPr="0029070D" w:rsidRDefault="00100B64">
            <w:pPr>
              <w:spacing w:line="216" w:lineRule="exact"/>
              <w:ind w:left="59" w:right="68" w:hanging="15"/>
              <w:rPr>
                <w:rFonts w:ascii="Times New Roman" w:eastAsia="Times New Roman" w:hAnsi="Times New Roman" w:cs="Times New Roman"/>
                <w:noProof/>
                <w:sz w:val="18"/>
                <w:szCs w:val="18"/>
              </w:rPr>
            </w:pPr>
            <w:r>
              <w:rPr>
                <w:rFonts w:ascii="Times New Roman" w:hAnsi="Times New Roman"/>
                <w:noProof/>
                <w:sz w:val="18"/>
              </w:rPr>
              <w:t>Investissement pour renforcer la connectivité numérique du ministère de l’intérieur</w:t>
            </w:r>
          </w:p>
        </w:tc>
        <w:tc>
          <w:tcPr>
            <w:tcW w:w="1423" w:type="dxa"/>
            <w:tcBorders>
              <w:top w:val="single" w:sz="4" w:space="0" w:color="auto"/>
              <w:left w:val="single" w:sz="4" w:space="0" w:color="auto"/>
              <w:bottom w:val="single" w:sz="4" w:space="0" w:color="auto"/>
              <w:right w:val="single" w:sz="4" w:space="0" w:color="auto"/>
            </w:tcBorders>
            <w:shd w:val="clear" w:color="auto" w:fill="C5EDCE"/>
          </w:tcPr>
          <w:p w14:paraId="5A8AE706" w14:textId="77777777" w:rsidR="00740F0F" w:rsidRPr="0029070D" w:rsidRDefault="00100B64">
            <w:pPr>
              <w:spacing w:line="216" w:lineRule="exact"/>
              <w:ind w:left="62" w:right="45" w:hanging="2"/>
              <w:rPr>
                <w:rFonts w:ascii="Times New Roman" w:eastAsia="Times New Roman" w:hAnsi="Times New Roman" w:cs="Times New Roman"/>
                <w:noProof/>
                <w:sz w:val="18"/>
                <w:szCs w:val="18"/>
              </w:rPr>
            </w:pPr>
            <w:r>
              <w:rPr>
                <w:rFonts w:ascii="Times New Roman" w:hAnsi="Times New Roman"/>
                <w:noProof/>
                <w:sz w:val="18"/>
              </w:rPr>
              <w:t>Rapport publié par le gouvernement français pour prouver l’achèvement des travaux</w:t>
            </w: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707" w14:textId="77777777" w:rsidR="00740F0F" w:rsidRPr="0029070D" w:rsidRDefault="00740F0F">
            <w:pPr>
              <w:spacing w:line="216" w:lineRule="exact"/>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708" w14:textId="77777777" w:rsidR="00740F0F" w:rsidRPr="0029070D" w:rsidRDefault="00740F0F">
            <w:pPr>
              <w:spacing w:line="216" w:lineRule="exact"/>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709" w14:textId="77777777" w:rsidR="00740F0F" w:rsidRPr="0029070D" w:rsidRDefault="00740F0F">
            <w:pPr>
              <w:spacing w:line="216" w:lineRule="exact"/>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70A" w14:textId="77777777" w:rsidR="00740F0F" w:rsidRPr="0029070D" w:rsidRDefault="00100B64">
            <w:pPr>
              <w:spacing w:line="216" w:lineRule="exact"/>
              <w:ind w:left="77" w:right="62"/>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70B" w14:textId="77777777" w:rsidR="00740F0F" w:rsidRPr="0029070D" w:rsidRDefault="00100B64">
            <w:pPr>
              <w:spacing w:line="216" w:lineRule="exact"/>
              <w:ind w:right="209"/>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3870" w:type="dxa"/>
            <w:tcBorders>
              <w:top w:val="single" w:sz="4" w:space="0" w:color="auto"/>
              <w:left w:val="single" w:sz="4" w:space="0" w:color="auto"/>
              <w:bottom w:val="single" w:sz="4" w:space="0" w:color="auto"/>
              <w:right w:val="single" w:sz="4" w:space="0" w:color="auto"/>
            </w:tcBorders>
            <w:shd w:val="clear" w:color="auto" w:fill="C5EDCE"/>
          </w:tcPr>
          <w:p w14:paraId="5A8AE70C" w14:textId="77777777" w:rsidR="00740F0F" w:rsidRPr="0029070D" w:rsidRDefault="00100B64">
            <w:pPr>
              <w:spacing w:line="247" w:lineRule="auto"/>
              <w:ind w:left="28" w:right="118"/>
              <w:rPr>
                <w:rFonts w:ascii="Times New Roman" w:eastAsia="Times New Roman" w:hAnsi="Times New Roman" w:cs="Times New Roman"/>
                <w:noProof/>
                <w:sz w:val="18"/>
                <w:szCs w:val="18"/>
              </w:rPr>
            </w:pPr>
            <w:r>
              <w:rPr>
                <w:rFonts w:ascii="Times New Roman" w:hAnsi="Times New Roman"/>
                <w:noProof/>
                <w:sz w:val="18"/>
              </w:rPr>
              <w:t>Achèvement des actions visant à renforcer la connectivité numérique du ministère de l’intérieur:</w:t>
            </w:r>
          </w:p>
          <w:p w14:paraId="5A8AE70D" w14:textId="77777777" w:rsidR="00740F0F" w:rsidRPr="0029070D" w:rsidRDefault="00100B64">
            <w:pPr>
              <w:numPr>
                <w:ilvl w:val="0"/>
                <w:numId w:val="43"/>
              </w:numPr>
              <w:tabs>
                <w:tab w:val="left" w:pos="392"/>
              </w:tabs>
              <w:spacing w:before="120"/>
              <w:ind w:right="472"/>
              <w:rPr>
                <w:rFonts w:ascii="Times New Roman" w:eastAsia="Times New Roman" w:hAnsi="Times New Roman" w:cs="Times New Roman"/>
                <w:noProof/>
                <w:sz w:val="18"/>
                <w:szCs w:val="18"/>
              </w:rPr>
            </w:pPr>
            <w:r>
              <w:rPr>
                <w:rFonts w:ascii="Times New Roman" w:hAnsi="Times New Roman"/>
                <w:noProof/>
                <w:sz w:val="18"/>
              </w:rPr>
              <w:t>Amélioration de l’environnement numérique et développement du télétravail (achevée)</w:t>
            </w:r>
          </w:p>
          <w:p w14:paraId="5A8AE70E" w14:textId="77777777" w:rsidR="00740F0F" w:rsidRPr="0029070D" w:rsidRDefault="00100B64">
            <w:pPr>
              <w:numPr>
                <w:ilvl w:val="0"/>
                <w:numId w:val="43"/>
              </w:numPr>
              <w:tabs>
                <w:tab w:val="left" w:pos="392"/>
              </w:tabs>
              <w:spacing w:before="120" w:line="232" w:lineRule="exact"/>
              <w:ind w:hanging="253"/>
              <w:rPr>
                <w:rFonts w:ascii="Times New Roman" w:eastAsia="Times New Roman" w:hAnsi="Times New Roman" w:cs="Times New Roman"/>
                <w:noProof/>
                <w:sz w:val="18"/>
                <w:szCs w:val="18"/>
              </w:rPr>
            </w:pPr>
            <w:r>
              <w:rPr>
                <w:rFonts w:ascii="Times New Roman" w:hAnsi="Times New Roman"/>
                <w:noProof/>
                <w:sz w:val="18"/>
              </w:rPr>
              <w:t>Postes NEO (achevée)</w:t>
            </w:r>
          </w:p>
          <w:p w14:paraId="5A8AE70F" w14:textId="77777777" w:rsidR="00740F0F" w:rsidRPr="0029070D" w:rsidRDefault="00100B64">
            <w:pPr>
              <w:numPr>
                <w:ilvl w:val="0"/>
                <w:numId w:val="43"/>
              </w:numPr>
              <w:tabs>
                <w:tab w:val="left" w:pos="392"/>
              </w:tabs>
              <w:spacing w:before="120" w:line="232" w:lineRule="exact"/>
              <w:ind w:hanging="253"/>
              <w:rPr>
                <w:rFonts w:ascii="Times New Roman" w:eastAsia="Times New Roman" w:hAnsi="Times New Roman" w:cs="Times New Roman"/>
                <w:noProof/>
                <w:sz w:val="18"/>
                <w:szCs w:val="18"/>
              </w:rPr>
            </w:pPr>
            <w:r>
              <w:rPr>
                <w:rFonts w:ascii="Times New Roman" w:hAnsi="Times New Roman"/>
                <w:noProof/>
                <w:sz w:val="18"/>
              </w:rPr>
              <w:t>Réseau radio du futur (premières actions)</w:t>
            </w:r>
          </w:p>
        </w:tc>
      </w:tr>
      <w:tr w:rsidR="00782477" w:rsidRPr="0029070D" w14:paraId="5A8AE71D" w14:textId="77777777" w:rsidTr="009C520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406"/>
          <w:jc w:val="center"/>
        </w:trPr>
        <w:tc>
          <w:tcPr>
            <w:tcW w:w="1114" w:type="dxa"/>
            <w:tcBorders>
              <w:top w:val="single" w:sz="4" w:space="0" w:color="auto"/>
              <w:left w:val="single" w:sz="4" w:space="0" w:color="auto"/>
              <w:bottom w:val="single" w:sz="4" w:space="0" w:color="auto"/>
              <w:right w:val="single" w:sz="4" w:space="0" w:color="auto"/>
            </w:tcBorders>
            <w:shd w:val="clear" w:color="auto" w:fill="C5EDCE"/>
          </w:tcPr>
          <w:p w14:paraId="5A8AE711" w14:textId="77777777" w:rsidR="00740F0F" w:rsidRPr="0029070D" w:rsidRDefault="00100B64">
            <w:pPr>
              <w:spacing w:line="216" w:lineRule="exact"/>
              <w:ind w:left="297" w:right="348"/>
              <w:jc w:val="center"/>
              <w:rPr>
                <w:rFonts w:ascii="Times New Roman" w:eastAsia="Times New Roman" w:hAnsi="Times New Roman" w:cs="Times New Roman"/>
                <w:noProof/>
                <w:sz w:val="18"/>
                <w:szCs w:val="18"/>
              </w:rPr>
            </w:pPr>
            <w:r>
              <w:rPr>
                <w:rFonts w:ascii="Times New Roman" w:hAnsi="Times New Roman"/>
                <w:noProof/>
                <w:sz w:val="18"/>
              </w:rPr>
              <w:t>7-26</w:t>
            </w:r>
          </w:p>
        </w:tc>
        <w:tc>
          <w:tcPr>
            <w:tcW w:w="1291" w:type="dxa"/>
            <w:tcBorders>
              <w:top w:val="single" w:sz="4" w:space="0" w:color="auto"/>
              <w:left w:val="single" w:sz="4" w:space="0" w:color="auto"/>
              <w:bottom w:val="single" w:sz="4" w:space="0" w:color="auto"/>
              <w:right w:val="single" w:sz="4" w:space="0" w:color="auto"/>
            </w:tcBorders>
            <w:shd w:val="clear" w:color="auto" w:fill="C5EDCE"/>
          </w:tcPr>
          <w:p w14:paraId="5A8AE712" w14:textId="77777777" w:rsidR="00740F0F" w:rsidRPr="0029070D" w:rsidRDefault="00100B64">
            <w:pPr>
              <w:spacing w:line="216" w:lineRule="exact"/>
              <w:ind w:left="20"/>
              <w:jc w:val="center"/>
              <w:rPr>
                <w:rFonts w:ascii="Times New Roman" w:eastAsia="Times New Roman" w:hAnsi="Times New Roman" w:cs="Times New Roman"/>
                <w:noProof/>
                <w:sz w:val="18"/>
                <w:szCs w:val="18"/>
              </w:rPr>
            </w:pPr>
            <w:r>
              <w:rPr>
                <w:rFonts w:ascii="Times New Roman" w:hAnsi="Times New Roman"/>
                <w:noProof/>
                <w:sz w:val="18"/>
              </w:rPr>
              <w:t>C7.I9</w:t>
            </w:r>
          </w:p>
          <w:p w14:paraId="5A8AE713" w14:textId="77777777" w:rsidR="00740F0F" w:rsidRPr="0029070D" w:rsidRDefault="00100B64">
            <w:pPr>
              <w:spacing w:line="216" w:lineRule="exact"/>
              <w:ind w:left="20" w:right="23" w:hanging="22"/>
              <w:jc w:val="center"/>
              <w:rPr>
                <w:rFonts w:ascii="Times New Roman" w:eastAsia="Times New Roman" w:hAnsi="Times New Roman" w:cs="Times New Roman"/>
                <w:noProof/>
                <w:sz w:val="18"/>
                <w:szCs w:val="18"/>
              </w:rPr>
            </w:pPr>
            <w:r>
              <w:rPr>
                <w:rFonts w:ascii="Times New Roman" w:hAnsi="Times New Roman"/>
                <w:noProof/>
                <w:sz w:val="18"/>
              </w:rPr>
              <w:t>Transformation numérique de l’école</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714" w14:textId="77777777" w:rsidR="00740F0F" w:rsidRPr="0029070D" w:rsidRDefault="00100B64">
            <w:pPr>
              <w:spacing w:line="216" w:lineRule="exact"/>
              <w:ind w:right="285"/>
              <w:jc w:val="right"/>
              <w:rPr>
                <w:rFonts w:ascii="Times New Roman" w:eastAsia="Times New Roman" w:hAnsi="Times New Roman" w:cs="Times New Roman"/>
                <w:noProof/>
                <w:sz w:val="18"/>
                <w:szCs w:val="18"/>
              </w:rPr>
            </w:pPr>
            <w:r>
              <w:rPr>
                <w:rFonts w:ascii="Times New Roman" w:hAnsi="Times New Roman"/>
                <w:noProof/>
                <w:sz w:val="18"/>
              </w:rPr>
              <w:t>Cible</w:t>
            </w:r>
          </w:p>
        </w:tc>
        <w:tc>
          <w:tcPr>
            <w:tcW w:w="1837" w:type="dxa"/>
            <w:tcBorders>
              <w:top w:val="single" w:sz="4" w:space="0" w:color="auto"/>
              <w:left w:val="single" w:sz="4" w:space="0" w:color="auto"/>
              <w:bottom w:val="single" w:sz="4" w:space="0" w:color="auto"/>
              <w:right w:val="single" w:sz="4" w:space="0" w:color="auto"/>
            </w:tcBorders>
            <w:shd w:val="clear" w:color="auto" w:fill="C5EDCE"/>
          </w:tcPr>
          <w:p w14:paraId="5A8AE715" w14:textId="77777777" w:rsidR="00740F0F" w:rsidRPr="0029070D" w:rsidRDefault="00100B64">
            <w:pPr>
              <w:spacing w:line="216" w:lineRule="exact"/>
              <w:ind w:left="59" w:right="47"/>
              <w:rPr>
                <w:rFonts w:ascii="Times New Roman" w:eastAsia="Times New Roman" w:hAnsi="Times New Roman" w:cs="Times New Roman"/>
                <w:noProof/>
                <w:sz w:val="18"/>
                <w:szCs w:val="18"/>
              </w:rPr>
            </w:pPr>
            <w:r>
              <w:rPr>
                <w:rFonts w:ascii="Times New Roman" w:hAnsi="Times New Roman"/>
                <w:noProof/>
                <w:sz w:val="18"/>
              </w:rPr>
              <w:t>Nombre de classes d’école équipées numériquement</w:t>
            </w:r>
          </w:p>
        </w:tc>
        <w:tc>
          <w:tcPr>
            <w:tcW w:w="1423" w:type="dxa"/>
            <w:tcBorders>
              <w:top w:val="single" w:sz="4" w:space="0" w:color="auto"/>
              <w:left w:val="single" w:sz="4" w:space="0" w:color="auto"/>
              <w:bottom w:val="single" w:sz="4" w:space="0" w:color="auto"/>
              <w:right w:val="single" w:sz="4" w:space="0" w:color="auto"/>
            </w:tcBorders>
            <w:shd w:val="clear" w:color="auto" w:fill="C5EDCE"/>
          </w:tcPr>
          <w:p w14:paraId="5A8AE716" w14:textId="77777777" w:rsidR="00740F0F" w:rsidRPr="0029070D" w:rsidRDefault="00740F0F">
            <w:pPr>
              <w:spacing w:line="216" w:lineRule="exact"/>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717" w14:textId="77777777" w:rsidR="00740F0F" w:rsidRPr="0029070D" w:rsidRDefault="00100B64">
            <w:pPr>
              <w:spacing w:line="216" w:lineRule="exact"/>
              <w:ind w:left="125" w:right="94"/>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718" w14:textId="77777777" w:rsidR="00740F0F" w:rsidRPr="0029070D" w:rsidRDefault="00100B64">
            <w:pPr>
              <w:spacing w:line="216" w:lineRule="exact"/>
              <w:ind w:left="33"/>
              <w:jc w:val="center"/>
              <w:rPr>
                <w:rFonts w:ascii="Times New Roman" w:eastAsia="Times New Roman" w:hAnsi="Times New Roman" w:cs="Times New Roman"/>
                <w:noProof/>
                <w:sz w:val="18"/>
                <w:szCs w:val="18"/>
              </w:rPr>
            </w:pPr>
            <w:r>
              <w:rPr>
                <w:rFonts w:ascii="Times New Roman" w:hAnsi="Times New Roman"/>
                <w:noProof/>
                <w:sz w:val="18"/>
              </w:rPr>
              <w:t>0</w:t>
            </w: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719" w14:textId="77777777" w:rsidR="00740F0F" w:rsidRPr="0029070D" w:rsidRDefault="00100B64">
            <w:pPr>
              <w:spacing w:line="216" w:lineRule="exact"/>
              <w:jc w:val="center"/>
              <w:rPr>
                <w:rFonts w:ascii="Times New Roman" w:eastAsia="Times New Roman" w:hAnsi="Times New Roman" w:cs="Times New Roman"/>
                <w:noProof/>
                <w:sz w:val="18"/>
                <w:szCs w:val="18"/>
              </w:rPr>
            </w:pPr>
            <w:r>
              <w:rPr>
                <w:rFonts w:ascii="Times New Roman" w:hAnsi="Times New Roman"/>
                <w:noProof/>
                <w:sz w:val="18"/>
              </w:rPr>
              <w:t>45 000</w:t>
            </w: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71A" w14:textId="77777777" w:rsidR="00740F0F" w:rsidRPr="0029070D" w:rsidRDefault="00100B64">
            <w:pPr>
              <w:spacing w:line="216" w:lineRule="exact"/>
              <w:ind w:left="77" w:right="62"/>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71B" w14:textId="77777777" w:rsidR="00740F0F" w:rsidRPr="0029070D" w:rsidRDefault="00100B64">
            <w:pPr>
              <w:spacing w:line="216" w:lineRule="exact"/>
              <w:ind w:right="20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3870" w:type="dxa"/>
            <w:tcBorders>
              <w:top w:val="single" w:sz="4" w:space="0" w:color="auto"/>
              <w:left w:val="single" w:sz="4" w:space="0" w:color="auto"/>
              <w:bottom w:val="single" w:sz="4" w:space="0" w:color="auto"/>
              <w:right w:val="single" w:sz="4" w:space="0" w:color="auto"/>
            </w:tcBorders>
            <w:shd w:val="clear" w:color="auto" w:fill="C5EDCE"/>
          </w:tcPr>
          <w:p w14:paraId="5A8AE71C" w14:textId="77777777" w:rsidR="00740F0F" w:rsidRPr="0029070D" w:rsidRDefault="00100B64">
            <w:pPr>
              <w:spacing w:line="216" w:lineRule="exact"/>
              <w:ind w:left="20"/>
              <w:rPr>
                <w:rFonts w:ascii="Times New Roman" w:eastAsia="Times New Roman" w:hAnsi="Times New Roman" w:cs="Times New Roman"/>
                <w:noProof/>
                <w:sz w:val="18"/>
                <w:szCs w:val="18"/>
              </w:rPr>
            </w:pPr>
            <w:r>
              <w:rPr>
                <w:rFonts w:ascii="Times New Roman" w:hAnsi="Times New Roman"/>
                <w:noProof/>
                <w:sz w:val="18"/>
              </w:rPr>
              <w:t>Nombre de classes d’école équipées de ressources numériques dans les classes élémentaires, ainsi que de classes hybrides dans l’enseignement secondaire, ainsi qu’un accompagnement au changement pour le personnel concerné.</w:t>
            </w:r>
          </w:p>
        </w:tc>
      </w:tr>
      <w:tr w:rsidR="00782477" w:rsidRPr="0029070D" w14:paraId="5A8AE72A" w14:textId="77777777" w:rsidTr="003259A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913"/>
          <w:jc w:val="center"/>
        </w:trPr>
        <w:tc>
          <w:tcPr>
            <w:tcW w:w="1114" w:type="dxa"/>
            <w:tcBorders>
              <w:top w:val="single" w:sz="4" w:space="0" w:color="auto"/>
              <w:left w:val="single" w:sz="4" w:space="0" w:color="auto"/>
              <w:bottom w:val="single" w:sz="4" w:space="0" w:color="auto"/>
              <w:right w:val="single" w:sz="4" w:space="0" w:color="auto"/>
            </w:tcBorders>
            <w:shd w:val="clear" w:color="auto" w:fill="C5EDCE"/>
          </w:tcPr>
          <w:p w14:paraId="5A8AE71E" w14:textId="77777777" w:rsidR="00740F0F" w:rsidRPr="0029070D" w:rsidRDefault="00100B64">
            <w:pPr>
              <w:spacing w:line="216" w:lineRule="exact"/>
              <w:ind w:left="297" w:right="348"/>
              <w:jc w:val="center"/>
              <w:rPr>
                <w:rFonts w:ascii="Times New Roman" w:eastAsia="Times New Roman" w:hAnsi="Times New Roman" w:cs="Times New Roman"/>
                <w:noProof/>
                <w:sz w:val="18"/>
                <w:szCs w:val="18"/>
              </w:rPr>
            </w:pPr>
            <w:r>
              <w:rPr>
                <w:rFonts w:ascii="Times New Roman" w:hAnsi="Times New Roman"/>
                <w:noProof/>
                <w:sz w:val="18"/>
              </w:rPr>
              <w:t>7-27</w:t>
            </w:r>
          </w:p>
        </w:tc>
        <w:tc>
          <w:tcPr>
            <w:tcW w:w="1291" w:type="dxa"/>
            <w:tcBorders>
              <w:top w:val="single" w:sz="4" w:space="0" w:color="auto"/>
              <w:left w:val="single" w:sz="4" w:space="0" w:color="auto"/>
              <w:bottom w:val="single" w:sz="4" w:space="0" w:color="auto"/>
              <w:right w:val="single" w:sz="4" w:space="0" w:color="auto"/>
            </w:tcBorders>
            <w:shd w:val="clear" w:color="auto" w:fill="C5EDCE"/>
          </w:tcPr>
          <w:p w14:paraId="5A8AE71F" w14:textId="77777777" w:rsidR="00740F0F" w:rsidRPr="0029070D" w:rsidRDefault="00100B64">
            <w:pPr>
              <w:spacing w:line="216" w:lineRule="exact"/>
              <w:ind w:left="20"/>
              <w:jc w:val="center"/>
              <w:rPr>
                <w:rFonts w:ascii="Times New Roman" w:eastAsia="Times New Roman" w:hAnsi="Times New Roman" w:cs="Times New Roman"/>
                <w:noProof/>
                <w:sz w:val="18"/>
                <w:szCs w:val="18"/>
              </w:rPr>
            </w:pPr>
            <w:r>
              <w:rPr>
                <w:rFonts w:ascii="Times New Roman" w:hAnsi="Times New Roman"/>
                <w:noProof/>
                <w:sz w:val="18"/>
              </w:rPr>
              <w:t>C7.I10</w:t>
            </w:r>
          </w:p>
          <w:p w14:paraId="5A8AE720" w14:textId="77777777" w:rsidR="00740F0F" w:rsidRPr="0029070D" w:rsidRDefault="00100B64">
            <w:pPr>
              <w:spacing w:line="216" w:lineRule="exact"/>
              <w:ind w:left="20"/>
              <w:jc w:val="center"/>
              <w:rPr>
                <w:rFonts w:ascii="Times New Roman" w:eastAsia="Times New Roman" w:hAnsi="Times New Roman" w:cs="Times New Roman"/>
                <w:noProof/>
                <w:sz w:val="18"/>
                <w:szCs w:val="18"/>
              </w:rPr>
            </w:pPr>
            <w:r>
              <w:rPr>
                <w:rFonts w:ascii="Times New Roman" w:hAnsi="Times New Roman"/>
                <w:noProof/>
                <w:sz w:val="18"/>
              </w:rPr>
              <w:t>Accès au numérique dans l’enseignement supérieur</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721" w14:textId="77777777" w:rsidR="00740F0F" w:rsidRPr="0029070D" w:rsidRDefault="00100B64">
            <w:pPr>
              <w:spacing w:line="216" w:lineRule="exact"/>
              <w:ind w:left="82" w:right="41"/>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37" w:type="dxa"/>
            <w:tcBorders>
              <w:top w:val="single" w:sz="4" w:space="0" w:color="auto"/>
              <w:left w:val="single" w:sz="4" w:space="0" w:color="auto"/>
              <w:bottom w:val="single" w:sz="4" w:space="0" w:color="auto"/>
              <w:right w:val="single" w:sz="4" w:space="0" w:color="auto"/>
            </w:tcBorders>
            <w:shd w:val="clear" w:color="auto" w:fill="C5EDCE"/>
          </w:tcPr>
          <w:p w14:paraId="5A8AE722" w14:textId="77777777" w:rsidR="00740F0F" w:rsidRPr="0029070D" w:rsidRDefault="00100B64">
            <w:pPr>
              <w:spacing w:line="216" w:lineRule="exact"/>
              <w:ind w:left="59" w:right="55"/>
              <w:rPr>
                <w:rFonts w:ascii="Times New Roman" w:eastAsia="Times New Roman" w:hAnsi="Times New Roman" w:cs="Times New Roman"/>
                <w:noProof/>
                <w:sz w:val="18"/>
                <w:szCs w:val="18"/>
              </w:rPr>
            </w:pPr>
            <w:r>
              <w:rPr>
                <w:rFonts w:ascii="Times New Roman" w:hAnsi="Times New Roman"/>
                <w:noProof/>
                <w:sz w:val="18"/>
              </w:rPr>
              <w:t>Nombre d’étudiants ayant accès à une formation numérique</w:t>
            </w:r>
          </w:p>
        </w:tc>
        <w:tc>
          <w:tcPr>
            <w:tcW w:w="1423" w:type="dxa"/>
            <w:tcBorders>
              <w:top w:val="single" w:sz="4" w:space="0" w:color="auto"/>
              <w:left w:val="single" w:sz="4" w:space="0" w:color="auto"/>
              <w:bottom w:val="single" w:sz="4" w:space="0" w:color="auto"/>
              <w:right w:val="single" w:sz="4" w:space="0" w:color="auto"/>
            </w:tcBorders>
            <w:shd w:val="clear" w:color="auto" w:fill="C5EDCE"/>
          </w:tcPr>
          <w:p w14:paraId="5A8AE723" w14:textId="77777777" w:rsidR="00740F0F" w:rsidRPr="0029070D" w:rsidRDefault="00740F0F">
            <w:pPr>
              <w:spacing w:line="216" w:lineRule="exact"/>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724" w14:textId="77777777" w:rsidR="00740F0F" w:rsidRPr="0029070D" w:rsidRDefault="00100B64">
            <w:pPr>
              <w:spacing w:line="216" w:lineRule="exact"/>
              <w:ind w:left="125" w:right="94"/>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725" w14:textId="77777777" w:rsidR="00740F0F" w:rsidRPr="0029070D" w:rsidRDefault="00100B64">
            <w:pPr>
              <w:spacing w:line="216" w:lineRule="exact"/>
              <w:ind w:left="33"/>
              <w:jc w:val="center"/>
              <w:rPr>
                <w:rFonts w:ascii="Times New Roman" w:eastAsia="Times New Roman" w:hAnsi="Times New Roman" w:cs="Times New Roman"/>
                <w:noProof/>
                <w:sz w:val="18"/>
                <w:szCs w:val="18"/>
              </w:rPr>
            </w:pPr>
            <w:r>
              <w:rPr>
                <w:rFonts w:ascii="Times New Roman" w:hAnsi="Times New Roman"/>
                <w:noProof/>
                <w:sz w:val="18"/>
              </w:rPr>
              <w:t>0</w:t>
            </w: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726" w14:textId="77777777" w:rsidR="00740F0F" w:rsidRPr="0029070D" w:rsidRDefault="00100B64">
            <w:pPr>
              <w:spacing w:line="216" w:lineRule="exact"/>
              <w:ind w:left="-17"/>
              <w:jc w:val="center"/>
              <w:rPr>
                <w:rFonts w:ascii="Times New Roman" w:eastAsia="Times New Roman" w:hAnsi="Times New Roman" w:cs="Times New Roman"/>
                <w:noProof/>
                <w:sz w:val="18"/>
                <w:szCs w:val="18"/>
              </w:rPr>
            </w:pPr>
            <w:r>
              <w:rPr>
                <w:rFonts w:ascii="Times New Roman" w:hAnsi="Times New Roman"/>
                <w:noProof/>
                <w:sz w:val="18"/>
              </w:rPr>
              <w:t>1 400 000</w:t>
            </w: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727" w14:textId="77777777" w:rsidR="00740F0F" w:rsidRPr="0029070D" w:rsidRDefault="00100B64">
            <w:pPr>
              <w:spacing w:line="216" w:lineRule="exact"/>
              <w:ind w:left="77" w:right="62"/>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728" w14:textId="77777777" w:rsidR="00740F0F" w:rsidRPr="0029070D" w:rsidRDefault="00100B64">
            <w:pPr>
              <w:spacing w:line="216" w:lineRule="exact"/>
              <w:ind w:right="209"/>
              <w:jc w:val="center"/>
              <w:rPr>
                <w:rFonts w:ascii="Times New Roman" w:eastAsia="Times New Roman" w:hAnsi="Times New Roman" w:cs="Times New Roman"/>
                <w:noProof/>
                <w:sz w:val="18"/>
                <w:szCs w:val="18"/>
              </w:rPr>
            </w:pPr>
            <w:r>
              <w:rPr>
                <w:rFonts w:ascii="Times New Roman" w:hAnsi="Times New Roman"/>
                <w:noProof/>
                <w:sz w:val="18"/>
              </w:rPr>
              <w:t>2024</w:t>
            </w:r>
          </w:p>
        </w:tc>
        <w:tc>
          <w:tcPr>
            <w:tcW w:w="3870" w:type="dxa"/>
            <w:tcBorders>
              <w:top w:val="single" w:sz="4" w:space="0" w:color="auto"/>
              <w:left w:val="single" w:sz="4" w:space="0" w:color="auto"/>
              <w:bottom w:val="single" w:sz="4" w:space="0" w:color="auto"/>
              <w:right w:val="single" w:sz="4" w:space="0" w:color="auto"/>
            </w:tcBorders>
            <w:shd w:val="clear" w:color="auto" w:fill="C5EDCE"/>
          </w:tcPr>
          <w:p w14:paraId="5A8AE729" w14:textId="77777777" w:rsidR="00740F0F" w:rsidRPr="0029070D" w:rsidRDefault="00100B64">
            <w:pPr>
              <w:spacing w:line="216" w:lineRule="exact"/>
              <w:ind w:left="20"/>
              <w:rPr>
                <w:rFonts w:ascii="Times New Roman" w:eastAsia="Times New Roman" w:hAnsi="Times New Roman" w:cs="Times New Roman"/>
                <w:noProof/>
                <w:sz w:val="18"/>
                <w:szCs w:val="18"/>
              </w:rPr>
            </w:pPr>
            <w:r>
              <w:rPr>
                <w:rFonts w:ascii="Times New Roman" w:hAnsi="Times New Roman"/>
                <w:noProof/>
                <w:sz w:val="18"/>
              </w:rPr>
              <w:t>Nombre d’étudiants ayant accès aux capacités de formation numérique dans l’enseignement supérieur</w:t>
            </w:r>
          </w:p>
        </w:tc>
      </w:tr>
      <w:tr w:rsidR="00782477" w:rsidRPr="0029070D" w14:paraId="5A8AE739" w14:textId="77777777" w:rsidTr="009C520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201"/>
          <w:jc w:val="center"/>
        </w:trPr>
        <w:tc>
          <w:tcPr>
            <w:tcW w:w="1114" w:type="dxa"/>
            <w:tcBorders>
              <w:top w:val="single" w:sz="4" w:space="0" w:color="auto"/>
              <w:left w:val="single" w:sz="4" w:space="0" w:color="auto"/>
              <w:bottom w:val="single" w:sz="4" w:space="0" w:color="auto"/>
              <w:right w:val="single" w:sz="4" w:space="0" w:color="auto"/>
            </w:tcBorders>
            <w:shd w:val="clear" w:color="auto" w:fill="C5EDCE"/>
          </w:tcPr>
          <w:p w14:paraId="5A8AE72B" w14:textId="77777777" w:rsidR="00740F0F" w:rsidRPr="0029070D" w:rsidRDefault="00100B64">
            <w:pPr>
              <w:spacing w:line="216" w:lineRule="exact"/>
              <w:ind w:left="297" w:right="348"/>
              <w:jc w:val="center"/>
              <w:rPr>
                <w:rFonts w:ascii="Times New Roman" w:eastAsia="Times New Roman" w:hAnsi="Times New Roman" w:cs="Times New Roman"/>
                <w:noProof/>
                <w:sz w:val="18"/>
                <w:szCs w:val="18"/>
              </w:rPr>
            </w:pPr>
            <w:r>
              <w:rPr>
                <w:rFonts w:ascii="Times New Roman" w:hAnsi="Times New Roman"/>
                <w:noProof/>
                <w:sz w:val="18"/>
              </w:rPr>
              <w:t>7-28</w:t>
            </w:r>
          </w:p>
        </w:tc>
        <w:tc>
          <w:tcPr>
            <w:tcW w:w="1291" w:type="dxa"/>
            <w:tcBorders>
              <w:top w:val="single" w:sz="4" w:space="0" w:color="auto"/>
              <w:left w:val="single" w:sz="4" w:space="0" w:color="auto"/>
              <w:bottom w:val="single" w:sz="4" w:space="0" w:color="auto"/>
              <w:right w:val="single" w:sz="4" w:space="0" w:color="auto"/>
            </w:tcBorders>
            <w:shd w:val="clear" w:color="auto" w:fill="C5EDCE"/>
          </w:tcPr>
          <w:p w14:paraId="5A8AE72C" w14:textId="77777777" w:rsidR="00740F0F" w:rsidRPr="0029070D" w:rsidRDefault="00100B64">
            <w:pPr>
              <w:spacing w:line="216" w:lineRule="exact"/>
              <w:jc w:val="center"/>
              <w:rPr>
                <w:rFonts w:ascii="Times New Roman" w:eastAsia="Times New Roman" w:hAnsi="Times New Roman" w:cs="Times New Roman"/>
                <w:noProof/>
                <w:sz w:val="18"/>
                <w:szCs w:val="18"/>
              </w:rPr>
            </w:pPr>
            <w:r>
              <w:rPr>
                <w:rFonts w:ascii="Times New Roman" w:hAnsi="Times New Roman"/>
                <w:noProof/>
                <w:sz w:val="18"/>
              </w:rPr>
              <w:t>C7.I11</w:t>
            </w:r>
          </w:p>
          <w:p w14:paraId="5A8AE72D" w14:textId="77777777" w:rsidR="00740F0F" w:rsidRPr="0029070D" w:rsidRDefault="00100B64">
            <w:pPr>
              <w:spacing w:line="216" w:lineRule="exact"/>
              <w:jc w:val="center"/>
              <w:rPr>
                <w:rFonts w:ascii="Times New Roman" w:eastAsia="Times New Roman" w:hAnsi="Times New Roman" w:cs="Times New Roman"/>
                <w:noProof/>
                <w:sz w:val="18"/>
                <w:szCs w:val="18"/>
              </w:rPr>
            </w:pPr>
            <w:r>
              <w:rPr>
                <w:rFonts w:ascii="Times New Roman" w:hAnsi="Times New Roman"/>
                <w:noProof/>
                <w:sz w:val="18"/>
              </w:rPr>
              <w:t>Culture</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72E" w14:textId="77777777" w:rsidR="00740F0F" w:rsidRPr="0029070D" w:rsidRDefault="00100B64">
            <w:pPr>
              <w:spacing w:line="216" w:lineRule="exact"/>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37" w:type="dxa"/>
            <w:tcBorders>
              <w:top w:val="single" w:sz="4" w:space="0" w:color="auto"/>
              <w:left w:val="single" w:sz="4" w:space="0" w:color="auto"/>
              <w:bottom w:val="single" w:sz="4" w:space="0" w:color="auto"/>
              <w:right w:val="single" w:sz="4" w:space="0" w:color="auto"/>
            </w:tcBorders>
            <w:shd w:val="clear" w:color="auto" w:fill="C5EDCE"/>
          </w:tcPr>
          <w:p w14:paraId="5A8AE72F" w14:textId="77777777" w:rsidR="00740F0F" w:rsidRPr="0029070D" w:rsidRDefault="00100B64" w:rsidP="00B46C4C">
            <w:pPr>
              <w:ind w:left="57" w:right="57"/>
              <w:rPr>
                <w:rFonts w:ascii="Times New Roman" w:eastAsia="Times New Roman" w:hAnsi="Times New Roman" w:cs="Times New Roman"/>
                <w:noProof/>
                <w:sz w:val="18"/>
                <w:szCs w:val="18"/>
              </w:rPr>
            </w:pPr>
            <w:r>
              <w:rPr>
                <w:rFonts w:ascii="Times New Roman" w:hAnsi="Times New Roman"/>
                <w:noProof/>
                <w:sz w:val="18"/>
              </w:rPr>
              <w:t>Cathédrales et monuments historiques nationaux</w:t>
            </w:r>
          </w:p>
        </w:tc>
        <w:tc>
          <w:tcPr>
            <w:tcW w:w="1423" w:type="dxa"/>
            <w:tcBorders>
              <w:top w:val="single" w:sz="4" w:space="0" w:color="auto"/>
              <w:left w:val="single" w:sz="4" w:space="0" w:color="auto"/>
              <w:bottom w:val="single" w:sz="4" w:space="0" w:color="auto"/>
              <w:right w:val="single" w:sz="4" w:space="0" w:color="auto"/>
            </w:tcBorders>
            <w:shd w:val="clear" w:color="auto" w:fill="C5EDCE"/>
          </w:tcPr>
          <w:p w14:paraId="5A8AE730" w14:textId="77777777" w:rsidR="00740F0F" w:rsidRPr="0029070D" w:rsidRDefault="00740F0F">
            <w:pPr>
              <w:spacing w:line="216" w:lineRule="exact"/>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731" w14:textId="77777777" w:rsidR="00740F0F" w:rsidRPr="0029070D" w:rsidRDefault="00100B64">
            <w:pPr>
              <w:spacing w:line="216" w:lineRule="exact"/>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732" w14:textId="77777777" w:rsidR="00740F0F" w:rsidRPr="0029070D" w:rsidRDefault="00100B64">
            <w:pPr>
              <w:spacing w:line="216" w:lineRule="exact"/>
              <w:jc w:val="center"/>
              <w:rPr>
                <w:rFonts w:ascii="Times New Roman" w:eastAsia="Times New Roman" w:hAnsi="Times New Roman" w:cs="Times New Roman"/>
                <w:noProof/>
                <w:sz w:val="18"/>
                <w:szCs w:val="18"/>
              </w:rPr>
            </w:pPr>
            <w:r>
              <w:rPr>
                <w:rFonts w:ascii="Times New Roman" w:hAnsi="Times New Roman"/>
                <w:noProof/>
                <w:sz w:val="18"/>
              </w:rPr>
              <w:t>0</w:t>
            </w: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733" w14:textId="77777777" w:rsidR="00740F0F" w:rsidRPr="0029070D" w:rsidRDefault="00100B64">
            <w:pPr>
              <w:spacing w:line="216" w:lineRule="exact"/>
              <w:jc w:val="center"/>
              <w:rPr>
                <w:rFonts w:ascii="Times New Roman" w:eastAsia="Times New Roman" w:hAnsi="Times New Roman" w:cs="Times New Roman"/>
                <w:noProof/>
                <w:sz w:val="18"/>
                <w:szCs w:val="18"/>
              </w:rPr>
            </w:pPr>
            <w:r>
              <w:rPr>
                <w:rFonts w:ascii="Times New Roman" w:hAnsi="Times New Roman"/>
                <w:noProof/>
                <w:sz w:val="18"/>
              </w:rPr>
              <w:t>60</w:t>
            </w: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734" w14:textId="77777777" w:rsidR="00740F0F" w:rsidRPr="0029070D" w:rsidRDefault="00100B64">
            <w:pPr>
              <w:spacing w:line="216" w:lineRule="exact"/>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735" w14:textId="77777777" w:rsidR="00740F0F" w:rsidRPr="0029070D" w:rsidRDefault="00100B64">
            <w:pPr>
              <w:spacing w:line="216" w:lineRule="exact"/>
              <w:jc w:val="center"/>
              <w:rPr>
                <w:rFonts w:ascii="Times New Roman" w:eastAsia="Times New Roman" w:hAnsi="Times New Roman" w:cs="Times New Roman"/>
                <w:noProof/>
                <w:sz w:val="18"/>
                <w:szCs w:val="18"/>
              </w:rPr>
            </w:pPr>
            <w:r>
              <w:rPr>
                <w:rFonts w:ascii="Times New Roman" w:hAnsi="Times New Roman"/>
                <w:noProof/>
                <w:sz w:val="18"/>
              </w:rPr>
              <w:t>2025</w:t>
            </w:r>
          </w:p>
        </w:tc>
        <w:tc>
          <w:tcPr>
            <w:tcW w:w="3870" w:type="dxa"/>
            <w:tcBorders>
              <w:top w:val="single" w:sz="4" w:space="0" w:color="auto"/>
              <w:left w:val="single" w:sz="4" w:space="0" w:color="auto"/>
              <w:bottom w:val="single" w:sz="4" w:space="0" w:color="auto"/>
              <w:right w:val="single" w:sz="4" w:space="0" w:color="auto"/>
            </w:tcBorders>
            <w:shd w:val="clear" w:color="auto" w:fill="C5EDCE"/>
          </w:tcPr>
          <w:p w14:paraId="5A8AE736" w14:textId="5EA2AAE2" w:rsidR="00740F0F" w:rsidRPr="0029070D" w:rsidRDefault="00100B64">
            <w:pPr>
              <w:rPr>
                <w:rFonts w:ascii="Times New Roman" w:eastAsia="Times New Roman" w:hAnsi="Times New Roman" w:cs="Times New Roman"/>
                <w:noProof/>
                <w:sz w:val="18"/>
                <w:szCs w:val="18"/>
              </w:rPr>
            </w:pPr>
            <w:r>
              <w:rPr>
                <w:rFonts w:ascii="Times New Roman" w:hAnsi="Times New Roman"/>
                <w:noProof/>
                <w:sz w:val="18"/>
              </w:rPr>
              <w:t>Nombre de projets de rénovation de cathédrales et d’autres monuments historiques nationaux appartenant à l’État pour lesquels des travaux ont été réalisés. Cela comprend:</w:t>
            </w:r>
          </w:p>
          <w:p w14:paraId="5A8AE737" w14:textId="77777777" w:rsidR="00740F0F" w:rsidRPr="0029070D" w:rsidRDefault="00100B64">
            <w:pPr>
              <w:pStyle w:val="ListParagraph"/>
              <w:numPr>
                <w:ilvl w:val="0"/>
                <w:numId w:val="44"/>
              </w:numPr>
              <w:spacing w:before="134" w:line="256" w:lineRule="auto"/>
              <w:ind w:right="100"/>
              <w:rPr>
                <w:rFonts w:ascii="Times New Roman" w:eastAsia="Times New Roman" w:hAnsi="Times New Roman" w:cs="Times New Roman"/>
                <w:noProof/>
                <w:sz w:val="18"/>
                <w:szCs w:val="18"/>
              </w:rPr>
            </w:pPr>
            <w:r>
              <w:rPr>
                <w:rFonts w:ascii="Times New Roman" w:hAnsi="Times New Roman"/>
                <w:noProof/>
                <w:sz w:val="18"/>
              </w:rPr>
              <w:t>la rénovation de 45 édifices religieux appartenant à l’État;</w:t>
            </w:r>
          </w:p>
          <w:p w14:paraId="5A8AE738" w14:textId="77777777" w:rsidR="00740F0F" w:rsidRPr="0029070D" w:rsidRDefault="00100B64">
            <w:pPr>
              <w:pStyle w:val="ListParagraph"/>
              <w:numPr>
                <w:ilvl w:val="0"/>
                <w:numId w:val="44"/>
              </w:numPr>
              <w:spacing w:before="134" w:line="256" w:lineRule="auto"/>
              <w:ind w:right="100"/>
              <w:rPr>
                <w:rFonts w:ascii="Times New Roman" w:eastAsia="Times New Roman" w:hAnsi="Times New Roman" w:cs="Times New Roman"/>
                <w:noProof/>
                <w:sz w:val="18"/>
                <w:szCs w:val="18"/>
              </w:rPr>
            </w:pPr>
            <w:r>
              <w:rPr>
                <w:rFonts w:ascii="Times New Roman" w:hAnsi="Times New Roman"/>
                <w:noProof/>
                <w:sz w:val="18"/>
              </w:rPr>
              <w:t>la rénovation de 15 monuments gérés par le Centre des monuments nationaux.</w:t>
            </w:r>
          </w:p>
        </w:tc>
      </w:tr>
      <w:tr w:rsidR="00782477" w:rsidRPr="0029070D" w14:paraId="5A8AE746" w14:textId="77777777" w:rsidTr="009C520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759"/>
          <w:jc w:val="center"/>
        </w:trPr>
        <w:tc>
          <w:tcPr>
            <w:tcW w:w="1114" w:type="dxa"/>
            <w:tcBorders>
              <w:top w:val="single" w:sz="4" w:space="0" w:color="auto"/>
              <w:left w:val="single" w:sz="4" w:space="0" w:color="auto"/>
              <w:bottom w:val="single" w:sz="4" w:space="0" w:color="auto"/>
              <w:right w:val="single" w:sz="4" w:space="0" w:color="auto"/>
            </w:tcBorders>
            <w:shd w:val="clear" w:color="auto" w:fill="C5EDCE"/>
          </w:tcPr>
          <w:p w14:paraId="5A8AE73A" w14:textId="77777777" w:rsidR="00740F0F" w:rsidRPr="0029070D" w:rsidRDefault="00100B64">
            <w:pPr>
              <w:spacing w:line="216" w:lineRule="exact"/>
              <w:ind w:left="297" w:right="348"/>
              <w:jc w:val="center"/>
              <w:rPr>
                <w:rFonts w:ascii="Times New Roman" w:eastAsia="Times New Roman" w:hAnsi="Times New Roman" w:cs="Times New Roman"/>
                <w:noProof/>
                <w:sz w:val="18"/>
                <w:szCs w:val="18"/>
              </w:rPr>
            </w:pPr>
            <w:r>
              <w:rPr>
                <w:rFonts w:ascii="Times New Roman" w:hAnsi="Times New Roman"/>
                <w:noProof/>
                <w:sz w:val="18"/>
              </w:rPr>
              <w:t>7-29</w:t>
            </w:r>
          </w:p>
        </w:tc>
        <w:tc>
          <w:tcPr>
            <w:tcW w:w="1291" w:type="dxa"/>
            <w:tcBorders>
              <w:top w:val="single" w:sz="4" w:space="0" w:color="auto"/>
              <w:left w:val="single" w:sz="4" w:space="0" w:color="auto"/>
              <w:bottom w:val="single" w:sz="4" w:space="0" w:color="auto"/>
              <w:right w:val="single" w:sz="4" w:space="0" w:color="auto"/>
            </w:tcBorders>
            <w:shd w:val="clear" w:color="auto" w:fill="C5EDCE"/>
          </w:tcPr>
          <w:p w14:paraId="5A8AE73B" w14:textId="77777777" w:rsidR="00740F0F" w:rsidRPr="0029070D" w:rsidRDefault="00100B64">
            <w:pPr>
              <w:spacing w:line="216" w:lineRule="exact"/>
              <w:jc w:val="center"/>
              <w:rPr>
                <w:rFonts w:ascii="Times New Roman" w:eastAsia="Times New Roman" w:hAnsi="Times New Roman" w:cs="Times New Roman"/>
                <w:noProof/>
                <w:sz w:val="18"/>
                <w:szCs w:val="18"/>
              </w:rPr>
            </w:pPr>
            <w:r>
              <w:rPr>
                <w:rFonts w:ascii="Times New Roman" w:hAnsi="Times New Roman"/>
                <w:noProof/>
                <w:sz w:val="18"/>
              </w:rPr>
              <w:t>C7.I11</w:t>
            </w:r>
          </w:p>
          <w:p w14:paraId="5A8AE73C" w14:textId="77777777" w:rsidR="00740F0F" w:rsidRPr="0029070D" w:rsidRDefault="00100B64">
            <w:pPr>
              <w:spacing w:line="216" w:lineRule="exact"/>
              <w:ind w:left="20"/>
              <w:jc w:val="center"/>
              <w:rPr>
                <w:rFonts w:ascii="Times New Roman" w:eastAsia="Times New Roman" w:hAnsi="Times New Roman" w:cs="Times New Roman"/>
                <w:noProof/>
                <w:sz w:val="18"/>
                <w:szCs w:val="18"/>
              </w:rPr>
            </w:pPr>
            <w:r>
              <w:rPr>
                <w:rFonts w:ascii="Times New Roman" w:hAnsi="Times New Roman"/>
                <w:noProof/>
                <w:sz w:val="18"/>
              </w:rPr>
              <w:t>Culture</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73D" w14:textId="77777777" w:rsidR="00740F0F" w:rsidRPr="0029070D" w:rsidRDefault="00100B64">
            <w:pPr>
              <w:spacing w:line="216" w:lineRule="exact"/>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37" w:type="dxa"/>
            <w:tcBorders>
              <w:top w:val="single" w:sz="4" w:space="0" w:color="auto"/>
              <w:left w:val="single" w:sz="4" w:space="0" w:color="auto"/>
              <w:bottom w:val="single" w:sz="4" w:space="0" w:color="auto"/>
              <w:right w:val="single" w:sz="4" w:space="0" w:color="auto"/>
            </w:tcBorders>
            <w:shd w:val="clear" w:color="auto" w:fill="C5EDCE"/>
          </w:tcPr>
          <w:p w14:paraId="5A8AE73E" w14:textId="532ADB52" w:rsidR="00740F0F" w:rsidRPr="0029070D" w:rsidRDefault="00100B64" w:rsidP="00B46C4C">
            <w:pPr>
              <w:ind w:left="57" w:right="57"/>
              <w:rPr>
                <w:rFonts w:ascii="Times New Roman" w:eastAsia="Times New Roman" w:hAnsi="Times New Roman" w:cs="Times New Roman"/>
                <w:noProof/>
                <w:sz w:val="18"/>
                <w:szCs w:val="18"/>
              </w:rPr>
            </w:pPr>
            <w:r>
              <w:rPr>
                <w:rFonts w:ascii="Times New Roman" w:hAnsi="Times New Roman"/>
                <w:noProof/>
                <w:sz w:val="18"/>
              </w:rPr>
              <w:t>Monuments appartenant aux autorités locales ou à des propriétaires privés</w:t>
            </w:r>
          </w:p>
        </w:tc>
        <w:tc>
          <w:tcPr>
            <w:tcW w:w="1423" w:type="dxa"/>
            <w:tcBorders>
              <w:top w:val="single" w:sz="4" w:space="0" w:color="auto"/>
              <w:left w:val="single" w:sz="4" w:space="0" w:color="auto"/>
              <w:bottom w:val="single" w:sz="4" w:space="0" w:color="auto"/>
              <w:right w:val="single" w:sz="4" w:space="0" w:color="auto"/>
            </w:tcBorders>
            <w:shd w:val="clear" w:color="auto" w:fill="C5EDCE"/>
          </w:tcPr>
          <w:p w14:paraId="5A8AE73F" w14:textId="77777777" w:rsidR="00740F0F" w:rsidRPr="0029070D" w:rsidRDefault="00740F0F">
            <w:pPr>
              <w:spacing w:line="216" w:lineRule="exact"/>
              <w:ind w:left="145" w:right="104"/>
              <w:jc w:val="center"/>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740" w14:textId="77777777" w:rsidR="00740F0F" w:rsidRPr="0029070D" w:rsidRDefault="00100B64">
            <w:pPr>
              <w:spacing w:line="216" w:lineRule="exact"/>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741" w14:textId="77777777" w:rsidR="00740F0F" w:rsidRPr="0029070D" w:rsidRDefault="00100B64">
            <w:pPr>
              <w:spacing w:line="216" w:lineRule="exact"/>
              <w:jc w:val="center"/>
              <w:rPr>
                <w:rFonts w:ascii="Times New Roman" w:eastAsia="Times New Roman" w:hAnsi="Times New Roman" w:cs="Times New Roman"/>
                <w:noProof/>
                <w:sz w:val="18"/>
                <w:szCs w:val="18"/>
              </w:rPr>
            </w:pPr>
            <w:r>
              <w:rPr>
                <w:rFonts w:ascii="Times New Roman" w:hAnsi="Times New Roman"/>
                <w:noProof/>
                <w:sz w:val="18"/>
              </w:rPr>
              <w:t>0</w:t>
            </w: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742" w14:textId="77777777" w:rsidR="00740F0F" w:rsidRPr="0029070D" w:rsidRDefault="00100B64">
            <w:pPr>
              <w:spacing w:line="216" w:lineRule="exact"/>
              <w:jc w:val="center"/>
              <w:rPr>
                <w:rFonts w:ascii="Times New Roman" w:eastAsia="Times New Roman" w:hAnsi="Times New Roman" w:cs="Times New Roman"/>
                <w:noProof/>
                <w:sz w:val="18"/>
                <w:szCs w:val="18"/>
              </w:rPr>
            </w:pPr>
            <w:r>
              <w:rPr>
                <w:rFonts w:ascii="Times New Roman" w:hAnsi="Times New Roman"/>
                <w:noProof/>
                <w:sz w:val="18"/>
              </w:rPr>
              <w:t>82</w:t>
            </w: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743" w14:textId="77777777" w:rsidR="00740F0F" w:rsidRPr="0029070D" w:rsidRDefault="00100B64">
            <w:pPr>
              <w:spacing w:line="216" w:lineRule="exact"/>
              <w:ind w:left="77" w:right="62"/>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744" w14:textId="77777777" w:rsidR="00740F0F" w:rsidRPr="0029070D" w:rsidRDefault="00100B64">
            <w:pPr>
              <w:spacing w:line="216" w:lineRule="exact"/>
              <w:ind w:right="209"/>
              <w:jc w:val="center"/>
              <w:rPr>
                <w:rFonts w:ascii="Times New Roman" w:eastAsia="Times New Roman" w:hAnsi="Times New Roman" w:cs="Times New Roman"/>
                <w:noProof/>
                <w:sz w:val="18"/>
                <w:szCs w:val="18"/>
              </w:rPr>
            </w:pPr>
            <w:r>
              <w:rPr>
                <w:rFonts w:ascii="Times New Roman" w:hAnsi="Times New Roman"/>
                <w:noProof/>
                <w:sz w:val="18"/>
              </w:rPr>
              <w:t>2025</w:t>
            </w:r>
          </w:p>
        </w:tc>
        <w:tc>
          <w:tcPr>
            <w:tcW w:w="3870" w:type="dxa"/>
            <w:tcBorders>
              <w:top w:val="single" w:sz="4" w:space="0" w:color="auto"/>
              <w:left w:val="single" w:sz="4" w:space="0" w:color="auto"/>
              <w:bottom w:val="single" w:sz="4" w:space="0" w:color="auto"/>
              <w:right w:val="single" w:sz="4" w:space="0" w:color="auto"/>
            </w:tcBorders>
            <w:shd w:val="clear" w:color="auto" w:fill="C5EDCE"/>
          </w:tcPr>
          <w:p w14:paraId="5A8AE745" w14:textId="1BF50013" w:rsidR="00740F0F" w:rsidRPr="0029070D" w:rsidRDefault="00100B64" w:rsidP="002D67E0">
            <w:pPr>
              <w:spacing w:line="216" w:lineRule="exact"/>
              <w:ind w:right="348"/>
              <w:rPr>
                <w:rFonts w:ascii="Times New Roman" w:eastAsia="Times New Roman" w:hAnsi="Times New Roman" w:cs="Times New Roman"/>
                <w:noProof/>
                <w:sz w:val="18"/>
                <w:szCs w:val="18"/>
              </w:rPr>
            </w:pPr>
            <w:r>
              <w:rPr>
                <w:rFonts w:ascii="Times New Roman" w:hAnsi="Times New Roman"/>
                <w:noProof/>
                <w:sz w:val="18"/>
              </w:rPr>
              <w:t>Nombre de projets de rénovation de monuments et d’équipements patrimoniaux appartenant à des collectivités locales ou territoriales ou à des propriétaires privés, pour lesquels des travaux ont été réalisés. Les équipements patrimoniaux comprennent les musées, les archives et les centres de conservation destinés à préserver les vestiges issus des fouilles archéologiques.</w:t>
            </w:r>
          </w:p>
        </w:tc>
      </w:tr>
      <w:tr w:rsidR="00782477" w:rsidRPr="0029070D" w14:paraId="5A8AE753" w14:textId="77777777" w:rsidTr="009C520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836"/>
          <w:jc w:val="center"/>
        </w:trPr>
        <w:tc>
          <w:tcPr>
            <w:tcW w:w="1114" w:type="dxa"/>
            <w:tcBorders>
              <w:top w:val="single" w:sz="4" w:space="0" w:color="auto"/>
              <w:left w:val="single" w:sz="4" w:space="0" w:color="auto"/>
              <w:bottom w:val="single" w:sz="4" w:space="0" w:color="auto"/>
              <w:right w:val="single" w:sz="4" w:space="0" w:color="auto"/>
            </w:tcBorders>
            <w:shd w:val="clear" w:color="auto" w:fill="C5EDCE"/>
          </w:tcPr>
          <w:p w14:paraId="5A8AE747" w14:textId="77777777" w:rsidR="00740F0F" w:rsidRPr="0029070D" w:rsidRDefault="00100B64">
            <w:pPr>
              <w:spacing w:line="216" w:lineRule="exact"/>
              <w:ind w:left="297" w:right="348"/>
              <w:jc w:val="center"/>
              <w:rPr>
                <w:rFonts w:ascii="Times New Roman" w:eastAsia="Times New Roman" w:hAnsi="Times New Roman" w:cs="Times New Roman"/>
                <w:noProof/>
                <w:sz w:val="18"/>
                <w:szCs w:val="18"/>
              </w:rPr>
            </w:pPr>
            <w:r>
              <w:rPr>
                <w:rFonts w:ascii="Times New Roman" w:hAnsi="Times New Roman"/>
                <w:noProof/>
                <w:sz w:val="18"/>
              </w:rPr>
              <w:t>7-30</w:t>
            </w:r>
          </w:p>
        </w:tc>
        <w:tc>
          <w:tcPr>
            <w:tcW w:w="1291" w:type="dxa"/>
            <w:tcBorders>
              <w:top w:val="single" w:sz="4" w:space="0" w:color="auto"/>
              <w:left w:val="single" w:sz="4" w:space="0" w:color="auto"/>
              <w:bottom w:val="single" w:sz="4" w:space="0" w:color="auto"/>
              <w:right w:val="single" w:sz="4" w:space="0" w:color="auto"/>
            </w:tcBorders>
            <w:shd w:val="clear" w:color="auto" w:fill="C5EDCE"/>
          </w:tcPr>
          <w:p w14:paraId="5A8AE748" w14:textId="77777777" w:rsidR="00740F0F" w:rsidRPr="0029070D" w:rsidRDefault="00100B64">
            <w:pPr>
              <w:spacing w:line="216" w:lineRule="exact"/>
              <w:jc w:val="center"/>
              <w:rPr>
                <w:rFonts w:ascii="Times New Roman" w:eastAsia="Times New Roman" w:hAnsi="Times New Roman" w:cs="Times New Roman"/>
                <w:noProof/>
                <w:sz w:val="18"/>
                <w:szCs w:val="18"/>
              </w:rPr>
            </w:pPr>
            <w:r>
              <w:rPr>
                <w:rFonts w:ascii="Times New Roman" w:hAnsi="Times New Roman"/>
                <w:noProof/>
                <w:sz w:val="18"/>
              </w:rPr>
              <w:t>C7.I11</w:t>
            </w:r>
          </w:p>
          <w:p w14:paraId="5A8AE749" w14:textId="77777777" w:rsidR="00740F0F" w:rsidRPr="0029070D" w:rsidRDefault="00100B64">
            <w:pPr>
              <w:spacing w:line="216" w:lineRule="exact"/>
              <w:jc w:val="center"/>
              <w:rPr>
                <w:rFonts w:ascii="Times New Roman" w:eastAsia="Times New Roman" w:hAnsi="Times New Roman" w:cs="Times New Roman"/>
                <w:noProof/>
                <w:sz w:val="18"/>
                <w:szCs w:val="18"/>
              </w:rPr>
            </w:pPr>
            <w:r>
              <w:rPr>
                <w:rFonts w:ascii="Times New Roman" w:hAnsi="Times New Roman"/>
                <w:noProof/>
                <w:sz w:val="18"/>
              </w:rPr>
              <w:t>Culture</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74A" w14:textId="77777777" w:rsidR="00740F0F" w:rsidRPr="0029070D" w:rsidRDefault="00100B64">
            <w:pPr>
              <w:spacing w:line="216" w:lineRule="exact"/>
              <w:ind w:left="82" w:right="41"/>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37" w:type="dxa"/>
            <w:tcBorders>
              <w:top w:val="single" w:sz="4" w:space="0" w:color="auto"/>
              <w:left w:val="single" w:sz="4" w:space="0" w:color="auto"/>
              <w:bottom w:val="single" w:sz="4" w:space="0" w:color="auto"/>
              <w:right w:val="single" w:sz="4" w:space="0" w:color="auto"/>
            </w:tcBorders>
            <w:shd w:val="clear" w:color="auto" w:fill="C5EDCE"/>
          </w:tcPr>
          <w:p w14:paraId="5A8AE74B" w14:textId="77777777" w:rsidR="00740F0F" w:rsidRPr="0029070D" w:rsidRDefault="00100B64" w:rsidP="00B46C4C">
            <w:pPr>
              <w:ind w:left="57" w:right="57"/>
              <w:rPr>
                <w:rFonts w:ascii="Times New Roman" w:eastAsia="Times New Roman" w:hAnsi="Times New Roman" w:cs="Times New Roman"/>
                <w:noProof/>
                <w:sz w:val="18"/>
                <w:szCs w:val="18"/>
              </w:rPr>
            </w:pPr>
            <w:r>
              <w:rPr>
                <w:rFonts w:ascii="Times New Roman" w:hAnsi="Times New Roman"/>
                <w:noProof/>
                <w:sz w:val="18"/>
              </w:rPr>
              <w:t>Écoles d’art et d’architecture</w:t>
            </w:r>
          </w:p>
        </w:tc>
        <w:tc>
          <w:tcPr>
            <w:tcW w:w="1423" w:type="dxa"/>
            <w:tcBorders>
              <w:top w:val="single" w:sz="4" w:space="0" w:color="auto"/>
              <w:left w:val="single" w:sz="4" w:space="0" w:color="auto"/>
              <w:bottom w:val="single" w:sz="4" w:space="0" w:color="auto"/>
              <w:right w:val="single" w:sz="4" w:space="0" w:color="auto"/>
            </w:tcBorders>
            <w:shd w:val="clear" w:color="auto" w:fill="C5EDCE"/>
          </w:tcPr>
          <w:p w14:paraId="5A8AE74C" w14:textId="77777777" w:rsidR="00740F0F" w:rsidRPr="0029070D" w:rsidRDefault="00740F0F">
            <w:pPr>
              <w:spacing w:line="216" w:lineRule="exact"/>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74D" w14:textId="77777777" w:rsidR="00740F0F" w:rsidRPr="0029070D" w:rsidRDefault="00100B64">
            <w:pPr>
              <w:spacing w:line="216" w:lineRule="exact"/>
              <w:ind w:left="125" w:right="94"/>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74E" w14:textId="77777777" w:rsidR="00740F0F" w:rsidRPr="0029070D" w:rsidRDefault="00100B64">
            <w:pPr>
              <w:spacing w:line="216" w:lineRule="exact"/>
              <w:ind w:left="33"/>
              <w:jc w:val="center"/>
              <w:rPr>
                <w:rFonts w:ascii="Times New Roman" w:eastAsia="Times New Roman" w:hAnsi="Times New Roman" w:cs="Times New Roman"/>
                <w:noProof/>
                <w:sz w:val="18"/>
                <w:szCs w:val="18"/>
              </w:rPr>
            </w:pPr>
            <w:r>
              <w:rPr>
                <w:rFonts w:ascii="Times New Roman" w:hAnsi="Times New Roman"/>
                <w:noProof/>
                <w:sz w:val="18"/>
              </w:rPr>
              <w:t>0</w:t>
            </w: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74F" w14:textId="5B7AF79E" w:rsidR="00740F0F" w:rsidRPr="0029070D" w:rsidRDefault="00A1734F">
            <w:pPr>
              <w:spacing w:line="216" w:lineRule="exact"/>
              <w:ind w:left="58" w:right="44"/>
              <w:jc w:val="center"/>
              <w:rPr>
                <w:rFonts w:ascii="Times New Roman" w:eastAsia="Times New Roman" w:hAnsi="Times New Roman" w:cs="Times New Roman"/>
                <w:noProof/>
                <w:sz w:val="18"/>
                <w:szCs w:val="18"/>
              </w:rPr>
            </w:pPr>
            <w:r>
              <w:rPr>
                <w:rFonts w:ascii="Times New Roman" w:hAnsi="Times New Roman"/>
                <w:noProof/>
                <w:sz w:val="18"/>
              </w:rPr>
              <w:t>10</w:t>
            </w: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750" w14:textId="77777777" w:rsidR="00740F0F" w:rsidRPr="0029070D" w:rsidRDefault="00100B64">
            <w:pPr>
              <w:spacing w:line="216" w:lineRule="exact"/>
              <w:ind w:left="77" w:right="62"/>
              <w:jc w:val="center"/>
              <w:rPr>
                <w:rFonts w:ascii="Times New Roman" w:eastAsia="Times New Roman" w:hAnsi="Times New Roman" w:cs="Times New Roman"/>
                <w:noProof/>
                <w:sz w:val="18"/>
                <w:szCs w:val="18"/>
              </w:rPr>
            </w:pPr>
            <w:r>
              <w:rPr>
                <w:rFonts w:ascii="Times New Roman" w:hAnsi="Times New Roman"/>
                <w:noProof/>
                <w:sz w:val="18"/>
              </w:rPr>
              <w:t>T2</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751" w14:textId="77777777" w:rsidR="00740F0F" w:rsidRPr="0029070D" w:rsidRDefault="00100B64">
            <w:pPr>
              <w:spacing w:line="216" w:lineRule="exact"/>
              <w:ind w:right="207"/>
              <w:jc w:val="center"/>
              <w:rPr>
                <w:rFonts w:ascii="Times New Roman" w:eastAsia="Times New Roman" w:hAnsi="Times New Roman" w:cs="Times New Roman"/>
                <w:noProof/>
                <w:sz w:val="18"/>
                <w:szCs w:val="18"/>
              </w:rPr>
            </w:pPr>
            <w:r>
              <w:rPr>
                <w:rFonts w:ascii="Times New Roman" w:hAnsi="Times New Roman"/>
                <w:noProof/>
                <w:sz w:val="18"/>
              </w:rPr>
              <w:t>2026</w:t>
            </w:r>
          </w:p>
        </w:tc>
        <w:tc>
          <w:tcPr>
            <w:tcW w:w="3870" w:type="dxa"/>
            <w:tcBorders>
              <w:top w:val="single" w:sz="4" w:space="0" w:color="auto"/>
              <w:left w:val="single" w:sz="4" w:space="0" w:color="auto"/>
              <w:bottom w:val="single" w:sz="4" w:space="0" w:color="auto"/>
              <w:right w:val="single" w:sz="4" w:space="0" w:color="auto"/>
            </w:tcBorders>
            <w:shd w:val="clear" w:color="auto" w:fill="C5EDCE"/>
          </w:tcPr>
          <w:p w14:paraId="5A8AE752" w14:textId="77777777" w:rsidR="00740F0F" w:rsidRPr="0029070D" w:rsidRDefault="00100B64">
            <w:pPr>
              <w:spacing w:line="216" w:lineRule="exact"/>
              <w:ind w:left="28" w:right="100"/>
              <w:rPr>
                <w:rFonts w:ascii="Times New Roman" w:eastAsia="Times New Roman" w:hAnsi="Times New Roman" w:cs="Times New Roman"/>
                <w:noProof/>
                <w:sz w:val="18"/>
                <w:szCs w:val="18"/>
              </w:rPr>
            </w:pPr>
            <w:r>
              <w:rPr>
                <w:rFonts w:ascii="Times New Roman" w:hAnsi="Times New Roman"/>
                <w:noProof/>
                <w:sz w:val="18"/>
              </w:rPr>
              <w:t>Nombre d’écoles d’art et d’architecture pour lesquelles des travaux de rénovation énergétique et des investissements numériques ont été réalisés</w:t>
            </w:r>
          </w:p>
        </w:tc>
      </w:tr>
      <w:tr w:rsidR="00782477" w:rsidRPr="0029070D" w14:paraId="5A8AE760" w14:textId="77777777" w:rsidTr="009C520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786"/>
          <w:jc w:val="center"/>
        </w:trPr>
        <w:tc>
          <w:tcPr>
            <w:tcW w:w="1114" w:type="dxa"/>
            <w:tcBorders>
              <w:top w:val="single" w:sz="4" w:space="0" w:color="auto"/>
              <w:left w:val="single" w:sz="4" w:space="0" w:color="auto"/>
              <w:bottom w:val="single" w:sz="4" w:space="0" w:color="auto"/>
              <w:right w:val="single" w:sz="4" w:space="0" w:color="auto"/>
            </w:tcBorders>
            <w:shd w:val="clear" w:color="auto" w:fill="C5EDCE"/>
          </w:tcPr>
          <w:p w14:paraId="5A8AE754" w14:textId="77777777" w:rsidR="00740F0F" w:rsidRPr="0029070D" w:rsidRDefault="00100B64">
            <w:pPr>
              <w:spacing w:line="216" w:lineRule="exact"/>
              <w:ind w:left="297" w:right="348"/>
              <w:jc w:val="center"/>
              <w:rPr>
                <w:rFonts w:ascii="Times New Roman" w:eastAsia="Times New Roman" w:hAnsi="Times New Roman" w:cs="Times New Roman"/>
                <w:noProof/>
                <w:sz w:val="18"/>
                <w:szCs w:val="18"/>
              </w:rPr>
            </w:pPr>
            <w:r>
              <w:rPr>
                <w:rFonts w:ascii="Times New Roman" w:hAnsi="Times New Roman"/>
                <w:noProof/>
                <w:sz w:val="18"/>
              </w:rPr>
              <w:t>7-31</w:t>
            </w:r>
          </w:p>
        </w:tc>
        <w:tc>
          <w:tcPr>
            <w:tcW w:w="1291" w:type="dxa"/>
            <w:tcBorders>
              <w:top w:val="single" w:sz="4" w:space="0" w:color="auto"/>
              <w:left w:val="single" w:sz="4" w:space="0" w:color="auto"/>
              <w:bottom w:val="single" w:sz="4" w:space="0" w:color="auto"/>
              <w:right w:val="single" w:sz="4" w:space="0" w:color="auto"/>
            </w:tcBorders>
            <w:shd w:val="clear" w:color="auto" w:fill="C5EDCE"/>
          </w:tcPr>
          <w:p w14:paraId="5A8AE755" w14:textId="77777777" w:rsidR="00740F0F" w:rsidRPr="0029070D" w:rsidRDefault="00100B64">
            <w:pPr>
              <w:spacing w:line="216" w:lineRule="exact"/>
              <w:jc w:val="center"/>
              <w:rPr>
                <w:rFonts w:ascii="Times New Roman" w:eastAsia="Times New Roman" w:hAnsi="Times New Roman" w:cs="Times New Roman"/>
                <w:noProof/>
                <w:sz w:val="18"/>
                <w:szCs w:val="18"/>
              </w:rPr>
            </w:pPr>
            <w:r>
              <w:rPr>
                <w:rFonts w:ascii="Times New Roman" w:hAnsi="Times New Roman"/>
                <w:noProof/>
                <w:sz w:val="18"/>
              </w:rPr>
              <w:t>C7.I11</w:t>
            </w:r>
          </w:p>
          <w:p w14:paraId="5A8AE756" w14:textId="77777777" w:rsidR="00740F0F" w:rsidRPr="0029070D" w:rsidRDefault="00100B64">
            <w:pPr>
              <w:spacing w:line="216" w:lineRule="exact"/>
              <w:jc w:val="center"/>
              <w:rPr>
                <w:rFonts w:ascii="Times New Roman" w:eastAsia="Times New Roman" w:hAnsi="Times New Roman" w:cs="Times New Roman"/>
                <w:noProof/>
                <w:sz w:val="18"/>
                <w:szCs w:val="18"/>
              </w:rPr>
            </w:pPr>
            <w:r>
              <w:rPr>
                <w:rFonts w:ascii="Times New Roman" w:hAnsi="Times New Roman"/>
                <w:noProof/>
                <w:sz w:val="18"/>
              </w:rPr>
              <w:t>Culture</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757" w14:textId="77777777" w:rsidR="00740F0F" w:rsidRPr="0029070D" w:rsidRDefault="00100B64">
            <w:pPr>
              <w:spacing w:line="216" w:lineRule="exact"/>
              <w:ind w:left="191"/>
              <w:rPr>
                <w:rFonts w:ascii="Times New Roman" w:eastAsia="Times New Roman" w:hAnsi="Times New Roman" w:cs="Times New Roman"/>
                <w:noProof/>
                <w:sz w:val="18"/>
                <w:szCs w:val="18"/>
              </w:rPr>
            </w:pPr>
            <w:r>
              <w:rPr>
                <w:rFonts w:ascii="Times New Roman" w:hAnsi="Times New Roman"/>
                <w:noProof/>
                <w:sz w:val="18"/>
              </w:rPr>
              <w:t>Jalon</w:t>
            </w:r>
          </w:p>
        </w:tc>
        <w:tc>
          <w:tcPr>
            <w:tcW w:w="1837" w:type="dxa"/>
            <w:tcBorders>
              <w:top w:val="single" w:sz="4" w:space="0" w:color="auto"/>
              <w:left w:val="single" w:sz="4" w:space="0" w:color="auto"/>
              <w:bottom w:val="single" w:sz="4" w:space="0" w:color="auto"/>
              <w:right w:val="single" w:sz="4" w:space="0" w:color="auto"/>
            </w:tcBorders>
            <w:shd w:val="clear" w:color="auto" w:fill="C5EDCE"/>
          </w:tcPr>
          <w:p w14:paraId="5A8AE758" w14:textId="77777777" w:rsidR="00740F0F" w:rsidRPr="0029070D" w:rsidRDefault="00100B64" w:rsidP="00B46C4C">
            <w:pPr>
              <w:ind w:left="57" w:right="57"/>
              <w:rPr>
                <w:rFonts w:ascii="Times New Roman" w:eastAsia="Times New Roman" w:hAnsi="Times New Roman" w:cs="Times New Roman"/>
                <w:noProof/>
                <w:sz w:val="18"/>
                <w:szCs w:val="18"/>
              </w:rPr>
            </w:pPr>
            <w:r>
              <w:rPr>
                <w:rFonts w:ascii="Times New Roman" w:hAnsi="Times New Roman"/>
                <w:noProof/>
                <w:sz w:val="18"/>
              </w:rPr>
              <w:t>Dispositifs de soutien à la création artistique</w:t>
            </w:r>
          </w:p>
        </w:tc>
        <w:tc>
          <w:tcPr>
            <w:tcW w:w="1423" w:type="dxa"/>
            <w:tcBorders>
              <w:top w:val="single" w:sz="4" w:space="0" w:color="auto"/>
              <w:left w:val="single" w:sz="4" w:space="0" w:color="auto"/>
              <w:bottom w:val="single" w:sz="4" w:space="0" w:color="auto"/>
              <w:right w:val="single" w:sz="4" w:space="0" w:color="auto"/>
            </w:tcBorders>
            <w:shd w:val="clear" w:color="auto" w:fill="C5EDCE"/>
          </w:tcPr>
          <w:p w14:paraId="5A8AE759" w14:textId="77777777" w:rsidR="00740F0F" w:rsidRPr="0029070D" w:rsidRDefault="00100B64">
            <w:pPr>
              <w:spacing w:line="216" w:lineRule="exact"/>
              <w:ind w:right="128" w:hanging="2"/>
              <w:rPr>
                <w:rFonts w:ascii="Times New Roman" w:eastAsia="Times New Roman" w:hAnsi="Times New Roman" w:cs="Times New Roman"/>
                <w:noProof/>
                <w:sz w:val="18"/>
                <w:szCs w:val="18"/>
              </w:rPr>
            </w:pPr>
            <w:r>
              <w:rPr>
                <w:rFonts w:ascii="Times New Roman" w:hAnsi="Times New Roman"/>
                <w:noProof/>
                <w:sz w:val="18"/>
              </w:rPr>
              <w:t xml:space="preserve">Rapport publié par le gouvernement français pour prouver l’achèvement des travaux </w:t>
            </w: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75A" w14:textId="77777777" w:rsidR="00740F0F" w:rsidRPr="0029070D" w:rsidRDefault="00740F0F">
            <w:pPr>
              <w:spacing w:line="216" w:lineRule="exact"/>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75B" w14:textId="77777777" w:rsidR="00740F0F" w:rsidRPr="0029070D" w:rsidRDefault="00740F0F">
            <w:pPr>
              <w:spacing w:line="216" w:lineRule="exact"/>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75C" w14:textId="77777777" w:rsidR="00740F0F" w:rsidRPr="0029070D" w:rsidRDefault="00740F0F">
            <w:pPr>
              <w:spacing w:line="216" w:lineRule="exact"/>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75D" w14:textId="77777777" w:rsidR="00740F0F" w:rsidRPr="0029070D" w:rsidRDefault="00100B64">
            <w:pPr>
              <w:spacing w:line="216" w:lineRule="exact"/>
              <w:ind w:left="77" w:right="62"/>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75E" w14:textId="77777777" w:rsidR="00740F0F" w:rsidRPr="0029070D" w:rsidRDefault="00100B64">
            <w:pPr>
              <w:spacing w:line="216" w:lineRule="exact"/>
              <w:ind w:right="209"/>
              <w:jc w:val="center"/>
              <w:rPr>
                <w:rFonts w:ascii="Times New Roman" w:eastAsia="Times New Roman" w:hAnsi="Times New Roman" w:cs="Times New Roman"/>
                <w:noProof/>
                <w:sz w:val="18"/>
                <w:szCs w:val="18"/>
              </w:rPr>
            </w:pPr>
            <w:r>
              <w:rPr>
                <w:rFonts w:ascii="Times New Roman" w:hAnsi="Times New Roman"/>
                <w:noProof/>
                <w:sz w:val="18"/>
              </w:rPr>
              <w:t>2024</w:t>
            </w:r>
          </w:p>
        </w:tc>
        <w:tc>
          <w:tcPr>
            <w:tcW w:w="3870" w:type="dxa"/>
            <w:tcBorders>
              <w:top w:val="single" w:sz="4" w:space="0" w:color="auto"/>
              <w:left w:val="single" w:sz="4" w:space="0" w:color="auto"/>
              <w:bottom w:val="single" w:sz="4" w:space="0" w:color="auto"/>
              <w:right w:val="single" w:sz="4" w:space="0" w:color="auto"/>
            </w:tcBorders>
            <w:shd w:val="clear" w:color="auto" w:fill="C5EDCE"/>
          </w:tcPr>
          <w:p w14:paraId="5A8AE75F" w14:textId="77777777" w:rsidR="00740F0F" w:rsidRPr="0029070D" w:rsidRDefault="00100B64">
            <w:pPr>
              <w:spacing w:line="216" w:lineRule="exact"/>
              <w:ind w:left="28" w:right="189"/>
              <w:rPr>
                <w:rFonts w:ascii="Times New Roman" w:eastAsia="Times New Roman" w:hAnsi="Times New Roman" w:cs="Times New Roman"/>
                <w:noProof/>
                <w:sz w:val="18"/>
                <w:szCs w:val="18"/>
              </w:rPr>
            </w:pPr>
            <w:r>
              <w:rPr>
                <w:rFonts w:ascii="Times New Roman" w:hAnsi="Times New Roman"/>
                <w:noProof/>
                <w:sz w:val="18"/>
              </w:rPr>
              <w:t>Achèvement des deux programmes visant à soutenir les institutions axées sur la création artistique et à soutenir les artistes par le biais d’un programme public de soutien à la création d’œuvres d’art.</w:t>
            </w:r>
          </w:p>
        </w:tc>
      </w:tr>
      <w:tr w:rsidR="00782477" w:rsidRPr="0029070D" w14:paraId="5A8AE76E" w14:textId="77777777" w:rsidTr="009C520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273"/>
          <w:jc w:val="center"/>
        </w:trPr>
        <w:tc>
          <w:tcPr>
            <w:tcW w:w="1114" w:type="dxa"/>
            <w:tcBorders>
              <w:top w:val="single" w:sz="4" w:space="0" w:color="auto"/>
              <w:left w:val="single" w:sz="4" w:space="0" w:color="auto"/>
              <w:bottom w:val="single" w:sz="4" w:space="0" w:color="auto"/>
              <w:right w:val="single" w:sz="4" w:space="0" w:color="auto"/>
            </w:tcBorders>
            <w:shd w:val="clear" w:color="auto" w:fill="C5EDCE"/>
          </w:tcPr>
          <w:p w14:paraId="5A8AE761" w14:textId="77777777" w:rsidR="00740F0F" w:rsidRPr="0029070D" w:rsidRDefault="00100B64">
            <w:pPr>
              <w:spacing w:line="216" w:lineRule="exact"/>
              <w:ind w:left="297" w:right="348"/>
              <w:jc w:val="center"/>
              <w:rPr>
                <w:rFonts w:ascii="Times New Roman" w:eastAsia="Times New Roman" w:hAnsi="Times New Roman" w:cs="Times New Roman"/>
                <w:noProof/>
                <w:sz w:val="18"/>
                <w:szCs w:val="18"/>
              </w:rPr>
            </w:pPr>
            <w:r>
              <w:rPr>
                <w:rFonts w:ascii="Times New Roman" w:hAnsi="Times New Roman"/>
                <w:noProof/>
                <w:sz w:val="18"/>
              </w:rPr>
              <w:t>7-35</w:t>
            </w:r>
          </w:p>
        </w:tc>
        <w:tc>
          <w:tcPr>
            <w:tcW w:w="1291" w:type="dxa"/>
            <w:tcBorders>
              <w:top w:val="single" w:sz="4" w:space="0" w:color="auto"/>
              <w:left w:val="single" w:sz="4" w:space="0" w:color="auto"/>
              <w:bottom w:val="single" w:sz="4" w:space="0" w:color="auto"/>
              <w:right w:val="single" w:sz="4" w:space="0" w:color="auto"/>
            </w:tcBorders>
            <w:shd w:val="clear" w:color="auto" w:fill="C5EDCE"/>
          </w:tcPr>
          <w:p w14:paraId="5A8AE762" w14:textId="77777777" w:rsidR="00740F0F" w:rsidRPr="0029070D" w:rsidRDefault="00100B64">
            <w:pPr>
              <w:spacing w:line="216" w:lineRule="exact"/>
              <w:ind w:left="20" w:right="-52" w:hanging="1"/>
              <w:rPr>
                <w:rFonts w:ascii="Times New Roman" w:eastAsia="Times New Roman" w:hAnsi="Times New Roman" w:cs="Times New Roman"/>
                <w:noProof/>
                <w:sz w:val="18"/>
                <w:szCs w:val="18"/>
              </w:rPr>
            </w:pPr>
            <w:r>
              <w:rPr>
                <w:rFonts w:ascii="Times New Roman" w:hAnsi="Times New Roman"/>
                <w:noProof/>
                <w:sz w:val="18"/>
              </w:rPr>
              <w:t>Procédures de contrôle et d’audit pour la mise en œuvre de la facilité pour la reprise et la résilience</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763" w14:textId="77777777" w:rsidR="00740F0F" w:rsidRPr="0029070D" w:rsidRDefault="00100B64">
            <w:pPr>
              <w:spacing w:line="216" w:lineRule="exact"/>
              <w:ind w:left="62"/>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37" w:type="dxa"/>
            <w:tcBorders>
              <w:top w:val="single" w:sz="4" w:space="0" w:color="auto"/>
              <w:left w:val="single" w:sz="4" w:space="0" w:color="auto"/>
              <w:bottom w:val="single" w:sz="4" w:space="0" w:color="auto"/>
              <w:right w:val="single" w:sz="4" w:space="0" w:color="auto"/>
            </w:tcBorders>
            <w:shd w:val="clear" w:color="auto" w:fill="C5EDCE"/>
          </w:tcPr>
          <w:p w14:paraId="5A8AE764" w14:textId="77777777" w:rsidR="00740F0F" w:rsidRPr="0029070D" w:rsidRDefault="00100B64">
            <w:pPr>
              <w:spacing w:line="216" w:lineRule="exact"/>
              <w:ind w:left="59" w:right="67" w:hanging="1"/>
              <w:rPr>
                <w:rFonts w:ascii="Times New Roman" w:eastAsia="Times New Roman" w:hAnsi="Times New Roman" w:cs="Times New Roman"/>
                <w:noProof/>
                <w:sz w:val="18"/>
                <w:szCs w:val="18"/>
              </w:rPr>
            </w:pPr>
            <w:r>
              <w:rPr>
                <w:rFonts w:ascii="Times New Roman" w:hAnsi="Times New Roman"/>
                <w:noProof/>
                <w:sz w:val="18"/>
              </w:rPr>
              <w:t>Organisation du système et du traitement des données et organisation des audits</w:t>
            </w:r>
          </w:p>
        </w:tc>
        <w:tc>
          <w:tcPr>
            <w:tcW w:w="1423" w:type="dxa"/>
            <w:tcBorders>
              <w:top w:val="single" w:sz="4" w:space="0" w:color="auto"/>
              <w:left w:val="single" w:sz="4" w:space="0" w:color="auto"/>
              <w:bottom w:val="single" w:sz="4" w:space="0" w:color="auto"/>
              <w:right w:val="single" w:sz="4" w:space="0" w:color="auto"/>
            </w:tcBorders>
            <w:shd w:val="clear" w:color="auto" w:fill="C5EDCE"/>
          </w:tcPr>
          <w:p w14:paraId="5A8AE765" w14:textId="77777777" w:rsidR="00740F0F" w:rsidRPr="0029070D" w:rsidRDefault="00100B64">
            <w:pPr>
              <w:spacing w:line="216" w:lineRule="exact"/>
              <w:ind w:right="119" w:hanging="4"/>
              <w:rPr>
                <w:rFonts w:ascii="Times New Roman" w:eastAsia="Times New Roman" w:hAnsi="Times New Roman" w:cs="Times New Roman"/>
                <w:noProof/>
                <w:sz w:val="18"/>
                <w:szCs w:val="18"/>
              </w:rPr>
            </w:pPr>
            <w:r>
              <w:rPr>
                <w:rFonts w:ascii="Times New Roman" w:hAnsi="Times New Roman"/>
                <w:noProof/>
                <w:sz w:val="18"/>
              </w:rPr>
              <w:t>Signature de la circulaire et rapport de la CICC</w:t>
            </w: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766" w14:textId="77777777" w:rsidR="00740F0F" w:rsidRPr="0029070D" w:rsidRDefault="00740F0F">
            <w:pPr>
              <w:spacing w:line="216" w:lineRule="exact"/>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5EDCE"/>
          </w:tcPr>
          <w:p w14:paraId="5A8AE767" w14:textId="77777777" w:rsidR="00740F0F" w:rsidRPr="0029070D" w:rsidRDefault="00740F0F">
            <w:pPr>
              <w:spacing w:line="216" w:lineRule="exact"/>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5EDCE"/>
          </w:tcPr>
          <w:p w14:paraId="5A8AE768" w14:textId="77777777" w:rsidR="00740F0F" w:rsidRPr="0029070D" w:rsidRDefault="00740F0F">
            <w:pPr>
              <w:spacing w:line="216" w:lineRule="exact"/>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5EDCE"/>
          </w:tcPr>
          <w:p w14:paraId="5A8AE769" w14:textId="77777777" w:rsidR="00740F0F" w:rsidRPr="0029070D" w:rsidRDefault="00100B64">
            <w:pPr>
              <w:spacing w:line="216" w:lineRule="exact"/>
              <w:ind w:left="77" w:right="62"/>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34" w:type="dxa"/>
            <w:tcBorders>
              <w:top w:val="single" w:sz="4" w:space="0" w:color="auto"/>
              <w:left w:val="single" w:sz="4" w:space="0" w:color="auto"/>
              <w:bottom w:val="single" w:sz="4" w:space="0" w:color="auto"/>
              <w:right w:val="single" w:sz="4" w:space="0" w:color="auto"/>
            </w:tcBorders>
            <w:shd w:val="clear" w:color="auto" w:fill="C5EDCE"/>
          </w:tcPr>
          <w:p w14:paraId="5A8AE76A" w14:textId="77777777" w:rsidR="00740F0F" w:rsidRPr="0029070D" w:rsidRDefault="00100B64">
            <w:pPr>
              <w:spacing w:line="216" w:lineRule="exact"/>
              <w:ind w:right="209"/>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3870" w:type="dxa"/>
            <w:tcBorders>
              <w:top w:val="single" w:sz="4" w:space="0" w:color="auto"/>
              <w:left w:val="single" w:sz="4" w:space="0" w:color="auto"/>
              <w:bottom w:val="single" w:sz="4" w:space="0" w:color="auto"/>
              <w:right w:val="single" w:sz="4" w:space="0" w:color="auto"/>
            </w:tcBorders>
            <w:shd w:val="clear" w:color="auto" w:fill="C5EDCE"/>
          </w:tcPr>
          <w:p w14:paraId="5A8AE76B" w14:textId="77777777" w:rsidR="00740F0F" w:rsidRPr="0029070D" w:rsidRDefault="00100B64" w:rsidP="003A373D">
            <w:pPr>
              <w:ind w:left="57" w:right="57"/>
              <w:rPr>
                <w:rFonts w:ascii="Times New Roman" w:eastAsia="Times New Roman" w:hAnsi="Times New Roman" w:cs="Times New Roman"/>
                <w:noProof/>
                <w:sz w:val="18"/>
                <w:szCs w:val="18"/>
              </w:rPr>
            </w:pPr>
            <w:r>
              <w:rPr>
                <w:rFonts w:ascii="Times New Roman" w:hAnsi="Times New Roman"/>
                <w:noProof/>
                <w:sz w:val="18"/>
              </w:rPr>
              <w:t>Mise en place de procédures de contrôle et d’audit par:</w:t>
            </w:r>
          </w:p>
          <w:p w14:paraId="5A8AE76C" w14:textId="77777777" w:rsidR="00740F0F" w:rsidRPr="0029070D" w:rsidRDefault="00100B64">
            <w:pPr>
              <w:numPr>
                <w:ilvl w:val="0"/>
                <w:numId w:val="45"/>
              </w:numPr>
              <w:tabs>
                <w:tab w:val="left" w:pos="464"/>
              </w:tabs>
              <w:spacing w:before="120"/>
              <w:ind w:right="17"/>
              <w:rPr>
                <w:rFonts w:ascii="Times New Roman" w:eastAsia="Times New Roman" w:hAnsi="Times New Roman" w:cs="Times New Roman"/>
                <w:noProof/>
                <w:sz w:val="18"/>
                <w:szCs w:val="18"/>
              </w:rPr>
            </w:pPr>
            <w:r>
              <w:rPr>
                <w:rFonts w:ascii="Times New Roman" w:hAnsi="Times New Roman"/>
                <w:noProof/>
                <w:sz w:val="18"/>
              </w:rPr>
              <w:t xml:space="preserve">la signature d’une circulaire par le Premier ministre, définissant les rôles et responsabilités de l’organisme de coordination et des ministères, ainsi que la procédure de collecte et de stockage des données relatives aux indicateurs, y compris la garantie de leur fiabilité et l’accès aux données collectées de tous les bénéficiaires finaux; </w:t>
            </w:r>
          </w:p>
          <w:p w14:paraId="5A8AE76D" w14:textId="77777777" w:rsidR="00740F0F" w:rsidRPr="0029070D" w:rsidRDefault="00100B64">
            <w:pPr>
              <w:numPr>
                <w:ilvl w:val="0"/>
                <w:numId w:val="45"/>
              </w:numPr>
              <w:tabs>
                <w:tab w:val="left" w:pos="464"/>
              </w:tabs>
              <w:spacing w:before="120"/>
              <w:ind w:right="17"/>
              <w:rPr>
                <w:rFonts w:ascii="Times New Roman" w:eastAsia="Times New Roman" w:hAnsi="Times New Roman" w:cs="Times New Roman"/>
                <w:noProof/>
                <w:sz w:val="18"/>
                <w:szCs w:val="18"/>
              </w:rPr>
            </w:pPr>
            <w:r>
              <w:rPr>
                <w:rFonts w:ascii="Times New Roman" w:hAnsi="Times New Roman"/>
                <w:noProof/>
                <w:sz w:val="18"/>
              </w:rPr>
              <w:t>la finalisation d’un rapport décrivant la stratégie d’audit envisagée, y compris une description du travail d’audit sur les demandes de paiement.</w:t>
            </w:r>
          </w:p>
        </w:tc>
      </w:tr>
    </w:tbl>
    <w:p w14:paraId="5A8AE76F" w14:textId="77777777" w:rsidR="00740F0F" w:rsidRPr="0029070D" w:rsidRDefault="00740F0F">
      <w:pPr>
        <w:spacing w:before="120" w:after="120" w:line="218" w:lineRule="exact"/>
        <w:rPr>
          <w:rFonts w:ascii="Times New Roman" w:eastAsia="Calibri" w:hAnsi="Times New Roman" w:cs="Times New Roman"/>
          <w:noProof/>
          <w:kern w:val="0"/>
          <w:sz w:val="19"/>
          <w:szCs w:val="22"/>
          <w14:ligatures w14:val="none"/>
        </w:rPr>
        <w:sectPr w:rsidR="00740F0F" w:rsidRPr="0029070D">
          <w:headerReference w:type="even" r:id="rId96"/>
          <w:headerReference w:type="default" r:id="rId97"/>
          <w:footerReference w:type="even" r:id="rId98"/>
          <w:footerReference w:type="default" r:id="rId99"/>
          <w:headerReference w:type="first" r:id="rId100"/>
          <w:footerReference w:type="first" r:id="rId101"/>
          <w:pgSz w:w="16860" w:h="11920" w:orient="landscape"/>
          <w:pgMar w:top="1134" w:right="1134" w:bottom="1134" w:left="1134" w:header="567" w:footer="567" w:gutter="0"/>
          <w:cols w:space="720"/>
          <w:docGrid w:linePitch="326"/>
        </w:sectPr>
      </w:pPr>
    </w:p>
    <w:p w14:paraId="5A8AE770" w14:textId="77777777" w:rsidR="00740F0F" w:rsidRPr="0029070D" w:rsidRDefault="00100B64">
      <w:pPr>
        <w:widowControl w:val="0"/>
        <w:numPr>
          <w:ilvl w:val="1"/>
          <w:numId w:val="1"/>
        </w:numPr>
        <w:tabs>
          <w:tab w:val="left" w:pos="401"/>
        </w:tabs>
        <w:autoSpaceDE w:val="0"/>
        <w:autoSpaceDN w:val="0"/>
        <w:spacing w:before="109" w:after="0" w:line="240" w:lineRule="auto"/>
        <w:ind w:left="400"/>
        <w:jc w:val="both"/>
        <w:rPr>
          <w:rFonts w:ascii="Times New Roman" w:eastAsia="Times New Roman" w:hAnsi="Times New Roman" w:cs="Times New Roman"/>
          <w:b/>
          <w:noProof/>
          <w:kern w:val="0"/>
          <w:szCs w:val="20"/>
          <w14:ligatures w14:val="none"/>
        </w:rPr>
      </w:pPr>
      <w:r>
        <w:rPr>
          <w:rFonts w:ascii="Times New Roman" w:hAnsi="Times New Roman"/>
          <w:b/>
          <w:noProof/>
        </w:rPr>
        <w:t>COMPOSANTE 8: Sauvegarde de l’emploi, jeunes, handicap, formation professionnelle</w:t>
      </w:r>
    </w:p>
    <w:p w14:paraId="5A8AE771" w14:textId="084B07F0" w:rsidR="00740F0F" w:rsidRPr="0029070D" w:rsidRDefault="00100B64">
      <w:pPr>
        <w:widowControl w:val="0"/>
        <w:autoSpaceDE w:val="0"/>
        <w:autoSpaceDN w:val="0"/>
        <w:spacing w:before="109" w:after="0" w:line="240" w:lineRule="auto"/>
        <w:ind w:left="100" w:right="240"/>
        <w:jc w:val="both"/>
        <w:rPr>
          <w:rFonts w:ascii="Times New Roman" w:eastAsia="Times New Roman" w:hAnsi="Times New Roman" w:cs="Times New Roman"/>
          <w:noProof/>
          <w:kern w:val="0"/>
          <w:szCs w:val="20"/>
          <w14:ligatures w14:val="none"/>
        </w:rPr>
      </w:pPr>
      <w:r>
        <w:rPr>
          <w:rFonts w:ascii="Times New Roman" w:hAnsi="Times New Roman"/>
          <w:noProof/>
        </w:rPr>
        <w:t>En 2019, le chômage en France avait atteint son plus bas niveau depuis la crise de 2008, à 8,1 %. Cependant, en raison de la crise sanitaire, selon l’INSEE, 284 000 emplois salariés ont été détruits entre fin 2019 et fin 2020. Cette hausse du chômage a toutefois été largement atténuée par les mesures de rétention de main-d’œuvre, notamment l’activité partielle. Un soutien supplémentaire est toutefois nécessaire pour éviter que la crise n’induise une hausse structurelle du chômage via des phénomènes d’hystérèse parmi les populations plus sensibles aux variations du marché.</w:t>
      </w:r>
    </w:p>
    <w:p w14:paraId="5A8AE772" w14:textId="77777777" w:rsidR="00740F0F" w:rsidRPr="0029070D" w:rsidRDefault="00100B64">
      <w:pPr>
        <w:widowControl w:val="0"/>
        <w:autoSpaceDE w:val="0"/>
        <w:autoSpaceDN w:val="0"/>
        <w:spacing w:before="120" w:after="0" w:line="247" w:lineRule="auto"/>
        <w:ind w:left="100" w:right="270"/>
        <w:jc w:val="both"/>
        <w:rPr>
          <w:rFonts w:ascii="Times New Roman" w:eastAsia="Times New Roman" w:hAnsi="Times New Roman" w:cs="Times New Roman"/>
          <w:noProof/>
          <w:kern w:val="0"/>
          <w:szCs w:val="20"/>
          <w14:ligatures w14:val="none"/>
        </w:rPr>
      </w:pPr>
      <w:r>
        <w:rPr>
          <w:rFonts w:ascii="Times New Roman" w:hAnsi="Times New Roman"/>
          <w:noProof/>
        </w:rPr>
        <w:t>Dans le cadre de cette composante du plan de relance et de résilience français, diverses mesures visent à soutenir l’entrée des jeunes sur le marché du travail, y compris ceux qui sont le plus confrontés à un risque d’exclusion.</w:t>
      </w:r>
    </w:p>
    <w:p w14:paraId="5A8AE773" w14:textId="77777777" w:rsidR="00740F0F" w:rsidRPr="0029070D" w:rsidRDefault="00100B64">
      <w:pPr>
        <w:widowControl w:val="0"/>
        <w:autoSpaceDE w:val="0"/>
        <w:autoSpaceDN w:val="0"/>
        <w:spacing w:before="106" w:after="0" w:line="240" w:lineRule="auto"/>
        <w:ind w:left="100" w:right="238"/>
        <w:jc w:val="both"/>
        <w:rPr>
          <w:rFonts w:ascii="Times New Roman" w:eastAsia="Times New Roman" w:hAnsi="Times New Roman" w:cs="Times New Roman"/>
          <w:noProof/>
          <w:kern w:val="0"/>
          <w:szCs w:val="20"/>
          <w14:ligatures w14:val="none"/>
        </w:rPr>
      </w:pPr>
      <w:r>
        <w:rPr>
          <w:rFonts w:ascii="Times New Roman" w:hAnsi="Times New Roman"/>
          <w:noProof/>
        </w:rPr>
        <w:t>La formation professionnelle, en facilitant les transitions professionnelles et en contribuant à renforcer la productivité de l’économie, devrait jouer un rôle clé dans les transitions écologique et numérique de l’économie. La crise a toutefois mis en évidence la faible numérisation de la formation professionnelle (alors même que la numérisation permet des modes d’apprentissage moins académiques, par exemple via l’utilisation de la réalité virtuelle pour acquérir des gestes professionnels) que les autorités visent à soutenir davantage par des investissements ciblés.</w:t>
      </w:r>
    </w:p>
    <w:p w14:paraId="5A8AE774" w14:textId="77777777" w:rsidR="00740F0F" w:rsidRPr="0029070D" w:rsidRDefault="00100B64">
      <w:pPr>
        <w:widowControl w:val="0"/>
        <w:autoSpaceDE w:val="0"/>
        <w:autoSpaceDN w:val="0"/>
        <w:spacing w:before="130" w:after="0" w:line="237" w:lineRule="auto"/>
        <w:ind w:left="100" w:right="236"/>
        <w:jc w:val="both"/>
        <w:rPr>
          <w:rFonts w:ascii="Times New Roman" w:eastAsia="Times New Roman" w:hAnsi="Times New Roman" w:cs="Times New Roman"/>
          <w:noProof/>
          <w:kern w:val="0"/>
          <w:szCs w:val="20"/>
          <w14:ligatures w14:val="none"/>
        </w:rPr>
      </w:pPr>
      <w:r>
        <w:rPr>
          <w:rFonts w:ascii="Times New Roman" w:hAnsi="Times New Roman"/>
          <w:noProof/>
        </w:rPr>
        <w:t>En contribuant à atténuer les conséquences de la crise sur le plan social et de l’emploi et en promouvant l’acquisition de compétences et un soutien pour les demandeurs d’emploi, ces investissements et réformes répondent à la recommandation par pays 2020.2. Ces mesures contribuent également à favoriser l’intégration de tous les demandeurs d’emploi sur le marché du travail et à remédier aux pénuries et aux inadéquations de compétences, comme le prévoit la recommandation par pays 2019.2.</w:t>
      </w:r>
    </w:p>
    <w:p w14:paraId="5A8AE775" w14:textId="77777777" w:rsidR="00740F0F" w:rsidRPr="0029070D" w:rsidRDefault="00100B64">
      <w:pPr>
        <w:widowControl w:val="0"/>
        <w:autoSpaceDE w:val="0"/>
        <w:autoSpaceDN w:val="0"/>
        <w:spacing w:before="132" w:after="0" w:line="240" w:lineRule="auto"/>
        <w:ind w:left="100" w:right="235"/>
        <w:jc w:val="both"/>
        <w:rPr>
          <w:rFonts w:ascii="Times New Roman" w:eastAsia="Times New Roman" w:hAnsi="Times New Roman" w:cs="Times New Roman"/>
          <w:noProof/>
          <w:kern w:val="0"/>
          <w:szCs w:val="20"/>
          <w14:ligatures w14:val="none"/>
        </w:rPr>
      </w:pPr>
      <w:r>
        <w:rPr>
          <w:rFonts w:ascii="Times New Roman" w:hAnsi="Times New Roman"/>
          <w:noProof/>
        </w:rPr>
        <w:t>Aucune mesure relevant de cette composante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w:t>
      </w:r>
    </w:p>
    <w:p w14:paraId="5A8AE776" w14:textId="77777777" w:rsidR="00740F0F" w:rsidRPr="0029070D" w:rsidRDefault="00740F0F">
      <w:pPr>
        <w:widowControl w:val="0"/>
        <w:autoSpaceDE w:val="0"/>
        <w:autoSpaceDN w:val="0"/>
        <w:spacing w:before="3" w:after="0" w:line="240" w:lineRule="auto"/>
        <w:rPr>
          <w:rFonts w:ascii="Times New Roman" w:eastAsia="Times New Roman" w:hAnsi="Times New Roman" w:cs="Times New Roman"/>
          <w:noProof/>
          <w:kern w:val="0"/>
          <w:sz w:val="45"/>
          <w:szCs w:val="20"/>
          <w14:ligatures w14:val="none"/>
        </w:rPr>
      </w:pPr>
    </w:p>
    <w:p w14:paraId="5A8AE777" w14:textId="77777777" w:rsidR="00740F0F" w:rsidRPr="003A373D" w:rsidRDefault="00100B64">
      <w:pPr>
        <w:widowControl w:val="0"/>
        <w:numPr>
          <w:ilvl w:val="2"/>
          <w:numId w:val="1"/>
        </w:numPr>
        <w:tabs>
          <w:tab w:val="left" w:pos="823"/>
        </w:tabs>
        <w:autoSpaceDE w:val="0"/>
        <w:autoSpaceDN w:val="0"/>
        <w:spacing w:before="120" w:after="0" w:line="240" w:lineRule="auto"/>
        <w:ind w:left="822" w:hanging="723"/>
        <w:jc w:val="both"/>
        <w:outlineLvl w:val="1"/>
        <w:rPr>
          <w:rFonts w:ascii="Times New Roman" w:eastAsia="Times New Roman" w:hAnsi="Times New Roman" w:cs="Times New Roman"/>
          <w:b/>
          <w:noProof/>
          <w:kern w:val="0"/>
          <w:szCs w:val="20"/>
          <w:u w:val="single"/>
          <w14:ligatures w14:val="none"/>
        </w:rPr>
      </w:pPr>
      <w:r>
        <w:rPr>
          <w:rFonts w:ascii="Times New Roman" w:hAnsi="Times New Roman"/>
          <w:b/>
          <w:noProof/>
          <w:u w:val="single"/>
        </w:rPr>
        <w:t>Description des réformes et des investissements en vue du soutien financier non remboursable</w:t>
      </w:r>
    </w:p>
    <w:p w14:paraId="5A8AE778" w14:textId="77777777" w:rsidR="00740F0F" w:rsidRPr="0029070D" w:rsidRDefault="00100B64">
      <w:pPr>
        <w:widowControl w:val="0"/>
        <w:autoSpaceDE w:val="0"/>
        <w:autoSpaceDN w:val="0"/>
        <w:spacing w:before="111"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Réforme C8.R1: offre de services de Pôle emploi</w:t>
      </w:r>
    </w:p>
    <w:p w14:paraId="5A8AE779" w14:textId="77777777" w:rsidR="00740F0F" w:rsidRPr="0029070D" w:rsidRDefault="00100B64">
      <w:pPr>
        <w:widowControl w:val="0"/>
        <w:autoSpaceDE w:val="0"/>
        <w:autoSpaceDN w:val="0"/>
        <w:spacing w:before="115" w:after="0" w:line="247" w:lineRule="auto"/>
        <w:ind w:left="100" w:right="256"/>
        <w:jc w:val="both"/>
        <w:rPr>
          <w:rFonts w:ascii="Times New Roman" w:eastAsia="Times New Roman" w:hAnsi="Times New Roman" w:cs="Times New Roman"/>
          <w:noProof/>
          <w:kern w:val="0"/>
          <w:szCs w:val="20"/>
          <w14:ligatures w14:val="none"/>
        </w:rPr>
      </w:pPr>
      <w:r>
        <w:rPr>
          <w:rFonts w:ascii="Times New Roman" w:hAnsi="Times New Roman"/>
          <w:noProof/>
        </w:rPr>
        <w:t>Cette réforme concerne la refonte de l’offre de services de Pôle emploi, le principal service public de l’emploi.</w:t>
      </w:r>
    </w:p>
    <w:p w14:paraId="5A8AE77A" w14:textId="77777777" w:rsidR="00740F0F" w:rsidRPr="0029070D" w:rsidRDefault="00100B64">
      <w:pPr>
        <w:widowControl w:val="0"/>
        <w:autoSpaceDE w:val="0"/>
        <w:autoSpaceDN w:val="0"/>
        <w:spacing w:before="108" w:after="0" w:line="242" w:lineRule="auto"/>
        <w:ind w:left="100" w:right="257"/>
        <w:jc w:val="both"/>
        <w:rPr>
          <w:rFonts w:ascii="Times New Roman" w:eastAsia="Times New Roman" w:hAnsi="Times New Roman" w:cs="Times New Roman"/>
          <w:noProof/>
          <w:kern w:val="0"/>
          <w:szCs w:val="20"/>
          <w14:ligatures w14:val="none"/>
        </w:rPr>
      </w:pPr>
      <w:r>
        <w:rPr>
          <w:rFonts w:ascii="Times New Roman" w:hAnsi="Times New Roman"/>
          <w:noProof/>
        </w:rPr>
        <w:t>Elle vise à améliorer la prise en charge et le diagnostic individuel de la situation des demandeurs d’emploi et ainsi, favoriser le retour rapide sur le marché du travail des personnes. Elle apporte un soutien renforcé aux publics plus vulnérables, cumulant les difficultés sociales et professionnelles. L’amélioration des services aux entreprises et des actions en faveur de la formation des demandeurs d’emploi devrait améliorer l’appariement entre offre et demande de travail et réduire les tensions de recrutement en hausse dans certains secteurs.</w:t>
      </w:r>
    </w:p>
    <w:p w14:paraId="5A8AE77B" w14:textId="77777777" w:rsidR="00740F0F" w:rsidRPr="0029070D" w:rsidRDefault="00100B64">
      <w:pPr>
        <w:widowControl w:val="0"/>
        <w:autoSpaceDE w:val="0"/>
        <w:autoSpaceDN w:val="0"/>
        <w:spacing w:before="105" w:after="0" w:line="242" w:lineRule="auto"/>
        <w:ind w:left="100" w:right="238"/>
        <w:jc w:val="both"/>
        <w:rPr>
          <w:rFonts w:ascii="Times New Roman" w:eastAsia="Times New Roman" w:hAnsi="Times New Roman" w:cs="Times New Roman"/>
          <w:noProof/>
          <w:kern w:val="0"/>
          <w:szCs w:val="20"/>
          <w14:ligatures w14:val="none"/>
        </w:rPr>
      </w:pPr>
      <w:r>
        <w:rPr>
          <w:rFonts w:ascii="Times New Roman" w:hAnsi="Times New Roman"/>
          <w:noProof/>
        </w:rPr>
        <w:t>La mise en œuvre de deux aspects sera plus particulièrement suivie: l’intégration de Cap’Emploi, spécialisé dans l’emploi des personnes handicapées, et l’intégration de conseillers en compensation au sein des agences de Pôle Emploi.</w:t>
      </w:r>
    </w:p>
    <w:p w14:paraId="5A8AE77C" w14:textId="77777777" w:rsidR="00740F0F" w:rsidRPr="0029070D" w:rsidRDefault="00100B64">
      <w:pPr>
        <w:widowControl w:val="0"/>
        <w:autoSpaceDE w:val="0"/>
        <w:autoSpaceDN w:val="0"/>
        <w:spacing w:before="215"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Réforme C8.R2: adaptation du dispositif d’activité partielle</w:t>
      </w:r>
    </w:p>
    <w:p w14:paraId="5A8AE77D" w14:textId="77777777" w:rsidR="00740F0F" w:rsidRPr="0029070D" w:rsidRDefault="00100B64">
      <w:pPr>
        <w:widowControl w:val="0"/>
        <w:autoSpaceDE w:val="0"/>
        <w:autoSpaceDN w:val="0"/>
        <w:spacing w:before="113" w:after="0" w:line="242" w:lineRule="auto"/>
        <w:ind w:left="100" w:right="252"/>
        <w:jc w:val="both"/>
        <w:rPr>
          <w:rFonts w:ascii="Times New Roman" w:eastAsia="Times New Roman" w:hAnsi="Times New Roman" w:cs="Times New Roman"/>
          <w:noProof/>
          <w:kern w:val="0"/>
          <w:szCs w:val="20"/>
          <w14:ligatures w14:val="none"/>
        </w:rPr>
      </w:pPr>
      <w:r>
        <w:rPr>
          <w:rFonts w:ascii="Times New Roman" w:hAnsi="Times New Roman"/>
          <w:noProof/>
        </w:rPr>
        <w:t>Au plus fort de la crise de la COVID-19, au printemps 2020, un dispositif exceptionnel d’activité partielle a été mis en place pour limiter les répercussions sur l’emploi et les revenus des ménages de la baisse d’activité liée aux périodes de confinement. Progressivement, dans le courant de 2021, lorsque la deuxième vague de la pandémie s’atténuera et que les conditions économiques s’amélioreront, ce dispositif d’activité partielle de droit commun, dédié aux baisses d’activité conjoncturelles, devrait être resserré. Il est notamment prévu que:</w:t>
      </w:r>
    </w:p>
    <w:p w14:paraId="5A8AE77E" w14:textId="57A8FBD2" w:rsidR="00740F0F" w:rsidRPr="0029070D" w:rsidRDefault="00100B64">
      <w:pPr>
        <w:widowControl w:val="0"/>
        <w:numPr>
          <w:ilvl w:val="0"/>
          <w:numId w:val="46"/>
        </w:numPr>
        <w:tabs>
          <w:tab w:val="left" w:pos="823"/>
        </w:tabs>
        <w:autoSpaceDE w:val="0"/>
        <w:autoSpaceDN w:val="0"/>
        <w:spacing w:before="130" w:after="0" w:line="261" w:lineRule="auto"/>
        <w:ind w:right="246"/>
        <w:jc w:val="both"/>
        <w:rPr>
          <w:rFonts w:ascii="Times New Roman" w:eastAsia="Times New Roman" w:hAnsi="Times New Roman" w:cs="Times New Roman"/>
          <w:noProof/>
          <w:kern w:val="0"/>
          <w:szCs w:val="20"/>
          <w14:ligatures w14:val="none"/>
        </w:rPr>
      </w:pPr>
      <w:r>
        <w:rPr>
          <w:rFonts w:ascii="Times New Roman" w:hAnsi="Times New Roman"/>
          <w:noProof/>
        </w:rPr>
        <w:t>Les salariés soient indemnisés à hauteur de 60 % (au lieu de 70 % actuellement) de leur rémunération brute antérieure (soit environ 72 % de leur rémunération nette).</w:t>
      </w:r>
    </w:p>
    <w:p w14:paraId="5A8AE77F" w14:textId="675F4BA7" w:rsidR="00740F0F" w:rsidRPr="0029070D" w:rsidRDefault="00100B64">
      <w:pPr>
        <w:widowControl w:val="0"/>
        <w:numPr>
          <w:ilvl w:val="0"/>
          <w:numId w:val="46"/>
        </w:numPr>
        <w:tabs>
          <w:tab w:val="left" w:pos="823"/>
        </w:tabs>
        <w:autoSpaceDE w:val="0"/>
        <w:autoSpaceDN w:val="0"/>
        <w:spacing w:before="120" w:after="0" w:line="256" w:lineRule="auto"/>
        <w:ind w:right="247"/>
        <w:jc w:val="both"/>
        <w:rPr>
          <w:rFonts w:ascii="Times New Roman" w:eastAsia="Times New Roman" w:hAnsi="Times New Roman" w:cs="Times New Roman"/>
          <w:noProof/>
          <w:kern w:val="0"/>
          <w:szCs w:val="20"/>
          <w14:ligatures w14:val="none"/>
        </w:rPr>
      </w:pPr>
      <w:r>
        <w:rPr>
          <w:rFonts w:ascii="Times New Roman" w:hAnsi="Times New Roman"/>
          <w:noProof/>
        </w:rPr>
        <w:t>Les employeurs perçoivent une allocation de 36 % de la rémunération brute antérieure des salariés placés en activité partielle (au lieu de 60 % actuellement). La durée d’autorisation du recours à l’APDC passe de 12 mois à 3 mois, renouvelables dans la limite de 6 mois, sur une période de référence de 12 mois.</w:t>
      </w:r>
    </w:p>
    <w:p w14:paraId="5A8AE780" w14:textId="77777777" w:rsidR="00740F0F" w:rsidRPr="0029070D" w:rsidRDefault="00100B64">
      <w:pPr>
        <w:widowControl w:val="0"/>
        <w:numPr>
          <w:ilvl w:val="0"/>
          <w:numId w:val="46"/>
        </w:numPr>
        <w:tabs>
          <w:tab w:val="left" w:pos="823"/>
        </w:tabs>
        <w:autoSpaceDE w:val="0"/>
        <w:autoSpaceDN w:val="0"/>
        <w:spacing w:before="120" w:after="0" w:line="261" w:lineRule="auto"/>
        <w:ind w:right="266"/>
        <w:jc w:val="both"/>
        <w:rPr>
          <w:rFonts w:ascii="Times New Roman" w:eastAsia="Times New Roman" w:hAnsi="Times New Roman" w:cs="Times New Roman"/>
          <w:noProof/>
          <w:kern w:val="0"/>
          <w:szCs w:val="20"/>
          <w14:ligatures w14:val="none"/>
        </w:rPr>
      </w:pPr>
      <w:r>
        <w:rPr>
          <w:rFonts w:ascii="Times New Roman" w:hAnsi="Times New Roman"/>
          <w:noProof/>
        </w:rPr>
        <w:t>Les secteurs protégés et les entreprises fermées administrativement ne bénéficient plus à terme de taux d’allocation majorés.</w:t>
      </w:r>
    </w:p>
    <w:p w14:paraId="5A8AE781" w14:textId="77777777" w:rsidR="00740F0F" w:rsidRPr="0029070D" w:rsidRDefault="00100B64">
      <w:pPr>
        <w:widowControl w:val="0"/>
        <w:autoSpaceDE w:val="0"/>
        <w:autoSpaceDN w:val="0"/>
        <w:spacing w:after="0" w:line="240" w:lineRule="auto"/>
        <w:ind w:left="100" w:right="247"/>
        <w:jc w:val="both"/>
        <w:rPr>
          <w:rFonts w:ascii="Times New Roman" w:eastAsia="Times New Roman" w:hAnsi="Times New Roman" w:cs="Times New Roman"/>
          <w:noProof/>
          <w:kern w:val="0"/>
          <w:szCs w:val="20"/>
          <w14:ligatures w14:val="none"/>
        </w:rPr>
      </w:pPr>
      <w:r>
        <w:rPr>
          <w:rFonts w:ascii="Times New Roman" w:hAnsi="Times New Roman"/>
          <w:noProof/>
        </w:rPr>
        <w:t>À côté de ce dispositif d’activité partielle de droit commun (APDC), un dispositif d’activité partielle de longue durée (APLD) a été créé pour accompagner les entreprises subissant un choc durable mais ayant des perspectives de reprise d’activité plus élevées à moyen terme. Entrée en vigueur le 1</w:t>
      </w:r>
      <w:r>
        <w:rPr>
          <w:rFonts w:ascii="Times New Roman" w:hAnsi="Times New Roman"/>
          <w:noProof/>
          <w:vertAlign w:val="superscript"/>
        </w:rPr>
        <w:t>er</w:t>
      </w:r>
      <w:r>
        <w:rPr>
          <w:rFonts w:ascii="Times New Roman" w:hAnsi="Times New Roman"/>
          <w:noProof/>
        </w:rPr>
        <w:t> juillet 2020, l’APLD est accessible par la conclusion d’un accord de branche, d’entreprise ou d’établissement. Reposant sur le dialogue social, les accords APLD détaillent les engagements des employeurs en matière de maintien dans l’emploi et de formation professionnelle. Il est prévu que le niveau de l’aide financière diminue en 2021:</w:t>
      </w:r>
    </w:p>
    <w:p w14:paraId="5A8AE782" w14:textId="77777777" w:rsidR="00740F0F" w:rsidRPr="0029070D" w:rsidRDefault="00100B64">
      <w:pPr>
        <w:widowControl w:val="0"/>
        <w:numPr>
          <w:ilvl w:val="0"/>
          <w:numId w:val="46"/>
        </w:numPr>
        <w:tabs>
          <w:tab w:val="left" w:pos="823"/>
        </w:tabs>
        <w:autoSpaceDE w:val="0"/>
        <w:autoSpaceDN w:val="0"/>
        <w:spacing w:before="112" w:after="0" w:line="261" w:lineRule="auto"/>
        <w:ind w:right="267"/>
        <w:jc w:val="both"/>
        <w:rPr>
          <w:rFonts w:ascii="Times New Roman" w:eastAsia="Times New Roman" w:hAnsi="Times New Roman" w:cs="Times New Roman"/>
          <w:noProof/>
          <w:kern w:val="0"/>
          <w:szCs w:val="20"/>
          <w14:ligatures w14:val="none"/>
        </w:rPr>
      </w:pPr>
      <w:r>
        <w:rPr>
          <w:rFonts w:ascii="Times New Roman" w:hAnsi="Times New Roman"/>
          <w:noProof/>
        </w:rPr>
        <w:t>Les employeurs percevront une allocation de 60 % de la rémunération brute antérieure des salariés placés en activité partielle, au lieu de 70 % actuellement dans les secteurs protégés et les entreprises fermées.</w:t>
      </w:r>
    </w:p>
    <w:p w14:paraId="5A8AE783" w14:textId="49CE2099" w:rsidR="00740F0F" w:rsidRPr="0029070D" w:rsidRDefault="00100B64">
      <w:pPr>
        <w:widowControl w:val="0"/>
        <w:autoSpaceDE w:val="0"/>
        <w:autoSpaceDN w:val="0"/>
        <w:spacing w:before="238" w:after="0" w:line="240" w:lineRule="auto"/>
        <w:ind w:left="100"/>
        <w:jc w:val="both"/>
        <w:rPr>
          <w:rFonts w:ascii="Times New Roman" w:eastAsia="Times New Roman" w:hAnsi="Times New Roman" w:cs="Times New Roman"/>
          <w:noProof/>
          <w:kern w:val="0"/>
          <w14:ligatures w14:val="none"/>
        </w:rPr>
      </w:pPr>
      <w:r>
        <w:rPr>
          <w:rFonts w:ascii="Times New Roman" w:hAnsi="Times New Roman"/>
          <w:noProof/>
          <w:u w:val="single"/>
        </w:rPr>
        <w:t>Réforme C8.R3: santé et sécurité au travail</w:t>
      </w:r>
    </w:p>
    <w:p w14:paraId="5A8AE784" w14:textId="77777777" w:rsidR="00740F0F" w:rsidRPr="0029070D" w:rsidRDefault="00100B64">
      <w:pPr>
        <w:widowControl w:val="0"/>
        <w:spacing w:before="132" w:after="0" w:line="240" w:lineRule="auto"/>
        <w:ind w:left="100" w:right="249"/>
        <w:jc w:val="both"/>
        <w:rPr>
          <w:rFonts w:ascii="Times New Roman" w:eastAsia="Times New Roman" w:hAnsi="Times New Roman" w:cs="Times New Roman"/>
          <w:noProof/>
        </w:rPr>
      </w:pPr>
      <w:r>
        <w:rPr>
          <w:rFonts w:ascii="Times New Roman" w:hAnsi="Times New Roman"/>
          <w:noProof/>
        </w:rPr>
        <w:t>L’objectif de cette mesure est de renforcer la gouvernance et la prévention dans le système de santé et de sécurité au travail. La mesure se compose de deux sous-mesures:</w:t>
      </w:r>
    </w:p>
    <w:p w14:paraId="5A8AE785" w14:textId="77777777" w:rsidR="00740F0F" w:rsidRPr="0029070D" w:rsidRDefault="00100B64">
      <w:pPr>
        <w:pStyle w:val="ListParagraph"/>
        <w:widowControl w:val="0"/>
        <w:numPr>
          <w:ilvl w:val="0"/>
          <w:numId w:val="47"/>
        </w:numPr>
        <w:spacing w:before="132" w:after="0" w:line="240" w:lineRule="auto"/>
        <w:ind w:right="249"/>
        <w:jc w:val="both"/>
        <w:rPr>
          <w:rFonts w:ascii="Times New Roman" w:eastAsia="Times New Roman" w:hAnsi="Times New Roman" w:cs="Times New Roman"/>
          <w:noProof/>
        </w:rPr>
      </w:pPr>
      <w:r>
        <w:rPr>
          <w:rFonts w:ascii="Times New Roman" w:hAnsi="Times New Roman"/>
          <w:noProof/>
        </w:rPr>
        <w:t>adopter une série d’amendements à la loi «pour renforcer la prévention en santé au travail», adoptée par l’Assemblée nationale le 17 février 2021, qui visent à renforcer l’orientation du système de «santé au travail» vers la prévention ainsi qu’à réorganiser sa gouvernance.</w:t>
      </w:r>
    </w:p>
    <w:p w14:paraId="5A8AE786" w14:textId="7FDCA66E" w:rsidR="00740F0F" w:rsidRPr="0029070D" w:rsidRDefault="00680797" w:rsidP="00826BD1">
      <w:pPr>
        <w:pStyle w:val="ListParagraph"/>
        <w:widowControl w:val="0"/>
        <w:numPr>
          <w:ilvl w:val="0"/>
          <w:numId w:val="47"/>
        </w:numPr>
        <w:spacing w:before="132" w:after="0" w:line="240" w:lineRule="auto"/>
        <w:ind w:right="249"/>
        <w:jc w:val="both"/>
        <w:rPr>
          <w:rFonts w:ascii="Times New Roman" w:eastAsia="Times New Roman" w:hAnsi="Times New Roman" w:cs="Times New Roman"/>
          <w:noProof/>
        </w:rPr>
      </w:pPr>
      <w:r>
        <w:rPr>
          <w:rFonts w:ascii="Times New Roman" w:hAnsi="Times New Roman"/>
          <w:noProof/>
        </w:rPr>
        <w:t>certification des premiers services interentreprises de santé et de sécurité au travail par des organismes de certification accrédités.</w:t>
      </w:r>
    </w:p>
    <w:p w14:paraId="5A8AE787" w14:textId="77777777" w:rsidR="00740F0F" w:rsidRPr="0029070D" w:rsidRDefault="00100B64">
      <w:pPr>
        <w:widowControl w:val="0"/>
        <w:autoSpaceDE w:val="0"/>
        <w:autoSpaceDN w:val="0"/>
        <w:spacing w:before="219"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Réforme C8.R4: réforme de l’assurance chômage</w:t>
      </w:r>
    </w:p>
    <w:p w14:paraId="5A8AE788" w14:textId="77777777" w:rsidR="00740F0F" w:rsidRPr="0029070D" w:rsidRDefault="00100B64">
      <w:pPr>
        <w:widowControl w:val="0"/>
        <w:autoSpaceDE w:val="0"/>
        <w:autoSpaceDN w:val="0"/>
        <w:spacing w:before="113" w:after="0" w:line="242" w:lineRule="auto"/>
        <w:ind w:left="100" w:right="251"/>
        <w:jc w:val="both"/>
        <w:rPr>
          <w:rFonts w:ascii="Times New Roman" w:eastAsia="Times New Roman" w:hAnsi="Times New Roman" w:cs="Times New Roman"/>
          <w:noProof/>
          <w:kern w:val="0"/>
          <w:szCs w:val="20"/>
          <w14:ligatures w14:val="none"/>
        </w:rPr>
      </w:pPr>
      <w:r>
        <w:rPr>
          <w:rFonts w:ascii="Times New Roman" w:hAnsi="Times New Roman"/>
          <w:noProof/>
        </w:rPr>
        <w:t>La réforme de l’assurance chômage, conçue pour favoriser l’emploi stable et limiter le recours excessif aux contrats de courte durée, devait initialement entrer en vigueur progressivement entre novembre 2019 et mars 2021, mais elle a été reportée en raison de la crise de la COVID-19.</w:t>
      </w:r>
    </w:p>
    <w:p w14:paraId="5A8AE789" w14:textId="77777777" w:rsidR="00740F0F" w:rsidRPr="0029070D" w:rsidRDefault="00100B64">
      <w:pPr>
        <w:widowControl w:val="0"/>
        <w:autoSpaceDE w:val="0"/>
        <w:autoSpaceDN w:val="0"/>
        <w:spacing w:before="110" w:after="0" w:line="242" w:lineRule="auto"/>
        <w:ind w:left="100" w:right="242"/>
        <w:jc w:val="both"/>
        <w:rPr>
          <w:rFonts w:ascii="Times New Roman" w:eastAsia="Times New Roman" w:hAnsi="Times New Roman" w:cs="Times New Roman"/>
          <w:noProof/>
          <w:kern w:val="0"/>
          <w:szCs w:val="20"/>
          <w14:ligatures w14:val="none"/>
        </w:rPr>
      </w:pPr>
      <w:r>
        <w:rPr>
          <w:rFonts w:ascii="Times New Roman" w:hAnsi="Times New Roman"/>
          <w:noProof/>
        </w:rPr>
        <w:t>Les objectifs de cette réforme sont de renforcer les incitations au retour à un emploi stable et de limiter l’alternance de contrats courts et de périodes chômées. Du côté des entreprises, l’objectif est de limiter le recours excessif aux contrats courts. La réforme est composée de trois mesures principales concernant l’indemnisation, et de la mesure dite «bonus-malus» concernant les contributions patronales au régime.</w:t>
      </w:r>
    </w:p>
    <w:p w14:paraId="5A8AE78A" w14:textId="77777777" w:rsidR="00740F0F" w:rsidRPr="0029070D" w:rsidRDefault="00100B64">
      <w:pPr>
        <w:widowControl w:val="0"/>
        <w:autoSpaceDE w:val="0"/>
        <w:autoSpaceDN w:val="0"/>
        <w:spacing w:before="106" w:after="0" w:line="247" w:lineRule="auto"/>
        <w:ind w:left="100" w:right="267"/>
        <w:jc w:val="both"/>
        <w:rPr>
          <w:rFonts w:ascii="Times New Roman" w:eastAsia="Times New Roman" w:hAnsi="Times New Roman" w:cs="Times New Roman"/>
          <w:noProof/>
          <w:kern w:val="0"/>
          <w:szCs w:val="20"/>
          <w14:ligatures w14:val="none"/>
        </w:rPr>
      </w:pPr>
      <w:r>
        <w:rPr>
          <w:rFonts w:ascii="Times New Roman" w:hAnsi="Times New Roman"/>
          <w:noProof/>
        </w:rPr>
        <w:t>Le second volet de la réforme, inclus dans le plan de relance et de résilience, est composé des mesures suivantes:</w:t>
      </w:r>
    </w:p>
    <w:p w14:paraId="5A8AE78B" w14:textId="77777777" w:rsidR="00740F0F" w:rsidRPr="0029070D" w:rsidRDefault="00100B64">
      <w:pPr>
        <w:widowControl w:val="0"/>
        <w:numPr>
          <w:ilvl w:val="0"/>
          <w:numId w:val="46"/>
        </w:numPr>
        <w:tabs>
          <w:tab w:val="left" w:pos="822"/>
          <w:tab w:val="left" w:pos="823"/>
        </w:tabs>
        <w:autoSpaceDE w:val="0"/>
        <w:autoSpaceDN w:val="0"/>
        <w:spacing w:before="106" w:after="0" w:line="261" w:lineRule="auto"/>
        <w:ind w:right="319"/>
        <w:rPr>
          <w:rFonts w:ascii="Times New Roman" w:eastAsia="Times New Roman" w:hAnsi="Times New Roman" w:cs="Times New Roman"/>
          <w:noProof/>
          <w:kern w:val="0"/>
          <w:szCs w:val="20"/>
          <w14:ligatures w14:val="none"/>
        </w:rPr>
      </w:pPr>
      <w:r>
        <w:rPr>
          <w:rFonts w:ascii="Times New Roman" w:hAnsi="Times New Roman"/>
          <w:noProof/>
        </w:rPr>
        <w:t>nouveau mode de calcul du salaire journalier de référence servant de base à la détermination du montant d’allocation;</w:t>
      </w:r>
    </w:p>
    <w:p w14:paraId="5A8AE78C" w14:textId="77777777" w:rsidR="00740F0F" w:rsidRPr="0029070D" w:rsidRDefault="00100B64">
      <w:pPr>
        <w:widowControl w:val="0"/>
        <w:numPr>
          <w:ilvl w:val="0"/>
          <w:numId w:val="46"/>
        </w:numPr>
        <w:autoSpaceDE w:val="0"/>
        <w:autoSpaceDN w:val="0"/>
        <w:spacing w:before="120" w:after="0" w:line="261" w:lineRule="auto"/>
        <w:ind w:right="260"/>
        <w:rPr>
          <w:rFonts w:ascii="Times New Roman" w:eastAsia="Times New Roman" w:hAnsi="Times New Roman" w:cs="Times New Roman"/>
          <w:noProof/>
          <w:kern w:val="0"/>
          <w:szCs w:val="20"/>
          <w14:ligatures w14:val="none"/>
        </w:rPr>
      </w:pPr>
      <w:r>
        <w:rPr>
          <w:rFonts w:ascii="Times New Roman" w:hAnsi="Times New Roman"/>
          <w:noProof/>
        </w:rPr>
        <w:t>dégressivité des allocations pour les hauts revenus au bout de six mois d’indemnisation;</w:t>
      </w:r>
    </w:p>
    <w:p w14:paraId="5A8AE78D" w14:textId="77777777" w:rsidR="00740F0F" w:rsidRPr="0029070D" w:rsidRDefault="00100B64">
      <w:pPr>
        <w:widowControl w:val="0"/>
        <w:numPr>
          <w:ilvl w:val="0"/>
          <w:numId w:val="46"/>
        </w:numPr>
        <w:tabs>
          <w:tab w:val="left" w:pos="822"/>
          <w:tab w:val="left" w:pos="823"/>
        </w:tabs>
        <w:autoSpaceDE w:val="0"/>
        <w:autoSpaceDN w:val="0"/>
        <w:spacing w:before="120" w:after="0" w:line="275" w:lineRule="exact"/>
        <w:rPr>
          <w:rFonts w:ascii="Times New Roman" w:eastAsia="Times New Roman" w:hAnsi="Times New Roman" w:cs="Times New Roman"/>
          <w:noProof/>
          <w:kern w:val="0"/>
          <w:szCs w:val="20"/>
          <w14:ligatures w14:val="none"/>
        </w:rPr>
      </w:pPr>
      <w:r>
        <w:rPr>
          <w:rFonts w:ascii="Times New Roman" w:hAnsi="Times New Roman"/>
          <w:noProof/>
        </w:rPr>
        <w:t>resserrement des conditions d’ouverture des droits (six mois au lieu de quatre);</w:t>
      </w:r>
    </w:p>
    <w:p w14:paraId="5A8AE78E" w14:textId="77777777" w:rsidR="00740F0F" w:rsidRPr="0029070D" w:rsidRDefault="00100B64">
      <w:pPr>
        <w:widowControl w:val="0"/>
        <w:numPr>
          <w:ilvl w:val="0"/>
          <w:numId w:val="46"/>
        </w:numPr>
        <w:tabs>
          <w:tab w:val="left" w:pos="822"/>
          <w:tab w:val="left" w:pos="823"/>
        </w:tabs>
        <w:autoSpaceDE w:val="0"/>
        <w:autoSpaceDN w:val="0"/>
        <w:spacing w:before="5" w:after="0" w:line="261" w:lineRule="auto"/>
        <w:ind w:right="1165"/>
        <w:rPr>
          <w:rFonts w:ascii="Times New Roman" w:eastAsia="Times New Roman" w:hAnsi="Times New Roman" w:cs="Times New Roman"/>
          <w:noProof/>
          <w:kern w:val="0"/>
          <w:szCs w:val="20"/>
          <w14:ligatures w14:val="none"/>
        </w:rPr>
      </w:pPr>
      <w:r>
        <w:rPr>
          <w:rFonts w:ascii="Times New Roman" w:hAnsi="Times New Roman"/>
          <w:noProof/>
        </w:rPr>
        <w:t>bonus-malus appliqué aux cotisations patronales à l’assurance chômage afin de dissuader le recours excessif aux contrats courts.</w:t>
      </w:r>
    </w:p>
    <w:p w14:paraId="5A8AE78F" w14:textId="77777777" w:rsidR="00740F0F" w:rsidRPr="0029070D" w:rsidRDefault="00100B64">
      <w:pPr>
        <w:widowControl w:val="0"/>
        <w:autoSpaceDE w:val="0"/>
        <w:autoSpaceDN w:val="0"/>
        <w:spacing w:after="0" w:line="247" w:lineRule="auto"/>
        <w:ind w:left="100"/>
        <w:rPr>
          <w:rFonts w:ascii="Times New Roman" w:eastAsia="Times New Roman" w:hAnsi="Times New Roman" w:cs="Times New Roman"/>
          <w:noProof/>
          <w:kern w:val="0"/>
          <w:szCs w:val="20"/>
          <w14:ligatures w14:val="none"/>
        </w:rPr>
      </w:pPr>
      <w:r>
        <w:rPr>
          <w:rFonts w:ascii="Times New Roman" w:hAnsi="Times New Roman"/>
          <w:noProof/>
        </w:rPr>
        <w:t>Ces mesures entreront en vigueur au plus tôt en 2021, dès que des niveaux prédéfinis d’activité économique et d’emploi seront atteints, tels que mesurés par les indicateurs suivants:</w:t>
      </w:r>
    </w:p>
    <w:p w14:paraId="5A8AE790" w14:textId="3051B2FE" w:rsidR="00740F0F" w:rsidRPr="0029070D" w:rsidRDefault="00100B64">
      <w:pPr>
        <w:widowControl w:val="0"/>
        <w:numPr>
          <w:ilvl w:val="0"/>
          <w:numId w:val="46"/>
        </w:numPr>
        <w:tabs>
          <w:tab w:val="left" w:pos="822"/>
          <w:tab w:val="left" w:pos="823"/>
        </w:tabs>
        <w:autoSpaceDE w:val="0"/>
        <w:autoSpaceDN w:val="0"/>
        <w:spacing w:before="116" w:after="0" w:line="237" w:lineRule="auto"/>
        <w:ind w:right="300"/>
        <w:rPr>
          <w:rFonts w:ascii="Times New Roman" w:eastAsia="Times New Roman" w:hAnsi="Times New Roman" w:cs="Times New Roman"/>
          <w:noProof/>
          <w:kern w:val="0"/>
          <w:szCs w:val="20"/>
          <w14:ligatures w14:val="none"/>
        </w:rPr>
      </w:pPr>
      <w:r>
        <w:rPr>
          <w:rFonts w:ascii="Times New Roman" w:hAnsi="Times New Roman"/>
          <w:noProof/>
        </w:rPr>
        <w:t>diminution de 130</w:t>
      </w:r>
      <w:r>
        <w:rPr>
          <w:rFonts w:ascii="Times New Roman" w:hAnsi="Times New Roman"/>
          <w:noProof/>
          <w:sz w:val="20"/>
        </w:rPr>
        <w:t> </w:t>
      </w:r>
      <w:r>
        <w:rPr>
          <w:rFonts w:ascii="Times New Roman" w:hAnsi="Times New Roman"/>
          <w:noProof/>
        </w:rPr>
        <w:t>000 du nombre de chômeurs inscrits à Pôle Emploi (sur six mois);</w:t>
      </w:r>
    </w:p>
    <w:p w14:paraId="5A8AE791" w14:textId="77777777" w:rsidR="00740F0F" w:rsidRPr="0029070D" w:rsidRDefault="00100B64">
      <w:pPr>
        <w:widowControl w:val="0"/>
        <w:numPr>
          <w:ilvl w:val="0"/>
          <w:numId w:val="46"/>
        </w:numPr>
        <w:tabs>
          <w:tab w:val="left" w:pos="822"/>
          <w:tab w:val="left" w:pos="823"/>
        </w:tabs>
        <w:autoSpaceDE w:val="0"/>
        <w:autoSpaceDN w:val="0"/>
        <w:spacing w:before="40" w:after="0" w:line="235" w:lineRule="auto"/>
        <w:ind w:right="299"/>
        <w:rPr>
          <w:rFonts w:ascii="Times New Roman" w:eastAsia="Times New Roman" w:hAnsi="Times New Roman" w:cs="Times New Roman"/>
          <w:noProof/>
          <w:kern w:val="0"/>
          <w:szCs w:val="20"/>
          <w14:ligatures w14:val="none"/>
        </w:rPr>
      </w:pPr>
      <w:r>
        <w:rPr>
          <w:rFonts w:ascii="Times New Roman" w:hAnsi="Times New Roman"/>
          <w:noProof/>
        </w:rPr>
        <w:t>plus de 2</w:t>
      </w:r>
      <w:r>
        <w:rPr>
          <w:rFonts w:ascii="Times New Roman" w:hAnsi="Times New Roman"/>
          <w:noProof/>
          <w:sz w:val="20"/>
        </w:rPr>
        <w:t> </w:t>
      </w:r>
      <w:r>
        <w:rPr>
          <w:rFonts w:ascii="Times New Roman" w:hAnsi="Times New Roman"/>
          <w:noProof/>
        </w:rPr>
        <w:t>700</w:t>
      </w:r>
      <w:r>
        <w:rPr>
          <w:rFonts w:ascii="Times New Roman" w:hAnsi="Times New Roman"/>
          <w:noProof/>
          <w:sz w:val="20"/>
        </w:rPr>
        <w:t> </w:t>
      </w:r>
      <w:r>
        <w:rPr>
          <w:rFonts w:ascii="Times New Roman" w:hAnsi="Times New Roman"/>
          <w:noProof/>
        </w:rPr>
        <w:t>000 déclarations d’embauche pour des contrats de plus d’un mois (cumul sur quatre mois glissants).</w:t>
      </w:r>
    </w:p>
    <w:p w14:paraId="5A8AE792" w14:textId="77777777" w:rsidR="00740F0F" w:rsidRPr="0029070D" w:rsidRDefault="00100B64">
      <w:pPr>
        <w:widowControl w:val="0"/>
        <w:autoSpaceDE w:val="0"/>
        <w:autoSpaceDN w:val="0"/>
        <w:spacing w:before="241"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C8.I1: FNE-Formation</w:t>
      </w:r>
    </w:p>
    <w:p w14:paraId="5A8AE793" w14:textId="77777777" w:rsidR="00740F0F" w:rsidRPr="0029070D" w:rsidRDefault="00100B64">
      <w:pPr>
        <w:widowControl w:val="0"/>
        <w:autoSpaceDE w:val="0"/>
        <w:autoSpaceDN w:val="0"/>
        <w:spacing w:before="130" w:after="0" w:line="240" w:lineRule="auto"/>
        <w:ind w:left="100" w:right="230"/>
        <w:jc w:val="both"/>
        <w:rPr>
          <w:rFonts w:ascii="Times New Roman" w:eastAsia="Times New Roman" w:hAnsi="Times New Roman" w:cs="Times New Roman"/>
          <w:noProof/>
          <w:kern w:val="0"/>
          <w:szCs w:val="20"/>
          <w14:ligatures w14:val="none"/>
        </w:rPr>
      </w:pPr>
      <w:r>
        <w:rPr>
          <w:rFonts w:ascii="Times New Roman" w:hAnsi="Times New Roman"/>
          <w:noProof/>
        </w:rPr>
        <w:t>FNE-Formation est dédié à la formation pour les salariés des entreprises en activité partielle ou activité partielle de longue durée; Ce dispositif de formation professionnelle vise à favoriser la montée en compétences et la reconversion. Les entreprises qui placent leurs salariés en activité partielle doivent souvent investir dans la formation pour permettre à leur activité de rebondir et de s’adapter aux mutations technologiques ou économiques récentes. C’est un investissement nécessaire, mais souvent difficile à mobiliser dans les moments de contraction de l’activité. Le FNE-Formation intervient alors pour soutenir et encourager ces formations qui sont profitables au salarié, qui renforce ainsi son employabilité, à l’entreprise, qui améliore sa compétitivité. À plus grande échelle, elles sont également profitables à l’économie, en favorisant le développement de compétences attendues sur le marché du travail.</w:t>
      </w:r>
    </w:p>
    <w:p w14:paraId="5A8AE794" w14:textId="77777777" w:rsidR="00740F0F" w:rsidRPr="0029070D" w:rsidRDefault="00100B64">
      <w:pPr>
        <w:widowControl w:val="0"/>
        <w:autoSpaceDE w:val="0"/>
        <w:autoSpaceDN w:val="0"/>
        <w:spacing w:before="104" w:after="0" w:line="242" w:lineRule="auto"/>
        <w:ind w:left="100" w:right="237"/>
        <w:jc w:val="both"/>
        <w:rPr>
          <w:rFonts w:ascii="Times New Roman" w:eastAsia="Times New Roman" w:hAnsi="Times New Roman" w:cs="Times New Roman"/>
          <w:noProof/>
          <w:kern w:val="0"/>
          <w:szCs w:val="20"/>
          <w14:ligatures w14:val="none"/>
        </w:rPr>
      </w:pPr>
      <w:r>
        <w:rPr>
          <w:rFonts w:ascii="Times New Roman" w:hAnsi="Times New Roman"/>
          <w:noProof/>
        </w:rPr>
        <w:t>La mesure finance la formation des salariés d’entreprises en activité partielle ou activité partielle de longue durée en vigueur en 2020 (à partir du 1</w:t>
      </w:r>
      <w:r>
        <w:rPr>
          <w:rFonts w:ascii="Times New Roman" w:hAnsi="Times New Roman"/>
          <w:noProof/>
          <w:vertAlign w:val="superscript"/>
        </w:rPr>
        <w:t>er</w:t>
      </w:r>
      <w:r>
        <w:rPr>
          <w:rFonts w:ascii="Times New Roman" w:hAnsi="Times New Roman"/>
          <w:noProof/>
        </w:rPr>
        <w:t> mars de cette année) et en 2021, avec des niveaux de prise en charge allant de 40 % à 100 % en fonction de la taille de l’entreprise et du délai au cours duquel la formation a été initiée.</w:t>
      </w:r>
    </w:p>
    <w:p w14:paraId="5A8AE795" w14:textId="77777777" w:rsidR="00740F0F" w:rsidRPr="0029070D" w:rsidRDefault="00100B64">
      <w:pPr>
        <w:widowControl w:val="0"/>
        <w:autoSpaceDE w:val="0"/>
        <w:autoSpaceDN w:val="0"/>
        <w:spacing w:before="117"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C8.I2: reconversion par l’alternance (dispositif Pro-A)</w:t>
      </w:r>
    </w:p>
    <w:p w14:paraId="5A8AE796" w14:textId="77777777" w:rsidR="00740F0F" w:rsidRPr="0029070D" w:rsidRDefault="00100B64">
      <w:pPr>
        <w:widowControl w:val="0"/>
        <w:autoSpaceDE w:val="0"/>
        <w:autoSpaceDN w:val="0"/>
        <w:spacing w:before="118" w:after="0" w:line="242" w:lineRule="auto"/>
        <w:ind w:left="100" w:right="252"/>
        <w:jc w:val="both"/>
        <w:rPr>
          <w:rFonts w:ascii="Times New Roman" w:eastAsia="Times New Roman" w:hAnsi="Times New Roman" w:cs="Times New Roman"/>
          <w:noProof/>
          <w:kern w:val="0"/>
          <w:szCs w:val="20"/>
          <w14:ligatures w14:val="none"/>
        </w:rPr>
      </w:pPr>
      <w:r>
        <w:rPr>
          <w:rFonts w:ascii="Times New Roman" w:hAnsi="Times New Roman"/>
          <w:noProof/>
        </w:rPr>
        <w:t>Dans un contexte de fortes mutations du marché du travail, le dispositif Pro-A permet aux salariés, notamment à ceux dont le niveau de qualification est insuffisant, de se concentrer sur leur développement professionnel et de changer de métier, grâce à une formation en alternance débouchant sur une certification professionnelle.</w:t>
      </w:r>
    </w:p>
    <w:p w14:paraId="5A8AE797" w14:textId="77777777" w:rsidR="00740F0F" w:rsidRPr="0029070D" w:rsidRDefault="00100B64">
      <w:pPr>
        <w:widowControl w:val="0"/>
        <w:autoSpaceDE w:val="0"/>
        <w:autoSpaceDN w:val="0"/>
        <w:spacing w:before="123" w:after="0" w:line="237" w:lineRule="auto"/>
        <w:ind w:left="100" w:right="255"/>
        <w:jc w:val="both"/>
        <w:rPr>
          <w:rFonts w:ascii="Times New Roman" w:eastAsia="Times New Roman" w:hAnsi="Times New Roman" w:cs="Times New Roman"/>
          <w:noProof/>
          <w:kern w:val="0"/>
          <w:szCs w:val="20"/>
          <w14:ligatures w14:val="none"/>
        </w:rPr>
      </w:pPr>
      <w:r>
        <w:rPr>
          <w:rFonts w:ascii="Times New Roman" w:hAnsi="Times New Roman"/>
          <w:noProof/>
        </w:rPr>
        <w:t>Le salarié alterne une formation dans un cadre formel dispensée par un organisme de formation et une activité professionnelle dans l’entreprise, pendant une durée de 6 à 12 mois (pouvant être allongée à 24 mois pour certaines qualifications et populations cibles). La formation peut se dérouler en tout ou partie pendant le temps de travail. L’opérateur de compétences peut prendre en charge tout ou partie des frais pédagogiques, de transport et d’hébergement ainsi que la rémunération du salarié pendant sa Pro-A</w:t>
      </w:r>
    </w:p>
    <w:p w14:paraId="5A8AE798" w14:textId="77777777" w:rsidR="00740F0F" w:rsidRPr="0029070D" w:rsidRDefault="00100B64">
      <w:pPr>
        <w:widowControl w:val="0"/>
        <w:autoSpaceDE w:val="0"/>
        <w:autoSpaceDN w:val="0"/>
        <w:spacing w:before="135" w:after="0" w:line="235" w:lineRule="auto"/>
        <w:ind w:left="100" w:right="272"/>
        <w:jc w:val="both"/>
        <w:rPr>
          <w:rFonts w:ascii="Times New Roman" w:eastAsia="Times New Roman" w:hAnsi="Times New Roman" w:cs="Times New Roman"/>
          <w:noProof/>
          <w:kern w:val="0"/>
          <w:szCs w:val="20"/>
          <w14:ligatures w14:val="none"/>
        </w:rPr>
      </w:pPr>
      <w:r>
        <w:rPr>
          <w:rFonts w:ascii="Times New Roman" w:hAnsi="Times New Roman"/>
          <w:noProof/>
        </w:rPr>
        <w:t>Cette mesure permet de financer la transition professionnelle de 9</w:t>
      </w:r>
      <w:r>
        <w:rPr>
          <w:rFonts w:ascii="Times New Roman" w:hAnsi="Times New Roman"/>
          <w:noProof/>
          <w:sz w:val="18"/>
        </w:rPr>
        <w:t> </w:t>
      </w:r>
      <w:r>
        <w:rPr>
          <w:rFonts w:ascii="Times New Roman" w:hAnsi="Times New Roman"/>
          <w:noProof/>
        </w:rPr>
        <w:t>000 bénéficiaires entre 2021 et 2023.</w:t>
      </w:r>
    </w:p>
    <w:p w14:paraId="5A8AE799" w14:textId="77777777" w:rsidR="00740F0F" w:rsidRPr="0029070D" w:rsidRDefault="00100B64">
      <w:pPr>
        <w:widowControl w:val="0"/>
        <w:autoSpaceDE w:val="0"/>
        <w:autoSpaceDN w:val="0"/>
        <w:spacing w:before="222" w:after="0" w:line="240" w:lineRule="auto"/>
        <w:ind w:left="100"/>
        <w:rPr>
          <w:rFonts w:ascii="Times New Roman" w:eastAsia="Times New Roman" w:hAnsi="Times New Roman" w:cs="Times New Roman"/>
          <w:noProof/>
          <w:kern w:val="0"/>
          <w:szCs w:val="20"/>
          <w14:ligatures w14:val="none"/>
        </w:rPr>
      </w:pPr>
      <w:r>
        <w:rPr>
          <w:rFonts w:ascii="Times New Roman" w:hAnsi="Times New Roman"/>
          <w:noProof/>
          <w:u w:val="single"/>
        </w:rPr>
        <w:t>Investissement C8.I3: aide à l’embauche pour les contrats d’apprentissage</w:t>
      </w:r>
    </w:p>
    <w:p w14:paraId="5A8AE79A" w14:textId="77777777" w:rsidR="00740F0F" w:rsidRPr="0029070D" w:rsidRDefault="00100B64">
      <w:pPr>
        <w:widowControl w:val="0"/>
        <w:autoSpaceDE w:val="0"/>
        <w:autoSpaceDN w:val="0"/>
        <w:spacing w:before="116" w:after="0" w:line="240" w:lineRule="auto"/>
        <w:ind w:left="100"/>
        <w:rPr>
          <w:rFonts w:ascii="Times New Roman" w:eastAsia="Times New Roman" w:hAnsi="Times New Roman" w:cs="Times New Roman"/>
          <w:noProof/>
          <w:kern w:val="0"/>
          <w:szCs w:val="20"/>
          <w14:ligatures w14:val="none"/>
        </w:rPr>
      </w:pPr>
      <w:r>
        <w:rPr>
          <w:rFonts w:ascii="Times New Roman" w:hAnsi="Times New Roman"/>
          <w:noProof/>
        </w:rPr>
        <w:t>La mesure consiste en une aide financière aux employeurs d’apprentis pour la première année d’exécution des contrats, d’un montant total maximal de 8</w:t>
      </w:r>
      <w:r>
        <w:rPr>
          <w:rFonts w:ascii="Times New Roman" w:hAnsi="Times New Roman"/>
          <w:noProof/>
          <w:sz w:val="20"/>
        </w:rPr>
        <w:t> </w:t>
      </w:r>
      <w:r>
        <w:rPr>
          <w:rFonts w:ascii="Times New Roman" w:hAnsi="Times New Roman"/>
          <w:noProof/>
        </w:rPr>
        <w:t>000</w:t>
      </w:r>
      <w:r>
        <w:rPr>
          <w:rFonts w:ascii="Times New Roman" w:hAnsi="Times New Roman"/>
          <w:noProof/>
          <w:sz w:val="20"/>
        </w:rPr>
        <w:t> </w:t>
      </w:r>
      <w:r>
        <w:rPr>
          <w:rFonts w:ascii="Times New Roman" w:hAnsi="Times New Roman"/>
          <w:noProof/>
        </w:rPr>
        <w:t>EUR pour les plus de 18 ans, et de 5</w:t>
      </w:r>
      <w:r>
        <w:rPr>
          <w:rFonts w:ascii="Times New Roman" w:hAnsi="Times New Roman"/>
          <w:noProof/>
          <w:sz w:val="20"/>
        </w:rPr>
        <w:t> </w:t>
      </w:r>
      <w:r>
        <w:rPr>
          <w:rFonts w:ascii="Times New Roman" w:hAnsi="Times New Roman"/>
          <w:noProof/>
        </w:rPr>
        <w:t>000</w:t>
      </w:r>
      <w:r>
        <w:rPr>
          <w:rFonts w:ascii="Times New Roman" w:hAnsi="Times New Roman"/>
          <w:noProof/>
          <w:sz w:val="20"/>
        </w:rPr>
        <w:t> </w:t>
      </w:r>
      <w:r>
        <w:rPr>
          <w:rFonts w:ascii="Times New Roman" w:hAnsi="Times New Roman"/>
          <w:noProof/>
        </w:rPr>
        <w:t>EUR pour les mineurs.</w:t>
      </w:r>
    </w:p>
    <w:p w14:paraId="5A8AE79B" w14:textId="77777777" w:rsidR="00740F0F" w:rsidRPr="0029070D" w:rsidRDefault="00100B64">
      <w:pPr>
        <w:widowControl w:val="0"/>
        <w:autoSpaceDE w:val="0"/>
        <w:autoSpaceDN w:val="0"/>
        <w:spacing w:before="119" w:after="0" w:line="232" w:lineRule="auto"/>
        <w:ind w:left="100" w:right="53"/>
        <w:rPr>
          <w:rFonts w:ascii="Times New Roman" w:eastAsia="Times New Roman" w:hAnsi="Times New Roman" w:cs="Times New Roman"/>
          <w:noProof/>
          <w:kern w:val="0"/>
          <w:szCs w:val="20"/>
          <w14:ligatures w14:val="none"/>
        </w:rPr>
      </w:pPr>
      <w:r>
        <w:rPr>
          <w:rFonts w:ascii="Times New Roman" w:hAnsi="Times New Roman"/>
          <w:noProof/>
        </w:rPr>
        <w:t>Toutes les entreprises sont éligibles à l’aide, mais les entreprises de 250 salariés ou plus doivent respecter l’une des conditions suivantes:</w:t>
      </w:r>
    </w:p>
    <w:p w14:paraId="5A8AE79C" w14:textId="77777777" w:rsidR="00740F0F" w:rsidRPr="0029070D" w:rsidRDefault="00100B64">
      <w:pPr>
        <w:widowControl w:val="0"/>
        <w:numPr>
          <w:ilvl w:val="0"/>
          <w:numId w:val="48"/>
        </w:numPr>
        <w:tabs>
          <w:tab w:val="left" w:pos="823"/>
        </w:tabs>
        <w:autoSpaceDE w:val="0"/>
        <w:autoSpaceDN w:val="0"/>
        <w:spacing w:before="154" w:after="0" w:line="228" w:lineRule="auto"/>
        <w:ind w:right="267"/>
        <w:jc w:val="both"/>
        <w:rPr>
          <w:rFonts w:ascii="Times New Roman" w:eastAsia="Times New Roman" w:hAnsi="Times New Roman" w:cs="Times New Roman"/>
          <w:noProof/>
          <w:kern w:val="0"/>
          <w:szCs w:val="20"/>
          <w14:ligatures w14:val="none"/>
        </w:rPr>
      </w:pPr>
      <w:r>
        <w:rPr>
          <w:rFonts w:ascii="Times New Roman" w:hAnsi="Times New Roman"/>
          <w:noProof/>
        </w:rPr>
        <w:t>atteindre 5 % de contrats favorisant l’insertion professionnelle en 2021 (contrat d’apprentissage et de professionnalisation, VIE, CIFRE);</w:t>
      </w:r>
    </w:p>
    <w:p w14:paraId="5A8AE79D" w14:textId="77777777" w:rsidR="00740F0F" w:rsidRPr="0029070D" w:rsidRDefault="00100B64">
      <w:pPr>
        <w:widowControl w:val="0"/>
        <w:numPr>
          <w:ilvl w:val="0"/>
          <w:numId w:val="48"/>
        </w:numPr>
        <w:tabs>
          <w:tab w:val="left" w:pos="823"/>
        </w:tabs>
        <w:autoSpaceDE w:val="0"/>
        <w:autoSpaceDN w:val="0"/>
        <w:spacing w:before="38" w:after="0" w:line="242" w:lineRule="auto"/>
        <w:ind w:right="267"/>
        <w:jc w:val="both"/>
        <w:rPr>
          <w:rFonts w:ascii="Times New Roman" w:eastAsia="Times New Roman" w:hAnsi="Times New Roman" w:cs="Times New Roman"/>
          <w:noProof/>
          <w:kern w:val="0"/>
          <w:szCs w:val="20"/>
          <w14:ligatures w14:val="none"/>
        </w:rPr>
      </w:pPr>
      <w:r>
        <w:rPr>
          <w:rFonts w:ascii="Times New Roman" w:hAnsi="Times New Roman"/>
          <w:noProof/>
        </w:rPr>
        <w:t>ou au moins 3 % d’alternants (contrat d’apprentissage et de professionnalisation) dans leur effectif en 2021 et avoir connu une progression d’au moins 10 % par rapport à 2020.</w:t>
      </w:r>
    </w:p>
    <w:p w14:paraId="5A8AE79E" w14:textId="77777777" w:rsidR="00740F0F" w:rsidRPr="0029070D" w:rsidRDefault="00100B64">
      <w:pPr>
        <w:widowControl w:val="0"/>
        <w:autoSpaceDE w:val="0"/>
        <w:autoSpaceDN w:val="0"/>
        <w:spacing w:before="23" w:after="0" w:line="235" w:lineRule="auto"/>
        <w:ind w:left="100" w:right="245"/>
        <w:jc w:val="both"/>
        <w:rPr>
          <w:rFonts w:ascii="Times New Roman" w:eastAsia="Times New Roman" w:hAnsi="Times New Roman" w:cs="Times New Roman"/>
          <w:noProof/>
          <w:kern w:val="0"/>
          <w:szCs w:val="20"/>
          <w14:ligatures w14:val="none"/>
        </w:rPr>
      </w:pPr>
      <w:r>
        <w:rPr>
          <w:rFonts w:ascii="Times New Roman" w:hAnsi="Times New Roman"/>
          <w:noProof/>
        </w:rPr>
        <w:t>Pour tout contrat d’apprentissage déposé par l’opérateur de compétences (OPCO), l’aide est versée chaque mois par anticipation de la rémunération par l’Agence de services et de paiement (ASP) et à compter du début d’exécution du contrat.</w:t>
      </w:r>
    </w:p>
    <w:p w14:paraId="5A8AE79F" w14:textId="77777777" w:rsidR="00740F0F" w:rsidRPr="0029070D" w:rsidRDefault="00100B64">
      <w:pPr>
        <w:widowControl w:val="0"/>
        <w:autoSpaceDE w:val="0"/>
        <w:autoSpaceDN w:val="0"/>
        <w:spacing w:before="223"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C8.I4: aides à l’embauche pour les contrats de professionnalisation</w:t>
      </w:r>
    </w:p>
    <w:p w14:paraId="5A8AE7A0" w14:textId="77777777" w:rsidR="00740F0F" w:rsidRPr="0029070D" w:rsidRDefault="00100B64">
      <w:pPr>
        <w:widowControl w:val="0"/>
        <w:autoSpaceDE w:val="0"/>
        <w:autoSpaceDN w:val="0"/>
        <w:spacing w:before="132" w:after="0" w:line="235" w:lineRule="auto"/>
        <w:ind w:left="100" w:right="248"/>
        <w:jc w:val="both"/>
        <w:rPr>
          <w:rFonts w:ascii="Times New Roman" w:eastAsia="Times New Roman" w:hAnsi="Times New Roman" w:cs="Times New Roman"/>
          <w:noProof/>
          <w:kern w:val="0"/>
          <w:szCs w:val="20"/>
          <w14:ligatures w14:val="none"/>
        </w:rPr>
      </w:pPr>
      <w:r>
        <w:rPr>
          <w:rFonts w:ascii="Times New Roman" w:hAnsi="Times New Roman"/>
          <w:noProof/>
        </w:rPr>
        <w:t>Ces aides ciblées à l’embauche apportent un soutien aux employeurs qui recrutent un salarié préparant un diplôme, un certificat ou une qualification professionnelle visé dans une classification nationale des certificats.</w:t>
      </w:r>
    </w:p>
    <w:p w14:paraId="5A8AE7A1" w14:textId="77777777" w:rsidR="00740F0F" w:rsidRPr="0029070D" w:rsidRDefault="00100B64">
      <w:pPr>
        <w:widowControl w:val="0"/>
        <w:autoSpaceDE w:val="0"/>
        <w:autoSpaceDN w:val="0"/>
        <w:spacing w:before="132" w:after="0" w:line="240" w:lineRule="auto"/>
        <w:ind w:left="100" w:right="247"/>
        <w:jc w:val="both"/>
        <w:rPr>
          <w:rFonts w:ascii="Times New Roman" w:eastAsia="Times New Roman" w:hAnsi="Times New Roman" w:cs="Times New Roman"/>
          <w:noProof/>
          <w:kern w:val="0"/>
          <w:szCs w:val="20"/>
          <w14:ligatures w14:val="none"/>
        </w:rPr>
      </w:pPr>
      <w:r>
        <w:rPr>
          <w:rFonts w:ascii="Times New Roman" w:hAnsi="Times New Roman"/>
          <w:noProof/>
        </w:rPr>
        <w:t>La mesure consiste en une aide financière mensuelle versée aux employeurs pendant la première année d’un contrat de professionnalisation, d’un montant total maximal de 8</w:t>
      </w:r>
      <w:r>
        <w:rPr>
          <w:rFonts w:ascii="Times New Roman" w:hAnsi="Times New Roman"/>
          <w:noProof/>
          <w:sz w:val="20"/>
        </w:rPr>
        <w:t> </w:t>
      </w:r>
      <w:r>
        <w:rPr>
          <w:rFonts w:ascii="Times New Roman" w:hAnsi="Times New Roman"/>
          <w:noProof/>
        </w:rPr>
        <w:t>000</w:t>
      </w:r>
      <w:r>
        <w:rPr>
          <w:rFonts w:ascii="Times New Roman" w:hAnsi="Times New Roman"/>
          <w:noProof/>
          <w:sz w:val="20"/>
        </w:rPr>
        <w:t> </w:t>
      </w:r>
      <w:r>
        <w:rPr>
          <w:rFonts w:ascii="Times New Roman" w:hAnsi="Times New Roman"/>
          <w:noProof/>
        </w:rPr>
        <w:t>EUR pour les employés âgés de 18 à 30 ans, et de 5</w:t>
      </w:r>
      <w:r>
        <w:rPr>
          <w:rFonts w:ascii="Times New Roman" w:hAnsi="Times New Roman"/>
          <w:noProof/>
          <w:sz w:val="20"/>
        </w:rPr>
        <w:t> </w:t>
      </w:r>
      <w:r>
        <w:rPr>
          <w:rFonts w:ascii="Times New Roman" w:hAnsi="Times New Roman"/>
          <w:noProof/>
        </w:rPr>
        <w:t>000</w:t>
      </w:r>
      <w:r>
        <w:rPr>
          <w:rFonts w:ascii="Times New Roman" w:hAnsi="Times New Roman"/>
          <w:noProof/>
          <w:sz w:val="20"/>
        </w:rPr>
        <w:t> </w:t>
      </w:r>
      <w:r>
        <w:rPr>
          <w:rFonts w:ascii="Times New Roman" w:hAnsi="Times New Roman"/>
          <w:noProof/>
        </w:rPr>
        <w:t>EUR pour les mineurs. Ces montants correspondent à 50 % du salaire des moins de 18 ans, à 65 % de celui des 21-30 ans et à 50 % de celui des 21-30 ans.</w:t>
      </w:r>
    </w:p>
    <w:p w14:paraId="5A8AE7A2" w14:textId="77777777" w:rsidR="00740F0F" w:rsidRPr="0029070D" w:rsidRDefault="00100B64">
      <w:pPr>
        <w:widowControl w:val="0"/>
        <w:autoSpaceDE w:val="0"/>
        <w:autoSpaceDN w:val="0"/>
        <w:spacing w:before="219"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C8.I5: aide à l’embauche des jeunes de moins de 26 ans</w:t>
      </w:r>
    </w:p>
    <w:p w14:paraId="5A8AE7A3" w14:textId="4D8B7BE5" w:rsidR="00740F0F" w:rsidRPr="0029070D" w:rsidRDefault="00100B64">
      <w:pPr>
        <w:widowControl w:val="0"/>
        <w:autoSpaceDE w:val="0"/>
        <w:autoSpaceDN w:val="0"/>
        <w:spacing w:before="113" w:after="0" w:line="240" w:lineRule="auto"/>
        <w:ind w:left="100" w:right="225"/>
        <w:jc w:val="both"/>
        <w:rPr>
          <w:rFonts w:ascii="Times New Roman" w:eastAsia="Times New Roman" w:hAnsi="Times New Roman" w:cs="Times New Roman"/>
          <w:noProof/>
          <w:kern w:val="0"/>
          <w:szCs w:val="20"/>
          <w14:ligatures w14:val="none"/>
        </w:rPr>
      </w:pPr>
      <w:r>
        <w:rPr>
          <w:rFonts w:ascii="Times New Roman" w:hAnsi="Times New Roman"/>
          <w:noProof/>
        </w:rPr>
        <w:t>La mesure consiste en une aide versée pour l’embauche d’un jeune de moins de 26 ans occupant un emploi modérément qualifié ou de premier échelon (salaire limité à deux fois le salaire minimum), en contrat à durée déterminée d’au moins 3 mois ou en contrat à durée indéterminée conclu entre le 1</w:t>
      </w:r>
      <w:r>
        <w:rPr>
          <w:rFonts w:ascii="Times New Roman" w:hAnsi="Times New Roman"/>
          <w:noProof/>
          <w:vertAlign w:val="superscript"/>
        </w:rPr>
        <w:t>er</w:t>
      </w:r>
      <w:r>
        <w:rPr>
          <w:rFonts w:ascii="Times New Roman" w:hAnsi="Times New Roman"/>
          <w:noProof/>
        </w:rPr>
        <w:t> août 2020 et le 31</w:t>
      </w:r>
      <w:r>
        <w:rPr>
          <w:rFonts w:ascii="Times New Roman" w:hAnsi="Times New Roman"/>
          <w:noProof/>
          <w:sz w:val="20"/>
        </w:rPr>
        <w:t> </w:t>
      </w:r>
      <w:r>
        <w:rPr>
          <w:rFonts w:ascii="Times New Roman" w:hAnsi="Times New Roman"/>
          <w:noProof/>
        </w:rPr>
        <w:t>mars 2021.</w:t>
      </w:r>
    </w:p>
    <w:p w14:paraId="5A8AE7A4" w14:textId="77777777" w:rsidR="00740F0F" w:rsidRPr="0029070D" w:rsidRDefault="00100B64">
      <w:pPr>
        <w:widowControl w:val="0"/>
        <w:autoSpaceDE w:val="0"/>
        <w:autoSpaceDN w:val="0"/>
        <w:spacing w:before="104" w:after="0" w:line="240" w:lineRule="auto"/>
        <w:ind w:left="100" w:right="230"/>
        <w:jc w:val="both"/>
        <w:rPr>
          <w:rFonts w:ascii="Times New Roman" w:eastAsia="Times New Roman" w:hAnsi="Times New Roman" w:cs="Times New Roman"/>
          <w:noProof/>
          <w:kern w:val="0"/>
          <w:szCs w:val="20"/>
          <w14:ligatures w14:val="none"/>
        </w:rPr>
      </w:pPr>
      <w:r>
        <w:rPr>
          <w:rFonts w:ascii="Times New Roman" w:hAnsi="Times New Roman"/>
          <w:noProof/>
        </w:rPr>
        <w:t>Cette aide d’un montant maximal de 4</w:t>
      </w:r>
      <w:r>
        <w:rPr>
          <w:rFonts w:ascii="Times New Roman" w:hAnsi="Times New Roman"/>
          <w:noProof/>
          <w:sz w:val="20"/>
        </w:rPr>
        <w:t> </w:t>
      </w:r>
      <w:r>
        <w:rPr>
          <w:rFonts w:ascii="Times New Roman" w:hAnsi="Times New Roman"/>
          <w:noProof/>
        </w:rPr>
        <w:t>000</w:t>
      </w:r>
      <w:r>
        <w:rPr>
          <w:rFonts w:ascii="Times New Roman" w:hAnsi="Times New Roman"/>
          <w:noProof/>
          <w:sz w:val="20"/>
        </w:rPr>
        <w:t> </w:t>
      </w:r>
      <w:r>
        <w:rPr>
          <w:rFonts w:ascii="Times New Roman" w:hAnsi="Times New Roman"/>
          <w:noProof/>
        </w:rPr>
        <w:t>EUR est versée par tranche trimestrielle sur une période d’un an. Cette mesure a été prolongée jusqu’au 31 mai 2021, mais elle est désormais limitée aux salaires inférieurs ou égaux à 1,6 fois le salaire minimum.</w:t>
      </w:r>
    </w:p>
    <w:p w14:paraId="5A8AE7A5" w14:textId="77777777" w:rsidR="00740F0F" w:rsidRPr="0029070D" w:rsidRDefault="00100B64">
      <w:pPr>
        <w:widowControl w:val="0"/>
        <w:autoSpaceDE w:val="0"/>
        <w:autoSpaceDN w:val="0"/>
        <w:spacing w:before="73"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C8.I6: création d’emplois pour les jeunes dans le sport</w:t>
      </w:r>
    </w:p>
    <w:p w14:paraId="5A8AE7A6" w14:textId="77777777" w:rsidR="00740F0F" w:rsidRPr="0029070D" w:rsidRDefault="00100B64">
      <w:pPr>
        <w:widowControl w:val="0"/>
        <w:autoSpaceDE w:val="0"/>
        <w:autoSpaceDN w:val="0"/>
        <w:spacing w:before="115" w:after="0" w:line="242" w:lineRule="auto"/>
        <w:ind w:left="100" w:right="243"/>
        <w:jc w:val="both"/>
        <w:rPr>
          <w:rFonts w:ascii="Times New Roman" w:eastAsia="Times New Roman" w:hAnsi="Times New Roman" w:cs="Times New Roman"/>
          <w:noProof/>
          <w:kern w:val="0"/>
          <w:szCs w:val="20"/>
          <w14:ligatures w14:val="none"/>
        </w:rPr>
      </w:pPr>
      <w:r>
        <w:rPr>
          <w:rFonts w:ascii="Times New Roman" w:hAnsi="Times New Roman"/>
          <w:noProof/>
        </w:rPr>
        <w:t>Cette mesure prévoit une aide financière pendant deux ans au maximum lors de la création d’un emploi dans le secteur du sport, destiné à un jeune de moins de 30 ans. Cette mesure soutient la création d’emplois permanents et non délocalisables, aidant les jeunes à entrer durablement sur le marché du travail, tout en favorisant la santé et l’exercice physique de la population générale.</w:t>
      </w:r>
    </w:p>
    <w:p w14:paraId="5A8AE7A7" w14:textId="77777777" w:rsidR="00740F0F" w:rsidRPr="0029070D" w:rsidRDefault="00100B64">
      <w:pPr>
        <w:widowControl w:val="0"/>
        <w:autoSpaceDE w:val="0"/>
        <w:autoSpaceDN w:val="0"/>
        <w:spacing w:before="210"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C8.I7: internats d’excellence</w:t>
      </w:r>
    </w:p>
    <w:p w14:paraId="5A8AE7A8" w14:textId="77777777" w:rsidR="00740F0F" w:rsidRPr="0029070D" w:rsidRDefault="00100B64">
      <w:pPr>
        <w:widowControl w:val="0"/>
        <w:autoSpaceDE w:val="0"/>
        <w:autoSpaceDN w:val="0"/>
        <w:spacing w:before="115" w:after="0" w:line="242" w:lineRule="auto"/>
        <w:ind w:left="100" w:right="252"/>
        <w:jc w:val="both"/>
        <w:rPr>
          <w:rFonts w:ascii="Times New Roman" w:eastAsia="Times New Roman" w:hAnsi="Times New Roman" w:cs="Times New Roman"/>
          <w:noProof/>
          <w:kern w:val="0"/>
          <w:szCs w:val="20"/>
          <w14:ligatures w14:val="none"/>
        </w:rPr>
      </w:pPr>
      <w:r>
        <w:rPr>
          <w:rFonts w:ascii="Times New Roman" w:hAnsi="Times New Roman"/>
          <w:noProof/>
        </w:rPr>
        <w:t>Les internats d’excellence visent à offrir aux élèves, en particulier ceux issus de milieux défavorisés, un environnement mieux adapté à l’apprentissage, au développement de leurs compétences et à l’élargissement de leurs aspirations éducatives.</w:t>
      </w:r>
    </w:p>
    <w:p w14:paraId="5A8AE7A9" w14:textId="77777777" w:rsidR="00740F0F" w:rsidRPr="0029070D" w:rsidRDefault="00100B64">
      <w:pPr>
        <w:widowControl w:val="0"/>
        <w:autoSpaceDE w:val="0"/>
        <w:autoSpaceDN w:val="0"/>
        <w:spacing w:before="108" w:after="0" w:line="240" w:lineRule="auto"/>
        <w:ind w:left="100" w:right="252"/>
        <w:jc w:val="both"/>
        <w:rPr>
          <w:rFonts w:ascii="Times New Roman" w:eastAsia="Times New Roman" w:hAnsi="Times New Roman" w:cs="Times New Roman"/>
          <w:noProof/>
          <w:kern w:val="0"/>
          <w:szCs w:val="20"/>
          <w14:ligatures w14:val="none"/>
        </w:rPr>
      </w:pPr>
      <w:r>
        <w:rPr>
          <w:rFonts w:ascii="Times New Roman" w:hAnsi="Times New Roman"/>
          <w:noProof/>
        </w:rPr>
        <w:t>Cependant, bon nombre des internats existants ne sont plus adaptés aux besoins actuels, ce qui entraîne un faible taux d’occupation. La revitalisation contribue à moderniser ces installations, renforçant ainsi l’attrait de ces possibilités d’enseignement. Cette mesure permet de financer la rénovation ou la création de 1</w:t>
      </w:r>
      <w:r>
        <w:rPr>
          <w:rFonts w:ascii="Times New Roman" w:hAnsi="Times New Roman"/>
          <w:noProof/>
          <w:sz w:val="20"/>
        </w:rPr>
        <w:t> </w:t>
      </w:r>
      <w:r>
        <w:rPr>
          <w:rFonts w:ascii="Times New Roman" w:hAnsi="Times New Roman"/>
          <w:noProof/>
        </w:rPr>
        <w:t>500 places en internat d’excellence d’ici à la fin décembre 2023.</w:t>
      </w:r>
    </w:p>
    <w:p w14:paraId="5A8AE7AA" w14:textId="77777777" w:rsidR="00740F0F" w:rsidRPr="0029070D" w:rsidRDefault="00100B64">
      <w:pPr>
        <w:widowControl w:val="0"/>
        <w:autoSpaceDE w:val="0"/>
        <w:autoSpaceDN w:val="0"/>
        <w:spacing w:before="223"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C8.I8: cordées de la réussite</w:t>
      </w:r>
    </w:p>
    <w:p w14:paraId="5A8AE7AB" w14:textId="77777777" w:rsidR="00740F0F" w:rsidRPr="0029070D" w:rsidRDefault="00100B64">
      <w:pPr>
        <w:widowControl w:val="0"/>
        <w:autoSpaceDE w:val="0"/>
        <w:autoSpaceDN w:val="0"/>
        <w:spacing w:before="130" w:after="0" w:line="240" w:lineRule="auto"/>
        <w:ind w:left="100" w:right="242"/>
        <w:jc w:val="both"/>
        <w:rPr>
          <w:rFonts w:ascii="Times New Roman" w:eastAsia="Times New Roman" w:hAnsi="Times New Roman" w:cs="Times New Roman"/>
          <w:noProof/>
          <w:kern w:val="0"/>
          <w:szCs w:val="20"/>
          <w14:ligatures w14:val="none"/>
        </w:rPr>
      </w:pPr>
      <w:r>
        <w:rPr>
          <w:rFonts w:ascii="Times New Roman" w:hAnsi="Times New Roman"/>
          <w:noProof/>
        </w:rPr>
        <w:t>Le programme «Cordées de la réussite» est un dispositif d’accompagnement à long terme entre des étudiants de l’enseignement supérieur (les «tuteurs») et des élèves du secondaire issus de zones défavorisées (éducation prioritaire et zones rurales). L’objectif est d’élargir les ambitions et les horizons de ces étudiants, et de les aider à construire leur propre projet personnel et professionnel. Cet objectif est atteint par une combinaison de tutorat personnel et d’activités de groupe favorisant une plus grande ouverture culturelle et sociale (par exemple, visite de musées et d’institutions publiques, découverte de divers secteurs professionnels et lieux de travail, participation à des conférences, actions de sensibilisation aux stéréotypes, développement de compétences non techniques telles que la prise de parole en public). Les activités sont adaptées à l’âge des élèves, qui peuvent s’inscrire au programme dès l’âge de 13 ans environ et sont censés continuer à y participer jusqu’à la fin de l’enseignement secondaire.</w:t>
      </w:r>
    </w:p>
    <w:p w14:paraId="5A8AE7AC" w14:textId="77777777" w:rsidR="00740F0F" w:rsidRPr="0029070D" w:rsidRDefault="00100B64">
      <w:pPr>
        <w:widowControl w:val="0"/>
        <w:autoSpaceDE w:val="0"/>
        <w:autoSpaceDN w:val="0"/>
        <w:spacing w:before="123" w:after="0" w:line="237" w:lineRule="auto"/>
        <w:ind w:left="100" w:right="234"/>
        <w:jc w:val="both"/>
        <w:rPr>
          <w:rFonts w:ascii="Times New Roman" w:eastAsia="Times New Roman" w:hAnsi="Times New Roman" w:cs="Times New Roman"/>
          <w:noProof/>
          <w:kern w:val="0"/>
          <w:szCs w:val="20"/>
          <w14:ligatures w14:val="none"/>
        </w:rPr>
      </w:pPr>
      <w:r>
        <w:rPr>
          <w:rFonts w:ascii="Times New Roman" w:hAnsi="Times New Roman"/>
          <w:noProof/>
        </w:rPr>
        <w:t>Ce programme repose sur un partenariat entre, d’une part, des universités ou des établissements d’enseignement supérieur (tels que des lycées proposant également des classes préparatoires post-baccalauréat en 2 ans) et, d’autre part, des collèges et lycées de zones rurales ou défavorisées qui s’engagent à inscrire 30 % de leurs élèves d’une classe d’âge donnée dans le programme. Ces partenariats d’une durée de trois ans sont sélectionnés par des comités régionaux dans le cadre d’appels à projets.</w:t>
      </w:r>
    </w:p>
    <w:p w14:paraId="5A8AE7AD" w14:textId="77777777" w:rsidR="00740F0F" w:rsidRPr="0029070D" w:rsidRDefault="00100B64">
      <w:pPr>
        <w:widowControl w:val="0"/>
        <w:autoSpaceDE w:val="0"/>
        <w:autoSpaceDN w:val="0"/>
        <w:spacing w:before="131" w:after="0" w:line="240" w:lineRule="auto"/>
        <w:ind w:left="100"/>
        <w:jc w:val="both"/>
        <w:rPr>
          <w:rFonts w:ascii="Times New Roman" w:eastAsia="Times New Roman" w:hAnsi="Times New Roman" w:cs="Times New Roman"/>
          <w:noProof/>
          <w:spacing w:val="-2"/>
          <w:kern w:val="0"/>
          <w:szCs w:val="20"/>
          <w14:ligatures w14:val="none"/>
        </w:rPr>
      </w:pPr>
      <w:r>
        <w:rPr>
          <w:rFonts w:ascii="Times New Roman" w:hAnsi="Times New Roman"/>
          <w:noProof/>
        </w:rPr>
        <w:t>Cette mesure vise à financer la participation de 185</w:t>
      </w:r>
      <w:r>
        <w:rPr>
          <w:rFonts w:ascii="Times New Roman" w:hAnsi="Times New Roman"/>
          <w:noProof/>
          <w:sz w:val="20"/>
        </w:rPr>
        <w:t> </w:t>
      </w:r>
      <w:r>
        <w:rPr>
          <w:rFonts w:ascii="Times New Roman" w:hAnsi="Times New Roman"/>
          <w:noProof/>
        </w:rPr>
        <w:t>000 étudiants au programme.</w:t>
      </w:r>
    </w:p>
    <w:p w14:paraId="1F43BB4B" w14:textId="77777777" w:rsidR="00946B0A" w:rsidRPr="0029070D" w:rsidRDefault="00946B0A">
      <w:pPr>
        <w:widowControl w:val="0"/>
        <w:autoSpaceDE w:val="0"/>
        <w:autoSpaceDN w:val="0"/>
        <w:spacing w:before="131" w:after="0" w:line="240" w:lineRule="auto"/>
        <w:ind w:left="100"/>
        <w:jc w:val="both"/>
        <w:rPr>
          <w:rFonts w:ascii="Times New Roman" w:eastAsia="Times New Roman" w:hAnsi="Times New Roman" w:cs="Times New Roman"/>
          <w:noProof/>
          <w:kern w:val="0"/>
          <w:szCs w:val="20"/>
          <w14:ligatures w14:val="none"/>
        </w:rPr>
      </w:pPr>
    </w:p>
    <w:p w14:paraId="5A8AE7AE" w14:textId="77777777" w:rsidR="00740F0F" w:rsidRPr="0029070D" w:rsidRDefault="00100B64">
      <w:pPr>
        <w:widowControl w:val="0"/>
        <w:autoSpaceDE w:val="0"/>
        <w:autoSpaceDN w:val="0"/>
        <w:spacing w:before="207"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C8.I9: Garanties par l’État des prêts étudiants</w:t>
      </w:r>
    </w:p>
    <w:p w14:paraId="5A8AE7AF" w14:textId="77777777" w:rsidR="00740F0F" w:rsidRPr="0029070D" w:rsidRDefault="00100B64">
      <w:pPr>
        <w:widowControl w:val="0"/>
        <w:autoSpaceDE w:val="0"/>
        <w:autoSpaceDN w:val="0"/>
        <w:spacing w:before="130" w:after="0" w:line="240" w:lineRule="auto"/>
        <w:ind w:left="100" w:right="246"/>
        <w:jc w:val="both"/>
        <w:rPr>
          <w:rFonts w:ascii="Times New Roman" w:eastAsia="Times New Roman" w:hAnsi="Times New Roman" w:cs="Times New Roman"/>
          <w:noProof/>
          <w:kern w:val="0"/>
          <w:szCs w:val="20"/>
          <w14:ligatures w14:val="none"/>
        </w:rPr>
      </w:pPr>
      <w:r>
        <w:rPr>
          <w:rFonts w:ascii="Times New Roman" w:hAnsi="Times New Roman"/>
          <w:noProof/>
        </w:rPr>
        <w:t>Les prêts étudiants bénéficiant de la garantie de l’État sont destinés à aider les étudiants de moins de 28 ans à financer leurs études. La garantie de l’État permet aux étudiants qui ne sont pas en mesure de fournir une garantie personnelle d’accéder à un crédit nécessaire au financement de leurs études.</w:t>
      </w:r>
    </w:p>
    <w:p w14:paraId="5A8AE7B0" w14:textId="77777777" w:rsidR="00740F0F" w:rsidRPr="0029070D" w:rsidRDefault="00100B64">
      <w:pPr>
        <w:widowControl w:val="0"/>
        <w:autoSpaceDE w:val="0"/>
        <w:autoSpaceDN w:val="0"/>
        <w:spacing w:before="69" w:after="0" w:line="235" w:lineRule="auto"/>
        <w:ind w:left="100" w:right="247"/>
        <w:jc w:val="both"/>
        <w:rPr>
          <w:rFonts w:ascii="Times New Roman" w:eastAsia="Times New Roman" w:hAnsi="Times New Roman" w:cs="Times New Roman"/>
          <w:noProof/>
          <w:kern w:val="0"/>
          <w:szCs w:val="20"/>
          <w14:ligatures w14:val="none"/>
        </w:rPr>
      </w:pPr>
      <w:r>
        <w:rPr>
          <w:rFonts w:ascii="Times New Roman" w:hAnsi="Times New Roman"/>
          <w:noProof/>
        </w:rPr>
        <w:t>Le remboursement du prêt peut être différé jusqu’à l’obtention du diplôme. Le montant maximal emprunté est de 20</w:t>
      </w:r>
      <w:r>
        <w:rPr>
          <w:rFonts w:ascii="Times New Roman" w:hAnsi="Times New Roman"/>
          <w:noProof/>
          <w:sz w:val="20"/>
        </w:rPr>
        <w:t> </w:t>
      </w:r>
      <w:r>
        <w:rPr>
          <w:rFonts w:ascii="Times New Roman" w:hAnsi="Times New Roman"/>
          <w:noProof/>
        </w:rPr>
        <w:t>000</w:t>
      </w:r>
      <w:r>
        <w:rPr>
          <w:rFonts w:ascii="Times New Roman" w:hAnsi="Times New Roman"/>
          <w:noProof/>
          <w:sz w:val="20"/>
        </w:rPr>
        <w:t> </w:t>
      </w:r>
      <w:r>
        <w:rPr>
          <w:rFonts w:ascii="Times New Roman" w:hAnsi="Times New Roman"/>
          <w:noProof/>
        </w:rPr>
        <w:t>EUR pour une durée minimale de deux ans. Cette mesure devrait donc financer les garanties de l’État pour au moins 36</w:t>
      </w:r>
      <w:r>
        <w:rPr>
          <w:rFonts w:ascii="Times New Roman" w:hAnsi="Times New Roman"/>
          <w:noProof/>
          <w:sz w:val="20"/>
        </w:rPr>
        <w:t> </w:t>
      </w:r>
      <w:r>
        <w:rPr>
          <w:rFonts w:ascii="Times New Roman" w:hAnsi="Times New Roman"/>
          <w:noProof/>
        </w:rPr>
        <w:t>000 prêts étudiants.</w:t>
      </w:r>
    </w:p>
    <w:p w14:paraId="5A8AE7B1" w14:textId="77777777" w:rsidR="00740F0F" w:rsidRPr="0029070D" w:rsidRDefault="00100B64">
      <w:pPr>
        <w:widowControl w:val="0"/>
        <w:autoSpaceDE w:val="0"/>
        <w:autoSpaceDN w:val="0"/>
        <w:spacing w:before="102" w:after="0" w:line="242" w:lineRule="auto"/>
        <w:ind w:left="100" w:right="119"/>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C8.I10: parcours personnalisés pour les jeunes de 16 à 18 ans ne respectant pas l’obligation</w:t>
      </w:r>
      <w:r>
        <w:rPr>
          <w:rFonts w:ascii="Times New Roman" w:hAnsi="Times New Roman"/>
          <w:noProof/>
        </w:rPr>
        <w:t xml:space="preserve"> </w:t>
      </w:r>
      <w:r>
        <w:rPr>
          <w:rFonts w:ascii="Times New Roman" w:hAnsi="Times New Roman"/>
          <w:noProof/>
          <w:u w:val="single"/>
        </w:rPr>
        <w:t>de formation</w:t>
      </w:r>
    </w:p>
    <w:p w14:paraId="5A8AE7B2" w14:textId="77777777" w:rsidR="00740F0F" w:rsidRPr="0029070D" w:rsidRDefault="00100B64">
      <w:pPr>
        <w:widowControl w:val="0"/>
        <w:autoSpaceDE w:val="0"/>
        <w:autoSpaceDN w:val="0"/>
        <w:spacing w:before="110" w:after="0" w:line="242" w:lineRule="auto"/>
        <w:ind w:left="100" w:right="246"/>
        <w:jc w:val="both"/>
        <w:rPr>
          <w:rFonts w:ascii="Times New Roman" w:eastAsia="Times New Roman" w:hAnsi="Times New Roman" w:cs="Times New Roman"/>
          <w:noProof/>
          <w:kern w:val="0"/>
          <w:szCs w:val="20"/>
          <w14:ligatures w14:val="none"/>
        </w:rPr>
      </w:pPr>
      <w:r>
        <w:rPr>
          <w:rFonts w:ascii="Times New Roman" w:hAnsi="Times New Roman"/>
          <w:noProof/>
        </w:rPr>
        <w:t>Cette mesure offre un soutien à court terme aux jeunes en décrochage scolaire, notamment en raison des difficultés supplémentaires qu’ils ont rencontrées à la suite de la crise de la COVID-19 et des fermetures qui en ont résulté, dans le but de contribuer à lutter à plus long terme contre l’exclusion des jeunes peu qualifiés du marché du travail.</w:t>
      </w:r>
    </w:p>
    <w:p w14:paraId="5A8AE7B3" w14:textId="77777777" w:rsidR="00740F0F" w:rsidRPr="0029070D" w:rsidRDefault="00100B64">
      <w:pPr>
        <w:widowControl w:val="0"/>
        <w:autoSpaceDE w:val="0"/>
        <w:autoSpaceDN w:val="0"/>
        <w:spacing w:before="110" w:after="0" w:line="242" w:lineRule="auto"/>
        <w:ind w:left="100" w:right="243"/>
        <w:jc w:val="both"/>
        <w:rPr>
          <w:rFonts w:ascii="Times New Roman" w:eastAsia="Times New Roman" w:hAnsi="Times New Roman" w:cs="Times New Roman"/>
          <w:noProof/>
          <w:kern w:val="0"/>
          <w:szCs w:val="20"/>
          <w14:ligatures w14:val="none"/>
        </w:rPr>
      </w:pPr>
      <w:r>
        <w:rPr>
          <w:rFonts w:ascii="Times New Roman" w:hAnsi="Times New Roman"/>
          <w:noProof/>
        </w:rPr>
        <w:t>La mesure prévoit un soutien adapté aux mineurs ne respectant pas l’obligation de formation. L’objectif est de proposer à chaque jeune de 16 à 18 ans considéré comme ne respectant pas l’obligation de formation une solution en fonction de ses besoins et de son projet professionnel. Le programme prévu pour durer 13 semaines en moyenne est conçu pour donner aux jeunes l’occasion de travailler sur des compétences générales, de découvrir des options de carrière et de bénéficier d’un soutien complet (social, sportif, culturel, selon les déclinaisons du programme).</w:t>
      </w:r>
    </w:p>
    <w:p w14:paraId="5A8AE7B4" w14:textId="77777777" w:rsidR="00740F0F" w:rsidRPr="0029070D" w:rsidRDefault="00100B64">
      <w:pPr>
        <w:widowControl w:val="0"/>
        <w:autoSpaceDE w:val="0"/>
        <w:autoSpaceDN w:val="0"/>
        <w:spacing w:before="211"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C8.I11: création de places dans l’enseignement supérieur</w:t>
      </w:r>
    </w:p>
    <w:p w14:paraId="5A8AE7B5" w14:textId="77777777" w:rsidR="00740F0F" w:rsidRPr="0029070D" w:rsidRDefault="00100B64">
      <w:pPr>
        <w:widowControl w:val="0"/>
        <w:autoSpaceDE w:val="0"/>
        <w:autoSpaceDN w:val="0"/>
        <w:spacing w:before="116" w:after="0" w:line="240" w:lineRule="auto"/>
        <w:ind w:left="100" w:right="247"/>
        <w:jc w:val="both"/>
        <w:rPr>
          <w:rFonts w:ascii="Times New Roman" w:eastAsia="Times New Roman" w:hAnsi="Times New Roman" w:cs="Times New Roman"/>
          <w:noProof/>
          <w:kern w:val="0"/>
          <w:szCs w:val="20"/>
          <w14:ligatures w14:val="none"/>
        </w:rPr>
      </w:pPr>
      <w:r>
        <w:rPr>
          <w:rFonts w:ascii="Times New Roman" w:hAnsi="Times New Roman"/>
          <w:noProof/>
        </w:rPr>
        <w:t>Les résultats exceptionnels à l’examen du baccalauréat se sont traduits par une augmentation très significative du nombre d’étudiants entrés dans l’enseignement supérieur à la rentrée 2020. La mesure consiste à créer des places de formation supplémentaires dans les établissements d’enseignement supérieur afin d’apporter des solutions aux jeunes et d’augmenter l’offre de formation pour les secteurs économiques en forte demande.</w:t>
      </w:r>
    </w:p>
    <w:p w14:paraId="5A8AE7B6" w14:textId="77777777" w:rsidR="00740F0F" w:rsidRPr="0029070D" w:rsidRDefault="00100B64">
      <w:pPr>
        <w:widowControl w:val="0"/>
        <w:autoSpaceDE w:val="0"/>
        <w:autoSpaceDN w:val="0"/>
        <w:spacing w:before="127" w:after="0" w:line="240" w:lineRule="auto"/>
        <w:ind w:left="100" w:right="248"/>
        <w:jc w:val="both"/>
        <w:rPr>
          <w:rFonts w:ascii="Times New Roman" w:eastAsia="Times New Roman" w:hAnsi="Times New Roman" w:cs="Times New Roman"/>
          <w:noProof/>
          <w:kern w:val="0"/>
          <w:szCs w:val="20"/>
          <w14:ligatures w14:val="none"/>
        </w:rPr>
      </w:pPr>
      <w:r>
        <w:rPr>
          <w:rFonts w:ascii="Times New Roman" w:hAnsi="Times New Roman"/>
          <w:noProof/>
        </w:rPr>
        <w:t>La mesure comprend l’ouverture de places supplémentaires dans les formations courtes et professionnelles; en licence, dans les écoles d’infirmières et dans les formations paramédicales compte tenu notamment du contexte actuel et à la suite de l’accord Ségur de la Santé.</w:t>
      </w:r>
    </w:p>
    <w:p w14:paraId="5A8AE7B7" w14:textId="77777777" w:rsidR="00740F0F" w:rsidRPr="0029070D" w:rsidRDefault="00100B64">
      <w:pPr>
        <w:widowControl w:val="0"/>
        <w:autoSpaceDE w:val="0"/>
        <w:autoSpaceDN w:val="0"/>
        <w:spacing w:before="204"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C8.I12: plan jeunes: poursuite d’études des néo-bacheliers</w:t>
      </w:r>
    </w:p>
    <w:p w14:paraId="5A8AE7B8" w14:textId="77777777" w:rsidR="00740F0F" w:rsidRPr="0029070D" w:rsidRDefault="00100B64">
      <w:pPr>
        <w:widowControl w:val="0"/>
        <w:autoSpaceDE w:val="0"/>
        <w:autoSpaceDN w:val="0"/>
        <w:spacing w:before="132" w:after="0" w:line="242" w:lineRule="auto"/>
        <w:ind w:left="100" w:right="258"/>
        <w:jc w:val="both"/>
        <w:rPr>
          <w:rFonts w:ascii="Times New Roman" w:eastAsia="Times New Roman" w:hAnsi="Times New Roman" w:cs="Times New Roman"/>
          <w:noProof/>
          <w:kern w:val="0"/>
          <w:szCs w:val="20"/>
          <w14:ligatures w14:val="none"/>
        </w:rPr>
      </w:pPr>
      <w:r>
        <w:rPr>
          <w:rFonts w:ascii="Times New Roman" w:hAnsi="Times New Roman"/>
          <w:noProof/>
        </w:rPr>
        <w:t>Compte tenu du besoin de places supplémentaires dans l’enseignement supérieur, cet investissement complète l’investissement pour la création de places dans l’enseignement supérieur, avec l’ouverture de places dans des diplômes plus courts de deux ans ainsi que des formations d’un an.</w:t>
      </w:r>
    </w:p>
    <w:p w14:paraId="5A8AE7B9" w14:textId="77777777" w:rsidR="00740F0F" w:rsidRPr="0029070D" w:rsidRDefault="00100B64">
      <w:pPr>
        <w:widowControl w:val="0"/>
        <w:autoSpaceDE w:val="0"/>
        <w:autoSpaceDN w:val="0"/>
        <w:spacing w:before="108"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rPr>
        <w:t>Des places supplémentaires seront créées d’ici à septembre 2021, dans les domaines suivants:</w:t>
      </w:r>
    </w:p>
    <w:p w14:paraId="5A8AE7BA" w14:textId="77777777" w:rsidR="00740F0F" w:rsidRPr="0029070D" w:rsidRDefault="00100B64">
      <w:pPr>
        <w:widowControl w:val="0"/>
        <w:numPr>
          <w:ilvl w:val="0"/>
          <w:numId w:val="48"/>
        </w:numPr>
        <w:tabs>
          <w:tab w:val="left" w:pos="822"/>
          <w:tab w:val="left" w:pos="823"/>
        </w:tabs>
        <w:autoSpaceDE w:val="0"/>
        <w:autoSpaceDN w:val="0"/>
        <w:spacing w:before="125" w:after="0" w:line="240" w:lineRule="auto"/>
        <w:rPr>
          <w:rFonts w:ascii="Times New Roman" w:eastAsia="Times New Roman" w:hAnsi="Times New Roman" w:cs="Times New Roman"/>
          <w:noProof/>
          <w:kern w:val="0"/>
          <w:szCs w:val="20"/>
          <w14:ligatures w14:val="none"/>
        </w:rPr>
      </w:pPr>
      <w:r>
        <w:rPr>
          <w:rFonts w:ascii="Times New Roman" w:hAnsi="Times New Roman"/>
          <w:noProof/>
        </w:rPr>
        <w:t>places en BTS 2 ans;</w:t>
      </w:r>
    </w:p>
    <w:p w14:paraId="5A8AE7BB" w14:textId="77777777" w:rsidR="00740F0F" w:rsidRPr="0029070D" w:rsidRDefault="00100B64">
      <w:pPr>
        <w:widowControl w:val="0"/>
        <w:numPr>
          <w:ilvl w:val="0"/>
          <w:numId w:val="48"/>
        </w:numPr>
        <w:tabs>
          <w:tab w:val="left" w:pos="822"/>
          <w:tab w:val="left" w:pos="823"/>
        </w:tabs>
        <w:autoSpaceDE w:val="0"/>
        <w:autoSpaceDN w:val="0"/>
        <w:spacing w:before="120" w:after="0" w:line="288" w:lineRule="exact"/>
        <w:rPr>
          <w:rFonts w:ascii="Times New Roman" w:eastAsia="Times New Roman" w:hAnsi="Times New Roman" w:cs="Times New Roman"/>
          <w:noProof/>
          <w:kern w:val="0"/>
          <w:szCs w:val="20"/>
          <w14:ligatures w14:val="none"/>
        </w:rPr>
      </w:pPr>
      <w:r>
        <w:rPr>
          <w:rFonts w:ascii="Times New Roman" w:hAnsi="Times New Roman"/>
          <w:noProof/>
        </w:rPr>
        <w:t>places en CAP 1 an;</w:t>
      </w:r>
    </w:p>
    <w:p w14:paraId="5A8AE7BC" w14:textId="77777777" w:rsidR="00740F0F" w:rsidRPr="0029070D" w:rsidRDefault="00100B64">
      <w:pPr>
        <w:widowControl w:val="0"/>
        <w:numPr>
          <w:ilvl w:val="0"/>
          <w:numId w:val="48"/>
        </w:numPr>
        <w:tabs>
          <w:tab w:val="left" w:pos="822"/>
          <w:tab w:val="left" w:pos="823"/>
        </w:tabs>
        <w:autoSpaceDE w:val="0"/>
        <w:autoSpaceDN w:val="0"/>
        <w:spacing w:before="120" w:after="0" w:line="288" w:lineRule="exact"/>
        <w:rPr>
          <w:rFonts w:ascii="Times New Roman" w:eastAsia="Times New Roman" w:hAnsi="Times New Roman" w:cs="Times New Roman"/>
          <w:noProof/>
          <w:kern w:val="0"/>
          <w:szCs w:val="20"/>
          <w14:ligatures w14:val="none"/>
        </w:rPr>
      </w:pPr>
      <w:r>
        <w:rPr>
          <w:rFonts w:ascii="Times New Roman" w:hAnsi="Times New Roman"/>
          <w:noProof/>
        </w:rPr>
        <w:t>places ouvertes dans les formations d’initiative locale et autres formations complémentaires;</w:t>
      </w:r>
    </w:p>
    <w:p w14:paraId="5A8AE7BD" w14:textId="77777777" w:rsidR="00740F0F" w:rsidRPr="0029070D" w:rsidRDefault="00100B64">
      <w:pPr>
        <w:widowControl w:val="0"/>
        <w:numPr>
          <w:ilvl w:val="0"/>
          <w:numId w:val="48"/>
        </w:numPr>
        <w:tabs>
          <w:tab w:val="left" w:pos="822"/>
          <w:tab w:val="left" w:pos="823"/>
        </w:tabs>
        <w:autoSpaceDE w:val="0"/>
        <w:autoSpaceDN w:val="0"/>
        <w:spacing w:before="120" w:after="0" w:line="288" w:lineRule="exact"/>
        <w:rPr>
          <w:rFonts w:ascii="Times New Roman" w:eastAsia="Times New Roman" w:hAnsi="Times New Roman" w:cs="Times New Roman"/>
          <w:noProof/>
          <w:kern w:val="0"/>
          <w:szCs w:val="20"/>
          <w14:ligatures w14:val="none"/>
        </w:rPr>
      </w:pPr>
      <w:r>
        <w:rPr>
          <w:rFonts w:ascii="Times New Roman" w:hAnsi="Times New Roman"/>
          <w:noProof/>
        </w:rPr>
        <w:t>places en CAP 3 ans.</w:t>
      </w:r>
    </w:p>
    <w:p w14:paraId="5A8AE7BE" w14:textId="77777777" w:rsidR="00740F0F" w:rsidRPr="0029070D" w:rsidRDefault="00100B64">
      <w:pPr>
        <w:widowControl w:val="0"/>
        <w:autoSpaceDE w:val="0"/>
        <w:autoSpaceDN w:val="0"/>
        <w:spacing w:before="228" w:after="0" w:line="247" w:lineRule="auto"/>
        <w:ind w:left="100" w:right="292"/>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C8.I13: accompagnement des jeunes vers l’emploi par les missions locales (PACEA et</w:t>
      </w:r>
      <w:r>
        <w:rPr>
          <w:rFonts w:ascii="Times New Roman" w:hAnsi="Times New Roman"/>
          <w:noProof/>
        </w:rPr>
        <w:t xml:space="preserve"> </w:t>
      </w:r>
      <w:r>
        <w:rPr>
          <w:rFonts w:ascii="Times New Roman" w:hAnsi="Times New Roman"/>
          <w:noProof/>
          <w:u w:val="single"/>
        </w:rPr>
        <w:t>Garantie jeunes)</w:t>
      </w:r>
    </w:p>
    <w:p w14:paraId="5A8AE7BF" w14:textId="77777777" w:rsidR="00740F0F" w:rsidRPr="0029070D" w:rsidRDefault="00100B64">
      <w:pPr>
        <w:widowControl w:val="0"/>
        <w:autoSpaceDE w:val="0"/>
        <w:autoSpaceDN w:val="0"/>
        <w:spacing w:before="106" w:after="0" w:line="240" w:lineRule="auto"/>
        <w:ind w:left="100" w:right="244"/>
        <w:jc w:val="both"/>
        <w:rPr>
          <w:rFonts w:ascii="Times New Roman" w:eastAsia="Times New Roman" w:hAnsi="Times New Roman" w:cs="Times New Roman"/>
          <w:noProof/>
          <w:kern w:val="0"/>
          <w:szCs w:val="20"/>
          <w14:ligatures w14:val="none"/>
        </w:rPr>
      </w:pPr>
      <w:r>
        <w:rPr>
          <w:rFonts w:ascii="Times New Roman" w:hAnsi="Times New Roman"/>
          <w:noProof/>
        </w:rPr>
        <w:t>Le parcours contractualisé d’accompagnement vers l’emploi et l’autonomie (PACEA) est un cadre contractuel intégré qui vise à soutenir les jeunes de 16 à 25 ans confrontés à des difficultés d’intégration. Un diagnostic initial permet d’identifier les besoins et les attentes de chaque jeune, suivi de phases d’accompagnement individuel de durée variable, jusqu’à un maximum de 24 mois consécutifs. Ces phases sont définies sur une base individuelle et peuvent inclure une formation, ou un stage, la participation à un service civique ou à un travail volontaire.</w:t>
      </w:r>
    </w:p>
    <w:p w14:paraId="5A8AE7C0" w14:textId="77777777" w:rsidR="00740F0F" w:rsidRPr="0029070D" w:rsidRDefault="00100B64">
      <w:pPr>
        <w:widowControl w:val="0"/>
        <w:autoSpaceDE w:val="0"/>
        <w:autoSpaceDN w:val="0"/>
        <w:spacing w:before="135" w:after="0" w:line="235" w:lineRule="auto"/>
        <w:ind w:left="100" w:right="263"/>
        <w:jc w:val="both"/>
        <w:rPr>
          <w:rFonts w:ascii="Times New Roman" w:eastAsia="Times New Roman" w:hAnsi="Times New Roman" w:cs="Times New Roman"/>
          <w:noProof/>
          <w:kern w:val="0"/>
          <w:szCs w:val="20"/>
          <w14:ligatures w14:val="none"/>
        </w:rPr>
      </w:pPr>
      <w:r>
        <w:rPr>
          <w:rFonts w:ascii="Times New Roman" w:hAnsi="Times New Roman"/>
          <w:noProof/>
        </w:rPr>
        <w:t>La garantie Jeunes, qui est une phase intensive du PACEA, combine un programme d’une durée maximale de 12 mois (pouvant être étendue à 18 mois), comprenant un accompagnement personnalisé, avec une allocation mensuelle pour soutenir la participation au programme du jeune et pouvant inclure également une expérience professionnelle et une formation. Cette mesure finance les subventions versées aux jeunes participant au PACEA et à la Garantie jeunes.</w:t>
      </w:r>
    </w:p>
    <w:p w14:paraId="5A8AE7C1" w14:textId="77777777" w:rsidR="00740F0F" w:rsidRPr="0029070D" w:rsidRDefault="00100B64">
      <w:pPr>
        <w:widowControl w:val="0"/>
        <w:autoSpaceDE w:val="0"/>
        <w:autoSpaceDN w:val="0"/>
        <w:spacing w:before="104"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C8.I14: contrats aidés pour les jeunes (PEC et CIE)</w:t>
      </w:r>
    </w:p>
    <w:p w14:paraId="5A8AE7C2" w14:textId="77777777" w:rsidR="00740F0F" w:rsidRPr="0029070D" w:rsidRDefault="00100B64">
      <w:pPr>
        <w:widowControl w:val="0"/>
        <w:autoSpaceDE w:val="0"/>
        <w:autoSpaceDN w:val="0"/>
        <w:spacing w:before="116" w:after="0" w:line="240" w:lineRule="auto"/>
        <w:ind w:left="100" w:right="228"/>
        <w:jc w:val="both"/>
        <w:rPr>
          <w:rFonts w:ascii="Times New Roman" w:eastAsia="Times New Roman" w:hAnsi="Times New Roman" w:cs="Times New Roman"/>
          <w:noProof/>
          <w:kern w:val="0"/>
          <w:szCs w:val="20"/>
          <w14:ligatures w14:val="none"/>
        </w:rPr>
      </w:pPr>
      <w:r>
        <w:rPr>
          <w:rFonts w:ascii="Times New Roman" w:hAnsi="Times New Roman"/>
          <w:noProof/>
        </w:rPr>
        <w:t>Les jeunes qui entrent sur le marché du travail sont l’un des publics les plus touchés par les impacts négatifs de la crise de la COVID-19. L’accompagnement des jeunes les plus éloignés de l’emploi nécessite donc des mesures renforcées, telles que des contrats aidés ciblés sur les jeunes, tant dans le secteur non marchand (Parcours emplois compétences — PEC) que dans le secteur marchand (Contrats initiative emploi — CIE).</w:t>
      </w:r>
    </w:p>
    <w:p w14:paraId="5A8AE7C3" w14:textId="77777777" w:rsidR="00740F0F" w:rsidRPr="0029070D" w:rsidRDefault="00100B64">
      <w:pPr>
        <w:widowControl w:val="0"/>
        <w:autoSpaceDE w:val="0"/>
        <w:autoSpaceDN w:val="0"/>
        <w:spacing w:before="127" w:after="0" w:line="240" w:lineRule="auto"/>
        <w:ind w:left="100" w:right="264"/>
        <w:jc w:val="both"/>
        <w:rPr>
          <w:rFonts w:ascii="Times New Roman" w:eastAsia="Times New Roman" w:hAnsi="Times New Roman" w:cs="Times New Roman"/>
          <w:noProof/>
          <w:kern w:val="0"/>
          <w:szCs w:val="20"/>
          <w14:ligatures w14:val="none"/>
        </w:rPr>
      </w:pPr>
      <w:r>
        <w:rPr>
          <w:rFonts w:ascii="Times New Roman" w:hAnsi="Times New Roman"/>
          <w:noProof/>
        </w:rPr>
        <w:t>Ces contrats aidés, d’une durée prévisionnelle de 6 à 24 mois (sauf exceptions énumérées dans le Code du travail), combinent une offre d’emploi avec un accompagnement individualisé par un conseiller emploi et un accès renforcé à la formation pour les PEC.</w:t>
      </w:r>
    </w:p>
    <w:p w14:paraId="5A8AE7C4" w14:textId="77777777" w:rsidR="00740F0F" w:rsidRPr="0029070D" w:rsidRDefault="00100B64">
      <w:pPr>
        <w:widowControl w:val="0"/>
        <w:autoSpaceDE w:val="0"/>
        <w:autoSpaceDN w:val="0"/>
        <w:spacing w:before="113" w:after="0" w:line="242" w:lineRule="auto"/>
        <w:ind w:left="100" w:right="246"/>
        <w:jc w:val="both"/>
        <w:rPr>
          <w:rFonts w:ascii="Times New Roman" w:eastAsia="Times New Roman" w:hAnsi="Times New Roman" w:cs="Times New Roman"/>
          <w:noProof/>
          <w:kern w:val="0"/>
          <w:szCs w:val="20"/>
          <w14:ligatures w14:val="none"/>
        </w:rPr>
      </w:pPr>
      <w:r>
        <w:rPr>
          <w:rFonts w:ascii="Times New Roman" w:hAnsi="Times New Roman"/>
          <w:noProof/>
        </w:rPr>
        <w:t>Dans le secteur non marchand (PEC), l’aide mensuelle versée à l’employeur s’élève à 65 % du salaire minimum brut pour les heures travaillées, les contrats étant en moyenne de 21,3 heures par semaine (minimum de vingt heures).</w:t>
      </w:r>
    </w:p>
    <w:p w14:paraId="5A8AE7C5" w14:textId="77777777" w:rsidR="00740F0F" w:rsidRPr="0029070D" w:rsidRDefault="00100B64">
      <w:pPr>
        <w:widowControl w:val="0"/>
        <w:autoSpaceDE w:val="0"/>
        <w:autoSpaceDN w:val="0"/>
        <w:spacing w:before="112" w:after="0" w:line="247" w:lineRule="auto"/>
        <w:ind w:left="100" w:right="253"/>
        <w:jc w:val="both"/>
        <w:rPr>
          <w:rFonts w:ascii="Times New Roman" w:eastAsia="Times New Roman" w:hAnsi="Times New Roman" w:cs="Times New Roman"/>
          <w:noProof/>
          <w:kern w:val="0"/>
          <w:szCs w:val="20"/>
          <w14:ligatures w14:val="none"/>
        </w:rPr>
      </w:pPr>
      <w:r>
        <w:rPr>
          <w:rFonts w:ascii="Times New Roman" w:hAnsi="Times New Roman"/>
          <w:noProof/>
        </w:rPr>
        <w:t>Dans le secteur marchand (CIE), l’aide versée à l’employeur s’élève à 47 % du salaire minimum brut, avec des contrats de 30 heures par semaine en moyenne (minimum de vingt heures).</w:t>
      </w:r>
    </w:p>
    <w:p w14:paraId="5A8AE7C6" w14:textId="77777777" w:rsidR="00740F0F" w:rsidRPr="0029070D" w:rsidRDefault="00100B64">
      <w:pPr>
        <w:widowControl w:val="0"/>
        <w:autoSpaceDE w:val="0"/>
        <w:autoSpaceDN w:val="0"/>
        <w:spacing w:before="109" w:after="0" w:line="235" w:lineRule="auto"/>
        <w:ind w:left="100" w:right="270"/>
        <w:jc w:val="both"/>
        <w:rPr>
          <w:rFonts w:ascii="Times New Roman" w:eastAsia="Times New Roman" w:hAnsi="Times New Roman" w:cs="Times New Roman"/>
          <w:noProof/>
          <w:kern w:val="0"/>
          <w:szCs w:val="20"/>
          <w14:ligatures w14:val="none"/>
        </w:rPr>
      </w:pPr>
      <w:r>
        <w:rPr>
          <w:rFonts w:ascii="Times New Roman" w:hAnsi="Times New Roman"/>
          <w:noProof/>
        </w:rPr>
        <w:t>Cette mesure vise à financer 65</w:t>
      </w:r>
      <w:r>
        <w:rPr>
          <w:rFonts w:ascii="Times New Roman" w:hAnsi="Times New Roman"/>
          <w:noProof/>
          <w:sz w:val="20"/>
        </w:rPr>
        <w:t> </w:t>
      </w:r>
      <w:r>
        <w:rPr>
          <w:rFonts w:ascii="Times New Roman" w:hAnsi="Times New Roman"/>
          <w:noProof/>
        </w:rPr>
        <w:t>000 contrats aidés (PEC et CIE confondus) conclus en 2020 et 2021.</w:t>
      </w:r>
    </w:p>
    <w:p w14:paraId="5A8AE7C7" w14:textId="77777777" w:rsidR="00740F0F" w:rsidRPr="0029070D" w:rsidRDefault="00100B64">
      <w:pPr>
        <w:widowControl w:val="0"/>
        <w:autoSpaceDE w:val="0"/>
        <w:autoSpaceDN w:val="0"/>
        <w:spacing w:before="222"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C8.I15: aide à la mobilisation des employeurs pour l’embauche des travailleurs handicapés (AMEETH)</w:t>
      </w:r>
    </w:p>
    <w:p w14:paraId="5A8AE7C8" w14:textId="28F6B154" w:rsidR="00740F0F" w:rsidRPr="0029070D" w:rsidRDefault="00100B64">
      <w:pPr>
        <w:widowControl w:val="0"/>
        <w:autoSpaceDE w:val="0"/>
        <w:autoSpaceDN w:val="0"/>
        <w:spacing w:before="130" w:after="0" w:line="240" w:lineRule="auto"/>
        <w:ind w:left="100" w:right="255"/>
        <w:jc w:val="both"/>
        <w:rPr>
          <w:rFonts w:ascii="Times New Roman" w:eastAsia="Times New Roman" w:hAnsi="Times New Roman" w:cs="Times New Roman"/>
          <w:noProof/>
          <w:kern w:val="0"/>
          <w:szCs w:val="20"/>
          <w14:ligatures w14:val="none"/>
        </w:rPr>
      </w:pPr>
      <w:r>
        <w:rPr>
          <w:rFonts w:ascii="Times New Roman" w:hAnsi="Times New Roman"/>
          <w:noProof/>
        </w:rPr>
        <w:t>Cette aide ciblée à l’embauche est versée à tout employeur qui embauche entre le 1</w:t>
      </w:r>
      <w:r>
        <w:rPr>
          <w:rFonts w:ascii="Times New Roman" w:hAnsi="Times New Roman"/>
          <w:noProof/>
          <w:vertAlign w:val="superscript"/>
        </w:rPr>
        <w:t>er</w:t>
      </w:r>
      <w:r>
        <w:rPr>
          <w:rFonts w:ascii="Times New Roman" w:hAnsi="Times New Roman"/>
          <w:noProof/>
          <w:sz w:val="20"/>
        </w:rPr>
        <w:t> </w:t>
      </w:r>
      <w:r>
        <w:rPr>
          <w:rFonts w:ascii="Times New Roman" w:hAnsi="Times New Roman"/>
          <w:noProof/>
        </w:rPr>
        <w:t>septembre 2020 et le 30</w:t>
      </w:r>
      <w:r>
        <w:rPr>
          <w:rFonts w:ascii="Times New Roman" w:hAnsi="Times New Roman"/>
          <w:noProof/>
          <w:sz w:val="20"/>
        </w:rPr>
        <w:t> </w:t>
      </w:r>
      <w:r>
        <w:rPr>
          <w:rFonts w:ascii="Times New Roman" w:hAnsi="Times New Roman"/>
          <w:noProof/>
        </w:rPr>
        <w:t>juin 2021 un salarié en situation de handicap, en contrat à durée déterminée de trois mois minimum ou en contrat à durée indéterminée. L’aide à l’embauche est accordée pour des emplois dont le salaire ne dépasse pas deux fois le salaire minimum, et elle est plafonnée à 4</w:t>
      </w:r>
      <w:r>
        <w:rPr>
          <w:rFonts w:ascii="Times New Roman" w:hAnsi="Times New Roman"/>
          <w:noProof/>
          <w:sz w:val="20"/>
        </w:rPr>
        <w:t> </w:t>
      </w:r>
      <w:r>
        <w:rPr>
          <w:rFonts w:ascii="Times New Roman" w:hAnsi="Times New Roman"/>
          <w:noProof/>
        </w:rPr>
        <w:t>000</w:t>
      </w:r>
      <w:r>
        <w:rPr>
          <w:rFonts w:ascii="Times New Roman" w:hAnsi="Times New Roman"/>
          <w:noProof/>
          <w:sz w:val="20"/>
        </w:rPr>
        <w:t> </w:t>
      </w:r>
      <w:r>
        <w:rPr>
          <w:rFonts w:ascii="Times New Roman" w:hAnsi="Times New Roman"/>
          <w:noProof/>
        </w:rPr>
        <w:t>EUR sur un an.</w:t>
      </w:r>
    </w:p>
    <w:p w14:paraId="5A8AE7C9" w14:textId="77777777" w:rsidR="00740F0F" w:rsidRPr="0029070D" w:rsidRDefault="00100B64">
      <w:pPr>
        <w:widowControl w:val="0"/>
        <w:autoSpaceDE w:val="0"/>
        <w:autoSpaceDN w:val="0"/>
        <w:spacing w:before="113" w:after="0" w:line="247" w:lineRule="auto"/>
        <w:ind w:left="100" w:right="253"/>
        <w:jc w:val="both"/>
        <w:rPr>
          <w:rFonts w:ascii="Times New Roman" w:eastAsia="Times New Roman" w:hAnsi="Times New Roman" w:cs="Times New Roman"/>
          <w:noProof/>
          <w:kern w:val="0"/>
          <w:szCs w:val="20"/>
          <w14:ligatures w14:val="none"/>
        </w:rPr>
      </w:pPr>
      <w:r>
        <w:rPr>
          <w:rFonts w:ascii="Times New Roman" w:hAnsi="Times New Roman"/>
          <w:noProof/>
        </w:rPr>
        <w:t>Cette mesure vise à financer au moins 12</w:t>
      </w:r>
      <w:r>
        <w:rPr>
          <w:rFonts w:ascii="Times New Roman" w:hAnsi="Times New Roman"/>
          <w:noProof/>
          <w:sz w:val="20"/>
        </w:rPr>
        <w:t> </w:t>
      </w:r>
      <w:r>
        <w:rPr>
          <w:rFonts w:ascii="Times New Roman" w:hAnsi="Times New Roman"/>
          <w:noProof/>
        </w:rPr>
        <w:t>500 aides à l’embauche en 2021 pour le recrutement de personnes handicapées.</w:t>
      </w:r>
    </w:p>
    <w:p w14:paraId="5A8AE7CA" w14:textId="77777777" w:rsidR="00740F0F" w:rsidRPr="0029070D" w:rsidRDefault="00100B64">
      <w:pPr>
        <w:widowControl w:val="0"/>
        <w:autoSpaceDE w:val="0"/>
        <w:autoSpaceDN w:val="0"/>
        <w:spacing w:before="195"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C8.I16: extension exceptionnelle du dispositif d’Emploi accompagné</w:t>
      </w:r>
    </w:p>
    <w:p w14:paraId="5A8AE7CB" w14:textId="77777777" w:rsidR="00740F0F" w:rsidRPr="0029070D" w:rsidRDefault="00100B64">
      <w:pPr>
        <w:widowControl w:val="0"/>
        <w:autoSpaceDE w:val="0"/>
        <w:autoSpaceDN w:val="0"/>
        <w:spacing w:before="132" w:after="0" w:line="240" w:lineRule="auto"/>
        <w:ind w:left="100" w:right="250"/>
        <w:jc w:val="both"/>
        <w:rPr>
          <w:rFonts w:ascii="Times New Roman" w:eastAsia="Times New Roman" w:hAnsi="Times New Roman" w:cs="Times New Roman"/>
          <w:noProof/>
          <w:kern w:val="0"/>
          <w:szCs w:val="20"/>
          <w14:ligatures w14:val="none"/>
        </w:rPr>
      </w:pPr>
      <w:r>
        <w:rPr>
          <w:rFonts w:ascii="Times New Roman" w:hAnsi="Times New Roman"/>
          <w:noProof/>
        </w:rPr>
        <w:t>Le dispositif d’Emploi accompagné consiste à fournir un accompagnement individualisé aux personnes handicapées pour les aider à élaborer un projet sur mesure, fondé sur le principe du «place and train». L’employeur et le salarié peuvent être soutenus à moyen terme, en fonction de l’intensité des besoins (de deux heures par mois à plus de douze heures par mois pour les phases les plus intensives).</w:t>
      </w:r>
    </w:p>
    <w:p w14:paraId="5A8AE7CC" w14:textId="77777777" w:rsidR="00740F0F" w:rsidRPr="0029070D" w:rsidRDefault="00100B64">
      <w:pPr>
        <w:widowControl w:val="0"/>
        <w:autoSpaceDE w:val="0"/>
        <w:autoSpaceDN w:val="0"/>
        <w:spacing w:before="113" w:after="0" w:line="247" w:lineRule="auto"/>
        <w:ind w:left="100" w:right="274"/>
        <w:jc w:val="both"/>
        <w:rPr>
          <w:rFonts w:ascii="Times New Roman" w:eastAsia="Times New Roman" w:hAnsi="Times New Roman" w:cs="Times New Roman"/>
          <w:noProof/>
          <w:kern w:val="0"/>
          <w:szCs w:val="20"/>
          <w14:ligatures w14:val="none"/>
        </w:rPr>
      </w:pPr>
      <w:r>
        <w:rPr>
          <w:rFonts w:ascii="Times New Roman" w:hAnsi="Times New Roman"/>
          <w:noProof/>
        </w:rPr>
        <w:t>Ce dispositif de soutien s’articule autour de quatre modules distincts qui peuvent être adaptés à chaque situation:</w:t>
      </w:r>
    </w:p>
    <w:p w14:paraId="5A8AE7CD" w14:textId="77777777" w:rsidR="00740F0F" w:rsidRPr="0029070D" w:rsidRDefault="00100B64">
      <w:pPr>
        <w:widowControl w:val="0"/>
        <w:numPr>
          <w:ilvl w:val="0"/>
          <w:numId w:val="49"/>
        </w:numPr>
        <w:tabs>
          <w:tab w:val="left" w:pos="823"/>
        </w:tabs>
        <w:autoSpaceDE w:val="0"/>
        <w:autoSpaceDN w:val="0"/>
        <w:spacing w:before="106" w:after="0" w:line="261" w:lineRule="auto"/>
        <w:ind w:right="266"/>
        <w:jc w:val="both"/>
        <w:rPr>
          <w:rFonts w:ascii="Times New Roman" w:eastAsia="Times New Roman" w:hAnsi="Times New Roman" w:cs="Times New Roman"/>
          <w:noProof/>
          <w:kern w:val="0"/>
          <w:szCs w:val="20"/>
          <w14:ligatures w14:val="none"/>
        </w:rPr>
      </w:pPr>
      <w:r>
        <w:rPr>
          <w:rFonts w:ascii="Times New Roman" w:hAnsi="Times New Roman"/>
          <w:noProof/>
        </w:rPr>
        <w:t>L’évaluation de la situation du travailleur en situation de handicap, en tenant compte de son projet professionnel, de ses capacités et de ses besoins, ainsi que des besoins de l’employeur si la personne est en emploi.</w:t>
      </w:r>
    </w:p>
    <w:p w14:paraId="5A8AE7CE" w14:textId="77777777" w:rsidR="00740F0F" w:rsidRPr="0029070D" w:rsidRDefault="00100B64">
      <w:pPr>
        <w:widowControl w:val="0"/>
        <w:numPr>
          <w:ilvl w:val="0"/>
          <w:numId w:val="49"/>
        </w:numPr>
        <w:tabs>
          <w:tab w:val="left" w:pos="823"/>
        </w:tabs>
        <w:autoSpaceDE w:val="0"/>
        <w:autoSpaceDN w:val="0"/>
        <w:spacing w:before="120" w:after="0" w:line="261" w:lineRule="auto"/>
        <w:ind w:right="268"/>
        <w:jc w:val="both"/>
        <w:rPr>
          <w:rFonts w:ascii="Times New Roman" w:eastAsia="Times New Roman" w:hAnsi="Times New Roman" w:cs="Times New Roman"/>
          <w:noProof/>
          <w:kern w:val="0"/>
          <w:szCs w:val="20"/>
          <w14:ligatures w14:val="none"/>
        </w:rPr>
      </w:pPr>
      <w:r>
        <w:rPr>
          <w:rFonts w:ascii="Times New Roman" w:hAnsi="Times New Roman"/>
          <w:noProof/>
        </w:rPr>
        <w:t>La détermination du projet professionnel et l’aide à sa réalisation, en vue de l’insertion dans l’emploi en milieu ordinaire de travail dans les meilleurs délais.</w:t>
      </w:r>
    </w:p>
    <w:p w14:paraId="5A8AE7CF" w14:textId="77777777" w:rsidR="00740F0F" w:rsidRPr="0029070D" w:rsidRDefault="00100B64">
      <w:pPr>
        <w:widowControl w:val="0"/>
        <w:numPr>
          <w:ilvl w:val="0"/>
          <w:numId w:val="49"/>
        </w:numPr>
        <w:tabs>
          <w:tab w:val="left" w:pos="823"/>
        </w:tabs>
        <w:autoSpaceDE w:val="0"/>
        <w:autoSpaceDN w:val="0"/>
        <w:spacing w:before="120" w:after="0" w:line="240" w:lineRule="auto"/>
        <w:jc w:val="both"/>
        <w:rPr>
          <w:rFonts w:ascii="Times New Roman" w:eastAsia="Times New Roman" w:hAnsi="Times New Roman" w:cs="Times New Roman"/>
          <w:noProof/>
          <w:kern w:val="0"/>
          <w:szCs w:val="20"/>
          <w14:ligatures w14:val="none"/>
        </w:rPr>
      </w:pPr>
      <w:r>
        <w:rPr>
          <w:rFonts w:ascii="Times New Roman" w:hAnsi="Times New Roman"/>
          <w:noProof/>
        </w:rPr>
        <w:t>L’accompagnement du bénéficiaire dans sa recherche d’emploi.</w:t>
      </w:r>
    </w:p>
    <w:p w14:paraId="5A8AE7D0" w14:textId="77777777" w:rsidR="00740F0F" w:rsidRPr="0029070D" w:rsidRDefault="00100B64">
      <w:pPr>
        <w:widowControl w:val="0"/>
        <w:numPr>
          <w:ilvl w:val="0"/>
          <w:numId w:val="49"/>
        </w:numPr>
        <w:tabs>
          <w:tab w:val="left" w:pos="823"/>
        </w:tabs>
        <w:autoSpaceDE w:val="0"/>
        <w:autoSpaceDN w:val="0"/>
        <w:spacing w:before="59" w:after="0" w:line="261" w:lineRule="auto"/>
        <w:ind w:right="247"/>
        <w:jc w:val="both"/>
        <w:rPr>
          <w:rFonts w:ascii="Times New Roman" w:eastAsia="Times New Roman" w:hAnsi="Times New Roman" w:cs="Times New Roman"/>
          <w:noProof/>
          <w:kern w:val="0"/>
          <w:szCs w:val="20"/>
          <w14:ligatures w14:val="none"/>
        </w:rPr>
      </w:pPr>
      <w:r>
        <w:rPr>
          <w:rFonts w:ascii="Times New Roman" w:hAnsi="Times New Roman"/>
          <w:noProof/>
        </w:rPr>
        <w:t>L’accompagnement dans l’emploi en facilitant l’accès à la formation et aux bilans de compétences, incluant si nécessaire une intermédiation avec l’employeur pour adapter les conditions et l’environnement de travail aux besoins spécifiques de la personne handicapée. Le soutien est principalement assuré par un conseiller emploi accompagné ou job coach dûment formé, qui fait office de point de référence pour l’employé et l’employeur. Cette mesure finance l’extension du dispositif de soutien. Le nombre de bénéficiaires n’étant pas connu à l’avance, en raison des variations importantes dans le niveau de soutien fourni, il sera communiqué ex post, une fois que l’extension aura été pleinement mise en œuvre.</w:t>
      </w:r>
    </w:p>
    <w:p w14:paraId="5A8AE7D1" w14:textId="77777777" w:rsidR="00740F0F" w:rsidRPr="0029070D" w:rsidRDefault="00100B64">
      <w:pPr>
        <w:widowControl w:val="0"/>
        <w:autoSpaceDE w:val="0"/>
        <w:autoSpaceDN w:val="0"/>
        <w:spacing w:before="243"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C8.I17: Formation à distance</w:t>
      </w:r>
    </w:p>
    <w:p w14:paraId="5A8AE7D2" w14:textId="77777777" w:rsidR="00740F0F" w:rsidRPr="0029070D" w:rsidRDefault="00100B64">
      <w:pPr>
        <w:widowControl w:val="0"/>
        <w:autoSpaceDE w:val="0"/>
        <w:autoSpaceDN w:val="0"/>
        <w:spacing w:before="113" w:after="0" w:line="240" w:lineRule="auto"/>
        <w:ind w:left="100" w:right="245"/>
        <w:jc w:val="both"/>
        <w:rPr>
          <w:rFonts w:ascii="Times New Roman" w:eastAsia="Times New Roman" w:hAnsi="Times New Roman" w:cs="Times New Roman"/>
          <w:noProof/>
          <w:kern w:val="0"/>
          <w:szCs w:val="20"/>
          <w14:ligatures w14:val="none"/>
        </w:rPr>
      </w:pPr>
      <w:r>
        <w:rPr>
          <w:rFonts w:ascii="Times New Roman" w:hAnsi="Times New Roman"/>
          <w:noProof/>
        </w:rPr>
        <w:t>Le développement de formations à distance contribue à la cohésion sociale et territoriale en offrant des possibilités de formation à des publics qui pouvaient être exclus auparavant en raison de contraintes de mobilité (personnes en situation de handicap, résidents en zone rurale, ou personnes contraintes par des responsabilités familiales) et donc en atteignant mieux les groupes cibles, y compris les personnes sans emploi, et en promouvant l’apprentissage tout au long de la vie. En outre, la numérisation globale des formations peut contribuer à l’acquisition et au développement de compétences numériques de base.</w:t>
      </w:r>
    </w:p>
    <w:p w14:paraId="5A8AE7D3" w14:textId="77777777" w:rsidR="00740F0F" w:rsidRPr="0029070D" w:rsidRDefault="00100B64">
      <w:pPr>
        <w:widowControl w:val="0"/>
        <w:autoSpaceDE w:val="0"/>
        <w:autoSpaceDN w:val="0"/>
        <w:spacing w:before="115" w:after="0" w:line="242" w:lineRule="auto"/>
        <w:ind w:left="100" w:right="252"/>
        <w:jc w:val="both"/>
        <w:rPr>
          <w:rFonts w:ascii="Times New Roman" w:eastAsia="Times New Roman" w:hAnsi="Times New Roman" w:cs="Times New Roman"/>
          <w:noProof/>
          <w:kern w:val="0"/>
          <w:szCs w:val="20"/>
          <w14:ligatures w14:val="none"/>
        </w:rPr>
      </w:pPr>
      <w:r>
        <w:rPr>
          <w:rFonts w:ascii="Times New Roman" w:hAnsi="Times New Roman"/>
          <w:noProof/>
        </w:rPr>
        <w:t>Cet investissement vise à financer l’ouverture de 30</w:t>
      </w:r>
      <w:r>
        <w:rPr>
          <w:rFonts w:ascii="Times New Roman" w:hAnsi="Times New Roman"/>
          <w:noProof/>
          <w:sz w:val="20"/>
        </w:rPr>
        <w:t> </w:t>
      </w:r>
      <w:r>
        <w:rPr>
          <w:rFonts w:ascii="Times New Roman" w:hAnsi="Times New Roman"/>
          <w:noProof/>
        </w:rPr>
        <w:t>000 places supplémentaires dans des formations à distance organisées par Pôle emploi, l’agence nationale pour l’emploi. La mesure devrait également comprendre une rémunération pendant toute la durée de la formation, estimée à huit mois en moyenne, pour environ 42 % des participants.</w:t>
      </w:r>
    </w:p>
    <w:p w14:paraId="5A8AE7D4" w14:textId="5EE4DD10" w:rsidR="00740F0F" w:rsidRPr="0029070D" w:rsidRDefault="00100B64">
      <w:pPr>
        <w:widowControl w:val="0"/>
        <w:autoSpaceDE w:val="0"/>
        <w:autoSpaceDN w:val="0"/>
        <w:spacing w:before="216"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C8.I18: modernisation et hybridation de la formation professionnelle</w:t>
      </w:r>
    </w:p>
    <w:p w14:paraId="5A8AE7D5" w14:textId="10ACDC62" w:rsidR="00740F0F" w:rsidRPr="0029070D" w:rsidRDefault="00F074B6">
      <w:pPr>
        <w:widowControl w:val="0"/>
        <w:autoSpaceDE w:val="0"/>
        <w:autoSpaceDN w:val="0"/>
        <w:spacing w:before="115" w:after="0" w:line="240" w:lineRule="auto"/>
        <w:ind w:left="100" w:right="250"/>
        <w:jc w:val="both"/>
        <w:rPr>
          <w:rFonts w:ascii="Times New Roman" w:eastAsia="Times New Roman" w:hAnsi="Times New Roman" w:cs="Times New Roman"/>
          <w:noProof/>
          <w:kern w:val="0"/>
          <w:szCs w:val="20"/>
          <w14:ligatures w14:val="none"/>
        </w:rPr>
      </w:pPr>
      <w:r>
        <w:rPr>
          <w:rFonts w:ascii="Times New Roman" w:hAnsi="Times New Roman"/>
          <w:noProof/>
        </w:rPr>
        <w:t>L’objectif de la mesure est d’améliorer l’offre de formation professionnelle numérique. Elle consiste à apporter un appui à l’assistance à la gestion de projets afin de soutenir la conception et la diffusion de contenus numériques pour la formation professionnelle.</w:t>
      </w:r>
    </w:p>
    <w:p w14:paraId="5A8AE7D6" w14:textId="77777777" w:rsidR="00740F0F" w:rsidRPr="0029070D" w:rsidRDefault="00100B64">
      <w:pPr>
        <w:widowControl w:val="0"/>
        <w:autoSpaceDE w:val="0"/>
        <w:autoSpaceDN w:val="0"/>
        <w:spacing w:before="223" w:after="0" w:line="274" w:lineRule="exact"/>
        <w:ind w:left="100"/>
        <w:rPr>
          <w:rFonts w:ascii="Times New Roman" w:eastAsia="Times New Roman" w:hAnsi="Times New Roman" w:cs="Times New Roman"/>
          <w:noProof/>
          <w:kern w:val="0"/>
          <w:szCs w:val="20"/>
          <w14:ligatures w14:val="none"/>
        </w:rPr>
      </w:pPr>
      <w:r>
        <w:rPr>
          <w:rFonts w:ascii="Times New Roman" w:hAnsi="Times New Roman"/>
          <w:noProof/>
          <w:u w:val="single"/>
        </w:rPr>
        <w:t>Investissement C8.I19: dotation complémentaire allouée aux associations «Transitions Pro» (AT pro) pour le financement des transitions professionnelles</w:t>
      </w:r>
    </w:p>
    <w:p w14:paraId="5A8AE7D7" w14:textId="616BC652" w:rsidR="00740F0F" w:rsidRPr="0029070D" w:rsidRDefault="00100B64">
      <w:pPr>
        <w:widowControl w:val="0"/>
        <w:autoSpaceDE w:val="0"/>
        <w:autoSpaceDN w:val="0"/>
        <w:spacing w:before="132" w:after="0" w:line="237" w:lineRule="auto"/>
        <w:ind w:left="100" w:right="254"/>
        <w:jc w:val="both"/>
        <w:rPr>
          <w:rFonts w:ascii="Times New Roman" w:eastAsia="Times New Roman" w:hAnsi="Times New Roman" w:cs="Times New Roman"/>
          <w:noProof/>
          <w:kern w:val="0"/>
          <w:szCs w:val="20"/>
          <w14:ligatures w14:val="none"/>
        </w:rPr>
      </w:pPr>
      <w:r>
        <w:rPr>
          <w:rFonts w:ascii="Times New Roman" w:hAnsi="Times New Roman"/>
          <w:noProof/>
        </w:rPr>
        <w:t>Les transitions et reconversions professionnelles permettent de réaffecter les ressources entre les secteurs économiques, en dotant les salariés de compétences mieux adaptées au contexte économique actuel. Les transitions professionnelles sont financées notamment par les associations dédiées «Transition Pro» (AT Pro) qui prennent en charge les frais de formation et autres, la rémunération et les charges sociales connexes. La demande pour ces reconversions professionnelles orientées est forte, puisqu’en 2019, plus de 35</w:t>
      </w:r>
      <w:r>
        <w:rPr>
          <w:rFonts w:ascii="Times New Roman" w:hAnsi="Times New Roman"/>
          <w:noProof/>
          <w:sz w:val="20"/>
        </w:rPr>
        <w:t> </w:t>
      </w:r>
      <w:r>
        <w:rPr>
          <w:rFonts w:ascii="Times New Roman" w:hAnsi="Times New Roman"/>
          <w:noProof/>
        </w:rPr>
        <w:t>000 demandes ont été reçues, dont seulement 18</w:t>
      </w:r>
      <w:r>
        <w:rPr>
          <w:rFonts w:ascii="Times New Roman" w:hAnsi="Times New Roman"/>
          <w:noProof/>
          <w:sz w:val="20"/>
        </w:rPr>
        <w:t> </w:t>
      </w:r>
      <w:r>
        <w:rPr>
          <w:rFonts w:ascii="Times New Roman" w:hAnsi="Times New Roman"/>
          <w:noProof/>
        </w:rPr>
        <w:t>231 financées. La mesure consiste à financer plus de transitions, pour lesquelles il existe une forte demande.</w:t>
      </w:r>
    </w:p>
    <w:p w14:paraId="5A8AE7D8" w14:textId="77777777" w:rsidR="00740F0F" w:rsidRPr="0029070D" w:rsidRDefault="00100B64">
      <w:pPr>
        <w:widowControl w:val="0"/>
        <w:autoSpaceDE w:val="0"/>
        <w:autoSpaceDN w:val="0"/>
        <w:spacing w:before="140" w:after="0" w:line="237" w:lineRule="auto"/>
        <w:ind w:left="100" w:right="246"/>
        <w:jc w:val="both"/>
        <w:rPr>
          <w:rFonts w:ascii="Times New Roman" w:eastAsia="Times New Roman" w:hAnsi="Times New Roman" w:cs="Times New Roman"/>
          <w:noProof/>
          <w:kern w:val="0"/>
          <w:szCs w:val="20"/>
          <w14:ligatures w14:val="none"/>
        </w:rPr>
      </w:pPr>
      <w:r>
        <w:rPr>
          <w:rFonts w:ascii="Times New Roman" w:hAnsi="Times New Roman"/>
          <w:noProof/>
        </w:rPr>
        <w:t>Au niveau régional, les associations «Transition Pro» ont été chargées d’établir la liste exhaustive des métiers pouvant bénéficier de financements dans le cadre du plan France Relance. Cette liste devrait être centrée sur les métiers à forte perspective d’emploi dans la région, en tenant compte des priorités définies dans le plan France Relance (transition écologique, transformation numérique de l’économie).</w:t>
      </w:r>
    </w:p>
    <w:p w14:paraId="5A8AE7D9" w14:textId="77777777" w:rsidR="00740F0F" w:rsidRPr="0029070D" w:rsidRDefault="00100B64">
      <w:pPr>
        <w:widowControl w:val="0"/>
        <w:autoSpaceDE w:val="0"/>
        <w:autoSpaceDN w:val="0"/>
        <w:spacing w:before="220"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C8.I20: abondement des comptes personnels de formation (CPF) pour développer les compétences numériques</w:t>
      </w:r>
    </w:p>
    <w:p w14:paraId="5A8AE7DA" w14:textId="77777777" w:rsidR="00740F0F" w:rsidRPr="0029070D" w:rsidRDefault="00100B64">
      <w:pPr>
        <w:widowControl w:val="0"/>
        <w:autoSpaceDE w:val="0"/>
        <w:autoSpaceDN w:val="0"/>
        <w:spacing w:before="119" w:after="0" w:line="242" w:lineRule="auto"/>
        <w:ind w:left="100" w:right="237"/>
        <w:jc w:val="both"/>
        <w:rPr>
          <w:rFonts w:ascii="Times New Roman" w:eastAsia="Times New Roman" w:hAnsi="Times New Roman" w:cs="Times New Roman"/>
          <w:noProof/>
          <w:kern w:val="0"/>
          <w:szCs w:val="20"/>
          <w14:ligatures w14:val="none"/>
        </w:rPr>
      </w:pPr>
      <w:r>
        <w:rPr>
          <w:rFonts w:ascii="Times New Roman" w:hAnsi="Times New Roman"/>
          <w:noProof/>
        </w:rPr>
        <w:t>Afin de favoriser l’acquisition de compétences numériques par l’ensemble des salariés, l’accès aux formations spécifiquement axées sur les compétences ou les carrières numériques est renforcé, en permettant une inscription à ces formations par l’intermédiaire du compte personnel de formation. Il s’agit non seulement de développer l’employabilité des participants, mais aussi, à plus grande échelle, de contribuer à résoudre le problème de l’inadéquation des compétences au sein de la population active.</w:t>
      </w:r>
    </w:p>
    <w:p w14:paraId="5A8AE7DB" w14:textId="77777777" w:rsidR="00740F0F" w:rsidRPr="0029070D" w:rsidRDefault="00100B64">
      <w:pPr>
        <w:widowControl w:val="0"/>
        <w:autoSpaceDE w:val="0"/>
        <w:autoSpaceDN w:val="0"/>
        <w:spacing w:before="111" w:after="0" w:line="244" w:lineRule="auto"/>
        <w:ind w:left="100" w:right="247"/>
        <w:jc w:val="both"/>
        <w:rPr>
          <w:rFonts w:ascii="Times New Roman" w:eastAsia="Times New Roman" w:hAnsi="Times New Roman" w:cs="Times New Roman"/>
          <w:noProof/>
          <w:kern w:val="0"/>
          <w:szCs w:val="20"/>
          <w14:ligatures w14:val="none"/>
        </w:rPr>
      </w:pPr>
      <w:r>
        <w:rPr>
          <w:rFonts w:ascii="Times New Roman" w:hAnsi="Times New Roman"/>
          <w:noProof/>
        </w:rPr>
        <w:t>Les comptes personnels de formation sont abondés de 1</w:t>
      </w:r>
      <w:r>
        <w:rPr>
          <w:rFonts w:ascii="Times New Roman" w:hAnsi="Times New Roman"/>
          <w:noProof/>
          <w:sz w:val="20"/>
        </w:rPr>
        <w:t> </w:t>
      </w:r>
      <w:r>
        <w:rPr>
          <w:rFonts w:ascii="Times New Roman" w:hAnsi="Times New Roman"/>
          <w:noProof/>
        </w:rPr>
        <w:t>000</w:t>
      </w:r>
      <w:r>
        <w:rPr>
          <w:rFonts w:ascii="Times New Roman" w:hAnsi="Times New Roman"/>
          <w:noProof/>
          <w:sz w:val="20"/>
        </w:rPr>
        <w:t> </w:t>
      </w:r>
      <w:r>
        <w:rPr>
          <w:rFonts w:ascii="Times New Roman" w:hAnsi="Times New Roman"/>
          <w:noProof/>
        </w:rPr>
        <w:t>EUR pour des formations en lien avec des compétences numériques ou les métiers du numérique. Environ 400 formations ont été autorisées à cet effet et peuvent être suivies sur le temps de travail avec l’accord de l’employeur. Une fois la formation terminée, le coût est payé à l’organisme de formation.</w:t>
      </w:r>
    </w:p>
    <w:p w14:paraId="5A8AE7DC" w14:textId="77777777" w:rsidR="00740F0F" w:rsidRPr="0029070D" w:rsidRDefault="00100B64">
      <w:pPr>
        <w:widowControl w:val="0"/>
        <w:autoSpaceDE w:val="0"/>
        <w:autoSpaceDN w:val="0"/>
        <w:spacing w:before="194"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C8.I21: renforcement des moyens de France Compétences</w:t>
      </w:r>
    </w:p>
    <w:p w14:paraId="5A8AE7DD" w14:textId="212F940B" w:rsidR="00740F0F" w:rsidRPr="0029070D" w:rsidRDefault="00100B64">
      <w:pPr>
        <w:widowControl w:val="0"/>
        <w:autoSpaceDE w:val="0"/>
        <w:autoSpaceDN w:val="0"/>
        <w:spacing w:before="129" w:after="0" w:line="240" w:lineRule="auto"/>
        <w:ind w:left="100" w:right="254"/>
        <w:jc w:val="both"/>
        <w:rPr>
          <w:rFonts w:ascii="Times New Roman" w:eastAsia="Times New Roman" w:hAnsi="Times New Roman" w:cs="Times New Roman"/>
          <w:noProof/>
          <w:kern w:val="0"/>
          <w:szCs w:val="20"/>
          <w14:ligatures w14:val="none"/>
        </w:rPr>
      </w:pPr>
      <w:r>
        <w:rPr>
          <w:rFonts w:ascii="Times New Roman" w:hAnsi="Times New Roman"/>
          <w:noProof/>
        </w:rPr>
        <w:t>La mesure concerne le versement d’une subvention à France Compétences, autorité nationale chargée de la régulation et du financement de l’apprentissage et de la formation professionnelle, sous réserve du vote par le conseil d’administration de l’établissement, avant le 30 novembre 2021, d’un budget en équilibre pour 2022. En raison de la diminution des ressources due à la crise économique, un soutien ponctuel supplémentaire est nécessaire pour que France Compétences puisse répondre à la forte hausse de la demande en matière d’apprentissage. La mesure vise à financer 160</w:t>
      </w:r>
      <w:r>
        <w:rPr>
          <w:rFonts w:ascii="Times New Roman" w:hAnsi="Times New Roman"/>
          <w:noProof/>
          <w:sz w:val="20"/>
        </w:rPr>
        <w:t> </w:t>
      </w:r>
      <w:r>
        <w:rPr>
          <w:rFonts w:ascii="Times New Roman" w:hAnsi="Times New Roman"/>
          <w:noProof/>
        </w:rPr>
        <w:t>000 contrats d’apprentissage supplémentaires attendus d’ici au 31</w:t>
      </w:r>
      <w:r>
        <w:rPr>
          <w:rFonts w:ascii="Times New Roman" w:hAnsi="Times New Roman"/>
          <w:noProof/>
          <w:sz w:val="20"/>
        </w:rPr>
        <w:t> </w:t>
      </w:r>
      <w:r>
        <w:rPr>
          <w:rFonts w:ascii="Times New Roman" w:hAnsi="Times New Roman"/>
          <w:noProof/>
        </w:rPr>
        <w:t>décembre 2023.</w:t>
      </w:r>
    </w:p>
    <w:p w14:paraId="5A8AE7DE" w14:textId="77777777" w:rsidR="00740F0F" w:rsidRPr="0029070D" w:rsidRDefault="00100B64">
      <w:pPr>
        <w:widowControl w:val="0"/>
        <w:autoSpaceDE w:val="0"/>
        <w:autoSpaceDN w:val="0"/>
        <w:spacing w:before="116" w:after="0" w:line="242" w:lineRule="auto"/>
        <w:ind w:left="100" w:right="268"/>
        <w:jc w:val="both"/>
        <w:rPr>
          <w:rFonts w:ascii="Times New Roman" w:eastAsia="Times New Roman" w:hAnsi="Times New Roman" w:cs="Times New Roman"/>
          <w:noProof/>
          <w:kern w:val="0"/>
          <w:szCs w:val="20"/>
          <w14:ligatures w14:val="none"/>
        </w:rPr>
      </w:pPr>
      <w:r>
        <w:rPr>
          <w:rFonts w:ascii="Times New Roman" w:hAnsi="Times New Roman"/>
          <w:noProof/>
        </w:rPr>
        <w:t>Cet investissement permettra d’augmenter de manière temporaire les versements de France compétences aux opérateurs de compétences (OPCO) qui prennent en charge notamment les frais de formation des apprentis. L’assurance d’une prise en charge des coûts pédagogiques est un facteur important du recours à l’apprentissage pour l’employeur.</w:t>
      </w:r>
    </w:p>
    <w:p w14:paraId="5A8AE7DF" w14:textId="77777777" w:rsidR="00740F0F" w:rsidRPr="0029070D" w:rsidRDefault="00100B64">
      <w:pPr>
        <w:widowControl w:val="0"/>
        <w:autoSpaceDE w:val="0"/>
        <w:autoSpaceDN w:val="0"/>
        <w:spacing w:before="215" w:after="0" w:line="240" w:lineRule="auto"/>
        <w:ind w:left="10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C8.I22: renforcement des moyens de Pôle emploi</w:t>
      </w:r>
    </w:p>
    <w:p w14:paraId="5A8AE7E0" w14:textId="77777777" w:rsidR="00740F0F" w:rsidRPr="0029070D" w:rsidRDefault="00100B64">
      <w:pPr>
        <w:widowControl w:val="0"/>
        <w:autoSpaceDE w:val="0"/>
        <w:autoSpaceDN w:val="0"/>
        <w:spacing w:before="113" w:after="0" w:line="242" w:lineRule="auto"/>
        <w:ind w:left="100" w:right="243"/>
        <w:jc w:val="both"/>
        <w:rPr>
          <w:rFonts w:ascii="Times New Roman" w:eastAsia="Times New Roman" w:hAnsi="Times New Roman" w:cs="Times New Roman"/>
          <w:noProof/>
          <w:kern w:val="0"/>
          <w:szCs w:val="20"/>
          <w14:ligatures w14:val="none"/>
        </w:rPr>
      </w:pPr>
      <w:r>
        <w:rPr>
          <w:rFonts w:ascii="Times New Roman" w:hAnsi="Times New Roman"/>
          <w:noProof/>
        </w:rPr>
        <w:t>Pôle emploi recrute 1</w:t>
      </w:r>
      <w:r>
        <w:rPr>
          <w:rFonts w:ascii="Times New Roman" w:hAnsi="Times New Roman"/>
          <w:noProof/>
          <w:sz w:val="20"/>
        </w:rPr>
        <w:t> </w:t>
      </w:r>
      <w:r>
        <w:rPr>
          <w:rFonts w:ascii="Times New Roman" w:hAnsi="Times New Roman"/>
          <w:noProof/>
        </w:rPr>
        <w:t>000 conseillers en contrats à durée déterminée, afin d’apporter un soutien supplémentaire aux demandeurs d’emploi en cette période de difficultés économiques. Ces recrutements supplémentaires visent à permettre à Pôle emploi d’accompagner les demandeurs d’emploi supplémentaires résultant de la crise économique actuelle, qui devraient être encore plus nombreux avec la suppression progressive du soutien économique aux entreprises (comme les programmes d’activité partielle).</w:t>
      </w:r>
    </w:p>
    <w:p w14:paraId="5A8AE7E1" w14:textId="77777777" w:rsidR="00740F0F" w:rsidRPr="0029070D" w:rsidRDefault="00100B64">
      <w:pPr>
        <w:widowControl w:val="0"/>
        <w:autoSpaceDE w:val="0"/>
        <w:autoSpaceDN w:val="0"/>
        <w:spacing w:before="107" w:after="0" w:line="242" w:lineRule="auto"/>
        <w:ind w:left="100" w:right="247"/>
        <w:jc w:val="both"/>
        <w:rPr>
          <w:rFonts w:ascii="Times New Roman" w:eastAsia="Times New Roman" w:hAnsi="Times New Roman" w:cs="Times New Roman"/>
          <w:noProof/>
          <w:kern w:val="0"/>
          <w:szCs w:val="20"/>
          <w14:ligatures w14:val="none"/>
        </w:rPr>
      </w:pPr>
      <w:r>
        <w:rPr>
          <w:rFonts w:ascii="Times New Roman" w:hAnsi="Times New Roman"/>
          <w:noProof/>
        </w:rPr>
        <w:t>Par ailleurs, les conseillers supplémentaires mettent en œuvre certains nouveaux services de Pôle emploi tels que définis dans la convention tripartite 2019-2022.</w:t>
      </w:r>
    </w:p>
    <w:p w14:paraId="5A8AE7E2" w14:textId="77777777" w:rsidR="00740F0F" w:rsidRPr="0029070D" w:rsidRDefault="00740F0F">
      <w:pPr>
        <w:spacing w:before="120" w:after="120" w:line="242" w:lineRule="auto"/>
        <w:rPr>
          <w:rFonts w:ascii="Times New Roman" w:eastAsia="Calibri" w:hAnsi="Times New Roman" w:cs="Times New Roman"/>
          <w:noProof/>
          <w:kern w:val="0"/>
          <w:szCs w:val="22"/>
          <w14:ligatures w14:val="none"/>
        </w:rPr>
        <w:sectPr w:rsidR="00740F0F" w:rsidRPr="0029070D">
          <w:headerReference w:type="even" r:id="rId102"/>
          <w:headerReference w:type="default" r:id="rId103"/>
          <w:footerReference w:type="even" r:id="rId104"/>
          <w:footerReference w:type="default" r:id="rId105"/>
          <w:headerReference w:type="first" r:id="rId106"/>
          <w:footerReference w:type="first" r:id="rId107"/>
          <w:pgSz w:w="11920" w:h="16860"/>
          <w:pgMar w:top="1134" w:right="1134" w:bottom="1134" w:left="1134" w:header="567" w:footer="567" w:gutter="0"/>
          <w:cols w:space="720"/>
          <w:docGrid w:linePitch="326"/>
        </w:sectPr>
      </w:pPr>
    </w:p>
    <w:p w14:paraId="5A8AE7E3" w14:textId="77777777" w:rsidR="00740F0F" w:rsidRPr="003A373D" w:rsidRDefault="00100B64">
      <w:pPr>
        <w:widowControl w:val="0"/>
        <w:numPr>
          <w:ilvl w:val="2"/>
          <w:numId w:val="1"/>
        </w:numPr>
        <w:tabs>
          <w:tab w:val="left" w:pos="822"/>
          <w:tab w:val="left" w:pos="823"/>
        </w:tabs>
        <w:autoSpaceDE w:val="0"/>
        <w:autoSpaceDN w:val="0"/>
        <w:spacing w:before="206" w:after="0" w:line="240" w:lineRule="auto"/>
        <w:ind w:left="822" w:hanging="723"/>
        <w:jc w:val="center"/>
        <w:outlineLvl w:val="1"/>
        <w:rPr>
          <w:rFonts w:ascii="Times New Roman" w:eastAsia="Times New Roman" w:hAnsi="Times New Roman" w:cs="Times New Roman"/>
          <w:b/>
          <w:noProof/>
          <w:kern w:val="0"/>
          <w:szCs w:val="20"/>
          <w:u w:val="single"/>
          <w14:ligatures w14:val="none"/>
        </w:rPr>
      </w:pPr>
      <w:r>
        <w:rPr>
          <w:rFonts w:ascii="Times New Roman" w:hAnsi="Times New Roman"/>
          <w:b/>
          <w:noProof/>
          <w:u w:val="single"/>
        </w:rPr>
        <w:t>Jalons, cibles, indicateurs et calendrier de suivi et de mise en œuvre en vue du soutien financier non remboursable</w:t>
      </w:r>
    </w:p>
    <w:p w14:paraId="5A8AE7E4" w14:textId="77777777" w:rsidR="00740F0F" w:rsidRPr="0029070D" w:rsidRDefault="00740F0F">
      <w:pPr>
        <w:widowControl w:val="0"/>
        <w:autoSpaceDE w:val="0"/>
        <w:autoSpaceDN w:val="0"/>
        <w:spacing w:before="10" w:after="0" w:line="240" w:lineRule="auto"/>
        <w:rPr>
          <w:rFonts w:ascii="Times New Roman" w:eastAsia="Times New Roman" w:hAnsi="Times New Roman" w:cs="Times New Roman"/>
          <w:b/>
          <w:noProof/>
          <w:kern w:val="0"/>
          <w:sz w:val="19"/>
          <w:szCs w:val="20"/>
          <w14:ligatures w14:val="none"/>
        </w:rPr>
      </w:pPr>
    </w:p>
    <w:tbl>
      <w:tblPr>
        <w:tblStyle w:val="NormalTable0"/>
        <w:tblW w:w="15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1276"/>
        <w:gridCol w:w="1218"/>
        <w:gridCol w:w="1700"/>
        <w:gridCol w:w="1279"/>
        <w:gridCol w:w="996"/>
        <w:gridCol w:w="710"/>
        <w:gridCol w:w="6"/>
        <w:gridCol w:w="845"/>
        <w:gridCol w:w="7"/>
        <w:gridCol w:w="702"/>
        <w:gridCol w:w="8"/>
        <w:gridCol w:w="943"/>
        <w:gridCol w:w="9"/>
        <w:gridCol w:w="4551"/>
        <w:gridCol w:w="15"/>
      </w:tblGrid>
      <w:tr w:rsidR="00782477" w:rsidRPr="0029070D" w14:paraId="5A8AE7ED" w14:textId="77777777" w:rsidTr="00F84DDA">
        <w:trPr>
          <w:trHeight w:val="688"/>
          <w:tblHeader/>
          <w:jc w:val="center"/>
        </w:trPr>
        <w:tc>
          <w:tcPr>
            <w:tcW w:w="1271" w:type="dxa"/>
            <w:vMerge w:val="restart"/>
            <w:shd w:val="clear" w:color="auto" w:fill="C5D9EF"/>
            <w:vAlign w:val="center"/>
          </w:tcPr>
          <w:p w14:paraId="5A8AE7E5" w14:textId="77777777" w:rsidR="00740F0F" w:rsidRPr="0029070D" w:rsidRDefault="00100B64">
            <w:pPr>
              <w:spacing w:line="266" w:lineRule="auto"/>
              <w:ind w:left="302" w:right="105" w:hanging="106"/>
              <w:jc w:val="center"/>
              <w:rPr>
                <w:rFonts w:ascii="Times New Roman" w:eastAsia="Times New Roman" w:hAnsi="Times New Roman" w:cs="Times New Roman"/>
                <w:b/>
                <w:noProof/>
                <w:sz w:val="18"/>
                <w:szCs w:val="18"/>
              </w:rPr>
            </w:pPr>
            <w:r>
              <w:rPr>
                <w:rFonts w:ascii="Times New Roman" w:hAnsi="Times New Roman"/>
                <w:b/>
                <w:noProof/>
                <w:sz w:val="18"/>
              </w:rPr>
              <w:t>Numéro séquentiel</w:t>
            </w:r>
          </w:p>
        </w:tc>
        <w:tc>
          <w:tcPr>
            <w:tcW w:w="1276" w:type="dxa"/>
            <w:vMerge w:val="restart"/>
            <w:shd w:val="clear" w:color="auto" w:fill="C5D9EF"/>
            <w:vAlign w:val="center"/>
          </w:tcPr>
          <w:p w14:paraId="5A8AE7E6" w14:textId="77777777" w:rsidR="00740F0F" w:rsidRPr="0029070D" w:rsidRDefault="00100B64">
            <w:pPr>
              <w:spacing w:before="209"/>
              <w:ind w:left="302"/>
              <w:jc w:val="center"/>
              <w:rPr>
                <w:rFonts w:ascii="Times New Roman" w:eastAsia="Times New Roman" w:hAnsi="Times New Roman" w:cs="Times New Roman"/>
                <w:b/>
                <w:noProof/>
                <w:sz w:val="18"/>
                <w:szCs w:val="18"/>
              </w:rPr>
            </w:pPr>
            <w:r>
              <w:rPr>
                <w:rFonts w:ascii="Times New Roman" w:hAnsi="Times New Roman"/>
                <w:b/>
                <w:noProof/>
                <w:sz w:val="18"/>
              </w:rPr>
              <w:t>Mesure</w:t>
            </w:r>
          </w:p>
        </w:tc>
        <w:tc>
          <w:tcPr>
            <w:tcW w:w="1218" w:type="dxa"/>
            <w:vMerge w:val="restart"/>
            <w:shd w:val="clear" w:color="auto" w:fill="C5D9EF"/>
            <w:vAlign w:val="center"/>
          </w:tcPr>
          <w:p w14:paraId="5A8AE7E7" w14:textId="77777777" w:rsidR="00740F0F" w:rsidRPr="0029070D" w:rsidRDefault="00100B64">
            <w:pPr>
              <w:spacing w:line="256" w:lineRule="auto"/>
              <w:ind w:left="156" w:right="105"/>
              <w:jc w:val="center"/>
              <w:rPr>
                <w:rFonts w:ascii="Times New Roman" w:eastAsia="Times New Roman" w:hAnsi="Times New Roman" w:cs="Times New Roman"/>
                <w:b/>
                <w:noProof/>
                <w:sz w:val="18"/>
                <w:szCs w:val="18"/>
              </w:rPr>
            </w:pPr>
            <w:r>
              <w:rPr>
                <w:rFonts w:ascii="Times New Roman" w:hAnsi="Times New Roman"/>
                <w:b/>
                <w:noProof/>
                <w:sz w:val="18"/>
              </w:rPr>
              <w:t>Jalon / Cible</w:t>
            </w:r>
          </w:p>
        </w:tc>
        <w:tc>
          <w:tcPr>
            <w:tcW w:w="1700" w:type="dxa"/>
            <w:vMerge w:val="restart"/>
            <w:shd w:val="clear" w:color="auto" w:fill="C5D9EF"/>
            <w:vAlign w:val="center"/>
          </w:tcPr>
          <w:p w14:paraId="5A8AE7E8" w14:textId="77777777" w:rsidR="00740F0F" w:rsidRPr="0029070D" w:rsidRDefault="00100B64">
            <w:pPr>
              <w:spacing w:before="1"/>
              <w:ind w:left="612" w:right="565"/>
              <w:jc w:val="center"/>
              <w:rPr>
                <w:rFonts w:ascii="Times New Roman" w:eastAsia="Times New Roman" w:hAnsi="Times New Roman" w:cs="Times New Roman"/>
                <w:b/>
                <w:noProof/>
                <w:sz w:val="18"/>
                <w:szCs w:val="18"/>
              </w:rPr>
            </w:pPr>
            <w:r>
              <w:rPr>
                <w:rFonts w:ascii="Times New Roman" w:hAnsi="Times New Roman"/>
                <w:b/>
                <w:noProof/>
                <w:sz w:val="18"/>
              </w:rPr>
              <w:t>Dénomination</w:t>
            </w:r>
          </w:p>
        </w:tc>
        <w:tc>
          <w:tcPr>
            <w:tcW w:w="1279" w:type="dxa"/>
            <w:vMerge w:val="restart"/>
            <w:shd w:val="clear" w:color="auto" w:fill="C5D9EF"/>
            <w:vAlign w:val="center"/>
          </w:tcPr>
          <w:p w14:paraId="5A8AE7E9" w14:textId="77777777" w:rsidR="00740F0F" w:rsidRPr="0029070D" w:rsidRDefault="00100B64">
            <w:pPr>
              <w:spacing w:line="252" w:lineRule="auto"/>
              <w:ind w:left="77" w:right="58" w:hanging="1"/>
              <w:jc w:val="center"/>
              <w:rPr>
                <w:rFonts w:ascii="Times New Roman" w:eastAsia="Times New Roman" w:hAnsi="Times New Roman" w:cs="Times New Roman"/>
                <w:b/>
                <w:noProof/>
                <w:sz w:val="18"/>
                <w:szCs w:val="18"/>
              </w:rPr>
            </w:pPr>
            <w:r>
              <w:rPr>
                <w:rFonts w:ascii="Times New Roman" w:hAnsi="Times New Roman"/>
                <w:b/>
                <w:noProof/>
                <w:sz w:val="18"/>
              </w:rPr>
              <w:t>Indicateurs qualitatifs (pour les jalons)</w:t>
            </w:r>
          </w:p>
        </w:tc>
        <w:tc>
          <w:tcPr>
            <w:tcW w:w="2564" w:type="dxa"/>
            <w:gridSpan w:val="5"/>
            <w:shd w:val="clear" w:color="auto" w:fill="C5D9EF"/>
            <w:vAlign w:val="center"/>
          </w:tcPr>
          <w:p w14:paraId="5A8AE7EA" w14:textId="77777777" w:rsidR="00740F0F" w:rsidRPr="0029070D" w:rsidRDefault="00100B64">
            <w:pPr>
              <w:spacing w:before="105" w:line="264" w:lineRule="auto"/>
              <w:ind w:left="971" w:right="120" w:hanging="826"/>
              <w:jc w:val="center"/>
              <w:rPr>
                <w:rFonts w:ascii="Times New Roman" w:eastAsia="Times New Roman" w:hAnsi="Times New Roman" w:cs="Times New Roman"/>
                <w:b/>
                <w:noProof/>
                <w:sz w:val="18"/>
                <w:szCs w:val="18"/>
              </w:rPr>
            </w:pPr>
            <w:r>
              <w:rPr>
                <w:rFonts w:ascii="Times New Roman" w:hAnsi="Times New Roman"/>
                <w:b/>
                <w:noProof/>
                <w:sz w:val="18"/>
              </w:rPr>
              <w:t>Indicateurs quantitatifs (pour les cibles)</w:t>
            </w:r>
          </w:p>
        </w:tc>
        <w:tc>
          <w:tcPr>
            <w:tcW w:w="1662" w:type="dxa"/>
            <w:gridSpan w:val="4"/>
            <w:shd w:val="clear" w:color="auto" w:fill="C5D9EF"/>
            <w:vAlign w:val="center"/>
          </w:tcPr>
          <w:p w14:paraId="5A8AE7EB" w14:textId="77777777" w:rsidR="00740F0F" w:rsidRPr="0029070D" w:rsidRDefault="00100B64">
            <w:pPr>
              <w:spacing w:before="105" w:line="264" w:lineRule="auto"/>
              <w:ind w:left="226" w:right="51" w:hanging="178"/>
              <w:jc w:val="center"/>
              <w:rPr>
                <w:rFonts w:ascii="Times New Roman" w:eastAsia="Times New Roman" w:hAnsi="Times New Roman" w:cs="Times New Roman"/>
                <w:b/>
                <w:noProof/>
                <w:sz w:val="18"/>
                <w:szCs w:val="18"/>
              </w:rPr>
            </w:pPr>
            <w:r>
              <w:rPr>
                <w:rFonts w:ascii="Times New Roman" w:hAnsi="Times New Roman"/>
                <w:b/>
                <w:noProof/>
                <w:sz w:val="18"/>
              </w:rPr>
              <w:t>Calendrier indicatif de réalisation</w:t>
            </w:r>
          </w:p>
        </w:tc>
        <w:tc>
          <w:tcPr>
            <w:tcW w:w="4566" w:type="dxa"/>
            <w:gridSpan w:val="2"/>
            <w:vMerge w:val="restart"/>
            <w:shd w:val="clear" w:color="auto" w:fill="C5D9EF"/>
            <w:vAlign w:val="center"/>
          </w:tcPr>
          <w:p w14:paraId="5A8AE7EC" w14:textId="77777777" w:rsidR="00740F0F" w:rsidRPr="0029070D" w:rsidRDefault="00100B64">
            <w:pPr>
              <w:ind w:left="718"/>
              <w:rPr>
                <w:rFonts w:ascii="Times New Roman" w:eastAsia="Times New Roman" w:hAnsi="Times New Roman" w:cs="Times New Roman"/>
                <w:b/>
                <w:noProof/>
                <w:sz w:val="18"/>
                <w:szCs w:val="18"/>
              </w:rPr>
            </w:pPr>
            <w:r>
              <w:rPr>
                <w:rFonts w:ascii="Times New Roman" w:hAnsi="Times New Roman"/>
                <w:b/>
                <w:noProof/>
                <w:sz w:val="18"/>
              </w:rPr>
              <w:t>Description de chaque jalon et cible</w:t>
            </w:r>
          </w:p>
        </w:tc>
      </w:tr>
      <w:tr w:rsidR="00782477" w:rsidRPr="0029070D" w14:paraId="5A8AE7F9" w14:textId="77777777" w:rsidTr="00F84DDA">
        <w:trPr>
          <w:trHeight w:val="546"/>
          <w:tblHeader/>
          <w:jc w:val="center"/>
        </w:trPr>
        <w:tc>
          <w:tcPr>
            <w:tcW w:w="1271" w:type="dxa"/>
            <w:vMerge/>
          </w:tcPr>
          <w:p w14:paraId="5A8AE7EE" w14:textId="77777777" w:rsidR="00740F0F" w:rsidRPr="0029070D" w:rsidRDefault="00740F0F">
            <w:pPr>
              <w:spacing w:before="120" w:after="120" w:line="360" w:lineRule="auto"/>
              <w:jc w:val="center"/>
              <w:rPr>
                <w:rFonts w:ascii="Times New Roman" w:eastAsia="Calibri" w:hAnsi="Times New Roman" w:cs="Times New Roman"/>
                <w:noProof/>
                <w:sz w:val="18"/>
                <w:szCs w:val="18"/>
              </w:rPr>
            </w:pPr>
          </w:p>
        </w:tc>
        <w:tc>
          <w:tcPr>
            <w:tcW w:w="1276" w:type="dxa"/>
            <w:vMerge/>
          </w:tcPr>
          <w:p w14:paraId="5A8AE7EF" w14:textId="77777777" w:rsidR="00740F0F" w:rsidRPr="0029070D" w:rsidRDefault="00740F0F">
            <w:pPr>
              <w:spacing w:before="120" w:after="120" w:line="360" w:lineRule="auto"/>
              <w:rPr>
                <w:rFonts w:ascii="Times New Roman" w:eastAsia="Calibri" w:hAnsi="Times New Roman" w:cs="Times New Roman"/>
                <w:noProof/>
                <w:sz w:val="18"/>
                <w:szCs w:val="18"/>
              </w:rPr>
            </w:pPr>
          </w:p>
        </w:tc>
        <w:tc>
          <w:tcPr>
            <w:tcW w:w="1218" w:type="dxa"/>
            <w:vMerge/>
          </w:tcPr>
          <w:p w14:paraId="5A8AE7F0" w14:textId="77777777" w:rsidR="00740F0F" w:rsidRPr="0029070D" w:rsidRDefault="00740F0F">
            <w:pPr>
              <w:spacing w:before="120" w:after="120" w:line="360" w:lineRule="auto"/>
              <w:jc w:val="center"/>
              <w:rPr>
                <w:rFonts w:ascii="Times New Roman" w:eastAsia="Calibri" w:hAnsi="Times New Roman" w:cs="Times New Roman"/>
                <w:noProof/>
                <w:sz w:val="18"/>
                <w:szCs w:val="18"/>
              </w:rPr>
            </w:pPr>
          </w:p>
        </w:tc>
        <w:tc>
          <w:tcPr>
            <w:tcW w:w="1700" w:type="dxa"/>
            <w:vMerge/>
          </w:tcPr>
          <w:p w14:paraId="5A8AE7F1" w14:textId="77777777" w:rsidR="00740F0F" w:rsidRPr="0029070D" w:rsidRDefault="00740F0F">
            <w:pPr>
              <w:spacing w:before="120" w:after="120" w:line="360" w:lineRule="auto"/>
              <w:rPr>
                <w:rFonts w:ascii="Times New Roman" w:eastAsia="Calibri" w:hAnsi="Times New Roman" w:cs="Times New Roman"/>
                <w:noProof/>
                <w:sz w:val="18"/>
                <w:szCs w:val="18"/>
              </w:rPr>
            </w:pPr>
          </w:p>
        </w:tc>
        <w:tc>
          <w:tcPr>
            <w:tcW w:w="1279" w:type="dxa"/>
            <w:vMerge/>
          </w:tcPr>
          <w:p w14:paraId="5A8AE7F2" w14:textId="77777777" w:rsidR="00740F0F" w:rsidRPr="0029070D" w:rsidRDefault="00740F0F">
            <w:pPr>
              <w:spacing w:before="120" w:after="120" w:line="360" w:lineRule="auto"/>
              <w:rPr>
                <w:rFonts w:ascii="Times New Roman" w:eastAsia="Calibri" w:hAnsi="Times New Roman" w:cs="Times New Roman"/>
                <w:noProof/>
                <w:sz w:val="18"/>
                <w:szCs w:val="18"/>
              </w:rPr>
            </w:pPr>
          </w:p>
        </w:tc>
        <w:tc>
          <w:tcPr>
            <w:tcW w:w="996" w:type="dxa"/>
            <w:shd w:val="clear" w:color="auto" w:fill="C5D9EF"/>
          </w:tcPr>
          <w:p w14:paraId="5A8AE7F3" w14:textId="77777777" w:rsidR="00740F0F" w:rsidRPr="00F84DDA" w:rsidRDefault="00100B64">
            <w:pPr>
              <w:spacing w:before="107"/>
              <w:ind w:left="191" w:right="143" w:firstLine="45"/>
              <w:jc w:val="center"/>
              <w:rPr>
                <w:rFonts w:ascii="Times New Roman" w:eastAsia="Times New Roman" w:hAnsi="Times New Roman" w:cs="Times New Roman"/>
                <w:b/>
                <w:noProof/>
                <w:sz w:val="16"/>
                <w:szCs w:val="18"/>
              </w:rPr>
            </w:pPr>
            <w:r w:rsidRPr="00F84DDA">
              <w:rPr>
                <w:rFonts w:ascii="Times New Roman" w:hAnsi="Times New Roman"/>
                <w:b/>
                <w:noProof/>
                <w:sz w:val="16"/>
                <w:szCs w:val="18"/>
              </w:rPr>
              <w:t>Unité de mesure</w:t>
            </w:r>
          </w:p>
        </w:tc>
        <w:tc>
          <w:tcPr>
            <w:tcW w:w="716" w:type="dxa"/>
            <w:gridSpan w:val="2"/>
            <w:shd w:val="clear" w:color="auto" w:fill="C5D9EF"/>
          </w:tcPr>
          <w:p w14:paraId="5A8AE7F4" w14:textId="77777777" w:rsidR="00740F0F" w:rsidRPr="00F84DDA" w:rsidRDefault="00100B64">
            <w:pPr>
              <w:spacing w:before="203"/>
              <w:ind w:left="1" w:right="14"/>
              <w:jc w:val="center"/>
              <w:rPr>
                <w:rFonts w:ascii="Times New Roman" w:eastAsia="Times New Roman" w:hAnsi="Times New Roman" w:cs="Times New Roman"/>
                <w:b/>
                <w:noProof/>
                <w:sz w:val="16"/>
                <w:szCs w:val="18"/>
              </w:rPr>
            </w:pPr>
            <w:r w:rsidRPr="00F84DDA">
              <w:rPr>
                <w:rFonts w:ascii="Times New Roman" w:hAnsi="Times New Roman"/>
                <w:b/>
                <w:noProof/>
                <w:sz w:val="16"/>
                <w:szCs w:val="18"/>
              </w:rPr>
              <w:t>Base de référence</w:t>
            </w:r>
          </w:p>
        </w:tc>
        <w:tc>
          <w:tcPr>
            <w:tcW w:w="852" w:type="dxa"/>
            <w:gridSpan w:val="2"/>
            <w:shd w:val="clear" w:color="auto" w:fill="C5D9EF"/>
          </w:tcPr>
          <w:p w14:paraId="5A8AE7F5" w14:textId="77777777" w:rsidR="00740F0F" w:rsidRPr="00F84DDA" w:rsidRDefault="00100B64">
            <w:pPr>
              <w:spacing w:before="208"/>
              <w:ind w:left="133"/>
              <w:jc w:val="center"/>
              <w:rPr>
                <w:rFonts w:ascii="Times New Roman" w:eastAsia="Times New Roman" w:hAnsi="Times New Roman" w:cs="Times New Roman"/>
                <w:b/>
                <w:noProof/>
                <w:sz w:val="16"/>
                <w:szCs w:val="18"/>
              </w:rPr>
            </w:pPr>
            <w:r w:rsidRPr="00F84DDA">
              <w:rPr>
                <w:rFonts w:ascii="Times New Roman" w:hAnsi="Times New Roman"/>
                <w:b/>
                <w:noProof/>
                <w:sz w:val="16"/>
                <w:szCs w:val="18"/>
              </w:rPr>
              <w:t>Objectif</w:t>
            </w:r>
          </w:p>
        </w:tc>
        <w:tc>
          <w:tcPr>
            <w:tcW w:w="710" w:type="dxa"/>
            <w:gridSpan w:val="2"/>
            <w:shd w:val="clear" w:color="auto" w:fill="C5D9EF"/>
          </w:tcPr>
          <w:p w14:paraId="5A8AE7F6" w14:textId="77777777" w:rsidR="00740F0F" w:rsidRPr="00F84DDA" w:rsidRDefault="00100B64">
            <w:pPr>
              <w:spacing w:before="203"/>
              <w:jc w:val="center"/>
              <w:rPr>
                <w:rFonts w:ascii="Times New Roman" w:eastAsia="Times New Roman" w:hAnsi="Times New Roman" w:cs="Times New Roman"/>
                <w:b/>
                <w:noProof/>
                <w:sz w:val="16"/>
                <w:szCs w:val="18"/>
              </w:rPr>
            </w:pPr>
            <w:r w:rsidRPr="00F84DDA">
              <w:rPr>
                <w:rFonts w:ascii="Times New Roman" w:hAnsi="Times New Roman"/>
                <w:b/>
                <w:noProof/>
                <w:sz w:val="16"/>
                <w:szCs w:val="18"/>
              </w:rPr>
              <w:t>Trimestre</w:t>
            </w:r>
          </w:p>
        </w:tc>
        <w:tc>
          <w:tcPr>
            <w:tcW w:w="952" w:type="dxa"/>
            <w:gridSpan w:val="2"/>
            <w:shd w:val="clear" w:color="auto" w:fill="C5D9EF"/>
          </w:tcPr>
          <w:p w14:paraId="5A8AE7F7" w14:textId="77777777" w:rsidR="00740F0F" w:rsidRPr="00F84DDA" w:rsidRDefault="00100B64">
            <w:pPr>
              <w:spacing w:before="208"/>
              <w:ind w:left="265"/>
              <w:jc w:val="center"/>
              <w:rPr>
                <w:rFonts w:ascii="Times New Roman" w:eastAsia="Times New Roman" w:hAnsi="Times New Roman" w:cs="Times New Roman"/>
                <w:b/>
                <w:noProof/>
                <w:sz w:val="16"/>
                <w:szCs w:val="18"/>
              </w:rPr>
            </w:pPr>
            <w:r w:rsidRPr="00F84DDA">
              <w:rPr>
                <w:rFonts w:ascii="Times New Roman" w:hAnsi="Times New Roman"/>
                <w:b/>
                <w:noProof/>
                <w:sz w:val="16"/>
                <w:szCs w:val="18"/>
              </w:rPr>
              <w:t>Année</w:t>
            </w:r>
          </w:p>
        </w:tc>
        <w:tc>
          <w:tcPr>
            <w:tcW w:w="4566" w:type="dxa"/>
            <w:gridSpan w:val="2"/>
            <w:vMerge/>
          </w:tcPr>
          <w:p w14:paraId="5A8AE7F8" w14:textId="77777777" w:rsidR="00740F0F" w:rsidRPr="0029070D" w:rsidRDefault="00740F0F">
            <w:pPr>
              <w:spacing w:before="120" w:after="120" w:line="360" w:lineRule="auto"/>
              <w:rPr>
                <w:rFonts w:ascii="Times New Roman" w:eastAsia="Calibri" w:hAnsi="Times New Roman" w:cs="Times New Roman"/>
                <w:noProof/>
                <w:sz w:val="18"/>
                <w:szCs w:val="18"/>
              </w:rPr>
            </w:pPr>
          </w:p>
        </w:tc>
      </w:tr>
      <w:tr w:rsidR="00782477" w:rsidRPr="0029070D" w14:paraId="5A8AE806" w14:textId="77777777" w:rsidTr="00F84DDA">
        <w:trPr>
          <w:trHeight w:val="1848"/>
          <w:jc w:val="center"/>
        </w:trPr>
        <w:tc>
          <w:tcPr>
            <w:tcW w:w="1271" w:type="dxa"/>
            <w:shd w:val="clear" w:color="auto" w:fill="C5EDCE"/>
          </w:tcPr>
          <w:p w14:paraId="5A8AE7F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8-1</w:t>
            </w:r>
          </w:p>
        </w:tc>
        <w:tc>
          <w:tcPr>
            <w:tcW w:w="1276" w:type="dxa"/>
            <w:shd w:val="clear" w:color="auto" w:fill="C5EDCE"/>
          </w:tcPr>
          <w:p w14:paraId="5A8AE7F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C8.R1:</w:t>
            </w:r>
          </w:p>
          <w:p w14:paraId="5A8AE7F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Réforme de l’offre de services de Pôle emploi</w:t>
            </w:r>
          </w:p>
        </w:tc>
        <w:tc>
          <w:tcPr>
            <w:tcW w:w="1218" w:type="dxa"/>
            <w:shd w:val="clear" w:color="auto" w:fill="C5EDCE"/>
          </w:tcPr>
          <w:p w14:paraId="5A8AE7F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0" w:type="dxa"/>
            <w:shd w:val="clear" w:color="auto" w:fill="C5EDCE"/>
          </w:tcPr>
          <w:p w14:paraId="5A8AE7FE"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Agences ayant des services Cap’Emploi intégrés</w:t>
            </w:r>
          </w:p>
        </w:tc>
        <w:tc>
          <w:tcPr>
            <w:tcW w:w="1279" w:type="dxa"/>
            <w:shd w:val="clear" w:color="auto" w:fill="C5EDCE"/>
          </w:tcPr>
          <w:p w14:paraId="5A8AE7FF"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6" w:type="dxa"/>
            <w:shd w:val="clear" w:color="auto" w:fill="C5EDCE"/>
          </w:tcPr>
          <w:p w14:paraId="5A8AE80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716" w:type="dxa"/>
            <w:gridSpan w:val="2"/>
            <w:shd w:val="clear" w:color="auto" w:fill="C5EDCE"/>
          </w:tcPr>
          <w:p w14:paraId="5A8AE80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852" w:type="dxa"/>
            <w:gridSpan w:val="2"/>
            <w:shd w:val="clear" w:color="auto" w:fill="C5EDCE"/>
          </w:tcPr>
          <w:p w14:paraId="5A8AE80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700</w:t>
            </w:r>
          </w:p>
        </w:tc>
        <w:tc>
          <w:tcPr>
            <w:tcW w:w="710" w:type="dxa"/>
            <w:gridSpan w:val="2"/>
            <w:shd w:val="clear" w:color="auto" w:fill="C5EDCE"/>
          </w:tcPr>
          <w:p w14:paraId="5A8AE80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952" w:type="dxa"/>
            <w:gridSpan w:val="2"/>
            <w:shd w:val="clear" w:color="auto" w:fill="C5EDCE"/>
          </w:tcPr>
          <w:p w14:paraId="5A8AE80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566" w:type="dxa"/>
            <w:gridSpan w:val="2"/>
            <w:shd w:val="clear" w:color="auto" w:fill="C5EDCE"/>
          </w:tcPr>
          <w:p w14:paraId="5A8AE805"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d’agences Pôle Emploi ayant des services Cap’Emploi intégrés</w:t>
            </w:r>
          </w:p>
        </w:tc>
      </w:tr>
      <w:tr w:rsidR="00782477" w:rsidRPr="0029070D" w14:paraId="5A8AE813" w14:textId="77777777" w:rsidTr="00F84DDA">
        <w:trPr>
          <w:trHeight w:val="1554"/>
          <w:jc w:val="center"/>
        </w:trPr>
        <w:tc>
          <w:tcPr>
            <w:tcW w:w="1271" w:type="dxa"/>
            <w:shd w:val="clear" w:color="auto" w:fill="C5EDCE"/>
          </w:tcPr>
          <w:p w14:paraId="5A8AE80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8-2</w:t>
            </w:r>
          </w:p>
        </w:tc>
        <w:tc>
          <w:tcPr>
            <w:tcW w:w="1276" w:type="dxa"/>
            <w:shd w:val="clear" w:color="auto" w:fill="C5EDCE"/>
          </w:tcPr>
          <w:p w14:paraId="5A8AE80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C8.R1:</w:t>
            </w:r>
          </w:p>
          <w:p w14:paraId="5A8AE809" w14:textId="77777777" w:rsidR="00740F0F" w:rsidRPr="0029070D" w:rsidRDefault="00100B64">
            <w:pPr>
              <w:spacing w:line="214" w:lineRule="exact"/>
              <w:ind w:left="9" w:right="80"/>
              <w:jc w:val="center"/>
              <w:rPr>
                <w:rFonts w:ascii="Times New Roman" w:eastAsia="Times New Roman" w:hAnsi="Times New Roman" w:cs="Times New Roman"/>
                <w:noProof/>
                <w:sz w:val="18"/>
                <w:szCs w:val="18"/>
              </w:rPr>
            </w:pPr>
            <w:r>
              <w:rPr>
                <w:rFonts w:ascii="Times New Roman" w:hAnsi="Times New Roman"/>
                <w:noProof/>
                <w:sz w:val="18"/>
              </w:rPr>
              <w:t>Réforme de l’offre de services de Pôle emploi</w:t>
            </w:r>
          </w:p>
        </w:tc>
        <w:tc>
          <w:tcPr>
            <w:tcW w:w="1218" w:type="dxa"/>
            <w:shd w:val="clear" w:color="auto" w:fill="C5EDCE"/>
          </w:tcPr>
          <w:p w14:paraId="5A8AE80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0" w:type="dxa"/>
            <w:shd w:val="clear" w:color="auto" w:fill="C5EDCE"/>
          </w:tcPr>
          <w:p w14:paraId="5A8AE80B"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Agences disposant d’un conseiller indemnisation</w:t>
            </w:r>
          </w:p>
        </w:tc>
        <w:tc>
          <w:tcPr>
            <w:tcW w:w="1279" w:type="dxa"/>
            <w:shd w:val="clear" w:color="auto" w:fill="C5EDCE"/>
          </w:tcPr>
          <w:p w14:paraId="5A8AE80C" w14:textId="77777777" w:rsidR="00740F0F" w:rsidRPr="0029070D" w:rsidRDefault="00740F0F">
            <w:pPr>
              <w:rPr>
                <w:rFonts w:ascii="Times New Roman" w:eastAsia="Times New Roman" w:hAnsi="Times New Roman" w:cs="Times New Roman"/>
                <w:noProof/>
                <w:sz w:val="18"/>
                <w:szCs w:val="18"/>
              </w:rPr>
            </w:pPr>
          </w:p>
        </w:tc>
        <w:tc>
          <w:tcPr>
            <w:tcW w:w="996" w:type="dxa"/>
            <w:shd w:val="clear" w:color="auto" w:fill="C5EDCE"/>
          </w:tcPr>
          <w:p w14:paraId="5A8AE80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716" w:type="dxa"/>
            <w:gridSpan w:val="2"/>
            <w:shd w:val="clear" w:color="auto" w:fill="C5EDCE"/>
          </w:tcPr>
          <w:p w14:paraId="5A8AE80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852" w:type="dxa"/>
            <w:gridSpan w:val="2"/>
            <w:shd w:val="clear" w:color="auto" w:fill="C5EDCE"/>
          </w:tcPr>
          <w:p w14:paraId="5A8AE80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700</w:t>
            </w:r>
          </w:p>
        </w:tc>
        <w:tc>
          <w:tcPr>
            <w:tcW w:w="710" w:type="dxa"/>
            <w:gridSpan w:val="2"/>
            <w:shd w:val="clear" w:color="auto" w:fill="C5EDCE"/>
          </w:tcPr>
          <w:p w14:paraId="5A8AE81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952" w:type="dxa"/>
            <w:gridSpan w:val="2"/>
            <w:shd w:val="clear" w:color="auto" w:fill="C5EDCE"/>
          </w:tcPr>
          <w:p w14:paraId="5A8AE81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566" w:type="dxa"/>
            <w:gridSpan w:val="2"/>
            <w:shd w:val="clear" w:color="auto" w:fill="C5EDCE"/>
          </w:tcPr>
          <w:p w14:paraId="5A8AE812"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d’agences Pôle emploi ayant mis en place le dispositif «conseiller indemnisation»</w:t>
            </w:r>
          </w:p>
        </w:tc>
      </w:tr>
      <w:tr w:rsidR="00782477" w:rsidRPr="0029070D" w14:paraId="5A8AE823" w14:textId="77777777" w:rsidTr="00F84DDA">
        <w:trPr>
          <w:trHeight w:val="3355"/>
          <w:jc w:val="center"/>
        </w:trPr>
        <w:tc>
          <w:tcPr>
            <w:tcW w:w="1271" w:type="dxa"/>
            <w:shd w:val="clear" w:color="auto" w:fill="C5EDCE"/>
          </w:tcPr>
          <w:p w14:paraId="5A8AE81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8-3</w:t>
            </w:r>
          </w:p>
        </w:tc>
        <w:tc>
          <w:tcPr>
            <w:tcW w:w="1276" w:type="dxa"/>
            <w:shd w:val="clear" w:color="auto" w:fill="C5EDCE"/>
          </w:tcPr>
          <w:p w14:paraId="5A8AE81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C8.R2:</w:t>
            </w:r>
          </w:p>
          <w:p w14:paraId="5A8AE816" w14:textId="77777777" w:rsidR="00740F0F" w:rsidRPr="0029070D" w:rsidRDefault="00100B64">
            <w:pPr>
              <w:spacing w:line="214" w:lineRule="exact"/>
              <w:ind w:left="9" w:right="19"/>
              <w:jc w:val="center"/>
              <w:rPr>
                <w:rFonts w:ascii="Times New Roman" w:eastAsia="Times New Roman" w:hAnsi="Times New Roman" w:cs="Times New Roman"/>
                <w:noProof/>
                <w:sz w:val="18"/>
                <w:szCs w:val="18"/>
              </w:rPr>
            </w:pPr>
            <w:r>
              <w:rPr>
                <w:rFonts w:ascii="Times New Roman" w:hAnsi="Times New Roman"/>
                <w:noProof/>
                <w:sz w:val="18"/>
              </w:rPr>
              <w:t>Réforme du dispositif d’activité partielle</w:t>
            </w:r>
          </w:p>
        </w:tc>
        <w:tc>
          <w:tcPr>
            <w:tcW w:w="1218" w:type="dxa"/>
            <w:shd w:val="clear" w:color="auto" w:fill="C5EDCE"/>
          </w:tcPr>
          <w:p w14:paraId="5A8AE81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700" w:type="dxa"/>
            <w:shd w:val="clear" w:color="auto" w:fill="C5EDCE"/>
          </w:tcPr>
          <w:p w14:paraId="5A8AE818"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Réforme du dispositif d’activité partielle afin d’inciter au redémarrage de l’activité au travers d’un resserrement progressif de la générosité et des conditions d’accès au dispositif</w:t>
            </w:r>
          </w:p>
        </w:tc>
        <w:tc>
          <w:tcPr>
            <w:tcW w:w="1279" w:type="dxa"/>
            <w:shd w:val="clear" w:color="auto" w:fill="C5EDCE"/>
          </w:tcPr>
          <w:p w14:paraId="5A8AE819" w14:textId="77777777" w:rsidR="00740F0F" w:rsidRPr="0029070D" w:rsidRDefault="00100B64" w:rsidP="003259A7">
            <w:pPr>
              <w:ind w:left="57" w:right="57"/>
              <w:rPr>
                <w:rFonts w:ascii="Times New Roman" w:eastAsia="Times New Roman" w:hAnsi="Times New Roman" w:cs="Times New Roman"/>
                <w:noProof/>
                <w:sz w:val="18"/>
                <w:szCs w:val="18"/>
              </w:rPr>
            </w:pPr>
            <w:r>
              <w:rPr>
                <w:rFonts w:ascii="Times New Roman" w:hAnsi="Times New Roman"/>
                <w:noProof/>
                <w:sz w:val="18"/>
              </w:rPr>
              <w:t>Entrée en vigueur</w:t>
            </w:r>
          </w:p>
        </w:tc>
        <w:tc>
          <w:tcPr>
            <w:tcW w:w="996" w:type="dxa"/>
            <w:shd w:val="clear" w:color="auto" w:fill="C5EDCE"/>
          </w:tcPr>
          <w:p w14:paraId="5A8AE81A"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716" w:type="dxa"/>
            <w:gridSpan w:val="2"/>
            <w:shd w:val="clear" w:color="auto" w:fill="C5EDCE"/>
          </w:tcPr>
          <w:p w14:paraId="5A8AE81B"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2" w:type="dxa"/>
            <w:gridSpan w:val="2"/>
            <w:shd w:val="clear" w:color="auto" w:fill="C5EDCE"/>
          </w:tcPr>
          <w:p w14:paraId="5A8AE81C"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710" w:type="dxa"/>
            <w:gridSpan w:val="2"/>
            <w:shd w:val="clear" w:color="auto" w:fill="C5EDCE"/>
          </w:tcPr>
          <w:p w14:paraId="5A8AE81D" w14:textId="77777777" w:rsidR="00740F0F" w:rsidRPr="0029070D" w:rsidRDefault="00100B64" w:rsidP="003259A7">
            <w:pPr>
              <w:ind w:left="57" w:right="57"/>
              <w:jc w:val="center"/>
              <w:rPr>
                <w:rFonts w:ascii="Times New Roman" w:eastAsia="Times New Roman" w:hAnsi="Times New Roman" w:cs="Times New Roman"/>
                <w:noProof/>
                <w:sz w:val="18"/>
                <w:szCs w:val="18"/>
              </w:rPr>
            </w:pPr>
            <w:r>
              <w:rPr>
                <w:rFonts w:ascii="Times New Roman" w:hAnsi="Times New Roman"/>
                <w:noProof/>
                <w:sz w:val="18"/>
              </w:rPr>
              <w:t>T3</w:t>
            </w:r>
          </w:p>
        </w:tc>
        <w:tc>
          <w:tcPr>
            <w:tcW w:w="952" w:type="dxa"/>
            <w:gridSpan w:val="2"/>
            <w:shd w:val="clear" w:color="auto" w:fill="C5EDCE"/>
          </w:tcPr>
          <w:p w14:paraId="5A8AE81E" w14:textId="77777777" w:rsidR="00740F0F" w:rsidRPr="0029070D" w:rsidRDefault="00100B64" w:rsidP="003259A7">
            <w:pPr>
              <w:ind w:left="57" w:right="57"/>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4566" w:type="dxa"/>
            <w:gridSpan w:val="2"/>
            <w:shd w:val="clear" w:color="auto" w:fill="C5EDCE"/>
          </w:tcPr>
          <w:p w14:paraId="5A8AE81F" w14:textId="77777777" w:rsidR="00740F0F" w:rsidRPr="0029070D" w:rsidRDefault="00100B64" w:rsidP="003259A7">
            <w:pPr>
              <w:ind w:left="57" w:right="57"/>
              <w:rPr>
                <w:rFonts w:ascii="Times New Roman" w:eastAsia="Times New Roman" w:hAnsi="Times New Roman" w:cs="Times New Roman"/>
                <w:noProof/>
                <w:sz w:val="18"/>
                <w:szCs w:val="18"/>
              </w:rPr>
            </w:pPr>
            <w:r>
              <w:rPr>
                <w:rFonts w:ascii="Times New Roman" w:hAnsi="Times New Roman"/>
                <w:noProof/>
                <w:sz w:val="18"/>
              </w:rPr>
              <w:t>Les adaptations consistent à:</w:t>
            </w:r>
          </w:p>
          <w:p w14:paraId="5A8AE820" w14:textId="77777777" w:rsidR="00740F0F" w:rsidRPr="0029070D" w:rsidRDefault="00100B64">
            <w:pPr>
              <w:numPr>
                <w:ilvl w:val="0"/>
                <w:numId w:val="50"/>
              </w:numPr>
              <w:tabs>
                <w:tab w:val="left" w:pos="491"/>
              </w:tabs>
              <w:ind w:right="894"/>
              <w:rPr>
                <w:rFonts w:ascii="Times New Roman" w:eastAsia="Times New Roman" w:hAnsi="Times New Roman" w:cs="Times New Roman"/>
                <w:noProof/>
                <w:sz w:val="18"/>
                <w:szCs w:val="18"/>
              </w:rPr>
            </w:pPr>
            <w:r>
              <w:rPr>
                <w:rFonts w:ascii="Times New Roman" w:hAnsi="Times New Roman"/>
                <w:noProof/>
                <w:sz w:val="18"/>
              </w:rPr>
              <w:t>diminuer les niveaux d’allocation des employeurs et des salariés;</w:t>
            </w:r>
          </w:p>
          <w:p w14:paraId="5A8AE821" w14:textId="7A95360D" w:rsidR="00740F0F" w:rsidRPr="0029070D" w:rsidRDefault="00100B64">
            <w:pPr>
              <w:numPr>
                <w:ilvl w:val="0"/>
                <w:numId w:val="50"/>
              </w:numPr>
              <w:tabs>
                <w:tab w:val="left" w:pos="491"/>
              </w:tabs>
              <w:ind w:right="268"/>
              <w:rPr>
                <w:rFonts w:ascii="Times New Roman" w:eastAsia="Times New Roman" w:hAnsi="Times New Roman" w:cs="Times New Roman"/>
                <w:noProof/>
                <w:sz w:val="18"/>
                <w:szCs w:val="18"/>
              </w:rPr>
            </w:pPr>
            <w:r>
              <w:rPr>
                <w:rFonts w:ascii="Times New Roman" w:hAnsi="Times New Roman"/>
                <w:noProof/>
                <w:sz w:val="18"/>
              </w:rPr>
              <w:t>diminuer la durée de validité de l’autorisation du recours au dispositif d’activité partielle (de 12 mois à 3 mois, renouvelable sur une période de 12 mois);</w:t>
            </w:r>
          </w:p>
          <w:p w14:paraId="5A8AE822" w14:textId="77777777" w:rsidR="00740F0F" w:rsidRPr="0029070D" w:rsidRDefault="00100B64">
            <w:pPr>
              <w:numPr>
                <w:ilvl w:val="0"/>
                <w:numId w:val="50"/>
              </w:numPr>
              <w:tabs>
                <w:tab w:val="left" w:pos="491"/>
              </w:tabs>
              <w:ind w:right="600"/>
              <w:rPr>
                <w:rFonts w:ascii="Times New Roman" w:eastAsia="Times New Roman" w:hAnsi="Times New Roman" w:cs="Times New Roman"/>
                <w:noProof/>
                <w:sz w:val="18"/>
                <w:szCs w:val="18"/>
              </w:rPr>
            </w:pPr>
            <w:r>
              <w:rPr>
                <w:rFonts w:ascii="Times New Roman" w:hAnsi="Times New Roman"/>
                <w:noProof/>
                <w:sz w:val="18"/>
              </w:rPr>
              <w:t>supprimer progressivement le taux d’allocation majoré pour les secteurs protégés et les entreprises fermées administrativement.</w:t>
            </w:r>
          </w:p>
        </w:tc>
      </w:tr>
      <w:tr w:rsidR="00782477" w:rsidRPr="0029070D" w14:paraId="5A8AE830" w14:textId="77777777" w:rsidTr="00F84DDA">
        <w:trPr>
          <w:gridAfter w:val="1"/>
          <w:wAfter w:w="15" w:type="dxa"/>
          <w:trHeight w:val="3461"/>
          <w:jc w:val="center"/>
        </w:trPr>
        <w:tc>
          <w:tcPr>
            <w:tcW w:w="1271" w:type="dxa"/>
            <w:shd w:val="clear" w:color="auto" w:fill="C5EDCE"/>
          </w:tcPr>
          <w:p w14:paraId="5A8AE82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8-4</w:t>
            </w:r>
          </w:p>
        </w:tc>
        <w:tc>
          <w:tcPr>
            <w:tcW w:w="1276" w:type="dxa"/>
            <w:shd w:val="clear" w:color="auto" w:fill="C5EDCE"/>
          </w:tcPr>
          <w:p w14:paraId="5A8AE825" w14:textId="77777777" w:rsidR="00740F0F" w:rsidRPr="0029070D" w:rsidRDefault="00100B64">
            <w:pPr>
              <w:spacing w:line="214" w:lineRule="exact"/>
              <w:ind w:left="65"/>
              <w:jc w:val="center"/>
              <w:rPr>
                <w:rFonts w:ascii="Times New Roman" w:eastAsia="Times New Roman" w:hAnsi="Times New Roman" w:cs="Times New Roman"/>
                <w:noProof/>
                <w:spacing w:val="-1"/>
                <w:sz w:val="18"/>
                <w:szCs w:val="18"/>
              </w:rPr>
            </w:pPr>
            <w:r>
              <w:rPr>
                <w:rFonts w:ascii="Times New Roman" w:hAnsi="Times New Roman"/>
                <w:noProof/>
                <w:sz w:val="18"/>
              </w:rPr>
              <w:t>C8.R3:</w:t>
            </w:r>
          </w:p>
          <w:p w14:paraId="5A8AE826" w14:textId="77777777" w:rsidR="00740F0F" w:rsidRPr="0029070D" w:rsidRDefault="00100B64">
            <w:pPr>
              <w:spacing w:line="214" w:lineRule="exact"/>
              <w:ind w:left="65"/>
              <w:jc w:val="center"/>
              <w:rPr>
                <w:rFonts w:ascii="Times New Roman" w:eastAsia="Times New Roman" w:hAnsi="Times New Roman" w:cs="Times New Roman"/>
                <w:noProof/>
                <w:spacing w:val="-1"/>
                <w:sz w:val="18"/>
                <w:szCs w:val="18"/>
              </w:rPr>
            </w:pPr>
            <w:r>
              <w:rPr>
                <w:rFonts w:ascii="Times New Roman" w:hAnsi="Times New Roman"/>
                <w:noProof/>
                <w:sz w:val="18"/>
              </w:rPr>
              <w:t>Réforme de la santé et de la sécurité au travail</w:t>
            </w:r>
          </w:p>
        </w:tc>
        <w:tc>
          <w:tcPr>
            <w:tcW w:w="1218" w:type="dxa"/>
            <w:shd w:val="clear" w:color="auto" w:fill="C5EDCE"/>
          </w:tcPr>
          <w:p w14:paraId="5A8AE827" w14:textId="77777777" w:rsidR="00740F0F" w:rsidRPr="0029070D" w:rsidRDefault="00100B64">
            <w:pPr>
              <w:spacing w:line="214" w:lineRule="exact"/>
              <w:ind w:left="65"/>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700" w:type="dxa"/>
            <w:shd w:val="clear" w:color="auto" w:fill="C5EDCE"/>
          </w:tcPr>
          <w:p w14:paraId="5A8AE828" w14:textId="5ACBD79E" w:rsidR="00740F0F" w:rsidRPr="0029070D" w:rsidRDefault="00100B64">
            <w:pPr>
              <w:spacing w:line="235" w:lineRule="auto"/>
              <w:ind w:left="67"/>
              <w:rPr>
                <w:rFonts w:ascii="Times New Roman" w:eastAsia="Times New Roman" w:hAnsi="Times New Roman" w:cs="Times New Roman"/>
                <w:noProof/>
                <w:sz w:val="18"/>
                <w:szCs w:val="18"/>
              </w:rPr>
            </w:pPr>
            <w:r>
              <w:rPr>
                <w:rFonts w:ascii="Times New Roman" w:hAnsi="Times New Roman"/>
                <w:noProof/>
                <w:sz w:val="18"/>
              </w:rPr>
              <w:t>Adoption des amendements à la loi visant à doter la France d’un système d’acteurs de santé au travail plus efficace et tourné vers la prévention d’une part, et d’autre part à réorganiser la gouvernance et le fonctionnement des institutions en charge de la santé au travail.</w:t>
            </w:r>
          </w:p>
        </w:tc>
        <w:tc>
          <w:tcPr>
            <w:tcW w:w="1279" w:type="dxa"/>
            <w:shd w:val="clear" w:color="auto" w:fill="C5EDCE"/>
          </w:tcPr>
          <w:p w14:paraId="5A8AE829" w14:textId="77777777" w:rsidR="00740F0F" w:rsidRPr="0029070D" w:rsidRDefault="00100B64">
            <w:pPr>
              <w:spacing w:line="225" w:lineRule="auto"/>
              <w:ind w:left="65"/>
              <w:rPr>
                <w:rFonts w:ascii="Times New Roman" w:eastAsia="Times New Roman" w:hAnsi="Times New Roman" w:cs="Times New Roman"/>
                <w:noProof/>
                <w:sz w:val="18"/>
                <w:szCs w:val="18"/>
              </w:rPr>
            </w:pPr>
            <w:r>
              <w:rPr>
                <w:rFonts w:ascii="Times New Roman" w:hAnsi="Times New Roman"/>
                <w:noProof/>
                <w:sz w:val="18"/>
              </w:rPr>
              <w:t>Entrée en vigueur</w:t>
            </w:r>
          </w:p>
        </w:tc>
        <w:tc>
          <w:tcPr>
            <w:tcW w:w="996" w:type="dxa"/>
            <w:shd w:val="clear" w:color="auto" w:fill="C5EDCE"/>
          </w:tcPr>
          <w:p w14:paraId="5A8AE82A" w14:textId="77777777" w:rsidR="00740F0F" w:rsidRPr="0029070D" w:rsidRDefault="00740F0F">
            <w:pPr>
              <w:jc w:val="center"/>
              <w:rPr>
                <w:rFonts w:ascii="Times New Roman" w:eastAsia="Times New Roman" w:hAnsi="Times New Roman" w:cs="Times New Roman"/>
                <w:noProof/>
                <w:sz w:val="18"/>
                <w:szCs w:val="18"/>
              </w:rPr>
            </w:pPr>
          </w:p>
        </w:tc>
        <w:tc>
          <w:tcPr>
            <w:tcW w:w="710" w:type="dxa"/>
            <w:shd w:val="clear" w:color="auto" w:fill="C5EDCE"/>
          </w:tcPr>
          <w:p w14:paraId="5A8AE82B" w14:textId="77777777" w:rsidR="00740F0F" w:rsidRPr="0029070D" w:rsidRDefault="00740F0F">
            <w:pPr>
              <w:jc w:val="center"/>
              <w:rPr>
                <w:rFonts w:ascii="Times New Roman" w:eastAsia="Times New Roman" w:hAnsi="Times New Roman" w:cs="Times New Roman"/>
                <w:noProof/>
                <w:sz w:val="18"/>
                <w:szCs w:val="18"/>
              </w:rPr>
            </w:pPr>
          </w:p>
        </w:tc>
        <w:tc>
          <w:tcPr>
            <w:tcW w:w="851" w:type="dxa"/>
            <w:gridSpan w:val="2"/>
            <w:shd w:val="clear" w:color="auto" w:fill="C5EDCE"/>
          </w:tcPr>
          <w:p w14:paraId="5A8AE82C" w14:textId="77777777" w:rsidR="00740F0F" w:rsidRPr="0029070D" w:rsidRDefault="00740F0F">
            <w:pPr>
              <w:jc w:val="center"/>
              <w:rPr>
                <w:rFonts w:ascii="Times New Roman" w:eastAsia="Times New Roman" w:hAnsi="Times New Roman" w:cs="Times New Roman"/>
                <w:noProof/>
                <w:sz w:val="18"/>
                <w:szCs w:val="18"/>
              </w:rPr>
            </w:pPr>
          </w:p>
        </w:tc>
        <w:tc>
          <w:tcPr>
            <w:tcW w:w="709" w:type="dxa"/>
            <w:gridSpan w:val="2"/>
            <w:shd w:val="clear" w:color="auto" w:fill="C5EDCE"/>
          </w:tcPr>
          <w:p w14:paraId="5A8AE82D" w14:textId="77777777" w:rsidR="00740F0F" w:rsidRPr="0029070D" w:rsidRDefault="00100B64">
            <w:pPr>
              <w:spacing w:line="214" w:lineRule="exact"/>
              <w:ind w:left="13"/>
              <w:jc w:val="center"/>
              <w:rPr>
                <w:rFonts w:ascii="Times New Roman" w:eastAsia="Times New Roman" w:hAnsi="Times New Roman" w:cs="Times New Roman"/>
                <w:noProof/>
                <w:sz w:val="18"/>
                <w:szCs w:val="18"/>
              </w:rPr>
            </w:pPr>
            <w:r>
              <w:rPr>
                <w:rFonts w:ascii="Times New Roman" w:hAnsi="Times New Roman"/>
                <w:noProof/>
                <w:sz w:val="18"/>
              </w:rPr>
              <w:t>T4</w:t>
            </w:r>
          </w:p>
        </w:tc>
        <w:tc>
          <w:tcPr>
            <w:tcW w:w="951" w:type="dxa"/>
            <w:gridSpan w:val="2"/>
            <w:shd w:val="clear" w:color="auto" w:fill="C5EDCE"/>
          </w:tcPr>
          <w:p w14:paraId="5A8AE82E" w14:textId="77777777" w:rsidR="00740F0F" w:rsidRPr="0029070D" w:rsidRDefault="00100B64">
            <w:pPr>
              <w:spacing w:line="214" w:lineRule="exact"/>
              <w:ind w:left="14"/>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4560" w:type="dxa"/>
            <w:gridSpan w:val="2"/>
            <w:shd w:val="clear" w:color="auto" w:fill="C5EDCE"/>
          </w:tcPr>
          <w:p w14:paraId="5A8AE82F" w14:textId="77777777" w:rsidR="00740F0F" w:rsidRPr="0029070D" w:rsidRDefault="00100B64">
            <w:pPr>
              <w:spacing w:before="20" w:line="247" w:lineRule="auto"/>
              <w:ind w:right="86"/>
              <w:rPr>
                <w:rFonts w:ascii="Times New Roman" w:eastAsia="Times New Roman" w:hAnsi="Times New Roman" w:cs="Times New Roman"/>
                <w:noProof/>
                <w:sz w:val="18"/>
                <w:szCs w:val="18"/>
              </w:rPr>
            </w:pPr>
            <w:r>
              <w:rPr>
                <w:rFonts w:ascii="Times New Roman" w:hAnsi="Times New Roman"/>
                <w:noProof/>
                <w:sz w:val="18"/>
              </w:rPr>
              <w:t>Adoption des amendements à la loi visant à doter la France d’un système d’acteurs de santé au travail plus efficace et tourné vers la prévention d’une part, et d’autre part à réorganiser la gouvernance et le fonctionnement des institutions en charge de la santé au travail.</w:t>
            </w:r>
          </w:p>
        </w:tc>
      </w:tr>
      <w:tr w:rsidR="00782477" w:rsidRPr="0029070D" w14:paraId="5A8AE83D" w14:textId="77777777" w:rsidTr="00F84DDA">
        <w:trPr>
          <w:gridAfter w:val="1"/>
          <w:wAfter w:w="15" w:type="dxa"/>
          <w:trHeight w:val="1622"/>
          <w:jc w:val="center"/>
        </w:trPr>
        <w:tc>
          <w:tcPr>
            <w:tcW w:w="1271" w:type="dxa"/>
            <w:shd w:val="clear" w:color="auto" w:fill="C5EDCE"/>
          </w:tcPr>
          <w:p w14:paraId="5A8AE83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8-5</w:t>
            </w:r>
          </w:p>
        </w:tc>
        <w:tc>
          <w:tcPr>
            <w:tcW w:w="1276" w:type="dxa"/>
            <w:shd w:val="clear" w:color="auto" w:fill="C5EDCE"/>
          </w:tcPr>
          <w:p w14:paraId="5A8AE83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C8.R3</w:t>
            </w:r>
          </w:p>
          <w:p w14:paraId="5A8AE833" w14:textId="77777777" w:rsidR="00740F0F" w:rsidRPr="0029070D" w:rsidRDefault="00100B64">
            <w:pPr>
              <w:spacing w:line="214" w:lineRule="exact"/>
              <w:ind w:left="9" w:right="19"/>
              <w:jc w:val="center"/>
              <w:rPr>
                <w:rFonts w:ascii="Times New Roman" w:eastAsia="Times New Roman" w:hAnsi="Times New Roman" w:cs="Times New Roman"/>
                <w:noProof/>
                <w:sz w:val="18"/>
                <w:szCs w:val="18"/>
              </w:rPr>
            </w:pPr>
            <w:r>
              <w:rPr>
                <w:rFonts w:ascii="Times New Roman" w:hAnsi="Times New Roman"/>
                <w:noProof/>
                <w:sz w:val="18"/>
              </w:rPr>
              <w:t>Réforme de la santé et de la sécurité au travail</w:t>
            </w:r>
          </w:p>
        </w:tc>
        <w:tc>
          <w:tcPr>
            <w:tcW w:w="1218" w:type="dxa"/>
            <w:shd w:val="clear" w:color="auto" w:fill="C5EDCE"/>
          </w:tcPr>
          <w:p w14:paraId="5A8AE834" w14:textId="68208DDD" w:rsidR="00740F0F" w:rsidRPr="0029070D" w:rsidRDefault="00A8452B">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700" w:type="dxa"/>
            <w:shd w:val="clear" w:color="auto" w:fill="C5EDCE"/>
          </w:tcPr>
          <w:p w14:paraId="5A8AE835" w14:textId="4E5E3AB4" w:rsidR="00740F0F" w:rsidRPr="0029070D" w:rsidRDefault="00A8452B">
            <w:pPr>
              <w:spacing w:line="214" w:lineRule="exact"/>
              <w:ind w:left="9" w:right="331"/>
              <w:rPr>
                <w:rFonts w:ascii="Times New Roman" w:eastAsia="Times New Roman" w:hAnsi="Times New Roman" w:cs="Times New Roman"/>
                <w:noProof/>
                <w:sz w:val="18"/>
                <w:szCs w:val="18"/>
              </w:rPr>
            </w:pPr>
            <w:r>
              <w:rPr>
                <w:rFonts w:ascii="Times New Roman" w:hAnsi="Times New Roman"/>
                <w:noProof/>
                <w:sz w:val="18"/>
              </w:rPr>
              <w:t>Certification des premiers services interentreprises de santé et de sécurité au travail</w:t>
            </w:r>
          </w:p>
        </w:tc>
        <w:tc>
          <w:tcPr>
            <w:tcW w:w="1279" w:type="dxa"/>
            <w:shd w:val="clear" w:color="auto" w:fill="C5EDCE"/>
          </w:tcPr>
          <w:p w14:paraId="5A8AE836" w14:textId="297252C2" w:rsidR="00740F0F" w:rsidRPr="0029070D" w:rsidRDefault="00F54C7A">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Certification attestée par une publication en ligne</w:t>
            </w:r>
          </w:p>
        </w:tc>
        <w:tc>
          <w:tcPr>
            <w:tcW w:w="996" w:type="dxa"/>
            <w:shd w:val="clear" w:color="auto" w:fill="C5EDCE"/>
          </w:tcPr>
          <w:p w14:paraId="5A8AE837" w14:textId="0FFEF6C4"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710" w:type="dxa"/>
            <w:shd w:val="clear" w:color="auto" w:fill="C5EDCE"/>
          </w:tcPr>
          <w:p w14:paraId="5A8AE838" w14:textId="434D7BD8"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1" w:type="dxa"/>
            <w:gridSpan w:val="2"/>
            <w:shd w:val="clear" w:color="auto" w:fill="C5EDCE"/>
          </w:tcPr>
          <w:p w14:paraId="5A8AE839" w14:textId="0E94E19E"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709" w:type="dxa"/>
            <w:gridSpan w:val="2"/>
            <w:shd w:val="clear" w:color="auto" w:fill="C5EDCE"/>
          </w:tcPr>
          <w:p w14:paraId="5A8AE83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T2</w:t>
            </w:r>
          </w:p>
        </w:tc>
        <w:tc>
          <w:tcPr>
            <w:tcW w:w="951" w:type="dxa"/>
            <w:gridSpan w:val="2"/>
            <w:shd w:val="clear" w:color="auto" w:fill="C5EDCE"/>
          </w:tcPr>
          <w:p w14:paraId="5A8AE83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2026</w:t>
            </w:r>
          </w:p>
        </w:tc>
        <w:tc>
          <w:tcPr>
            <w:tcW w:w="4560" w:type="dxa"/>
            <w:gridSpan w:val="2"/>
            <w:shd w:val="clear" w:color="auto" w:fill="C5EDCE"/>
          </w:tcPr>
          <w:p w14:paraId="5A8AE83C" w14:textId="00A01D34" w:rsidR="00740F0F" w:rsidRPr="0029070D" w:rsidRDefault="001176C2">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Premiers services interentreprises de santé et de sécurité au travail certifiés par des organismes de certification accrédités, comme l’atteste la publication en ligne.</w:t>
            </w:r>
          </w:p>
        </w:tc>
      </w:tr>
      <w:tr w:rsidR="00782477" w:rsidRPr="0029070D" w14:paraId="5A8AE84D" w14:textId="77777777" w:rsidTr="00F84DDA">
        <w:trPr>
          <w:gridAfter w:val="1"/>
          <w:wAfter w:w="15" w:type="dxa"/>
          <w:trHeight w:val="2438"/>
          <w:jc w:val="center"/>
        </w:trPr>
        <w:tc>
          <w:tcPr>
            <w:tcW w:w="1271" w:type="dxa"/>
            <w:shd w:val="clear" w:color="auto" w:fill="C5EDCE"/>
          </w:tcPr>
          <w:p w14:paraId="5A8AE83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8-6</w:t>
            </w:r>
          </w:p>
        </w:tc>
        <w:tc>
          <w:tcPr>
            <w:tcW w:w="1276" w:type="dxa"/>
            <w:shd w:val="clear" w:color="auto" w:fill="C5EDCE"/>
          </w:tcPr>
          <w:p w14:paraId="5A8AE83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C8.R4</w:t>
            </w:r>
          </w:p>
          <w:p w14:paraId="5A8AE840" w14:textId="77777777" w:rsidR="00740F0F" w:rsidRPr="0029070D" w:rsidRDefault="00100B64">
            <w:pPr>
              <w:spacing w:line="214" w:lineRule="exact"/>
              <w:ind w:left="9" w:right="123"/>
              <w:jc w:val="center"/>
              <w:rPr>
                <w:rFonts w:ascii="Times New Roman" w:eastAsia="Times New Roman" w:hAnsi="Times New Roman" w:cs="Times New Roman"/>
                <w:noProof/>
                <w:sz w:val="18"/>
                <w:szCs w:val="18"/>
              </w:rPr>
            </w:pPr>
            <w:r>
              <w:rPr>
                <w:rFonts w:ascii="Times New Roman" w:hAnsi="Times New Roman"/>
                <w:noProof/>
                <w:sz w:val="18"/>
              </w:rPr>
              <w:t>Réforme de l’assurance chômage</w:t>
            </w:r>
          </w:p>
        </w:tc>
        <w:tc>
          <w:tcPr>
            <w:tcW w:w="1218" w:type="dxa"/>
            <w:shd w:val="clear" w:color="auto" w:fill="C5EDCE"/>
          </w:tcPr>
          <w:p w14:paraId="5A8AE84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700" w:type="dxa"/>
            <w:shd w:val="clear" w:color="auto" w:fill="C5EDCE"/>
          </w:tcPr>
          <w:p w14:paraId="5A8AE842"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Entrée en vigueur de plusieurs mesures de la réforme de l’assurance chômage</w:t>
            </w:r>
          </w:p>
        </w:tc>
        <w:tc>
          <w:tcPr>
            <w:tcW w:w="1279" w:type="dxa"/>
            <w:shd w:val="clear" w:color="auto" w:fill="C5EDCE"/>
          </w:tcPr>
          <w:p w14:paraId="5A8AE843"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Entrée en vigueur</w:t>
            </w:r>
          </w:p>
        </w:tc>
        <w:tc>
          <w:tcPr>
            <w:tcW w:w="996" w:type="dxa"/>
            <w:shd w:val="clear" w:color="auto" w:fill="C5EDCE"/>
          </w:tcPr>
          <w:p w14:paraId="5A8AE844"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710" w:type="dxa"/>
            <w:shd w:val="clear" w:color="auto" w:fill="C5EDCE"/>
          </w:tcPr>
          <w:p w14:paraId="5A8AE845"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1" w:type="dxa"/>
            <w:gridSpan w:val="2"/>
            <w:shd w:val="clear" w:color="auto" w:fill="C5EDCE"/>
          </w:tcPr>
          <w:p w14:paraId="5A8AE846"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709" w:type="dxa"/>
            <w:gridSpan w:val="2"/>
            <w:shd w:val="clear" w:color="auto" w:fill="C5EDCE"/>
          </w:tcPr>
          <w:p w14:paraId="5A8AE84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951" w:type="dxa"/>
            <w:gridSpan w:val="2"/>
            <w:shd w:val="clear" w:color="auto" w:fill="C5EDCE"/>
          </w:tcPr>
          <w:p w14:paraId="5A8AE84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4560" w:type="dxa"/>
            <w:gridSpan w:val="2"/>
            <w:shd w:val="clear" w:color="auto" w:fill="C5EDCE"/>
          </w:tcPr>
          <w:p w14:paraId="5A8AE849" w14:textId="77777777" w:rsidR="00740F0F" w:rsidRPr="0029070D" w:rsidRDefault="00100B64" w:rsidP="003259A7">
            <w:pPr>
              <w:ind w:left="57" w:right="57"/>
              <w:rPr>
                <w:rFonts w:ascii="Times New Roman" w:eastAsia="Times New Roman" w:hAnsi="Times New Roman" w:cs="Times New Roman"/>
                <w:noProof/>
                <w:sz w:val="18"/>
                <w:szCs w:val="18"/>
              </w:rPr>
            </w:pPr>
            <w:r>
              <w:rPr>
                <w:rFonts w:ascii="Times New Roman" w:hAnsi="Times New Roman"/>
                <w:noProof/>
                <w:sz w:val="18"/>
              </w:rPr>
              <w:t>Entrée en vigueur de plusieurs mesures relatives:</w:t>
            </w:r>
          </w:p>
          <w:p w14:paraId="5A8AE84A" w14:textId="77777777" w:rsidR="00740F0F" w:rsidRPr="0029070D" w:rsidRDefault="00100B64">
            <w:pPr>
              <w:pStyle w:val="ListParagraph"/>
              <w:numPr>
                <w:ilvl w:val="0"/>
                <w:numId w:val="51"/>
              </w:numPr>
              <w:spacing w:before="103"/>
              <w:ind w:left="239" w:hanging="239"/>
              <w:rPr>
                <w:rFonts w:ascii="Times New Roman" w:eastAsia="Times New Roman" w:hAnsi="Times New Roman" w:cs="Times New Roman"/>
                <w:noProof/>
                <w:sz w:val="18"/>
                <w:szCs w:val="18"/>
              </w:rPr>
            </w:pPr>
            <w:r>
              <w:rPr>
                <w:rFonts w:ascii="Times New Roman" w:hAnsi="Times New Roman"/>
                <w:noProof/>
                <w:sz w:val="18"/>
              </w:rPr>
              <w:t>au nouveau mode de calcul du salaire journalier de référence (SJR);</w:t>
            </w:r>
          </w:p>
          <w:p w14:paraId="5A8AE84B" w14:textId="77777777" w:rsidR="00740F0F" w:rsidRPr="0029070D" w:rsidRDefault="00100B64">
            <w:pPr>
              <w:pStyle w:val="ListParagraph"/>
              <w:numPr>
                <w:ilvl w:val="0"/>
                <w:numId w:val="51"/>
              </w:numPr>
              <w:spacing w:before="103"/>
              <w:ind w:left="239" w:hanging="239"/>
              <w:rPr>
                <w:rFonts w:ascii="Times New Roman" w:eastAsia="Times New Roman" w:hAnsi="Times New Roman" w:cs="Times New Roman"/>
                <w:noProof/>
                <w:sz w:val="18"/>
                <w:szCs w:val="18"/>
              </w:rPr>
            </w:pPr>
            <w:r>
              <w:rPr>
                <w:rFonts w:ascii="Times New Roman" w:hAnsi="Times New Roman"/>
                <w:noProof/>
                <w:sz w:val="18"/>
              </w:rPr>
              <w:t>à la dégressivité des allocations pour les hauts revenus au bout de huit mois d’indemnisation;</w:t>
            </w:r>
          </w:p>
          <w:p w14:paraId="5A8AE84C" w14:textId="77777777" w:rsidR="00740F0F" w:rsidRPr="0029070D" w:rsidRDefault="00100B64">
            <w:pPr>
              <w:pStyle w:val="ListParagraph"/>
              <w:numPr>
                <w:ilvl w:val="0"/>
                <w:numId w:val="51"/>
              </w:numPr>
              <w:spacing w:before="103"/>
              <w:ind w:left="239" w:hanging="239"/>
              <w:rPr>
                <w:rFonts w:ascii="Times New Roman" w:eastAsia="Times New Roman" w:hAnsi="Times New Roman" w:cs="Times New Roman"/>
                <w:noProof/>
                <w:sz w:val="18"/>
                <w:szCs w:val="18"/>
              </w:rPr>
            </w:pPr>
            <w:r>
              <w:rPr>
                <w:rFonts w:ascii="Times New Roman" w:hAnsi="Times New Roman"/>
                <w:noProof/>
                <w:sz w:val="18"/>
              </w:rPr>
              <w:t>à la mise en œuvre de la première étape du bonus malus.</w:t>
            </w:r>
          </w:p>
        </w:tc>
      </w:tr>
      <w:tr w:rsidR="00782477" w:rsidRPr="0029070D" w14:paraId="5A8AE85C" w14:textId="77777777" w:rsidTr="00F84DDA">
        <w:trPr>
          <w:gridAfter w:val="1"/>
          <w:wAfter w:w="15" w:type="dxa"/>
          <w:trHeight w:val="1618"/>
          <w:jc w:val="center"/>
        </w:trPr>
        <w:tc>
          <w:tcPr>
            <w:tcW w:w="1271" w:type="dxa"/>
            <w:shd w:val="clear" w:color="auto" w:fill="C5EDCE"/>
          </w:tcPr>
          <w:p w14:paraId="5A8AE84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8-7</w:t>
            </w:r>
          </w:p>
        </w:tc>
        <w:tc>
          <w:tcPr>
            <w:tcW w:w="1276" w:type="dxa"/>
            <w:shd w:val="clear" w:color="auto" w:fill="C5EDCE"/>
          </w:tcPr>
          <w:p w14:paraId="5A8AE84F"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C8.R4:</w:t>
            </w:r>
          </w:p>
          <w:p w14:paraId="5A8AE850" w14:textId="77777777" w:rsidR="00740F0F" w:rsidRPr="0029070D" w:rsidRDefault="00100B64">
            <w:pPr>
              <w:tabs>
                <w:tab w:val="left" w:pos="1003"/>
              </w:tabs>
              <w:spacing w:line="214" w:lineRule="exact"/>
              <w:ind w:left="9" w:right="89"/>
              <w:rPr>
                <w:rFonts w:ascii="Times New Roman" w:eastAsia="Times New Roman" w:hAnsi="Times New Roman" w:cs="Times New Roman"/>
                <w:noProof/>
                <w:sz w:val="18"/>
                <w:szCs w:val="18"/>
              </w:rPr>
            </w:pPr>
            <w:r>
              <w:rPr>
                <w:rFonts w:ascii="Times New Roman" w:hAnsi="Times New Roman"/>
                <w:noProof/>
                <w:sz w:val="18"/>
              </w:rPr>
              <w:t>Réforme de l’assurance chômage</w:t>
            </w:r>
          </w:p>
        </w:tc>
        <w:tc>
          <w:tcPr>
            <w:tcW w:w="1218" w:type="dxa"/>
            <w:shd w:val="clear" w:color="auto" w:fill="C5EDCE"/>
          </w:tcPr>
          <w:p w14:paraId="5A8AE85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700" w:type="dxa"/>
            <w:shd w:val="clear" w:color="auto" w:fill="C5EDCE"/>
          </w:tcPr>
          <w:p w14:paraId="5A8AE852" w14:textId="77777777" w:rsidR="00740F0F" w:rsidRPr="0029070D" w:rsidRDefault="00100B64">
            <w:pPr>
              <w:spacing w:line="214" w:lineRule="exact"/>
              <w:ind w:left="9" w:right="113"/>
              <w:rPr>
                <w:rFonts w:ascii="Times New Roman" w:eastAsia="Times New Roman" w:hAnsi="Times New Roman" w:cs="Times New Roman"/>
                <w:noProof/>
                <w:sz w:val="18"/>
                <w:szCs w:val="18"/>
              </w:rPr>
            </w:pPr>
            <w:r>
              <w:rPr>
                <w:rFonts w:ascii="Times New Roman" w:hAnsi="Times New Roman"/>
                <w:noProof/>
                <w:sz w:val="18"/>
              </w:rPr>
              <w:t>Entrée en vigueur automatique des mesures restantes sous condition de retour à meilleure fortune économique</w:t>
            </w:r>
          </w:p>
        </w:tc>
        <w:tc>
          <w:tcPr>
            <w:tcW w:w="1279" w:type="dxa"/>
            <w:shd w:val="clear" w:color="auto" w:fill="C5EDCE"/>
          </w:tcPr>
          <w:p w14:paraId="5A8AE853" w14:textId="77777777" w:rsidR="00740F0F" w:rsidRPr="0029070D" w:rsidRDefault="00100B64">
            <w:pPr>
              <w:tabs>
                <w:tab w:val="left" w:pos="885"/>
              </w:tabs>
              <w:spacing w:line="214" w:lineRule="exact"/>
              <w:ind w:left="9" w:right="93"/>
              <w:rPr>
                <w:rFonts w:ascii="Times New Roman" w:eastAsia="Times New Roman" w:hAnsi="Times New Roman" w:cs="Times New Roman"/>
                <w:noProof/>
                <w:sz w:val="18"/>
                <w:szCs w:val="18"/>
              </w:rPr>
            </w:pPr>
            <w:r>
              <w:rPr>
                <w:rFonts w:ascii="Times New Roman" w:hAnsi="Times New Roman"/>
                <w:noProof/>
                <w:sz w:val="18"/>
              </w:rPr>
              <w:t>Entrée en vigueur</w:t>
            </w:r>
          </w:p>
        </w:tc>
        <w:tc>
          <w:tcPr>
            <w:tcW w:w="996" w:type="dxa"/>
            <w:shd w:val="clear" w:color="auto" w:fill="C5EDCE"/>
          </w:tcPr>
          <w:p w14:paraId="5A8AE854"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710" w:type="dxa"/>
            <w:shd w:val="clear" w:color="auto" w:fill="C5EDCE"/>
          </w:tcPr>
          <w:p w14:paraId="5A8AE855"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1" w:type="dxa"/>
            <w:gridSpan w:val="2"/>
            <w:shd w:val="clear" w:color="auto" w:fill="C5EDCE"/>
          </w:tcPr>
          <w:p w14:paraId="5A8AE856"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709" w:type="dxa"/>
            <w:gridSpan w:val="2"/>
            <w:shd w:val="clear" w:color="auto" w:fill="C5EDCE"/>
          </w:tcPr>
          <w:p w14:paraId="5A8AE85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951" w:type="dxa"/>
            <w:gridSpan w:val="2"/>
            <w:shd w:val="clear" w:color="auto" w:fill="C5EDCE"/>
          </w:tcPr>
          <w:p w14:paraId="5A8AE85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560" w:type="dxa"/>
            <w:gridSpan w:val="2"/>
            <w:shd w:val="clear" w:color="auto" w:fill="C5EDCE"/>
          </w:tcPr>
          <w:p w14:paraId="5A8AE859" w14:textId="554DD708"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Entrée en vigueur automatique des mesures restantes sous condition de retour à meilleure fortune économique:</w:t>
            </w:r>
          </w:p>
          <w:p w14:paraId="5A8AE85A" w14:textId="62BEBB35" w:rsidR="00740F0F" w:rsidRPr="0029070D" w:rsidRDefault="00100B64">
            <w:pPr>
              <w:pStyle w:val="ListParagraph"/>
              <w:numPr>
                <w:ilvl w:val="0"/>
                <w:numId w:val="52"/>
              </w:numPr>
              <w:spacing w:before="117" w:line="247" w:lineRule="auto"/>
              <w:ind w:left="239" w:right="68" w:hanging="239"/>
              <w:rPr>
                <w:rFonts w:ascii="Times New Roman" w:eastAsia="Times New Roman" w:hAnsi="Times New Roman" w:cs="Times New Roman"/>
                <w:noProof/>
                <w:sz w:val="18"/>
                <w:szCs w:val="18"/>
              </w:rPr>
            </w:pPr>
            <w:r>
              <w:rPr>
                <w:rFonts w:ascii="Times New Roman" w:hAnsi="Times New Roman"/>
                <w:noProof/>
                <w:sz w:val="18"/>
              </w:rPr>
              <w:t>resserrement des conditions d’ouverture des droits (six mois au lieu de quatre);</w:t>
            </w:r>
          </w:p>
          <w:p w14:paraId="5A8AE85B" w14:textId="77777777" w:rsidR="00740F0F" w:rsidRPr="0029070D" w:rsidRDefault="00100B64">
            <w:pPr>
              <w:pStyle w:val="ListParagraph"/>
              <w:numPr>
                <w:ilvl w:val="0"/>
                <w:numId w:val="52"/>
              </w:numPr>
              <w:spacing w:before="117" w:line="247" w:lineRule="auto"/>
              <w:ind w:left="239" w:right="68" w:hanging="239"/>
              <w:rPr>
                <w:rFonts w:ascii="Times New Roman" w:eastAsia="Times New Roman" w:hAnsi="Times New Roman" w:cs="Times New Roman"/>
                <w:noProof/>
                <w:sz w:val="18"/>
                <w:szCs w:val="18"/>
              </w:rPr>
            </w:pPr>
            <w:r>
              <w:rPr>
                <w:rFonts w:ascii="Times New Roman" w:hAnsi="Times New Roman"/>
                <w:noProof/>
                <w:sz w:val="18"/>
              </w:rPr>
              <w:t>dégressivité des allocations pour les hauts revenus au bout de six mois d’indemnisation.</w:t>
            </w:r>
          </w:p>
        </w:tc>
      </w:tr>
      <w:tr w:rsidR="00782477" w:rsidRPr="0029070D" w14:paraId="5A8AE869" w14:textId="77777777" w:rsidTr="00F84DDA">
        <w:trPr>
          <w:gridAfter w:val="1"/>
          <w:wAfter w:w="15" w:type="dxa"/>
          <w:trHeight w:val="975"/>
          <w:jc w:val="center"/>
        </w:trPr>
        <w:tc>
          <w:tcPr>
            <w:tcW w:w="1271" w:type="dxa"/>
            <w:shd w:val="clear" w:color="auto" w:fill="C5EDCE"/>
          </w:tcPr>
          <w:p w14:paraId="5A8AE85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8-8</w:t>
            </w:r>
          </w:p>
        </w:tc>
        <w:tc>
          <w:tcPr>
            <w:tcW w:w="1276" w:type="dxa"/>
            <w:shd w:val="clear" w:color="auto" w:fill="C5EDCE"/>
          </w:tcPr>
          <w:p w14:paraId="5A8AE85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C8.I1:</w:t>
            </w:r>
          </w:p>
          <w:p w14:paraId="5A8AE85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FNE-Formation</w:t>
            </w:r>
          </w:p>
        </w:tc>
        <w:tc>
          <w:tcPr>
            <w:tcW w:w="1218" w:type="dxa"/>
            <w:shd w:val="clear" w:color="auto" w:fill="C5EDCE"/>
          </w:tcPr>
          <w:p w14:paraId="5A8AE86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0" w:type="dxa"/>
            <w:shd w:val="clear" w:color="auto" w:fill="C5EDCE"/>
          </w:tcPr>
          <w:p w14:paraId="5A8AE861"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Formations données dans le cadre des parcours de formation FNE-Formation</w:t>
            </w:r>
          </w:p>
        </w:tc>
        <w:tc>
          <w:tcPr>
            <w:tcW w:w="1279" w:type="dxa"/>
            <w:shd w:val="clear" w:color="auto" w:fill="C5EDCE"/>
          </w:tcPr>
          <w:p w14:paraId="5A8AE862"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6" w:type="dxa"/>
            <w:shd w:val="clear" w:color="auto" w:fill="C5EDCE"/>
          </w:tcPr>
          <w:p w14:paraId="5A8AE86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710" w:type="dxa"/>
            <w:shd w:val="clear" w:color="auto" w:fill="C5EDCE"/>
          </w:tcPr>
          <w:p w14:paraId="5A8AE86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851" w:type="dxa"/>
            <w:gridSpan w:val="2"/>
            <w:shd w:val="clear" w:color="auto" w:fill="C5EDCE"/>
          </w:tcPr>
          <w:p w14:paraId="5A8AE86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400 000</w:t>
            </w:r>
          </w:p>
        </w:tc>
        <w:tc>
          <w:tcPr>
            <w:tcW w:w="709" w:type="dxa"/>
            <w:gridSpan w:val="2"/>
            <w:shd w:val="clear" w:color="auto" w:fill="C5EDCE"/>
          </w:tcPr>
          <w:p w14:paraId="5A8AE86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951" w:type="dxa"/>
            <w:gridSpan w:val="2"/>
            <w:shd w:val="clear" w:color="auto" w:fill="C5EDCE"/>
          </w:tcPr>
          <w:p w14:paraId="5A8AE86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560" w:type="dxa"/>
            <w:gridSpan w:val="2"/>
            <w:shd w:val="clear" w:color="auto" w:fill="C5EDCE"/>
          </w:tcPr>
          <w:p w14:paraId="5A8AE868"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formations et autres actions (validation des acquis, évaluation des compétences)</w:t>
            </w:r>
          </w:p>
        </w:tc>
      </w:tr>
      <w:tr w:rsidR="00782477" w:rsidRPr="0029070D" w14:paraId="5A8AE876" w14:textId="77777777" w:rsidTr="00F84DDA">
        <w:trPr>
          <w:gridAfter w:val="1"/>
          <w:wAfter w:w="15" w:type="dxa"/>
          <w:trHeight w:val="989"/>
          <w:jc w:val="center"/>
        </w:trPr>
        <w:tc>
          <w:tcPr>
            <w:tcW w:w="1271" w:type="dxa"/>
            <w:shd w:val="clear" w:color="auto" w:fill="C5EDCE"/>
          </w:tcPr>
          <w:p w14:paraId="5A8AE86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8-9</w:t>
            </w:r>
          </w:p>
        </w:tc>
        <w:tc>
          <w:tcPr>
            <w:tcW w:w="1276" w:type="dxa"/>
            <w:shd w:val="clear" w:color="auto" w:fill="C5EDCE"/>
          </w:tcPr>
          <w:p w14:paraId="5A8AE86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C8.I2:</w:t>
            </w:r>
          </w:p>
          <w:p w14:paraId="5A8AE86C" w14:textId="77777777" w:rsidR="00740F0F" w:rsidRPr="0029070D" w:rsidRDefault="00100B64">
            <w:pPr>
              <w:spacing w:line="214" w:lineRule="exact"/>
              <w:ind w:left="9" w:right="-10"/>
              <w:jc w:val="center"/>
              <w:rPr>
                <w:rFonts w:ascii="Times New Roman" w:eastAsia="Times New Roman" w:hAnsi="Times New Roman" w:cs="Times New Roman"/>
                <w:noProof/>
                <w:sz w:val="18"/>
                <w:szCs w:val="18"/>
              </w:rPr>
            </w:pPr>
            <w:r>
              <w:rPr>
                <w:rFonts w:ascii="Times New Roman" w:hAnsi="Times New Roman"/>
                <w:noProof/>
                <w:sz w:val="18"/>
              </w:rPr>
              <w:t>Reconversion par l’alternance (Pro A)</w:t>
            </w:r>
          </w:p>
        </w:tc>
        <w:tc>
          <w:tcPr>
            <w:tcW w:w="1218" w:type="dxa"/>
            <w:shd w:val="clear" w:color="auto" w:fill="C5EDCE"/>
          </w:tcPr>
          <w:p w14:paraId="5A8AE86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0" w:type="dxa"/>
            <w:shd w:val="clear" w:color="auto" w:fill="C5EDCE"/>
          </w:tcPr>
          <w:p w14:paraId="5A8AE86E"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Salariés bénéficiant du dispositif Pro-A</w:t>
            </w:r>
          </w:p>
        </w:tc>
        <w:tc>
          <w:tcPr>
            <w:tcW w:w="1279" w:type="dxa"/>
            <w:shd w:val="clear" w:color="auto" w:fill="C5EDCE"/>
          </w:tcPr>
          <w:p w14:paraId="5A8AE86F"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6" w:type="dxa"/>
            <w:shd w:val="clear" w:color="auto" w:fill="C5EDCE"/>
          </w:tcPr>
          <w:p w14:paraId="5A8AE87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710" w:type="dxa"/>
            <w:shd w:val="clear" w:color="auto" w:fill="C5EDCE"/>
          </w:tcPr>
          <w:p w14:paraId="5A8AE87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851" w:type="dxa"/>
            <w:gridSpan w:val="2"/>
            <w:shd w:val="clear" w:color="auto" w:fill="C5EDCE"/>
          </w:tcPr>
          <w:p w14:paraId="5A8AE87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9 000</w:t>
            </w:r>
          </w:p>
        </w:tc>
        <w:tc>
          <w:tcPr>
            <w:tcW w:w="709" w:type="dxa"/>
            <w:gridSpan w:val="2"/>
            <w:shd w:val="clear" w:color="auto" w:fill="C5EDCE"/>
          </w:tcPr>
          <w:p w14:paraId="5A8AE87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951" w:type="dxa"/>
            <w:gridSpan w:val="2"/>
            <w:shd w:val="clear" w:color="auto" w:fill="C5EDCE"/>
          </w:tcPr>
          <w:p w14:paraId="5A8AE87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4560" w:type="dxa"/>
            <w:gridSpan w:val="2"/>
            <w:shd w:val="clear" w:color="auto" w:fill="C5EDCE"/>
          </w:tcPr>
          <w:p w14:paraId="5A8AE875"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salariés participant à la reconversion par l’alternance (Pro-A)</w:t>
            </w:r>
          </w:p>
        </w:tc>
      </w:tr>
      <w:tr w:rsidR="00782477" w:rsidRPr="0029070D" w14:paraId="5A8AE883" w14:textId="77777777" w:rsidTr="00F84DDA">
        <w:trPr>
          <w:gridAfter w:val="1"/>
          <w:wAfter w:w="15" w:type="dxa"/>
          <w:trHeight w:val="1033"/>
          <w:jc w:val="center"/>
        </w:trPr>
        <w:tc>
          <w:tcPr>
            <w:tcW w:w="1271" w:type="dxa"/>
            <w:shd w:val="clear" w:color="auto" w:fill="C5EDCE"/>
          </w:tcPr>
          <w:p w14:paraId="5A8AE87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8-10</w:t>
            </w:r>
          </w:p>
        </w:tc>
        <w:tc>
          <w:tcPr>
            <w:tcW w:w="1276" w:type="dxa"/>
            <w:shd w:val="clear" w:color="auto" w:fill="C5EDCE"/>
          </w:tcPr>
          <w:p w14:paraId="5A8AE87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C8.I3:</w:t>
            </w:r>
          </w:p>
          <w:p w14:paraId="5A8AE87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 xml:space="preserve">Aide à l’embauche pour les contrats d’apprentissage </w:t>
            </w:r>
          </w:p>
        </w:tc>
        <w:tc>
          <w:tcPr>
            <w:tcW w:w="1218" w:type="dxa"/>
            <w:shd w:val="clear" w:color="auto" w:fill="C5EDCE"/>
          </w:tcPr>
          <w:p w14:paraId="5A8AE87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0" w:type="dxa"/>
            <w:shd w:val="clear" w:color="auto" w:fill="C5EDCE"/>
          </w:tcPr>
          <w:p w14:paraId="5A8AE87B" w14:textId="77777777" w:rsidR="00740F0F" w:rsidRPr="0029070D" w:rsidRDefault="00100B64">
            <w:pPr>
              <w:spacing w:line="214" w:lineRule="exact"/>
              <w:ind w:left="9" w:right="272"/>
              <w:rPr>
                <w:rFonts w:ascii="Times New Roman" w:eastAsia="Times New Roman" w:hAnsi="Times New Roman" w:cs="Times New Roman"/>
                <w:noProof/>
                <w:sz w:val="18"/>
                <w:szCs w:val="18"/>
              </w:rPr>
            </w:pPr>
            <w:r>
              <w:rPr>
                <w:rFonts w:ascii="Times New Roman" w:hAnsi="Times New Roman"/>
                <w:noProof/>
                <w:sz w:val="18"/>
              </w:rPr>
              <w:t>Aides à l’embauche versées pour les contrats d’apprentissage</w:t>
            </w:r>
          </w:p>
        </w:tc>
        <w:tc>
          <w:tcPr>
            <w:tcW w:w="1279" w:type="dxa"/>
            <w:shd w:val="clear" w:color="auto" w:fill="C5EDCE"/>
          </w:tcPr>
          <w:p w14:paraId="5A8AE87C"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6" w:type="dxa"/>
            <w:shd w:val="clear" w:color="auto" w:fill="C5EDCE"/>
          </w:tcPr>
          <w:p w14:paraId="5A8AE87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710" w:type="dxa"/>
            <w:shd w:val="clear" w:color="auto" w:fill="C5EDCE"/>
          </w:tcPr>
          <w:p w14:paraId="5A8AE87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851" w:type="dxa"/>
            <w:gridSpan w:val="2"/>
            <w:shd w:val="clear" w:color="auto" w:fill="C5EDCE"/>
          </w:tcPr>
          <w:p w14:paraId="5A8AE87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333 374</w:t>
            </w:r>
          </w:p>
        </w:tc>
        <w:tc>
          <w:tcPr>
            <w:tcW w:w="709" w:type="dxa"/>
            <w:gridSpan w:val="2"/>
            <w:shd w:val="clear" w:color="auto" w:fill="C5EDCE"/>
          </w:tcPr>
          <w:p w14:paraId="5A8AE88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951" w:type="dxa"/>
            <w:gridSpan w:val="2"/>
            <w:shd w:val="clear" w:color="auto" w:fill="C5EDCE"/>
          </w:tcPr>
          <w:p w14:paraId="5A8AE88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4560" w:type="dxa"/>
            <w:gridSpan w:val="2"/>
            <w:shd w:val="clear" w:color="auto" w:fill="C5EDCE"/>
          </w:tcPr>
          <w:p w14:paraId="5A8AE882" w14:textId="77777777" w:rsidR="00740F0F" w:rsidRPr="0029070D" w:rsidRDefault="00100B64">
            <w:pPr>
              <w:spacing w:line="214" w:lineRule="exact"/>
              <w:ind w:left="9" w:right="7"/>
              <w:rPr>
                <w:rFonts w:ascii="Times New Roman" w:eastAsia="Times New Roman" w:hAnsi="Times New Roman" w:cs="Times New Roman"/>
                <w:noProof/>
                <w:sz w:val="18"/>
                <w:szCs w:val="18"/>
              </w:rPr>
            </w:pPr>
            <w:r>
              <w:rPr>
                <w:rFonts w:ascii="Times New Roman" w:hAnsi="Times New Roman"/>
                <w:noProof/>
                <w:sz w:val="18"/>
              </w:rPr>
              <w:t>Nombre de contrats d’apprentissage pour lesquels une aide à l’embauche a été versée à l’employeur</w:t>
            </w:r>
          </w:p>
        </w:tc>
      </w:tr>
      <w:tr w:rsidR="00782477" w:rsidRPr="0029070D" w14:paraId="5A8AE890" w14:textId="77777777" w:rsidTr="00F84DDA">
        <w:trPr>
          <w:gridAfter w:val="1"/>
          <w:wAfter w:w="15" w:type="dxa"/>
          <w:trHeight w:val="1105"/>
          <w:jc w:val="center"/>
        </w:trPr>
        <w:tc>
          <w:tcPr>
            <w:tcW w:w="1271" w:type="dxa"/>
            <w:shd w:val="clear" w:color="auto" w:fill="C5EDCE"/>
          </w:tcPr>
          <w:p w14:paraId="5A8AE88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8-11</w:t>
            </w:r>
          </w:p>
        </w:tc>
        <w:tc>
          <w:tcPr>
            <w:tcW w:w="1276" w:type="dxa"/>
            <w:shd w:val="clear" w:color="auto" w:fill="C5EDCE"/>
          </w:tcPr>
          <w:p w14:paraId="5A8AE88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C8.I4:</w:t>
            </w:r>
          </w:p>
          <w:p w14:paraId="5A8AE886" w14:textId="77777777" w:rsidR="00740F0F" w:rsidRPr="0029070D" w:rsidRDefault="00100B64">
            <w:pPr>
              <w:spacing w:line="214" w:lineRule="exact"/>
              <w:ind w:left="9" w:right="19"/>
              <w:jc w:val="center"/>
              <w:rPr>
                <w:rFonts w:ascii="Times New Roman" w:eastAsia="Times New Roman" w:hAnsi="Times New Roman" w:cs="Times New Roman"/>
                <w:noProof/>
                <w:sz w:val="18"/>
                <w:szCs w:val="18"/>
              </w:rPr>
            </w:pPr>
            <w:r>
              <w:rPr>
                <w:rFonts w:ascii="Times New Roman" w:hAnsi="Times New Roman"/>
                <w:noProof/>
                <w:sz w:val="18"/>
              </w:rPr>
              <w:t>Aide à l’embauche pour les contrats de professionnalisation</w:t>
            </w:r>
          </w:p>
        </w:tc>
        <w:tc>
          <w:tcPr>
            <w:tcW w:w="1218" w:type="dxa"/>
            <w:shd w:val="clear" w:color="auto" w:fill="C5EDCE"/>
          </w:tcPr>
          <w:p w14:paraId="5A8AE88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0" w:type="dxa"/>
            <w:shd w:val="clear" w:color="auto" w:fill="C5EDCE"/>
          </w:tcPr>
          <w:p w14:paraId="5A8AE888" w14:textId="77777777" w:rsidR="00740F0F" w:rsidRPr="0029070D" w:rsidRDefault="00100B64">
            <w:pPr>
              <w:spacing w:line="214" w:lineRule="exact"/>
              <w:ind w:left="9" w:right="272"/>
              <w:rPr>
                <w:rFonts w:ascii="Times New Roman" w:eastAsia="Times New Roman" w:hAnsi="Times New Roman" w:cs="Times New Roman"/>
                <w:noProof/>
                <w:sz w:val="18"/>
                <w:szCs w:val="18"/>
              </w:rPr>
            </w:pPr>
            <w:r>
              <w:rPr>
                <w:rFonts w:ascii="Times New Roman" w:hAnsi="Times New Roman"/>
                <w:noProof/>
                <w:sz w:val="18"/>
              </w:rPr>
              <w:t>Aides à l’embauche versées pour les contrats de professionnalisation</w:t>
            </w:r>
          </w:p>
        </w:tc>
        <w:tc>
          <w:tcPr>
            <w:tcW w:w="1279" w:type="dxa"/>
            <w:shd w:val="clear" w:color="auto" w:fill="C5EDCE"/>
          </w:tcPr>
          <w:p w14:paraId="5A8AE889"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6" w:type="dxa"/>
            <w:shd w:val="clear" w:color="auto" w:fill="C5EDCE"/>
          </w:tcPr>
          <w:p w14:paraId="5A8AE88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710" w:type="dxa"/>
            <w:shd w:val="clear" w:color="auto" w:fill="C5EDCE"/>
          </w:tcPr>
          <w:p w14:paraId="5A8AE88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851" w:type="dxa"/>
            <w:gridSpan w:val="2"/>
            <w:shd w:val="clear" w:color="auto" w:fill="C5EDCE"/>
          </w:tcPr>
          <w:p w14:paraId="5A8AE88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100 000</w:t>
            </w:r>
          </w:p>
        </w:tc>
        <w:tc>
          <w:tcPr>
            <w:tcW w:w="709" w:type="dxa"/>
            <w:gridSpan w:val="2"/>
            <w:shd w:val="clear" w:color="auto" w:fill="C5EDCE"/>
          </w:tcPr>
          <w:p w14:paraId="5A8AE88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T1</w:t>
            </w:r>
          </w:p>
        </w:tc>
        <w:tc>
          <w:tcPr>
            <w:tcW w:w="951" w:type="dxa"/>
            <w:gridSpan w:val="2"/>
            <w:shd w:val="clear" w:color="auto" w:fill="C5EDCE"/>
          </w:tcPr>
          <w:p w14:paraId="5A8AE88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560" w:type="dxa"/>
            <w:gridSpan w:val="2"/>
            <w:shd w:val="clear" w:color="auto" w:fill="C5EDCE"/>
          </w:tcPr>
          <w:p w14:paraId="5A8AE88F" w14:textId="77777777" w:rsidR="00740F0F" w:rsidRPr="0029070D" w:rsidRDefault="00100B64">
            <w:pPr>
              <w:spacing w:line="214" w:lineRule="exact"/>
              <w:ind w:left="9" w:right="81"/>
              <w:rPr>
                <w:rFonts w:ascii="Times New Roman" w:eastAsia="Times New Roman" w:hAnsi="Times New Roman" w:cs="Times New Roman"/>
                <w:noProof/>
                <w:sz w:val="18"/>
                <w:szCs w:val="18"/>
              </w:rPr>
            </w:pPr>
            <w:r>
              <w:rPr>
                <w:rFonts w:ascii="Times New Roman" w:hAnsi="Times New Roman"/>
                <w:noProof/>
                <w:sz w:val="18"/>
              </w:rPr>
              <w:t>Nombre de contrats de professionnalisation pour lesquels l’aide exceptionnelle de professionnalisation a été versée à l’employeur</w:t>
            </w:r>
          </w:p>
        </w:tc>
      </w:tr>
      <w:tr w:rsidR="00782477" w:rsidRPr="0029070D" w14:paraId="5A8AE89D" w14:textId="77777777" w:rsidTr="00F84DDA">
        <w:trPr>
          <w:gridAfter w:val="1"/>
          <w:wAfter w:w="15" w:type="dxa"/>
          <w:trHeight w:val="1384"/>
          <w:jc w:val="center"/>
        </w:trPr>
        <w:tc>
          <w:tcPr>
            <w:tcW w:w="1271" w:type="dxa"/>
            <w:shd w:val="clear" w:color="auto" w:fill="C5EDCE"/>
          </w:tcPr>
          <w:p w14:paraId="5A8AE89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8-12</w:t>
            </w:r>
          </w:p>
        </w:tc>
        <w:tc>
          <w:tcPr>
            <w:tcW w:w="1276" w:type="dxa"/>
            <w:shd w:val="clear" w:color="auto" w:fill="C5EDCE"/>
          </w:tcPr>
          <w:p w14:paraId="5A8AE89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C8.I5:</w:t>
            </w:r>
          </w:p>
          <w:p w14:paraId="5A8AE893" w14:textId="77777777" w:rsidR="00740F0F" w:rsidRPr="0029070D" w:rsidRDefault="00100B64">
            <w:pPr>
              <w:spacing w:line="214" w:lineRule="exact"/>
              <w:ind w:left="9" w:right="19"/>
              <w:jc w:val="center"/>
              <w:rPr>
                <w:rFonts w:ascii="Times New Roman" w:eastAsia="Times New Roman" w:hAnsi="Times New Roman" w:cs="Times New Roman"/>
                <w:noProof/>
                <w:sz w:val="18"/>
                <w:szCs w:val="18"/>
              </w:rPr>
            </w:pPr>
            <w:r>
              <w:rPr>
                <w:rFonts w:ascii="Times New Roman" w:hAnsi="Times New Roman"/>
                <w:noProof/>
                <w:sz w:val="18"/>
              </w:rPr>
              <w:t>Aide à l’embauche des jeunes de moins de 26 ans</w:t>
            </w:r>
          </w:p>
        </w:tc>
        <w:tc>
          <w:tcPr>
            <w:tcW w:w="1218" w:type="dxa"/>
            <w:shd w:val="clear" w:color="auto" w:fill="C5EDCE"/>
          </w:tcPr>
          <w:p w14:paraId="5A8AE89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0" w:type="dxa"/>
            <w:shd w:val="clear" w:color="auto" w:fill="C5EDCE"/>
          </w:tcPr>
          <w:p w14:paraId="5A8AE895" w14:textId="77777777" w:rsidR="00740F0F" w:rsidRPr="0029070D" w:rsidRDefault="00100B64">
            <w:pPr>
              <w:spacing w:line="214" w:lineRule="exact"/>
              <w:ind w:left="9" w:right="276"/>
              <w:jc w:val="both"/>
              <w:rPr>
                <w:rFonts w:ascii="Times New Roman" w:eastAsia="Times New Roman" w:hAnsi="Times New Roman" w:cs="Times New Roman"/>
                <w:noProof/>
                <w:sz w:val="18"/>
                <w:szCs w:val="18"/>
              </w:rPr>
            </w:pPr>
            <w:r>
              <w:rPr>
                <w:rFonts w:ascii="Times New Roman" w:hAnsi="Times New Roman"/>
                <w:noProof/>
                <w:sz w:val="18"/>
              </w:rPr>
              <w:t>Aides à l’embauche versées pour les contrats d’embauche de jeunes de moins de 26 ans</w:t>
            </w:r>
          </w:p>
        </w:tc>
        <w:tc>
          <w:tcPr>
            <w:tcW w:w="1279" w:type="dxa"/>
            <w:shd w:val="clear" w:color="auto" w:fill="C5EDCE"/>
          </w:tcPr>
          <w:p w14:paraId="5A8AE896"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6" w:type="dxa"/>
            <w:shd w:val="clear" w:color="auto" w:fill="C5EDCE"/>
          </w:tcPr>
          <w:p w14:paraId="5A8AE89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710" w:type="dxa"/>
            <w:shd w:val="clear" w:color="auto" w:fill="C5EDCE"/>
          </w:tcPr>
          <w:p w14:paraId="5A8AE89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851" w:type="dxa"/>
            <w:gridSpan w:val="2"/>
            <w:shd w:val="clear" w:color="auto" w:fill="C5EDCE"/>
          </w:tcPr>
          <w:p w14:paraId="5A8AE89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337 000</w:t>
            </w:r>
          </w:p>
        </w:tc>
        <w:tc>
          <w:tcPr>
            <w:tcW w:w="709" w:type="dxa"/>
            <w:gridSpan w:val="2"/>
            <w:shd w:val="clear" w:color="auto" w:fill="C5EDCE"/>
          </w:tcPr>
          <w:p w14:paraId="5A8AE89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T1</w:t>
            </w:r>
          </w:p>
        </w:tc>
        <w:tc>
          <w:tcPr>
            <w:tcW w:w="951" w:type="dxa"/>
            <w:gridSpan w:val="2"/>
            <w:shd w:val="clear" w:color="auto" w:fill="C5EDCE"/>
          </w:tcPr>
          <w:p w14:paraId="5A8AE89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4560" w:type="dxa"/>
            <w:gridSpan w:val="2"/>
            <w:shd w:val="clear" w:color="auto" w:fill="C5EDCE"/>
          </w:tcPr>
          <w:p w14:paraId="5A8AE89C" w14:textId="77777777" w:rsidR="00740F0F" w:rsidRPr="0029070D" w:rsidRDefault="00100B64">
            <w:pPr>
              <w:spacing w:line="214" w:lineRule="exact"/>
              <w:ind w:left="9" w:right="545"/>
              <w:rPr>
                <w:rFonts w:ascii="Times New Roman" w:eastAsia="Times New Roman" w:hAnsi="Times New Roman" w:cs="Times New Roman"/>
                <w:noProof/>
                <w:sz w:val="18"/>
                <w:szCs w:val="18"/>
              </w:rPr>
            </w:pPr>
            <w:r>
              <w:rPr>
                <w:rFonts w:ascii="Times New Roman" w:hAnsi="Times New Roman"/>
                <w:noProof/>
                <w:sz w:val="18"/>
              </w:rPr>
              <w:t>Nombre de contrats pour lesquels l’aide à l’embauche des jeunes a été versée à l’employeur</w:t>
            </w:r>
          </w:p>
        </w:tc>
      </w:tr>
      <w:tr w:rsidR="00782477" w:rsidRPr="0029070D" w14:paraId="5A8AE8AA" w14:textId="77777777" w:rsidTr="00F84DDA">
        <w:trPr>
          <w:gridAfter w:val="1"/>
          <w:wAfter w:w="15" w:type="dxa"/>
          <w:trHeight w:val="1293"/>
          <w:jc w:val="center"/>
        </w:trPr>
        <w:tc>
          <w:tcPr>
            <w:tcW w:w="1271" w:type="dxa"/>
            <w:shd w:val="clear" w:color="auto" w:fill="C5EDCE"/>
          </w:tcPr>
          <w:p w14:paraId="5A8AE89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8-13</w:t>
            </w:r>
          </w:p>
        </w:tc>
        <w:tc>
          <w:tcPr>
            <w:tcW w:w="1276" w:type="dxa"/>
            <w:shd w:val="clear" w:color="auto" w:fill="C5EDCE"/>
          </w:tcPr>
          <w:p w14:paraId="5A8AE89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C8.I6:</w:t>
            </w:r>
          </w:p>
          <w:p w14:paraId="5A8AE8A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Création d’emplois pour les jeunes dans le sport</w:t>
            </w:r>
          </w:p>
        </w:tc>
        <w:tc>
          <w:tcPr>
            <w:tcW w:w="1218" w:type="dxa"/>
            <w:shd w:val="clear" w:color="auto" w:fill="C5EDCE"/>
          </w:tcPr>
          <w:p w14:paraId="5A8AE8A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0" w:type="dxa"/>
            <w:shd w:val="clear" w:color="auto" w:fill="C5EDCE"/>
          </w:tcPr>
          <w:p w14:paraId="5A8AE8A2" w14:textId="77777777" w:rsidR="00740F0F" w:rsidRPr="0029070D" w:rsidRDefault="00100B64">
            <w:pPr>
              <w:spacing w:line="214" w:lineRule="exact"/>
              <w:ind w:left="9" w:right="303"/>
              <w:rPr>
                <w:rFonts w:ascii="Times New Roman" w:eastAsia="Times New Roman" w:hAnsi="Times New Roman" w:cs="Times New Roman"/>
                <w:noProof/>
                <w:sz w:val="18"/>
                <w:szCs w:val="18"/>
              </w:rPr>
            </w:pPr>
            <w:r>
              <w:rPr>
                <w:rFonts w:ascii="Times New Roman" w:hAnsi="Times New Roman"/>
                <w:noProof/>
                <w:sz w:val="18"/>
              </w:rPr>
              <w:t>Emplois créés dans le secteur du sport bénéficiant d’une aide</w:t>
            </w:r>
          </w:p>
        </w:tc>
        <w:tc>
          <w:tcPr>
            <w:tcW w:w="1279" w:type="dxa"/>
            <w:shd w:val="clear" w:color="auto" w:fill="C5EDCE"/>
          </w:tcPr>
          <w:p w14:paraId="5A8AE8A3"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6" w:type="dxa"/>
            <w:shd w:val="clear" w:color="auto" w:fill="C5EDCE"/>
          </w:tcPr>
          <w:p w14:paraId="5A8AE8A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710" w:type="dxa"/>
            <w:shd w:val="clear" w:color="auto" w:fill="C5EDCE"/>
          </w:tcPr>
          <w:p w14:paraId="5A8AE8A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851" w:type="dxa"/>
            <w:gridSpan w:val="2"/>
            <w:shd w:val="clear" w:color="auto" w:fill="C5EDCE"/>
          </w:tcPr>
          <w:p w14:paraId="5A8AE8A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2 200</w:t>
            </w:r>
          </w:p>
        </w:tc>
        <w:tc>
          <w:tcPr>
            <w:tcW w:w="709" w:type="dxa"/>
            <w:gridSpan w:val="2"/>
            <w:shd w:val="clear" w:color="auto" w:fill="C5EDCE"/>
          </w:tcPr>
          <w:p w14:paraId="5A8AE8A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T3</w:t>
            </w:r>
          </w:p>
        </w:tc>
        <w:tc>
          <w:tcPr>
            <w:tcW w:w="951" w:type="dxa"/>
            <w:gridSpan w:val="2"/>
            <w:shd w:val="clear" w:color="auto" w:fill="C5EDCE"/>
          </w:tcPr>
          <w:p w14:paraId="5A8AE8A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4560" w:type="dxa"/>
            <w:gridSpan w:val="2"/>
            <w:shd w:val="clear" w:color="auto" w:fill="C5EDCE"/>
          </w:tcPr>
          <w:p w14:paraId="5A8AE8A9" w14:textId="77777777" w:rsidR="00740F0F" w:rsidRPr="0029070D" w:rsidRDefault="00100B64">
            <w:pPr>
              <w:spacing w:line="214" w:lineRule="exact"/>
              <w:ind w:left="9" w:right="-15"/>
              <w:rPr>
                <w:rFonts w:ascii="Times New Roman" w:eastAsia="Times New Roman" w:hAnsi="Times New Roman" w:cs="Times New Roman"/>
                <w:noProof/>
                <w:sz w:val="18"/>
                <w:szCs w:val="18"/>
              </w:rPr>
            </w:pPr>
            <w:r>
              <w:rPr>
                <w:rFonts w:ascii="Times New Roman" w:hAnsi="Times New Roman"/>
                <w:noProof/>
                <w:sz w:val="18"/>
              </w:rPr>
              <w:t>Nombre d’emplois créés dans le secteur du sport qui bénéficient d’une aide</w:t>
            </w:r>
          </w:p>
        </w:tc>
      </w:tr>
      <w:tr w:rsidR="00782477" w:rsidRPr="0029070D" w14:paraId="5A8AE8B7" w14:textId="77777777" w:rsidTr="00F84DDA">
        <w:trPr>
          <w:gridAfter w:val="1"/>
          <w:wAfter w:w="15" w:type="dxa"/>
          <w:trHeight w:val="885"/>
          <w:jc w:val="center"/>
        </w:trPr>
        <w:tc>
          <w:tcPr>
            <w:tcW w:w="1271" w:type="dxa"/>
            <w:shd w:val="clear" w:color="auto" w:fill="C5EDCE"/>
          </w:tcPr>
          <w:p w14:paraId="5A8AE8A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8-14</w:t>
            </w:r>
          </w:p>
        </w:tc>
        <w:tc>
          <w:tcPr>
            <w:tcW w:w="1276" w:type="dxa"/>
            <w:shd w:val="clear" w:color="auto" w:fill="C5EDCE"/>
          </w:tcPr>
          <w:p w14:paraId="5A8AE8A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C8.I7</w:t>
            </w:r>
          </w:p>
          <w:p w14:paraId="5A8AE8AD" w14:textId="77777777" w:rsidR="00740F0F" w:rsidRPr="0029070D" w:rsidRDefault="00100B64">
            <w:pPr>
              <w:spacing w:line="214" w:lineRule="exact"/>
              <w:ind w:left="9" w:right="19"/>
              <w:jc w:val="center"/>
              <w:rPr>
                <w:rFonts w:ascii="Times New Roman" w:eastAsia="Times New Roman" w:hAnsi="Times New Roman" w:cs="Times New Roman"/>
                <w:noProof/>
                <w:sz w:val="18"/>
                <w:szCs w:val="18"/>
              </w:rPr>
            </w:pPr>
            <w:r>
              <w:rPr>
                <w:rFonts w:ascii="Times New Roman" w:hAnsi="Times New Roman"/>
                <w:noProof/>
                <w:sz w:val="18"/>
              </w:rPr>
              <w:t>Internats d’excellence</w:t>
            </w:r>
          </w:p>
        </w:tc>
        <w:tc>
          <w:tcPr>
            <w:tcW w:w="1218" w:type="dxa"/>
            <w:shd w:val="clear" w:color="auto" w:fill="C5EDCE"/>
          </w:tcPr>
          <w:p w14:paraId="5A8AE8A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0" w:type="dxa"/>
            <w:shd w:val="clear" w:color="auto" w:fill="C5EDCE"/>
          </w:tcPr>
          <w:p w14:paraId="5A8AE8AF" w14:textId="77777777" w:rsidR="00740F0F" w:rsidRPr="0029070D" w:rsidRDefault="00100B64">
            <w:pPr>
              <w:spacing w:line="214" w:lineRule="exact"/>
              <w:ind w:left="9" w:right="176"/>
              <w:rPr>
                <w:rFonts w:ascii="Times New Roman" w:eastAsia="Times New Roman" w:hAnsi="Times New Roman" w:cs="Times New Roman"/>
                <w:noProof/>
                <w:sz w:val="18"/>
                <w:szCs w:val="18"/>
              </w:rPr>
            </w:pPr>
            <w:r>
              <w:rPr>
                <w:rFonts w:ascii="Times New Roman" w:hAnsi="Times New Roman"/>
                <w:noProof/>
                <w:sz w:val="18"/>
              </w:rPr>
              <w:t>Places créées ou réhabilitées</w:t>
            </w:r>
          </w:p>
        </w:tc>
        <w:tc>
          <w:tcPr>
            <w:tcW w:w="1279" w:type="dxa"/>
            <w:shd w:val="clear" w:color="auto" w:fill="C5EDCE"/>
          </w:tcPr>
          <w:p w14:paraId="5A8AE8B0"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6" w:type="dxa"/>
            <w:shd w:val="clear" w:color="auto" w:fill="C5EDCE"/>
          </w:tcPr>
          <w:p w14:paraId="5A8AE8B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710" w:type="dxa"/>
            <w:shd w:val="clear" w:color="auto" w:fill="C5EDCE"/>
          </w:tcPr>
          <w:p w14:paraId="5A8AE8B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851" w:type="dxa"/>
            <w:gridSpan w:val="2"/>
            <w:shd w:val="clear" w:color="auto" w:fill="C5EDCE"/>
          </w:tcPr>
          <w:p w14:paraId="5A8AE8B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1 500</w:t>
            </w:r>
          </w:p>
        </w:tc>
        <w:tc>
          <w:tcPr>
            <w:tcW w:w="709" w:type="dxa"/>
            <w:gridSpan w:val="2"/>
            <w:shd w:val="clear" w:color="auto" w:fill="C5EDCE"/>
          </w:tcPr>
          <w:p w14:paraId="5A8AE8B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T3</w:t>
            </w:r>
          </w:p>
        </w:tc>
        <w:tc>
          <w:tcPr>
            <w:tcW w:w="951" w:type="dxa"/>
            <w:gridSpan w:val="2"/>
            <w:shd w:val="clear" w:color="auto" w:fill="C5EDCE"/>
          </w:tcPr>
          <w:p w14:paraId="5A8AE8B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4560" w:type="dxa"/>
            <w:gridSpan w:val="2"/>
            <w:shd w:val="clear" w:color="auto" w:fill="C5EDCE"/>
          </w:tcPr>
          <w:p w14:paraId="5A8AE8B6"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places créées ou réhabilitées dans les internats d’excellence</w:t>
            </w:r>
          </w:p>
        </w:tc>
      </w:tr>
      <w:tr w:rsidR="00782477" w:rsidRPr="0029070D" w14:paraId="5A8AE8C4" w14:textId="77777777" w:rsidTr="00F84DDA">
        <w:trPr>
          <w:gridAfter w:val="1"/>
          <w:wAfter w:w="15" w:type="dxa"/>
          <w:trHeight w:val="1253"/>
          <w:jc w:val="center"/>
        </w:trPr>
        <w:tc>
          <w:tcPr>
            <w:tcW w:w="1271" w:type="dxa"/>
            <w:shd w:val="clear" w:color="auto" w:fill="C5EDCE"/>
          </w:tcPr>
          <w:p w14:paraId="5A8AE8B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8-15</w:t>
            </w:r>
          </w:p>
        </w:tc>
        <w:tc>
          <w:tcPr>
            <w:tcW w:w="1276" w:type="dxa"/>
            <w:shd w:val="clear" w:color="auto" w:fill="C5EDCE"/>
          </w:tcPr>
          <w:p w14:paraId="5A8AE8B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C8.I8</w:t>
            </w:r>
          </w:p>
          <w:p w14:paraId="5A8AE8B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Cordées de la réussite</w:t>
            </w:r>
          </w:p>
        </w:tc>
        <w:tc>
          <w:tcPr>
            <w:tcW w:w="1218" w:type="dxa"/>
            <w:shd w:val="clear" w:color="auto" w:fill="C5EDCE"/>
          </w:tcPr>
          <w:p w14:paraId="5A8AE8B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0" w:type="dxa"/>
            <w:shd w:val="clear" w:color="auto" w:fill="C5EDCE"/>
          </w:tcPr>
          <w:p w14:paraId="5A8AE8BC" w14:textId="77777777" w:rsidR="00740F0F" w:rsidRPr="009447E5" w:rsidRDefault="00100B64">
            <w:pPr>
              <w:spacing w:line="214" w:lineRule="exact"/>
              <w:ind w:left="9" w:right="308"/>
              <w:rPr>
                <w:rFonts w:ascii="Times New Roman" w:eastAsia="Times New Roman" w:hAnsi="Times New Roman" w:cs="Times New Roman"/>
                <w:noProof/>
                <w:sz w:val="18"/>
                <w:szCs w:val="18"/>
              </w:rPr>
            </w:pPr>
            <w:r>
              <w:rPr>
                <w:rFonts w:ascii="Times New Roman" w:hAnsi="Times New Roman"/>
                <w:noProof/>
                <w:sz w:val="18"/>
              </w:rPr>
              <w:t>Élèves participant au programme «Cordées de la réussite»</w:t>
            </w:r>
          </w:p>
        </w:tc>
        <w:tc>
          <w:tcPr>
            <w:tcW w:w="1279" w:type="dxa"/>
            <w:shd w:val="clear" w:color="auto" w:fill="C5EDCE"/>
          </w:tcPr>
          <w:p w14:paraId="5A8AE8BD" w14:textId="77777777" w:rsidR="00740F0F" w:rsidRPr="009447E5" w:rsidRDefault="00740F0F">
            <w:pPr>
              <w:spacing w:line="214" w:lineRule="exact"/>
              <w:ind w:left="9"/>
              <w:rPr>
                <w:rFonts w:ascii="Times New Roman" w:eastAsia="Times New Roman" w:hAnsi="Times New Roman" w:cs="Times New Roman"/>
                <w:noProof/>
                <w:sz w:val="18"/>
                <w:szCs w:val="18"/>
              </w:rPr>
            </w:pPr>
          </w:p>
        </w:tc>
        <w:tc>
          <w:tcPr>
            <w:tcW w:w="996" w:type="dxa"/>
            <w:shd w:val="clear" w:color="auto" w:fill="C5EDCE"/>
          </w:tcPr>
          <w:p w14:paraId="5A8AE8B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710" w:type="dxa"/>
            <w:shd w:val="clear" w:color="auto" w:fill="C5EDCE"/>
          </w:tcPr>
          <w:p w14:paraId="5A8AE8B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851" w:type="dxa"/>
            <w:gridSpan w:val="2"/>
            <w:shd w:val="clear" w:color="auto" w:fill="C5EDCE"/>
          </w:tcPr>
          <w:p w14:paraId="5A8AE8C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185 000</w:t>
            </w:r>
          </w:p>
        </w:tc>
        <w:tc>
          <w:tcPr>
            <w:tcW w:w="709" w:type="dxa"/>
            <w:gridSpan w:val="2"/>
            <w:shd w:val="clear" w:color="auto" w:fill="C5EDCE"/>
          </w:tcPr>
          <w:p w14:paraId="5A8AE8C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T3</w:t>
            </w:r>
          </w:p>
        </w:tc>
        <w:tc>
          <w:tcPr>
            <w:tcW w:w="951" w:type="dxa"/>
            <w:gridSpan w:val="2"/>
            <w:shd w:val="clear" w:color="auto" w:fill="C5EDCE"/>
          </w:tcPr>
          <w:p w14:paraId="5A8AE8C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4560" w:type="dxa"/>
            <w:gridSpan w:val="2"/>
            <w:shd w:val="clear" w:color="auto" w:fill="C5EDCE"/>
          </w:tcPr>
          <w:p w14:paraId="5A8AE8C3"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d’élèves participant au programme «Cordées de la réussite».</w:t>
            </w:r>
          </w:p>
        </w:tc>
      </w:tr>
      <w:tr w:rsidR="00782477" w:rsidRPr="0029070D" w14:paraId="5A8AE8D1" w14:textId="77777777" w:rsidTr="00F84DDA">
        <w:trPr>
          <w:gridAfter w:val="1"/>
          <w:wAfter w:w="15" w:type="dxa"/>
          <w:trHeight w:val="973"/>
          <w:jc w:val="center"/>
        </w:trPr>
        <w:tc>
          <w:tcPr>
            <w:tcW w:w="1271" w:type="dxa"/>
            <w:shd w:val="clear" w:color="auto" w:fill="C5EDCE"/>
          </w:tcPr>
          <w:p w14:paraId="5A8AE8C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8-16</w:t>
            </w:r>
          </w:p>
        </w:tc>
        <w:tc>
          <w:tcPr>
            <w:tcW w:w="1276" w:type="dxa"/>
            <w:shd w:val="clear" w:color="auto" w:fill="C5EDCE"/>
          </w:tcPr>
          <w:p w14:paraId="5A8AE8C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C8.I9</w:t>
            </w:r>
          </w:p>
          <w:p w14:paraId="5A8AE8C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Garanties par l’État des prêts étudiants</w:t>
            </w:r>
          </w:p>
        </w:tc>
        <w:tc>
          <w:tcPr>
            <w:tcW w:w="1218" w:type="dxa"/>
            <w:shd w:val="clear" w:color="auto" w:fill="C5EDCE"/>
          </w:tcPr>
          <w:p w14:paraId="5A8AE8C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0" w:type="dxa"/>
            <w:shd w:val="clear" w:color="auto" w:fill="C5EDCE"/>
          </w:tcPr>
          <w:p w14:paraId="5A8AE8C9"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Bénéficiaires d’un prêt étudiant garanti par l’État</w:t>
            </w:r>
          </w:p>
        </w:tc>
        <w:tc>
          <w:tcPr>
            <w:tcW w:w="1279" w:type="dxa"/>
            <w:shd w:val="clear" w:color="auto" w:fill="C5EDCE"/>
          </w:tcPr>
          <w:p w14:paraId="5A8AE8CA"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6" w:type="dxa"/>
            <w:shd w:val="clear" w:color="auto" w:fill="C5EDCE"/>
          </w:tcPr>
          <w:p w14:paraId="5A8AE8C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710" w:type="dxa"/>
            <w:shd w:val="clear" w:color="auto" w:fill="C5EDCE"/>
          </w:tcPr>
          <w:p w14:paraId="5A8AE8C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851" w:type="dxa"/>
            <w:gridSpan w:val="2"/>
            <w:shd w:val="clear" w:color="auto" w:fill="C5EDCE"/>
          </w:tcPr>
          <w:p w14:paraId="5A8AE8C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36 000</w:t>
            </w:r>
          </w:p>
        </w:tc>
        <w:tc>
          <w:tcPr>
            <w:tcW w:w="709" w:type="dxa"/>
            <w:gridSpan w:val="2"/>
            <w:shd w:val="clear" w:color="auto" w:fill="C5EDCE"/>
          </w:tcPr>
          <w:p w14:paraId="5A8AE8C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951" w:type="dxa"/>
            <w:gridSpan w:val="2"/>
            <w:shd w:val="clear" w:color="auto" w:fill="C5EDCE"/>
          </w:tcPr>
          <w:p w14:paraId="5A8AE8C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560" w:type="dxa"/>
            <w:gridSpan w:val="2"/>
            <w:shd w:val="clear" w:color="auto" w:fill="C5EDCE"/>
          </w:tcPr>
          <w:p w14:paraId="5A8AE8D0" w14:textId="77777777" w:rsidR="00740F0F" w:rsidRPr="0029070D" w:rsidRDefault="00100B64">
            <w:pPr>
              <w:spacing w:line="214" w:lineRule="exact"/>
              <w:ind w:left="9" w:right="68"/>
              <w:rPr>
                <w:rFonts w:ascii="Times New Roman" w:eastAsia="Times New Roman" w:hAnsi="Times New Roman" w:cs="Times New Roman"/>
                <w:noProof/>
                <w:sz w:val="18"/>
                <w:szCs w:val="18"/>
              </w:rPr>
            </w:pPr>
            <w:r>
              <w:rPr>
                <w:rFonts w:ascii="Times New Roman" w:hAnsi="Times New Roman"/>
                <w:noProof/>
                <w:sz w:val="18"/>
              </w:rPr>
              <w:t>Nombre de bénéficiaires d’un prêt étudiant garanti par l’État, à la suite de l’avenant à la convention avec Bpifrance augmentant la dotation de l’État</w:t>
            </w:r>
          </w:p>
        </w:tc>
      </w:tr>
      <w:tr w:rsidR="00782477" w:rsidRPr="0029070D" w14:paraId="5A8AE8DE" w14:textId="77777777" w:rsidTr="00F84DDA">
        <w:trPr>
          <w:gridAfter w:val="1"/>
          <w:wAfter w:w="15" w:type="dxa"/>
          <w:trHeight w:val="1554"/>
          <w:jc w:val="center"/>
        </w:trPr>
        <w:tc>
          <w:tcPr>
            <w:tcW w:w="1271" w:type="dxa"/>
            <w:shd w:val="clear" w:color="auto" w:fill="C5EDCE"/>
          </w:tcPr>
          <w:p w14:paraId="5A8AE8D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8-17</w:t>
            </w:r>
          </w:p>
        </w:tc>
        <w:tc>
          <w:tcPr>
            <w:tcW w:w="1276" w:type="dxa"/>
            <w:shd w:val="clear" w:color="auto" w:fill="C5EDCE"/>
          </w:tcPr>
          <w:p w14:paraId="5A8AE8D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C8.I10</w:t>
            </w:r>
          </w:p>
          <w:p w14:paraId="5A8AE8D4" w14:textId="77777777" w:rsidR="00740F0F" w:rsidRPr="0029070D" w:rsidRDefault="00100B64">
            <w:pPr>
              <w:spacing w:line="214" w:lineRule="exact"/>
              <w:ind w:left="9" w:right="-4"/>
              <w:jc w:val="center"/>
              <w:rPr>
                <w:rFonts w:ascii="Times New Roman" w:eastAsia="Times New Roman" w:hAnsi="Times New Roman" w:cs="Times New Roman"/>
                <w:noProof/>
                <w:sz w:val="18"/>
                <w:szCs w:val="18"/>
              </w:rPr>
            </w:pPr>
            <w:r>
              <w:rPr>
                <w:rFonts w:ascii="Times New Roman" w:hAnsi="Times New Roman"/>
                <w:noProof/>
                <w:sz w:val="18"/>
              </w:rPr>
              <w:t>Parcours personnalisé pour les jeunes de 16 à 18 ans ne respectant pas l’obligation de formation</w:t>
            </w:r>
          </w:p>
        </w:tc>
        <w:tc>
          <w:tcPr>
            <w:tcW w:w="1218" w:type="dxa"/>
            <w:shd w:val="clear" w:color="auto" w:fill="C5EDCE"/>
          </w:tcPr>
          <w:p w14:paraId="5A8AE8D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0" w:type="dxa"/>
            <w:shd w:val="clear" w:color="auto" w:fill="C5EDCE"/>
          </w:tcPr>
          <w:p w14:paraId="5A8AE8D6"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Jeunes participant aux activités de l’AFPA</w:t>
            </w:r>
          </w:p>
        </w:tc>
        <w:tc>
          <w:tcPr>
            <w:tcW w:w="1279" w:type="dxa"/>
            <w:shd w:val="clear" w:color="auto" w:fill="C5EDCE"/>
          </w:tcPr>
          <w:p w14:paraId="5A8AE8D7"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6" w:type="dxa"/>
            <w:shd w:val="clear" w:color="auto" w:fill="C5EDCE"/>
          </w:tcPr>
          <w:p w14:paraId="5A8AE8D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710" w:type="dxa"/>
            <w:shd w:val="clear" w:color="auto" w:fill="C5EDCE"/>
          </w:tcPr>
          <w:p w14:paraId="5A8AE8D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851" w:type="dxa"/>
            <w:gridSpan w:val="2"/>
            <w:shd w:val="clear" w:color="auto" w:fill="C5EDCE"/>
          </w:tcPr>
          <w:p w14:paraId="5A8AE8D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10 500</w:t>
            </w:r>
          </w:p>
        </w:tc>
        <w:tc>
          <w:tcPr>
            <w:tcW w:w="709" w:type="dxa"/>
            <w:gridSpan w:val="2"/>
            <w:shd w:val="clear" w:color="auto" w:fill="C5EDCE"/>
          </w:tcPr>
          <w:p w14:paraId="5A8AE8D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T1</w:t>
            </w:r>
          </w:p>
        </w:tc>
        <w:tc>
          <w:tcPr>
            <w:tcW w:w="951" w:type="dxa"/>
            <w:gridSpan w:val="2"/>
            <w:shd w:val="clear" w:color="auto" w:fill="C5EDCE"/>
          </w:tcPr>
          <w:p w14:paraId="5A8AE8D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560" w:type="dxa"/>
            <w:gridSpan w:val="2"/>
            <w:shd w:val="clear" w:color="auto" w:fill="C5EDCE"/>
          </w:tcPr>
          <w:p w14:paraId="5A8AE8DD" w14:textId="77777777" w:rsidR="00740F0F" w:rsidRPr="0029070D" w:rsidRDefault="00100B64">
            <w:pPr>
              <w:spacing w:line="214" w:lineRule="exact"/>
              <w:ind w:left="9" w:right="68"/>
              <w:rPr>
                <w:rFonts w:ascii="Times New Roman" w:eastAsia="Times New Roman" w:hAnsi="Times New Roman" w:cs="Times New Roman"/>
                <w:noProof/>
                <w:sz w:val="18"/>
                <w:szCs w:val="18"/>
              </w:rPr>
            </w:pPr>
            <w:r>
              <w:rPr>
                <w:rFonts w:ascii="Times New Roman" w:hAnsi="Times New Roman"/>
                <w:noProof/>
                <w:sz w:val="18"/>
              </w:rPr>
              <w:t>Nombre de jeunes de 16 à 18 ans ayant achevé la première phase du parcours personnalisé proposé par l’Agence nationale pour la formation professionnelle des adultes (AFPA)</w:t>
            </w:r>
          </w:p>
        </w:tc>
      </w:tr>
      <w:tr w:rsidR="00782477" w:rsidRPr="0029070D" w14:paraId="5A8AE8EB" w14:textId="77777777" w:rsidTr="00F84DDA">
        <w:trPr>
          <w:gridAfter w:val="1"/>
          <w:wAfter w:w="15" w:type="dxa"/>
          <w:trHeight w:val="1470"/>
          <w:jc w:val="center"/>
        </w:trPr>
        <w:tc>
          <w:tcPr>
            <w:tcW w:w="1271" w:type="dxa"/>
            <w:shd w:val="clear" w:color="auto" w:fill="C5EDCE"/>
          </w:tcPr>
          <w:p w14:paraId="5A8AE8D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8-18</w:t>
            </w:r>
          </w:p>
        </w:tc>
        <w:tc>
          <w:tcPr>
            <w:tcW w:w="1276" w:type="dxa"/>
            <w:shd w:val="clear" w:color="auto" w:fill="C5EDCE"/>
          </w:tcPr>
          <w:p w14:paraId="5A8AE8E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C8.I11</w:t>
            </w:r>
          </w:p>
          <w:p w14:paraId="5A8AE8E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Création de places dans l’enseignement supérieur</w:t>
            </w:r>
          </w:p>
        </w:tc>
        <w:tc>
          <w:tcPr>
            <w:tcW w:w="1218" w:type="dxa"/>
            <w:shd w:val="clear" w:color="auto" w:fill="C5EDCE"/>
          </w:tcPr>
          <w:p w14:paraId="5A8AE8E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0" w:type="dxa"/>
            <w:shd w:val="clear" w:color="auto" w:fill="C5EDCE"/>
          </w:tcPr>
          <w:p w14:paraId="5A8AE8E3"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Places créées dans l’enseignement supérieur</w:t>
            </w:r>
          </w:p>
        </w:tc>
        <w:tc>
          <w:tcPr>
            <w:tcW w:w="1279" w:type="dxa"/>
            <w:shd w:val="clear" w:color="auto" w:fill="C5EDCE"/>
          </w:tcPr>
          <w:p w14:paraId="5A8AE8E4"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6" w:type="dxa"/>
            <w:shd w:val="clear" w:color="auto" w:fill="C5EDCE"/>
          </w:tcPr>
          <w:p w14:paraId="5A8AE8E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710" w:type="dxa"/>
            <w:shd w:val="clear" w:color="auto" w:fill="C5EDCE"/>
          </w:tcPr>
          <w:p w14:paraId="5A8AE8E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851" w:type="dxa"/>
            <w:gridSpan w:val="2"/>
            <w:shd w:val="clear" w:color="auto" w:fill="C5EDCE"/>
          </w:tcPr>
          <w:p w14:paraId="5A8AE8E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30 000</w:t>
            </w:r>
          </w:p>
        </w:tc>
        <w:tc>
          <w:tcPr>
            <w:tcW w:w="709" w:type="dxa"/>
            <w:gridSpan w:val="2"/>
            <w:shd w:val="clear" w:color="auto" w:fill="C5EDCE"/>
          </w:tcPr>
          <w:p w14:paraId="5A8AE8E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951" w:type="dxa"/>
            <w:gridSpan w:val="2"/>
            <w:shd w:val="clear" w:color="auto" w:fill="C5EDCE"/>
          </w:tcPr>
          <w:p w14:paraId="5A8AE8E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560" w:type="dxa"/>
            <w:gridSpan w:val="2"/>
            <w:shd w:val="clear" w:color="auto" w:fill="C5EDCE"/>
          </w:tcPr>
          <w:p w14:paraId="5A8AE8EA" w14:textId="77777777" w:rsidR="00740F0F" w:rsidRPr="0029070D" w:rsidRDefault="00100B64">
            <w:pPr>
              <w:spacing w:line="214" w:lineRule="exact"/>
              <w:ind w:left="9" w:right="68"/>
              <w:rPr>
                <w:rFonts w:ascii="Times New Roman" w:eastAsia="Times New Roman" w:hAnsi="Times New Roman" w:cs="Times New Roman"/>
                <w:noProof/>
                <w:sz w:val="18"/>
                <w:szCs w:val="18"/>
              </w:rPr>
            </w:pPr>
            <w:r>
              <w:rPr>
                <w:rFonts w:ascii="Times New Roman" w:hAnsi="Times New Roman"/>
                <w:noProof/>
                <w:sz w:val="18"/>
              </w:rPr>
              <w:t>Nombre de places créées dans l’enseignement supérieur, selon l’enquête du système d’information sur le suivi de l’étudiant (SISE) réalisée par la sous-direction des systèmes d’informatique et des études statistiques du ministère de l’enseignement supérieur et de la recherche</w:t>
            </w:r>
          </w:p>
        </w:tc>
      </w:tr>
      <w:tr w:rsidR="00782477" w:rsidRPr="0029070D" w14:paraId="5A8AE8F8" w14:textId="77777777" w:rsidTr="00F84DDA">
        <w:trPr>
          <w:gridAfter w:val="1"/>
          <w:wAfter w:w="15" w:type="dxa"/>
          <w:trHeight w:val="910"/>
          <w:jc w:val="center"/>
        </w:trPr>
        <w:tc>
          <w:tcPr>
            <w:tcW w:w="1271" w:type="dxa"/>
            <w:shd w:val="clear" w:color="auto" w:fill="C5EDCE"/>
          </w:tcPr>
          <w:p w14:paraId="5A8AE8E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8-19</w:t>
            </w:r>
          </w:p>
        </w:tc>
        <w:tc>
          <w:tcPr>
            <w:tcW w:w="1276" w:type="dxa"/>
            <w:shd w:val="clear" w:color="auto" w:fill="C5EDCE"/>
          </w:tcPr>
          <w:p w14:paraId="5A8AE8E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C8.I12</w:t>
            </w:r>
          </w:p>
          <w:p w14:paraId="5A8AE8E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 xml:space="preserve">Plan jeunes: poursuite d’études des néo-bacheliers </w:t>
            </w:r>
          </w:p>
        </w:tc>
        <w:tc>
          <w:tcPr>
            <w:tcW w:w="1218" w:type="dxa"/>
            <w:shd w:val="clear" w:color="auto" w:fill="C5EDCE"/>
          </w:tcPr>
          <w:p w14:paraId="5A8AE8E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0" w:type="dxa"/>
            <w:shd w:val="clear" w:color="auto" w:fill="C5EDCE"/>
          </w:tcPr>
          <w:p w14:paraId="5A8AE8F0"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Places créées dans l’enseignement supérieur</w:t>
            </w:r>
          </w:p>
        </w:tc>
        <w:tc>
          <w:tcPr>
            <w:tcW w:w="1279" w:type="dxa"/>
            <w:shd w:val="clear" w:color="auto" w:fill="C5EDCE"/>
          </w:tcPr>
          <w:p w14:paraId="5A8AE8F1"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6" w:type="dxa"/>
            <w:shd w:val="clear" w:color="auto" w:fill="C5EDCE"/>
          </w:tcPr>
          <w:p w14:paraId="5A8AE8F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710" w:type="dxa"/>
            <w:shd w:val="clear" w:color="auto" w:fill="C5EDCE"/>
          </w:tcPr>
          <w:p w14:paraId="5A8AE8F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851" w:type="dxa"/>
            <w:gridSpan w:val="2"/>
            <w:shd w:val="clear" w:color="auto" w:fill="C5EDCE"/>
          </w:tcPr>
          <w:p w14:paraId="5A8AE8F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16 000</w:t>
            </w:r>
          </w:p>
        </w:tc>
        <w:tc>
          <w:tcPr>
            <w:tcW w:w="709" w:type="dxa"/>
            <w:gridSpan w:val="2"/>
            <w:shd w:val="clear" w:color="auto" w:fill="C5EDCE"/>
          </w:tcPr>
          <w:p w14:paraId="5A8AE8F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T3</w:t>
            </w:r>
          </w:p>
        </w:tc>
        <w:tc>
          <w:tcPr>
            <w:tcW w:w="951" w:type="dxa"/>
            <w:gridSpan w:val="2"/>
            <w:shd w:val="clear" w:color="auto" w:fill="C5EDCE"/>
          </w:tcPr>
          <w:p w14:paraId="5A8AE8F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4560" w:type="dxa"/>
            <w:gridSpan w:val="2"/>
            <w:shd w:val="clear" w:color="auto" w:fill="C5EDCE"/>
          </w:tcPr>
          <w:p w14:paraId="5A8AE8F7" w14:textId="77777777" w:rsidR="00740F0F" w:rsidRPr="0029070D" w:rsidRDefault="00100B64">
            <w:pPr>
              <w:spacing w:line="214" w:lineRule="exact"/>
              <w:ind w:left="9" w:right="68"/>
              <w:rPr>
                <w:rFonts w:ascii="Times New Roman" w:eastAsia="Times New Roman" w:hAnsi="Times New Roman" w:cs="Times New Roman"/>
                <w:noProof/>
                <w:sz w:val="18"/>
                <w:szCs w:val="18"/>
              </w:rPr>
            </w:pPr>
            <w:r>
              <w:rPr>
                <w:rFonts w:ascii="Times New Roman" w:hAnsi="Times New Roman"/>
                <w:noProof/>
                <w:sz w:val="18"/>
              </w:rPr>
              <w:t>Nombre de places créées dans l’enseignement supérieur, selon les enquêtes conduites auprès des académies</w:t>
            </w:r>
          </w:p>
        </w:tc>
      </w:tr>
      <w:tr w:rsidR="00782477" w:rsidRPr="0029070D" w14:paraId="5A8AE905" w14:textId="77777777" w:rsidTr="00F84DDA">
        <w:trPr>
          <w:gridAfter w:val="1"/>
          <w:wAfter w:w="15" w:type="dxa"/>
          <w:trHeight w:val="980"/>
          <w:jc w:val="center"/>
        </w:trPr>
        <w:tc>
          <w:tcPr>
            <w:tcW w:w="1271" w:type="dxa"/>
            <w:shd w:val="clear" w:color="auto" w:fill="C5EDCE"/>
          </w:tcPr>
          <w:p w14:paraId="5A8AE8F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8-20</w:t>
            </w:r>
          </w:p>
        </w:tc>
        <w:tc>
          <w:tcPr>
            <w:tcW w:w="1276" w:type="dxa"/>
            <w:shd w:val="clear" w:color="auto" w:fill="C5EDCE"/>
          </w:tcPr>
          <w:p w14:paraId="5A8AE8F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C8.I13</w:t>
            </w:r>
          </w:p>
          <w:p w14:paraId="5A8AE8FB" w14:textId="77777777" w:rsidR="00740F0F" w:rsidRPr="0029070D" w:rsidRDefault="00100B64">
            <w:pPr>
              <w:spacing w:line="214" w:lineRule="exact"/>
              <w:ind w:left="9" w:right="19"/>
              <w:jc w:val="center"/>
              <w:rPr>
                <w:rFonts w:ascii="Times New Roman" w:eastAsia="Times New Roman" w:hAnsi="Times New Roman" w:cs="Times New Roman"/>
                <w:noProof/>
                <w:sz w:val="18"/>
                <w:szCs w:val="18"/>
              </w:rPr>
            </w:pPr>
            <w:r>
              <w:rPr>
                <w:rFonts w:ascii="Times New Roman" w:hAnsi="Times New Roman"/>
                <w:noProof/>
                <w:sz w:val="18"/>
              </w:rPr>
              <w:t>PACEA et Garantie jeunes</w:t>
            </w:r>
          </w:p>
        </w:tc>
        <w:tc>
          <w:tcPr>
            <w:tcW w:w="1218" w:type="dxa"/>
            <w:shd w:val="clear" w:color="auto" w:fill="C5EDCE"/>
          </w:tcPr>
          <w:p w14:paraId="5A8AE8F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0" w:type="dxa"/>
            <w:shd w:val="clear" w:color="auto" w:fill="C5EDCE"/>
          </w:tcPr>
          <w:p w14:paraId="5A8AE8FD"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 xml:space="preserve">Destinataires d’une allocation PACEA ou d’une allocation garantie Jeunes en 2021 </w:t>
            </w:r>
          </w:p>
        </w:tc>
        <w:tc>
          <w:tcPr>
            <w:tcW w:w="1279" w:type="dxa"/>
            <w:shd w:val="clear" w:color="auto" w:fill="C5EDCE"/>
          </w:tcPr>
          <w:p w14:paraId="5A8AE8FE"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6" w:type="dxa"/>
            <w:shd w:val="clear" w:color="auto" w:fill="C5EDCE"/>
          </w:tcPr>
          <w:p w14:paraId="5A8AE8F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710" w:type="dxa"/>
            <w:shd w:val="clear" w:color="auto" w:fill="C5EDCE"/>
          </w:tcPr>
          <w:p w14:paraId="5A8AE90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851" w:type="dxa"/>
            <w:gridSpan w:val="2"/>
            <w:shd w:val="clear" w:color="auto" w:fill="C5EDCE"/>
          </w:tcPr>
          <w:p w14:paraId="5A8AE90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130 000</w:t>
            </w:r>
          </w:p>
        </w:tc>
        <w:tc>
          <w:tcPr>
            <w:tcW w:w="709" w:type="dxa"/>
            <w:gridSpan w:val="2"/>
            <w:shd w:val="clear" w:color="auto" w:fill="C5EDCE"/>
          </w:tcPr>
          <w:p w14:paraId="5A8AE90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T1</w:t>
            </w:r>
          </w:p>
        </w:tc>
        <w:tc>
          <w:tcPr>
            <w:tcW w:w="951" w:type="dxa"/>
            <w:gridSpan w:val="2"/>
            <w:shd w:val="clear" w:color="auto" w:fill="C5EDCE"/>
          </w:tcPr>
          <w:p w14:paraId="5A8AE90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560" w:type="dxa"/>
            <w:gridSpan w:val="2"/>
            <w:shd w:val="clear" w:color="auto" w:fill="C5EDCE"/>
          </w:tcPr>
          <w:p w14:paraId="5A8AE904" w14:textId="77777777" w:rsidR="00740F0F" w:rsidRPr="0029070D" w:rsidRDefault="00100B64">
            <w:pPr>
              <w:spacing w:line="214" w:lineRule="exact"/>
              <w:ind w:left="9" w:right="68"/>
              <w:rPr>
                <w:rFonts w:ascii="Times New Roman" w:eastAsia="Times New Roman" w:hAnsi="Times New Roman" w:cs="Times New Roman"/>
                <w:noProof/>
                <w:sz w:val="18"/>
                <w:szCs w:val="18"/>
              </w:rPr>
            </w:pPr>
            <w:r>
              <w:rPr>
                <w:rFonts w:ascii="Times New Roman" w:hAnsi="Times New Roman"/>
                <w:noProof/>
                <w:sz w:val="18"/>
              </w:rPr>
              <w:t>Nombre de jeunes ayant bénéficié d’une allocation PACEA ou d’une allocation Garantie Jeunes en 2021</w:t>
            </w:r>
          </w:p>
        </w:tc>
      </w:tr>
      <w:tr w:rsidR="00782477" w:rsidRPr="0029070D" w14:paraId="5A8AE912" w14:textId="77777777" w:rsidTr="00F84DDA">
        <w:trPr>
          <w:gridAfter w:val="1"/>
          <w:wAfter w:w="15" w:type="dxa"/>
          <w:trHeight w:val="979"/>
          <w:jc w:val="center"/>
        </w:trPr>
        <w:tc>
          <w:tcPr>
            <w:tcW w:w="1271" w:type="dxa"/>
            <w:shd w:val="clear" w:color="auto" w:fill="C5EDCE"/>
          </w:tcPr>
          <w:p w14:paraId="5A8AE90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8-21</w:t>
            </w:r>
          </w:p>
        </w:tc>
        <w:tc>
          <w:tcPr>
            <w:tcW w:w="1276" w:type="dxa"/>
            <w:shd w:val="clear" w:color="auto" w:fill="C5EDCE"/>
          </w:tcPr>
          <w:p w14:paraId="5A8AE90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C8.I14</w:t>
            </w:r>
          </w:p>
          <w:p w14:paraId="5A8AE90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Contrats aidés pour les jeunes (PEC et CIE)</w:t>
            </w:r>
          </w:p>
        </w:tc>
        <w:tc>
          <w:tcPr>
            <w:tcW w:w="1218" w:type="dxa"/>
            <w:shd w:val="clear" w:color="auto" w:fill="C5EDCE"/>
          </w:tcPr>
          <w:p w14:paraId="5A8AE90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0" w:type="dxa"/>
            <w:shd w:val="clear" w:color="auto" w:fill="C5EDCE"/>
          </w:tcPr>
          <w:p w14:paraId="5A8AE90A" w14:textId="77777777" w:rsidR="00740F0F" w:rsidRPr="0029070D" w:rsidRDefault="00100B64" w:rsidP="003259A7">
            <w:pPr>
              <w:ind w:left="57" w:right="57"/>
              <w:jc w:val="both"/>
              <w:rPr>
                <w:rFonts w:ascii="Times New Roman" w:eastAsia="Times New Roman" w:hAnsi="Times New Roman" w:cs="Times New Roman"/>
                <w:noProof/>
                <w:sz w:val="18"/>
                <w:szCs w:val="18"/>
              </w:rPr>
            </w:pPr>
            <w:r>
              <w:rPr>
                <w:rFonts w:ascii="Times New Roman" w:hAnsi="Times New Roman"/>
                <w:noProof/>
                <w:sz w:val="18"/>
              </w:rPr>
              <w:t>Contrats aidés</w:t>
            </w:r>
          </w:p>
        </w:tc>
        <w:tc>
          <w:tcPr>
            <w:tcW w:w="1279" w:type="dxa"/>
            <w:shd w:val="clear" w:color="auto" w:fill="C5EDCE"/>
          </w:tcPr>
          <w:p w14:paraId="5A8AE90B"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6" w:type="dxa"/>
            <w:shd w:val="clear" w:color="auto" w:fill="C5EDCE"/>
          </w:tcPr>
          <w:p w14:paraId="5A8AE90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710" w:type="dxa"/>
            <w:shd w:val="clear" w:color="auto" w:fill="C5EDCE"/>
          </w:tcPr>
          <w:p w14:paraId="5A8AE90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851" w:type="dxa"/>
            <w:gridSpan w:val="2"/>
            <w:shd w:val="clear" w:color="auto" w:fill="C5EDCE"/>
          </w:tcPr>
          <w:p w14:paraId="5A8AE90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65 000</w:t>
            </w:r>
          </w:p>
        </w:tc>
        <w:tc>
          <w:tcPr>
            <w:tcW w:w="709" w:type="dxa"/>
            <w:gridSpan w:val="2"/>
            <w:shd w:val="clear" w:color="auto" w:fill="C5EDCE"/>
          </w:tcPr>
          <w:p w14:paraId="5A8AE90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T1</w:t>
            </w:r>
          </w:p>
        </w:tc>
        <w:tc>
          <w:tcPr>
            <w:tcW w:w="951" w:type="dxa"/>
            <w:gridSpan w:val="2"/>
            <w:shd w:val="clear" w:color="auto" w:fill="C5EDCE"/>
          </w:tcPr>
          <w:p w14:paraId="5A8AE91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560" w:type="dxa"/>
            <w:gridSpan w:val="2"/>
            <w:shd w:val="clear" w:color="auto" w:fill="C5EDCE"/>
          </w:tcPr>
          <w:p w14:paraId="5A8AE911" w14:textId="77777777" w:rsidR="00740F0F" w:rsidRPr="0029070D" w:rsidRDefault="00100B64">
            <w:pPr>
              <w:spacing w:line="214" w:lineRule="exact"/>
              <w:ind w:left="9" w:right="68"/>
              <w:rPr>
                <w:rFonts w:ascii="Times New Roman" w:eastAsia="Times New Roman" w:hAnsi="Times New Roman" w:cs="Times New Roman"/>
                <w:noProof/>
                <w:sz w:val="18"/>
                <w:szCs w:val="18"/>
              </w:rPr>
            </w:pPr>
            <w:r>
              <w:rPr>
                <w:rFonts w:ascii="Times New Roman" w:hAnsi="Times New Roman"/>
                <w:noProof/>
                <w:sz w:val="18"/>
              </w:rPr>
              <w:t>Nombre de contrats aidés, PEC et CIE, selon Pôle Emploi.</w:t>
            </w:r>
          </w:p>
        </w:tc>
      </w:tr>
      <w:tr w:rsidR="00782477" w:rsidRPr="0029070D" w14:paraId="5A8AE91F" w14:textId="77777777" w:rsidTr="00F84DDA">
        <w:trPr>
          <w:gridAfter w:val="1"/>
          <w:wAfter w:w="15" w:type="dxa"/>
          <w:trHeight w:val="1532"/>
          <w:jc w:val="center"/>
        </w:trPr>
        <w:tc>
          <w:tcPr>
            <w:tcW w:w="1271" w:type="dxa"/>
            <w:shd w:val="clear" w:color="auto" w:fill="C5EDCE"/>
          </w:tcPr>
          <w:p w14:paraId="5A8AE91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8-22</w:t>
            </w:r>
          </w:p>
        </w:tc>
        <w:tc>
          <w:tcPr>
            <w:tcW w:w="1276" w:type="dxa"/>
            <w:shd w:val="clear" w:color="auto" w:fill="C5EDCE"/>
          </w:tcPr>
          <w:p w14:paraId="5A8AE91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C8.I15</w:t>
            </w:r>
          </w:p>
          <w:p w14:paraId="5A8AE915" w14:textId="77777777" w:rsidR="00740F0F" w:rsidRPr="0029070D" w:rsidRDefault="00100B64">
            <w:pPr>
              <w:spacing w:line="214" w:lineRule="exact"/>
              <w:ind w:left="9" w:right="19"/>
              <w:jc w:val="center"/>
              <w:rPr>
                <w:rFonts w:ascii="Times New Roman" w:eastAsia="Times New Roman" w:hAnsi="Times New Roman" w:cs="Times New Roman"/>
                <w:noProof/>
                <w:sz w:val="18"/>
                <w:szCs w:val="18"/>
              </w:rPr>
            </w:pPr>
            <w:r>
              <w:rPr>
                <w:rFonts w:ascii="Times New Roman" w:hAnsi="Times New Roman"/>
                <w:noProof/>
                <w:sz w:val="18"/>
              </w:rPr>
              <w:t>Aide à la mobilisation des employeurs pour l’embauche des travailleurs handicapés (AMEETH)</w:t>
            </w:r>
          </w:p>
        </w:tc>
        <w:tc>
          <w:tcPr>
            <w:tcW w:w="1218" w:type="dxa"/>
            <w:shd w:val="clear" w:color="auto" w:fill="C5EDCE"/>
          </w:tcPr>
          <w:p w14:paraId="5A8AE91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0" w:type="dxa"/>
            <w:shd w:val="clear" w:color="auto" w:fill="C5EDCE"/>
          </w:tcPr>
          <w:p w14:paraId="5A8AE917"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Aides versées</w:t>
            </w:r>
          </w:p>
        </w:tc>
        <w:tc>
          <w:tcPr>
            <w:tcW w:w="1279" w:type="dxa"/>
            <w:shd w:val="clear" w:color="auto" w:fill="C5EDCE"/>
          </w:tcPr>
          <w:p w14:paraId="5A8AE918"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6" w:type="dxa"/>
            <w:shd w:val="clear" w:color="auto" w:fill="C5EDCE"/>
          </w:tcPr>
          <w:p w14:paraId="5A8AE91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710" w:type="dxa"/>
            <w:shd w:val="clear" w:color="auto" w:fill="C5EDCE"/>
          </w:tcPr>
          <w:p w14:paraId="5A8AE91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851" w:type="dxa"/>
            <w:gridSpan w:val="2"/>
            <w:shd w:val="clear" w:color="auto" w:fill="C5EDCE"/>
          </w:tcPr>
          <w:p w14:paraId="5A8AE91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12 500</w:t>
            </w:r>
          </w:p>
        </w:tc>
        <w:tc>
          <w:tcPr>
            <w:tcW w:w="709" w:type="dxa"/>
            <w:gridSpan w:val="2"/>
            <w:shd w:val="clear" w:color="auto" w:fill="C5EDCE"/>
          </w:tcPr>
          <w:p w14:paraId="5A8AE91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T2</w:t>
            </w:r>
          </w:p>
        </w:tc>
        <w:tc>
          <w:tcPr>
            <w:tcW w:w="951" w:type="dxa"/>
            <w:gridSpan w:val="2"/>
            <w:shd w:val="clear" w:color="auto" w:fill="C5EDCE"/>
          </w:tcPr>
          <w:p w14:paraId="5A8AE91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4560" w:type="dxa"/>
            <w:gridSpan w:val="2"/>
            <w:shd w:val="clear" w:color="auto" w:fill="C5EDCE"/>
          </w:tcPr>
          <w:p w14:paraId="5A8AE91E" w14:textId="77777777" w:rsidR="00740F0F" w:rsidRPr="0029070D" w:rsidRDefault="00100B64">
            <w:pPr>
              <w:spacing w:line="214" w:lineRule="exact"/>
              <w:ind w:left="9" w:right="68"/>
              <w:rPr>
                <w:rFonts w:ascii="Times New Roman" w:eastAsia="Times New Roman" w:hAnsi="Times New Roman" w:cs="Times New Roman"/>
                <w:noProof/>
                <w:sz w:val="18"/>
                <w:szCs w:val="18"/>
              </w:rPr>
            </w:pPr>
            <w:r>
              <w:rPr>
                <w:rFonts w:ascii="Times New Roman" w:hAnsi="Times New Roman"/>
                <w:noProof/>
                <w:sz w:val="18"/>
              </w:rPr>
              <w:t>Nombre d’aides versées pour l’embauche d’un travailleur handicapé</w:t>
            </w:r>
          </w:p>
        </w:tc>
      </w:tr>
      <w:tr w:rsidR="00782477" w:rsidRPr="0029070D" w14:paraId="5A8AE92C" w14:textId="77777777" w:rsidTr="00F84DDA">
        <w:trPr>
          <w:gridAfter w:val="1"/>
          <w:wAfter w:w="15" w:type="dxa"/>
          <w:trHeight w:val="1129"/>
          <w:jc w:val="center"/>
        </w:trPr>
        <w:tc>
          <w:tcPr>
            <w:tcW w:w="1271" w:type="dxa"/>
            <w:shd w:val="clear" w:color="auto" w:fill="C5EDCE"/>
          </w:tcPr>
          <w:p w14:paraId="5A8AE92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8-23</w:t>
            </w:r>
          </w:p>
        </w:tc>
        <w:tc>
          <w:tcPr>
            <w:tcW w:w="1276" w:type="dxa"/>
            <w:shd w:val="clear" w:color="auto" w:fill="C5EDCE"/>
          </w:tcPr>
          <w:p w14:paraId="5A8AE92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C8.I16</w:t>
            </w:r>
          </w:p>
          <w:p w14:paraId="5A8AE922" w14:textId="77777777" w:rsidR="00740F0F" w:rsidRPr="0029070D" w:rsidRDefault="00100B64">
            <w:pPr>
              <w:spacing w:line="214" w:lineRule="exact"/>
              <w:ind w:left="9" w:right="19"/>
              <w:jc w:val="center"/>
              <w:rPr>
                <w:rFonts w:ascii="Times New Roman" w:eastAsia="Times New Roman" w:hAnsi="Times New Roman" w:cs="Times New Roman"/>
                <w:noProof/>
                <w:sz w:val="18"/>
                <w:szCs w:val="18"/>
              </w:rPr>
            </w:pPr>
            <w:r>
              <w:rPr>
                <w:rFonts w:ascii="Times New Roman" w:hAnsi="Times New Roman"/>
                <w:noProof/>
                <w:sz w:val="18"/>
              </w:rPr>
              <w:t>Extension exceptionnelle du plan d’Emploi accompagné</w:t>
            </w:r>
          </w:p>
        </w:tc>
        <w:tc>
          <w:tcPr>
            <w:tcW w:w="1218" w:type="dxa"/>
            <w:shd w:val="clear" w:color="auto" w:fill="C5EDCE"/>
          </w:tcPr>
          <w:p w14:paraId="5A8AE92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700" w:type="dxa"/>
            <w:shd w:val="clear" w:color="auto" w:fill="C5EDCE"/>
          </w:tcPr>
          <w:p w14:paraId="5A8AE924" w14:textId="77777777" w:rsidR="00740F0F" w:rsidRPr="0029070D" w:rsidRDefault="00100B64">
            <w:pPr>
              <w:spacing w:line="214" w:lineRule="exact"/>
              <w:ind w:left="9" w:right="186"/>
              <w:rPr>
                <w:rFonts w:ascii="Times New Roman" w:eastAsia="Times New Roman" w:hAnsi="Times New Roman" w:cs="Times New Roman"/>
                <w:noProof/>
                <w:sz w:val="18"/>
                <w:szCs w:val="18"/>
              </w:rPr>
            </w:pPr>
            <w:r>
              <w:rPr>
                <w:rFonts w:ascii="Times New Roman" w:hAnsi="Times New Roman"/>
                <w:noProof/>
                <w:sz w:val="18"/>
              </w:rPr>
              <w:t>Déploiement complet de l’extension du dispositif d’Emploi accompagné</w:t>
            </w:r>
          </w:p>
        </w:tc>
        <w:tc>
          <w:tcPr>
            <w:tcW w:w="1279" w:type="dxa"/>
            <w:shd w:val="clear" w:color="auto" w:fill="C5EDCE"/>
          </w:tcPr>
          <w:p w14:paraId="5A8AE925"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Rapport attestant de l’achèvement de la mesure</w:t>
            </w:r>
          </w:p>
        </w:tc>
        <w:tc>
          <w:tcPr>
            <w:tcW w:w="996" w:type="dxa"/>
            <w:shd w:val="clear" w:color="auto" w:fill="C5EDCE"/>
          </w:tcPr>
          <w:p w14:paraId="5A8AE926"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710" w:type="dxa"/>
            <w:shd w:val="clear" w:color="auto" w:fill="C5EDCE"/>
          </w:tcPr>
          <w:p w14:paraId="5A8AE927"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1" w:type="dxa"/>
            <w:gridSpan w:val="2"/>
            <w:shd w:val="clear" w:color="auto" w:fill="C5EDCE"/>
          </w:tcPr>
          <w:p w14:paraId="5A8AE928"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709" w:type="dxa"/>
            <w:gridSpan w:val="2"/>
            <w:shd w:val="clear" w:color="auto" w:fill="C5EDCE"/>
          </w:tcPr>
          <w:p w14:paraId="5A8AE92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T2</w:t>
            </w:r>
          </w:p>
        </w:tc>
        <w:tc>
          <w:tcPr>
            <w:tcW w:w="951" w:type="dxa"/>
            <w:gridSpan w:val="2"/>
            <w:shd w:val="clear" w:color="auto" w:fill="C5EDCE"/>
          </w:tcPr>
          <w:p w14:paraId="5A8AE92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4560" w:type="dxa"/>
            <w:gridSpan w:val="2"/>
            <w:shd w:val="clear" w:color="auto" w:fill="C5EDCE"/>
          </w:tcPr>
          <w:p w14:paraId="5A8AE92B" w14:textId="77777777" w:rsidR="00740F0F" w:rsidRPr="0029070D" w:rsidRDefault="00100B64">
            <w:pPr>
              <w:spacing w:line="214" w:lineRule="exact"/>
              <w:ind w:left="9" w:right="68"/>
              <w:rPr>
                <w:rFonts w:ascii="Times New Roman" w:eastAsia="Times New Roman" w:hAnsi="Times New Roman" w:cs="Times New Roman"/>
                <w:noProof/>
                <w:sz w:val="18"/>
                <w:szCs w:val="18"/>
              </w:rPr>
            </w:pPr>
            <w:r>
              <w:rPr>
                <w:rFonts w:ascii="Times New Roman" w:hAnsi="Times New Roman"/>
                <w:noProof/>
                <w:sz w:val="18"/>
              </w:rPr>
              <w:t>Déploiement complet de l’extension du dispositif d’Emploi accompagné en faveur des personnes handicapées.</w:t>
            </w:r>
          </w:p>
        </w:tc>
      </w:tr>
      <w:tr w:rsidR="00782477" w:rsidRPr="0029070D" w14:paraId="5A8AE939" w14:textId="77777777" w:rsidTr="00F84DDA">
        <w:trPr>
          <w:gridAfter w:val="1"/>
          <w:wAfter w:w="15" w:type="dxa"/>
          <w:trHeight w:val="820"/>
          <w:jc w:val="center"/>
        </w:trPr>
        <w:tc>
          <w:tcPr>
            <w:tcW w:w="1271" w:type="dxa"/>
            <w:shd w:val="clear" w:color="auto" w:fill="C5EDCE"/>
          </w:tcPr>
          <w:p w14:paraId="5A8AE92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8-24</w:t>
            </w:r>
          </w:p>
        </w:tc>
        <w:tc>
          <w:tcPr>
            <w:tcW w:w="1276" w:type="dxa"/>
            <w:shd w:val="clear" w:color="auto" w:fill="C5EDCE"/>
          </w:tcPr>
          <w:p w14:paraId="5A8AE92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C8.I17</w:t>
            </w:r>
          </w:p>
          <w:p w14:paraId="5A8AE92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Formation à distance</w:t>
            </w:r>
          </w:p>
        </w:tc>
        <w:tc>
          <w:tcPr>
            <w:tcW w:w="1218" w:type="dxa"/>
            <w:shd w:val="clear" w:color="auto" w:fill="C5EDCE"/>
          </w:tcPr>
          <w:p w14:paraId="5A8AE93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0" w:type="dxa"/>
            <w:shd w:val="clear" w:color="auto" w:fill="C5EDCE"/>
          </w:tcPr>
          <w:p w14:paraId="5A8AE931" w14:textId="77777777" w:rsidR="00740F0F" w:rsidRPr="0029070D" w:rsidRDefault="00100B64">
            <w:pPr>
              <w:spacing w:line="214" w:lineRule="exact"/>
              <w:ind w:left="9" w:right="294"/>
              <w:rPr>
                <w:rFonts w:ascii="Times New Roman" w:eastAsia="Times New Roman" w:hAnsi="Times New Roman" w:cs="Times New Roman"/>
                <w:noProof/>
                <w:sz w:val="18"/>
                <w:szCs w:val="18"/>
              </w:rPr>
            </w:pPr>
            <w:r>
              <w:rPr>
                <w:rFonts w:ascii="Times New Roman" w:hAnsi="Times New Roman"/>
                <w:noProof/>
                <w:sz w:val="18"/>
              </w:rPr>
              <w:t>Inscriptions à des formations professionnelles à distance</w:t>
            </w:r>
          </w:p>
        </w:tc>
        <w:tc>
          <w:tcPr>
            <w:tcW w:w="1279" w:type="dxa"/>
            <w:shd w:val="clear" w:color="auto" w:fill="C5EDCE"/>
          </w:tcPr>
          <w:p w14:paraId="5A8AE932"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6" w:type="dxa"/>
            <w:shd w:val="clear" w:color="auto" w:fill="C5EDCE"/>
          </w:tcPr>
          <w:p w14:paraId="5A8AE93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710" w:type="dxa"/>
            <w:shd w:val="clear" w:color="auto" w:fill="C5EDCE"/>
          </w:tcPr>
          <w:p w14:paraId="5A8AE93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851" w:type="dxa"/>
            <w:gridSpan w:val="2"/>
            <w:shd w:val="clear" w:color="auto" w:fill="C5EDCE"/>
          </w:tcPr>
          <w:p w14:paraId="5A8AE93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30 000</w:t>
            </w:r>
          </w:p>
        </w:tc>
        <w:tc>
          <w:tcPr>
            <w:tcW w:w="709" w:type="dxa"/>
            <w:gridSpan w:val="2"/>
            <w:shd w:val="clear" w:color="auto" w:fill="C5EDCE"/>
          </w:tcPr>
          <w:p w14:paraId="5A8AE93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951" w:type="dxa"/>
            <w:gridSpan w:val="2"/>
            <w:shd w:val="clear" w:color="auto" w:fill="C5EDCE"/>
          </w:tcPr>
          <w:p w14:paraId="5A8AE93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4560" w:type="dxa"/>
            <w:gridSpan w:val="2"/>
            <w:shd w:val="clear" w:color="auto" w:fill="C5EDCE"/>
          </w:tcPr>
          <w:p w14:paraId="5A8AE938" w14:textId="77777777" w:rsidR="00740F0F" w:rsidRPr="0029070D" w:rsidRDefault="00100B64">
            <w:pPr>
              <w:spacing w:line="214" w:lineRule="exact"/>
              <w:ind w:left="9" w:right="68"/>
              <w:rPr>
                <w:rFonts w:ascii="Times New Roman" w:eastAsia="Times New Roman" w:hAnsi="Times New Roman" w:cs="Times New Roman"/>
                <w:noProof/>
                <w:sz w:val="18"/>
                <w:szCs w:val="18"/>
              </w:rPr>
            </w:pPr>
            <w:r>
              <w:rPr>
                <w:rFonts w:ascii="Times New Roman" w:hAnsi="Times New Roman"/>
                <w:noProof/>
                <w:sz w:val="18"/>
              </w:rPr>
              <w:t>Nombre d’inscriptions à des formations professionnelles à distance proposées par Pôle Emploi</w:t>
            </w:r>
          </w:p>
        </w:tc>
      </w:tr>
      <w:tr w:rsidR="00782477" w:rsidRPr="0029070D" w14:paraId="5A8AE953" w14:textId="77777777" w:rsidTr="00F84DDA">
        <w:trPr>
          <w:gridAfter w:val="1"/>
          <w:wAfter w:w="15" w:type="dxa"/>
          <w:trHeight w:val="2071"/>
          <w:jc w:val="center"/>
        </w:trPr>
        <w:tc>
          <w:tcPr>
            <w:tcW w:w="1271" w:type="dxa"/>
            <w:shd w:val="clear" w:color="auto" w:fill="C5EDCE"/>
          </w:tcPr>
          <w:p w14:paraId="5A8AE94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8-26</w:t>
            </w:r>
          </w:p>
        </w:tc>
        <w:tc>
          <w:tcPr>
            <w:tcW w:w="1276" w:type="dxa"/>
            <w:shd w:val="clear" w:color="auto" w:fill="C5EDCE"/>
          </w:tcPr>
          <w:p w14:paraId="5A8AE94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C8.I18</w:t>
            </w:r>
          </w:p>
          <w:p w14:paraId="5A8AE94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Modernisation et hybridation de la formation professionnelle</w:t>
            </w:r>
          </w:p>
        </w:tc>
        <w:tc>
          <w:tcPr>
            <w:tcW w:w="1218" w:type="dxa"/>
            <w:shd w:val="clear" w:color="auto" w:fill="C5EDCE"/>
          </w:tcPr>
          <w:p w14:paraId="5A8AE94A" w14:textId="77777777" w:rsidR="00740F0F" w:rsidRPr="0029070D" w:rsidRDefault="00100B64">
            <w:pPr>
              <w:spacing w:line="214" w:lineRule="exact"/>
              <w:ind w:left="9" w:right="123"/>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700" w:type="dxa"/>
            <w:shd w:val="clear" w:color="auto" w:fill="C5EDCE"/>
          </w:tcPr>
          <w:p w14:paraId="5A8AE94B"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Soutien à l’assistance à la gestion de projets en vue de favoriser la conception et la diffusion de contenu numérique</w:t>
            </w:r>
          </w:p>
        </w:tc>
        <w:tc>
          <w:tcPr>
            <w:tcW w:w="1279" w:type="dxa"/>
            <w:shd w:val="clear" w:color="auto" w:fill="C5EDCE"/>
          </w:tcPr>
          <w:p w14:paraId="5A8AE94C" w14:textId="77777777" w:rsidR="00740F0F" w:rsidRPr="0029070D" w:rsidRDefault="00100B64">
            <w:pPr>
              <w:spacing w:line="214" w:lineRule="exact"/>
              <w:ind w:left="9" w:right="136"/>
              <w:rPr>
                <w:rFonts w:ascii="Times New Roman" w:eastAsia="Times New Roman" w:hAnsi="Times New Roman" w:cs="Times New Roman"/>
                <w:noProof/>
                <w:sz w:val="18"/>
                <w:szCs w:val="18"/>
              </w:rPr>
            </w:pPr>
            <w:r>
              <w:rPr>
                <w:rFonts w:ascii="Times New Roman" w:hAnsi="Times New Roman"/>
                <w:noProof/>
                <w:sz w:val="18"/>
              </w:rPr>
              <w:t>Transmission des éléments livrables</w:t>
            </w:r>
          </w:p>
        </w:tc>
        <w:tc>
          <w:tcPr>
            <w:tcW w:w="996" w:type="dxa"/>
            <w:shd w:val="clear" w:color="auto" w:fill="C5EDCE"/>
          </w:tcPr>
          <w:p w14:paraId="5A8AE94D"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710" w:type="dxa"/>
            <w:shd w:val="clear" w:color="auto" w:fill="C5EDCE"/>
          </w:tcPr>
          <w:p w14:paraId="5A8AE94E"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1" w:type="dxa"/>
            <w:gridSpan w:val="2"/>
            <w:shd w:val="clear" w:color="auto" w:fill="C5EDCE"/>
          </w:tcPr>
          <w:p w14:paraId="5A8AE94F"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709" w:type="dxa"/>
            <w:gridSpan w:val="2"/>
            <w:shd w:val="clear" w:color="auto" w:fill="C5EDCE"/>
          </w:tcPr>
          <w:p w14:paraId="5A8AE95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951" w:type="dxa"/>
            <w:gridSpan w:val="2"/>
            <w:shd w:val="clear" w:color="auto" w:fill="C5EDCE"/>
          </w:tcPr>
          <w:p w14:paraId="5A8AE95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560" w:type="dxa"/>
            <w:gridSpan w:val="2"/>
            <w:shd w:val="clear" w:color="auto" w:fill="C5EDCE"/>
          </w:tcPr>
          <w:p w14:paraId="5A8AE952" w14:textId="77777777" w:rsidR="00740F0F" w:rsidRPr="0029070D" w:rsidRDefault="00100B64">
            <w:pPr>
              <w:spacing w:line="214" w:lineRule="exact"/>
              <w:ind w:left="9" w:right="68"/>
              <w:rPr>
                <w:rFonts w:ascii="Times New Roman" w:eastAsia="Times New Roman" w:hAnsi="Times New Roman" w:cs="Times New Roman"/>
                <w:noProof/>
                <w:sz w:val="18"/>
                <w:szCs w:val="18"/>
              </w:rPr>
            </w:pPr>
            <w:r>
              <w:rPr>
                <w:rFonts w:ascii="Times New Roman" w:hAnsi="Times New Roman"/>
                <w:noProof/>
                <w:sz w:val="18"/>
              </w:rPr>
              <w:t>Éléments livrables produits dans le cadre du soutien à l’assistance à la gestion de projets en vue de favoriser la conception et la diffusion de contenus numériques (y compris les 15 dossiers projet).</w:t>
            </w:r>
          </w:p>
        </w:tc>
      </w:tr>
      <w:tr w:rsidR="00782477" w:rsidRPr="0029070D" w14:paraId="5A8AE960" w14:textId="77777777" w:rsidTr="00F84DDA">
        <w:trPr>
          <w:gridAfter w:val="1"/>
          <w:wAfter w:w="15" w:type="dxa"/>
          <w:trHeight w:val="2074"/>
          <w:jc w:val="center"/>
        </w:trPr>
        <w:tc>
          <w:tcPr>
            <w:tcW w:w="1271" w:type="dxa"/>
            <w:shd w:val="clear" w:color="auto" w:fill="C5EDCE"/>
          </w:tcPr>
          <w:p w14:paraId="5A8AE95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8-27</w:t>
            </w:r>
          </w:p>
        </w:tc>
        <w:tc>
          <w:tcPr>
            <w:tcW w:w="1276" w:type="dxa"/>
            <w:shd w:val="clear" w:color="auto" w:fill="C5EDCE"/>
          </w:tcPr>
          <w:p w14:paraId="5A8AE95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C8.I19</w:t>
            </w:r>
          </w:p>
          <w:p w14:paraId="5A8AE956" w14:textId="77777777" w:rsidR="00740F0F" w:rsidRPr="0029070D" w:rsidRDefault="00100B64">
            <w:pPr>
              <w:spacing w:line="214" w:lineRule="exact"/>
              <w:ind w:left="9" w:right="19"/>
              <w:jc w:val="center"/>
              <w:rPr>
                <w:rFonts w:ascii="Times New Roman" w:eastAsia="Times New Roman" w:hAnsi="Times New Roman" w:cs="Times New Roman"/>
                <w:noProof/>
                <w:sz w:val="18"/>
                <w:szCs w:val="18"/>
              </w:rPr>
            </w:pPr>
            <w:r>
              <w:rPr>
                <w:rFonts w:ascii="Times New Roman" w:hAnsi="Times New Roman"/>
                <w:noProof/>
                <w:sz w:val="18"/>
              </w:rPr>
              <w:t>Dotation complémentaire allouée aux associations «Transitions Pro» (AT pro) pour le financement des transitions professionnelles</w:t>
            </w:r>
          </w:p>
        </w:tc>
        <w:tc>
          <w:tcPr>
            <w:tcW w:w="1218" w:type="dxa"/>
            <w:shd w:val="clear" w:color="auto" w:fill="C5EDCE"/>
          </w:tcPr>
          <w:p w14:paraId="5A8AE957" w14:textId="77777777" w:rsidR="00740F0F" w:rsidRPr="0029070D" w:rsidRDefault="00100B64">
            <w:pPr>
              <w:spacing w:line="214" w:lineRule="exact"/>
              <w:ind w:left="9" w:right="178"/>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0" w:type="dxa"/>
            <w:shd w:val="clear" w:color="auto" w:fill="C5EDCE"/>
          </w:tcPr>
          <w:p w14:paraId="5A8AE958"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Projets de transition professionnelle financés</w:t>
            </w:r>
          </w:p>
        </w:tc>
        <w:tc>
          <w:tcPr>
            <w:tcW w:w="1279" w:type="dxa"/>
            <w:shd w:val="clear" w:color="auto" w:fill="C5EDCE"/>
          </w:tcPr>
          <w:p w14:paraId="5A8AE959"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6" w:type="dxa"/>
            <w:shd w:val="clear" w:color="auto" w:fill="C5EDCE"/>
          </w:tcPr>
          <w:p w14:paraId="5A8AE95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710" w:type="dxa"/>
            <w:shd w:val="clear" w:color="auto" w:fill="C5EDCE"/>
          </w:tcPr>
          <w:p w14:paraId="5A8AE95B" w14:textId="77777777" w:rsidR="00740F0F" w:rsidRPr="0029070D" w:rsidRDefault="00100B64">
            <w:pPr>
              <w:spacing w:line="214" w:lineRule="exact"/>
              <w:ind w:left="9" w:right="78"/>
              <w:jc w:val="center"/>
              <w:rPr>
                <w:rFonts w:ascii="Times New Roman" w:eastAsia="Times New Roman" w:hAnsi="Times New Roman" w:cs="Times New Roman"/>
                <w:noProof/>
                <w:sz w:val="18"/>
                <w:szCs w:val="18"/>
              </w:rPr>
            </w:pPr>
            <w:r>
              <w:rPr>
                <w:rFonts w:ascii="Times New Roman" w:hAnsi="Times New Roman"/>
                <w:noProof/>
                <w:sz w:val="18"/>
              </w:rPr>
              <w:t>12 277</w:t>
            </w:r>
          </w:p>
        </w:tc>
        <w:tc>
          <w:tcPr>
            <w:tcW w:w="851" w:type="dxa"/>
            <w:gridSpan w:val="2"/>
            <w:shd w:val="clear" w:color="auto" w:fill="C5EDCE"/>
          </w:tcPr>
          <w:p w14:paraId="5A8AE95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16 177</w:t>
            </w:r>
          </w:p>
        </w:tc>
        <w:tc>
          <w:tcPr>
            <w:tcW w:w="709" w:type="dxa"/>
            <w:gridSpan w:val="2"/>
            <w:shd w:val="clear" w:color="auto" w:fill="C5EDCE"/>
          </w:tcPr>
          <w:p w14:paraId="5A8AE95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951" w:type="dxa"/>
            <w:gridSpan w:val="2"/>
            <w:shd w:val="clear" w:color="auto" w:fill="C5EDCE"/>
          </w:tcPr>
          <w:p w14:paraId="5A8AE95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560" w:type="dxa"/>
            <w:gridSpan w:val="2"/>
            <w:shd w:val="clear" w:color="auto" w:fill="C5EDCE"/>
          </w:tcPr>
          <w:p w14:paraId="5A8AE95F" w14:textId="77777777" w:rsidR="00740F0F" w:rsidRPr="0029070D" w:rsidRDefault="00100B64">
            <w:pPr>
              <w:spacing w:line="214" w:lineRule="exact"/>
              <w:ind w:left="9" w:right="68"/>
              <w:rPr>
                <w:rFonts w:ascii="Times New Roman" w:eastAsia="Times New Roman" w:hAnsi="Times New Roman" w:cs="Times New Roman"/>
                <w:noProof/>
                <w:sz w:val="18"/>
                <w:szCs w:val="18"/>
              </w:rPr>
            </w:pPr>
            <w:r>
              <w:rPr>
                <w:rFonts w:ascii="Times New Roman" w:hAnsi="Times New Roman"/>
                <w:noProof/>
                <w:sz w:val="18"/>
              </w:rPr>
              <w:t>Augmentation du nombre (+3 900) de projets de transition professionnelle financés ayant débuté en 2021, par rapport au nombre total de projets de transition professionnelle financés en 2020.</w:t>
            </w:r>
          </w:p>
        </w:tc>
      </w:tr>
      <w:tr w:rsidR="00782477" w:rsidRPr="0029070D" w14:paraId="5A8AE96D" w14:textId="77777777" w:rsidTr="00F84DDA">
        <w:trPr>
          <w:gridAfter w:val="1"/>
          <w:wAfter w:w="15" w:type="dxa"/>
          <w:trHeight w:val="3124"/>
          <w:jc w:val="center"/>
        </w:trPr>
        <w:tc>
          <w:tcPr>
            <w:tcW w:w="1271" w:type="dxa"/>
            <w:shd w:val="clear" w:color="auto" w:fill="C5EDCE"/>
          </w:tcPr>
          <w:p w14:paraId="5A8AE96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8-28</w:t>
            </w:r>
          </w:p>
        </w:tc>
        <w:tc>
          <w:tcPr>
            <w:tcW w:w="1276" w:type="dxa"/>
            <w:shd w:val="clear" w:color="auto" w:fill="C5EDCE"/>
          </w:tcPr>
          <w:p w14:paraId="5A8AE96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C8.I20</w:t>
            </w:r>
          </w:p>
          <w:p w14:paraId="5A8AE96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Abondement des comptes personnels de formation (CPF) pour développer les compétences numériques</w:t>
            </w:r>
          </w:p>
        </w:tc>
        <w:tc>
          <w:tcPr>
            <w:tcW w:w="1218" w:type="dxa"/>
            <w:shd w:val="clear" w:color="auto" w:fill="C5EDCE"/>
          </w:tcPr>
          <w:p w14:paraId="5A8AE964" w14:textId="77777777" w:rsidR="00740F0F" w:rsidRPr="0029070D" w:rsidRDefault="00100B64">
            <w:pPr>
              <w:spacing w:line="214" w:lineRule="exact"/>
              <w:ind w:left="9" w:right="178"/>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0" w:type="dxa"/>
            <w:shd w:val="clear" w:color="auto" w:fill="C5EDCE"/>
          </w:tcPr>
          <w:p w14:paraId="5A8AE965" w14:textId="77777777" w:rsidR="00740F0F" w:rsidRPr="0029070D" w:rsidRDefault="00100B64">
            <w:pPr>
              <w:spacing w:line="214" w:lineRule="exact"/>
              <w:ind w:left="9" w:right="193"/>
              <w:rPr>
                <w:rFonts w:ascii="Times New Roman" w:eastAsia="Times New Roman" w:hAnsi="Times New Roman" w:cs="Times New Roman"/>
                <w:noProof/>
                <w:sz w:val="18"/>
                <w:szCs w:val="18"/>
              </w:rPr>
            </w:pPr>
            <w:r>
              <w:rPr>
                <w:rFonts w:ascii="Times New Roman" w:hAnsi="Times New Roman"/>
                <w:noProof/>
                <w:sz w:val="18"/>
              </w:rPr>
              <w:t>Personnes ayant mobilisé leur CPF avec l’abondement pour s’inscrire à une formation aux compétences numériques inscrite au «répertoire national des certifications professionnelles» ou au «répertoire spécifique».</w:t>
            </w:r>
          </w:p>
        </w:tc>
        <w:tc>
          <w:tcPr>
            <w:tcW w:w="1279" w:type="dxa"/>
            <w:shd w:val="clear" w:color="auto" w:fill="C5EDCE"/>
          </w:tcPr>
          <w:p w14:paraId="5A8AE966"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6" w:type="dxa"/>
            <w:shd w:val="clear" w:color="auto" w:fill="C5EDCE"/>
          </w:tcPr>
          <w:p w14:paraId="5A8AE96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710" w:type="dxa"/>
            <w:shd w:val="clear" w:color="auto" w:fill="C5EDCE"/>
          </w:tcPr>
          <w:p w14:paraId="5A8AE96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851" w:type="dxa"/>
            <w:gridSpan w:val="2"/>
            <w:shd w:val="clear" w:color="auto" w:fill="C5EDCE"/>
          </w:tcPr>
          <w:p w14:paraId="5A8AE96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22 500</w:t>
            </w:r>
          </w:p>
        </w:tc>
        <w:tc>
          <w:tcPr>
            <w:tcW w:w="709" w:type="dxa"/>
            <w:gridSpan w:val="2"/>
            <w:shd w:val="clear" w:color="auto" w:fill="C5EDCE"/>
          </w:tcPr>
          <w:p w14:paraId="5A8AE96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T1</w:t>
            </w:r>
          </w:p>
        </w:tc>
        <w:tc>
          <w:tcPr>
            <w:tcW w:w="951" w:type="dxa"/>
            <w:gridSpan w:val="2"/>
            <w:shd w:val="clear" w:color="auto" w:fill="C5EDCE"/>
          </w:tcPr>
          <w:p w14:paraId="5A8AE96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560" w:type="dxa"/>
            <w:gridSpan w:val="2"/>
            <w:shd w:val="clear" w:color="auto" w:fill="C5EDCE"/>
          </w:tcPr>
          <w:p w14:paraId="5A8AE96C" w14:textId="77777777" w:rsidR="00740F0F" w:rsidRPr="0029070D" w:rsidRDefault="00100B64">
            <w:pPr>
              <w:spacing w:line="214" w:lineRule="exact"/>
              <w:ind w:left="9" w:right="-15"/>
              <w:rPr>
                <w:rFonts w:ascii="Times New Roman" w:eastAsia="Times New Roman" w:hAnsi="Times New Roman" w:cs="Times New Roman"/>
                <w:noProof/>
                <w:sz w:val="18"/>
                <w:szCs w:val="18"/>
              </w:rPr>
            </w:pPr>
            <w:r>
              <w:rPr>
                <w:rFonts w:ascii="Times New Roman" w:hAnsi="Times New Roman"/>
                <w:noProof/>
                <w:sz w:val="18"/>
              </w:rPr>
              <w:t>Personnes ayant mobilisé leur CPF avec l’abondement pour s’inscrire à une formation aux compétences numériques inscrite au «répertoire national des certifications professionnelles» ou au «répertoire spécifique».</w:t>
            </w:r>
          </w:p>
        </w:tc>
      </w:tr>
      <w:tr w:rsidR="00782477" w:rsidRPr="0029070D" w14:paraId="5A8AE97A" w14:textId="77777777" w:rsidTr="00F84DDA">
        <w:trPr>
          <w:gridAfter w:val="1"/>
          <w:wAfter w:w="15" w:type="dxa"/>
          <w:trHeight w:val="1391"/>
          <w:jc w:val="center"/>
        </w:trPr>
        <w:tc>
          <w:tcPr>
            <w:tcW w:w="1271" w:type="dxa"/>
            <w:shd w:val="clear" w:color="auto" w:fill="C5EDCE"/>
          </w:tcPr>
          <w:p w14:paraId="5A8AE96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8-29</w:t>
            </w:r>
          </w:p>
        </w:tc>
        <w:tc>
          <w:tcPr>
            <w:tcW w:w="1276" w:type="dxa"/>
            <w:shd w:val="clear" w:color="auto" w:fill="C5EDCE"/>
          </w:tcPr>
          <w:p w14:paraId="5A8AE96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C8.I21</w:t>
            </w:r>
          </w:p>
          <w:p w14:paraId="5A8AE97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Renforcement des moyens de France compétences</w:t>
            </w:r>
          </w:p>
        </w:tc>
        <w:tc>
          <w:tcPr>
            <w:tcW w:w="1218" w:type="dxa"/>
            <w:shd w:val="clear" w:color="auto" w:fill="C5EDCE"/>
          </w:tcPr>
          <w:p w14:paraId="5A8AE971" w14:textId="77777777" w:rsidR="00740F0F" w:rsidRPr="0029070D" w:rsidRDefault="00100B64">
            <w:pPr>
              <w:spacing w:line="214" w:lineRule="exact"/>
              <w:ind w:left="9" w:right="123"/>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700" w:type="dxa"/>
            <w:shd w:val="clear" w:color="auto" w:fill="C5EDCE"/>
          </w:tcPr>
          <w:p w14:paraId="5A8AE972"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Signature de la convention avec France compétences</w:t>
            </w:r>
          </w:p>
        </w:tc>
        <w:tc>
          <w:tcPr>
            <w:tcW w:w="1279" w:type="dxa"/>
            <w:shd w:val="clear" w:color="auto" w:fill="C5EDCE"/>
          </w:tcPr>
          <w:p w14:paraId="5A8AE973"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Signature de la convention</w:t>
            </w:r>
          </w:p>
        </w:tc>
        <w:tc>
          <w:tcPr>
            <w:tcW w:w="996" w:type="dxa"/>
            <w:shd w:val="clear" w:color="auto" w:fill="C5EDCE"/>
          </w:tcPr>
          <w:p w14:paraId="5A8AE974"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710" w:type="dxa"/>
            <w:shd w:val="clear" w:color="auto" w:fill="C5EDCE"/>
          </w:tcPr>
          <w:p w14:paraId="5A8AE975"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1" w:type="dxa"/>
            <w:gridSpan w:val="2"/>
            <w:shd w:val="clear" w:color="auto" w:fill="C5EDCE"/>
          </w:tcPr>
          <w:p w14:paraId="5A8AE976"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709" w:type="dxa"/>
            <w:gridSpan w:val="2"/>
            <w:shd w:val="clear" w:color="auto" w:fill="C5EDCE"/>
          </w:tcPr>
          <w:p w14:paraId="5A8AE97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T1</w:t>
            </w:r>
          </w:p>
        </w:tc>
        <w:tc>
          <w:tcPr>
            <w:tcW w:w="951" w:type="dxa"/>
            <w:gridSpan w:val="2"/>
            <w:shd w:val="clear" w:color="auto" w:fill="C5EDCE"/>
          </w:tcPr>
          <w:p w14:paraId="5A8AE97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4560" w:type="dxa"/>
            <w:gridSpan w:val="2"/>
            <w:shd w:val="clear" w:color="auto" w:fill="C5EDCE"/>
          </w:tcPr>
          <w:p w14:paraId="5A8AE979" w14:textId="77777777" w:rsidR="00740F0F" w:rsidRPr="0029070D" w:rsidRDefault="00100B64">
            <w:pPr>
              <w:spacing w:line="214" w:lineRule="exact"/>
              <w:ind w:left="9" w:right="47"/>
              <w:rPr>
                <w:rFonts w:ascii="Times New Roman" w:eastAsia="Times New Roman" w:hAnsi="Times New Roman" w:cs="Times New Roman"/>
                <w:noProof/>
                <w:sz w:val="18"/>
                <w:szCs w:val="18"/>
              </w:rPr>
            </w:pPr>
            <w:r>
              <w:rPr>
                <w:rFonts w:ascii="Times New Roman" w:hAnsi="Times New Roman"/>
                <w:noProof/>
                <w:sz w:val="18"/>
              </w:rPr>
              <w:t>Signature de la convention entre l’État français et France compétences pour augmenter les moyens financiers de France compétences de 750 000 000 EUR.</w:t>
            </w:r>
          </w:p>
        </w:tc>
      </w:tr>
      <w:tr w:rsidR="00782477" w:rsidRPr="0029070D" w14:paraId="5A8AE987" w14:textId="77777777" w:rsidTr="00F84DDA">
        <w:trPr>
          <w:gridAfter w:val="1"/>
          <w:wAfter w:w="15" w:type="dxa"/>
          <w:trHeight w:val="1622"/>
          <w:jc w:val="center"/>
        </w:trPr>
        <w:tc>
          <w:tcPr>
            <w:tcW w:w="1271" w:type="dxa"/>
            <w:shd w:val="clear" w:color="auto" w:fill="C5EDCE"/>
          </w:tcPr>
          <w:p w14:paraId="5A8AE97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8-30</w:t>
            </w:r>
          </w:p>
        </w:tc>
        <w:tc>
          <w:tcPr>
            <w:tcW w:w="1276" w:type="dxa"/>
            <w:shd w:val="clear" w:color="auto" w:fill="C5EDCE"/>
          </w:tcPr>
          <w:p w14:paraId="5A8AE97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C8.I21</w:t>
            </w:r>
          </w:p>
          <w:p w14:paraId="5A8AE97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Renforcement des moyens de France compétences</w:t>
            </w:r>
          </w:p>
        </w:tc>
        <w:tc>
          <w:tcPr>
            <w:tcW w:w="1218" w:type="dxa"/>
            <w:shd w:val="clear" w:color="auto" w:fill="C5EDCE"/>
          </w:tcPr>
          <w:p w14:paraId="5A8AE97E" w14:textId="77777777" w:rsidR="00740F0F" w:rsidRPr="0029070D" w:rsidRDefault="00100B64">
            <w:pPr>
              <w:spacing w:line="214" w:lineRule="exact"/>
              <w:ind w:left="9" w:right="178"/>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0" w:type="dxa"/>
            <w:shd w:val="clear" w:color="auto" w:fill="C5EDCE"/>
          </w:tcPr>
          <w:p w14:paraId="5A8AE97F"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Contrats d’apprentissage supplémentaires signés</w:t>
            </w:r>
          </w:p>
        </w:tc>
        <w:tc>
          <w:tcPr>
            <w:tcW w:w="1279" w:type="dxa"/>
            <w:shd w:val="clear" w:color="auto" w:fill="C5EDCE"/>
          </w:tcPr>
          <w:p w14:paraId="5A8AE980"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6" w:type="dxa"/>
            <w:shd w:val="clear" w:color="auto" w:fill="C5EDCE"/>
          </w:tcPr>
          <w:p w14:paraId="5A8AE98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710" w:type="dxa"/>
            <w:shd w:val="clear" w:color="auto" w:fill="C5EDCE"/>
          </w:tcPr>
          <w:p w14:paraId="5A8AE98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302 619</w:t>
            </w:r>
          </w:p>
        </w:tc>
        <w:tc>
          <w:tcPr>
            <w:tcW w:w="851" w:type="dxa"/>
            <w:gridSpan w:val="2"/>
            <w:shd w:val="clear" w:color="auto" w:fill="C5EDCE"/>
          </w:tcPr>
          <w:p w14:paraId="5A8AE98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462 619</w:t>
            </w:r>
          </w:p>
        </w:tc>
        <w:tc>
          <w:tcPr>
            <w:tcW w:w="709" w:type="dxa"/>
            <w:gridSpan w:val="2"/>
            <w:shd w:val="clear" w:color="auto" w:fill="C5EDCE"/>
          </w:tcPr>
          <w:p w14:paraId="5A8AE98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951" w:type="dxa"/>
            <w:gridSpan w:val="2"/>
            <w:shd w:val="clear" w:color="auto" w:fill="C5EDCE"/>
          </w:tcPr>
          <w:p w14:paraId="5A8AE98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4560" w:type="dxa"/>
            <w:gridSpan w:val="2"/>
            <w:shd w:val="clear" w:color="auto" w:fill="C5EDCE"/>
          </w:tcPr>
          <w:p w14:paraId="5A8AE986" w14:textId="77777777" w:rsidR="00740F0F" w:rsidRPr="0029070D" w:rsidRDefault="00100B64">
            <w:pPr>
              <w:spacing w:line="214" w:lineRule="exact"/>
              <w:ind w:left="9" w:right="83"/>
              <w:rPr>
                <w:rFonts w:ascii="Times New Roman" w:eastAsia="Times New Roman" w:hAnsi="Times New Roman" w:cs="Times New Roman"/>
                <w:noProof/>
                <w:sz w:val="18"/>
                <w:szCs w:val="18"/>
              </w:rPr>
            </w:pPr>
            <w:r>
              <w:rPr>
                <w:rFonts w:ascii="Times New Roman" w:hAnsi="Times New Roman"/>
                <w:noProof/>
                <w:sz w:val="18"/>
              </w:rPr>
              <w:t>Nombre de contrats d’apprentissage supplémentaires signés (+160 000) entre 2021 et 2023, par rapport à la base de référence de 2019, tels que déclarés par les opérateurs de compétences.</w:t>
            </w:r>
          </w:p>
        </w:tc>
      </w:tr>
      <w:tr w:rsidR="00782477" w:rsidRPr="0029070D" w14:paraId="5A8AE994" w14:textId="77777777" w:rsidTr="00F84DDA">
        <w:trPr>
          <w:trHeight w:val="1382"/>
          <w:jc w:val="center"/>
        </w:trPr>
        <w:tc>
          <w:tcPr>
            <w:tcW w:w="1271" w:type="dxa"/>
            <w:shd w:val="clear" w:color="auto" w:fill="C5EDCE"/>
          </w:tcPr>
          <w:p w14:paraId="5A8AE98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8-31</w:t>
            </w:r>
          </w:p>
        </w:tc>
        <w:tc>
          <w:tcPr>
            <w:tcW w:w="1276" w:type="dxa"/>
            <w:shd w:val="clear" w:color="auto" w:fill="C5EDCE"/>
          </w:tcPr>
          <w:p w14:paraId="5A8AE98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C8.I22</w:t>
            </w:r>
          </w:p>
          <w:p w14:paraId="5A8AE98A" w14:textId="77777777" w:rsidR="00740F0F" w:rsidRPr="0029070D" w:rsidRDefault="00100B64">
            <w:pPr>
              <w:spacing w:line="214" w:lineRule="exact"/>
              <w:ind w:left="9" w:right="89"/>
              <w:jc w:val="center"/>
              <w:rPr>
                <w:rFonts w:ascii="Times New Roman" w:eastAsia="Times New Roman" w:hAnsi="Times New Roman" w:cs="Times New Roman"/>
                <w:noProof/>
                <w:sz w:val="18"/>
                <w:szCs w:val="18"/>
              </w:rPr>
            </w:pPr>
            <w:r>
              <w:rPr>
                <w:rFonts w:ascii="Times New Roman" w:hAnsi="Times New Roman"/>
                <w:noProof/>
                <w:sz w:val="18"/>
              </w:rPr>
              <w:t>Renforcement des moyens de Pôle Emploi</w:t>
            </w:r>
          </w:p>
        </w:tc>
        <w:tc>
          <w:tcPr>
            <w:tcW w:w="1218" w:type="dxa"/>
            <w:shd w:val="clear" w:color="auto" w:fill="C5EDCE"/>
          </w:tcPr>
          <w:p w14:paraId="5A8AE98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700" w:type="dxa"/>
            <w:shd w:val="clear" w:color="auto" w:fill="C5EDCE"/>
          </w:tcPr>
          <w:p w14:paraId="5A8AE98C" w14:textId="77777777" w:rsidR="00740F0F" w:rsidRPr="0029070D" w:rsidRDefault="00100B64">
            <w:pPr>
              <w:spacing w:line="214" w:lineRule="exact"/>
              <w:ind w:left="9" w:right="38"/>
              <w:rPr>
                <w:rFonts w:ascii="Times New Roman" w:eastAsia="Times New Roman" w:hAnsi="Times New Roman" w:cs="Times New Roman"/>
                <w:noProof/>
                <w:sz w:val="18"/>
                <w:szCs w:val="18"/>
              </w:rPr>
            </w:pPr>
            <w:r>
              <w:rPr>
                <w:rFonts w:ascii="Times New Roman" w:hAnsi="Times New Roman"/>
                <w:noProof/>
                <w:sz w:val="18"/>
              </w:rPr>
              <w:t>Recrutement de conseillers Pôle Emploi</w:t>
            </w:r>
          </w:p>
        </w:tc>
        <w:tc>
          <w:tcPr>
            <w:tcW w:w="1279" w:type="dxa"/>
            <w:shd w:val="clear" w:color="auto" w:fill="C5EDCE"/>
          </w:tcPr>
          <w:p w14:paraId="5A8AE98D" w14:textId="77777777" w:rsidR="00740F0F" w:rsidRPr="0029070D" w:rsidRDefault="00740F0F">
            <w:pPr>
              <w:spacing w:line="214" w:lineRule="exact"/>
              <w:ind w:left="9"/>
              <w:rPr>
                <w:rFonts w:ascii="Times New Roman" w:eastAsia="Times New Roman" w:hAnsi="Times New Roman" w:cs="Times New Roman"/>
                <w:noProof/>
                <w:sz w:val="18"/>
                <w:szCs w:val="18"/>
              </w:rPr>
            </w:pPr>
          </w:p>
        </w:tc>
        <w:tc>
          <w:tcPr>
            <w:tcW w:w="996" w:type="dxa"/>
            <w:shd w:val="clear" w:color="auto" w:fill="C5EDCE"/>
          </w:tcPr>
          <w:p w14:paraId="5A8AE98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716" w:type="dxa"/>
            <w:gridSpan w:val="2"/>
            <w:shd w:val="clear" w:color="auto" w:fill="C5EDCE"/>
          </w:tcPr>
          <w:p w14:paraId="5A8AE98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852" w:type="dxa"/>
            <w:gridSpan w:val="2"/>
            <w:shd w:val="clear" w:color="auto" w:fill="C5EDCE"/>
          </w:tcPr>
          <w:p w14:paraId="5A8AE99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1 000</w:t>
            </w:r>
          </w:p>
        </w:tc>
        <w:tc>
          <w:tcPr>
            <w:tcW w:w="710" w:type="dxa"/>
            <w:gridSpan w:val="2"/>
            <w:shd w:val="clear" w:color="auto" w:fill="C5EDCE"/>
          </w:tcPr>
          <w:p w14:paraId="5A8AE99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952" w:type="dxa"/>
            <w:gridSpan w:val="2"/>
            <w:shd w:val="clear" w:color="auto" w:fill="C5EDCE"/>
          </w:tcPr>
          <w:p w14:paraId="5A8AE99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4566" w:type="dxa"/>
            <w:gridSpan w:val="2"/>
            <w:shd w:val="clear" w:color="auto" w:fill="C5EDCE"/>
          </w:tcPr>
          <w:p w14:paraId="5A8AE993" w14:textId="77777777" w:rsidR="00740F0F" w:rsidRPr="0029070D" w:rsidRDefault="00100B64">
            <w:pPr>
              <w:spacing w:line="214" w:lineRule="exact"/>
              <w:ind w:left="9" w:right="268"/>
              <w:rPr>
                <w:rFonts w:ascii="Times New Roman" w:eastAsia="Times New Roman" w:hAnsi="Times New Roman" w:cs="Times New Roman"/>
                <w:noProof/>
                <w:sz w:val="18"/>
                <w:szCs w:val="18"/>
              </w:rPr>
            </w:pPr>
            <w:r>
              <w:rPr>
                <w:rFonts w:ascii="Times New Roman" w:hAnsi="Times New Roman"/>
                <w:noProof/>
                <w:sz w:val="18"/>
              </w:rPr>
              <w:t>Nombre de conseillers de Pôle Emploi recrutés en contrat à durée déterminée</w:t>
            </w:r>
          </w:p>
        </w:tc>
      </w:tr>
    </w:tbl>
    <w:p w14:paraId="5A8AE995" w14:textId="77777777" w:rsidR="00740F0F" w:rsidRPr="0029070D" w:rsidRDefault="00740F0F">
      <w:pPr>
        <w:spacing w:before="120" w:after="120" w:line="247" w:lineRule="auto"/>
        <w:rPr>
          <w:rFonts w:ascii="Times New Roman" w:eastAsia="Calibri" w:hAnsi="Times New Roman" w:cs="Times New Roman"/>
          <w:noProof/>
          <w:kern w:val="0"/>
          <w:sz w:val="19"/>
          <w:szCs w:val="22"/>
          <w14:ligatures w14:val="none"/>
        </w:rPr>
        <w:sectPr w:rsidR="00740F0F" w:rsidRPr="0029070D">
          <w:headerReference w:type="even" r:id="rId108"/>
          <w:headerReference w:type="default" r:id="rId109"/>
          <w:footerReference w:type="even" r:id="rId110"/>
          <w:footerReference w:type="default" r:id="rId111"/>
          <w:headerReference w:type="first" r:id="rId112"/>
          <w:footerReference w:type="first" r:id="rId113"/>
          <w:pgSz w:w="16860" w:h="11920" w:orient="landscape"/>
          <w:pgMar w:top="1134" w:right="1134" w:bottom="1134" w:left="1134" w:header="567" w:footer="567" w:gutter="0"/>
          <w:cols w:space="720"/>
          <w:docGrid w:linePitch="326"/>
        </w:sectPr>
      </w:pPr>
    </w:p>
    <w:p w14:paraId="5A8AE996" w14:textId="77777777" w:rsidR="00740F0F" w:rsidRPr="0029070D" w:rsidRDefault="00100B64">
      <w:pPr>
        <w:widowControl w:val="0"/>
        <w:numPr>
          <w:ilvl w:val="0"/>
          <w:numId w:val="53"/>
        </w:numPr>
        <w:tabs>
          <w:tab w:val="left" w:pos="432"/>
        </w:tabs>
        <w:autoSpaceDE w:val="0"/>
        <w:autoSpaceDN w:val="0"/>
        <w:spacing w:before="109" w:after="0" w:line="240" w:lineRule="auto"/>
        <w:jc w:val="both"/>
        <w:rPr>
          <w:rFonts w:ascii="Times New Roman" w:eastAsia="Times New Roman" w:hAnsi="Times New Roman" w:cs="Times New Roman"/>
          <w:b/>
          <w:noProof/>
          <w:kern w:val="0"/>
          <w:szCs w:val="20"/>
          <w14:ligatures w14:val="none"/>
        </w:rPr>
      </w:pPr>
      <w:r>
        <w:rPr>
          <w:rFonts w:ascii="Times New Roman" w:hAnsi="Times New Roman"/>
          <w:b/>
          <w:noProof/>
        </w:rPr>
        <w:t>COMPOSANTE 9: Recherche, Ségur de la santé et dépendance, cohésion territoriale</w:t>
      </w:r>
    </w:p>
    <w:p w14:paraId="5A8AE997" w14:textId="77777777" w:rsidR="00740F0F" w:rsidRPr="0029070D" w:rsidRDefault="00100B64">
      <w:pPr>
        <w:widowControl w:val="0"/>
        <w:autoSpaceDE w:val="0"/>
        <w:autoSpaceDN w:val="0"/>
        <w:spacing w:before="109" w:after="0" w:line="242" w:lineRule="auto"/>
        <w:ind w:left="220" w:right="244"/>
        <w:jc w:val="both"/>
        <w:rPr>
          <w:rFonts w:ascii="Times New Roman" w:eastAsia="Times New Roman" w:hAnsi="Times New Roman" w:cs="Times New Roman"/>
          <w:noProof/>
          <w:kern w:val="0"/>
          <w:szCs w:val="20"/>
          <w14:ligatures w14:val="none"/>
        </w:rPr>
      </w:pPr>
      <w:r>
        <w:rPr>
          <w:rFonts w:ascii="Times New Roman" w:hAnsi="Times New Roman"/>
          <w:noProof/>
        </w:rPr>
        <w:t>Cette composante du plan de relance et de résilience français vise à renforcer la cohésion sociale et territoriale au sens large. Elle se concentre notamment sur la santé, le numérique, la recherche et l’enseignement supérieur et prévoit huit investissements et trois réformes.</w:t>
      </w:r>
    </w:p>
    <w:p w14:paraId="5A8AE998" w14:textId="77777777" w:rsidR="00740F0F" w:rsidRPr="0029070D" w:rsidRDefault="00100B64">
      <w:pPr>
        <w:widowControl w:val="0"/>
        <w:autoSpaceDE w:val="0"/>
        <w:autoSpaceDN w:val="0"/>
        <w:spacing w:before="111" w:after="0" w:line="242" w:lineRule="auto"/>
        <w:ind w:left="220" w:right="237"/>
        <w:jc w:val="both"/>
        <w:rPr>
          <w:rFonts w:ascii="Times New Roman" w:eastAsia="Times New Roman" w:hAnsi="Times New Roman" w:cs="Times New Roman"/>
          <w:noProof/>
          <w:kern w:val="0"/>
          <w:szCs w:val="20"/>
          <w14:ligatures w14:val="none"/>
        </w:rPr>
      </w:pPr>
      <w:r>
        <w:rPr>
          <w:rFonts w:ascii="Times New Roman" w:hAnsi="Times New Roman"/>
          <w:noProof/>
        </w:rPr>
        <w:t>Cette composante comprend des investissements dans le secteur de la santé sur l’ensemble du territoire, notamment la modernisation et la rénovation des infrastructures et la numérisation de la santé. Ces investissements sont accompagnés de plusieurs réformes des systèmes de santé et de soins de longue durée, qui sont axées sur la valorisation des carrières des soignants, la définition de politiques d’investissement, la simplification de l’organisation et la réforme de la prise en charge et de l’autonomie des personnes âgées.</w:t>
      </w:r>
    </w:p>
    <w:p w14:paraId="5A8AE999" w14:textId="77777777" w:rsidR="00740F0F" w:rsidRPr="0029070D" w:rsidRDefault="00100B64">
      <w:pPr>
        <w:widowControl w:val="0"/>
        <w:autoSpaceDE w:val="0"/>
        <w:autoSpaceDN w:val="0"/>
        <w:spacing w:before="104" w:after="0" w:line="242" w:lineRule="auto"/>
        <w:ind w:left="220" w:right="250"/>
        <w:jc w:val="both"/>
        <w:rPr>
          <w:rFonts w:ascii="Times New Roman" w:eastAsia="Times New Roman" w:hAnsi="Times New Roman" w:cs="Times New Roman"/>
          <w:noProof/>
          <w:kern w:val="0"/>
          <w14:ligatures w14:val="none"/>
        </w:rPr>
      </w:pPr>
      <w:r>
        <w:rPr>
          <w:rFonts w:ascii="Times New Roman" w:hAnsi="Times New Roman"/>
          <w:noProof/>
        </w:rPr>
        <w:t>La composante comprend également une mesure visant à accélérer la connectivité numérique sur l’ensemble du territoire par l’intermédiaire d’une augmentation des investissements dans le plan «France très haut débit». Elle s’accompagne d’une mesure d’inclusion numérique pour permettre un accès universel aux outils numériques.</w:t>
      </w:r>
    </w:p>
    <w:p w14:paraId="5A8AE99A" w14:textId="77777777" w:rsidR="00740F0F" w:rsidRPr="0029070D" w:rsidRDefault="00100B64">
      <w:pPr>
        <w:widowControl w:val="0"/>
        <w:autoSpaceDE w:val="0"/>
        <w:autoSpaceDN w:val="0"/>
        <w:spacing w:before="110" w:after="0" w:line="244" w:lineRule="auto"/>
        <w:ind w:left="220" w:right="253"/>
        <w:jc w:val="both"/>
        <w:rPr>
          <w:rFonts w:ascii="Times New Roman" w:eastAsia="Times New Roman" w:hAnsi="Times New Roman" w:cs="Times New Roman"/>
          <w:noProof/>
          <w:kern w:val="0"/>
          <w:szCs w:val="20"/>
          <w14:ligatures w14:val="none"/>
        </w:rPr>
      </w:pPr>
      <w:r>
        <w:rPr>
          <w:rFonts w:ascii="Times New Roman" w:hAnsi="Times New Roman"/>
          <w:noProof/>
        </w:rPr>
        <w:t>La recherche publique est soutenue par un renforcement des moyens de l’Agence nationale de la recherche, permettant d’augmenter le taux de succès des appels à projets dans le domaine de la recherche. Le programme d’investissements d’avenir (PIA4) consacre des appels à projets à l’amélioration du niveau de l’enseignement supérieur en promouvant l’excellence, en aidant à la recherche de financements et en améliorant l’organisation.</w:t>
      </w:r>
    </w:p>
    <w:p w14:paraId="5A8AE99B" w14:textId="77777777" w:rsidR="00740F0F" w:rsidRPr="0029070D" w:rsidRDefault="00100B64">
      <w:pPr>
        <w:widowControl w:val="0"/>
        <w:autoSpaceDE w:val="0"/>
        <w:autoSpaceDN w:val="0"/>
        <w:spacing w:before="101" w:after="0" w:line="240" w:lineRule="auto"/>
        <w:ind w:left="220" w:right="246"/>
        <w:jc w:val="both"/>
        <w:rPr>
          <w:rFonts w:ascii="Times New Roman" w:eastAsia="Times New Roman" w:hAnsi="Times New Roman" w:cs="Times New Roman"/>
          <w:noProof/>
          <w:kern w:val="0"/>
          <w:szCs w:val="20"/>
          <w14:ligatures w14:val="none"/>
        </w:rPr>
      </w:pPr>
      <w:r>
        <w:rPr>
          <w:rFonts w:ascii="Times New Roman" w:hAnsi="Times New Roman"/>
          <w:noProof/>
        </w:rPr>
        <w:t>La composante 9 répond à la recommandation par pays 2020.1.2 sur le renforcement de la résilience du système de santé, aux recommandations par pays 2019.3.3, 2020.3.4 et 2020.3.7 sur l’investissement dans la transition et les infrastructures numériques, et aux recommandations par pays 2019.3.1 et 2020.3.8 sur l’investissement dans la recherche et le développement. Elle répond également aux recommandations par pays 2020.3.2 et 2020.3.3 en débloquant les investissements publics tout en favorisant les investissements privés.</w:t>
      </w:r>
    </w:p>
    <w:p w14:paraId="5A8AE99C" w14:textId="77777777" w:rsidR="00740F0F" w:rsidRPr="0029070D" w:rsidRDefault="00100B64">
      <w:pPr>
        <w:widowControl w:val="0"/>
        <w:autoSpaceDE w:val="0"/>
        <w:autoSpaceDN w:val="0"/>
        <w:spacing w:before="115" w:after="0" w:line="244" w:lineRule="auto"/>
        <w:ind w:left="220" w:right="247"/>
        <w:jc w:val="both"/>
        <w:rPr>
          <w:rFonts w:ascii="Times New Roman" w:eastAsia="Times New Roman" w:hAnsi="Times New Roman" w:cs="Times New Roman"/>
          <w:noProof/>
          <w:kern w:val="0"/>
          <w:szCs w:val="20"/>
          <w14:ligatures w14:val="none"/>
        </w:rPr>
      </w:pPr>
      <w:r>
        <w:rPr>
          <w:rFonts w:ascii="Times New Roman" w:hAnsi="Times New Roman"/>
          <w:noProof/>
        </w:rPr>
        <w:t>Aucune mesure relevant de ce volet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w:t>
      </w:r>
    </w:p>
    <w:p w14:paraId="5A8AE99D" w14:textId="77777777" w:rsidR="00740F0F" w:rsidRPr="0029070D" w:rsidRDefault="00740F0F">
      <w:pPr>
        <w:widowControl w:val="0"/>
        <w:autoSpaceDE w:val="0"/>
        <w:autoSpaceDN w:val="0"/>
        <w:spacing w:before="2" w:after="0" w:line="240" w:lineRule="auto"/>
        <w:rPr>
          <w:rFonts w:ascii="Times New Roman" w:eastAsia="Times New Roman" w:hAnsi="Times New Roman" w:cs="Times New Roman"/>
          <w:noProof/>
          <w:kern w:val="0"/>
          <w:sz w:val="43"/>
          <w:szCs w:val="20"/>
          <w14:ligatures w14:val="none"/>
        </w:rPr>
      </w:pPr>
    </w:p>
    <w:p w14:paraId="5A8AE99E" w14:textId="77777777" w:rsidR="00740F0F" w:rsidRPr="003A373D" w:rsidRDefault="00100B64">
      <w:pPr>
        <w:widowControl w:val="0"/>
        <w:numPr>
          <w:ilvl w:val="1"/>
          <w:numId w:val="53"/>
        </w:numPr>
        <w:tabs>
          <w:tab w:val="left" w:pos="943"/>
        </w:tabs>
        <w:autoSpaceDE w:val="0"/>
        <w:autoSpaceDN w:val="0"/>
        <w:spacing w:before="120" w:after="0" w:line="240" w:lineRule="auto"/>
        <w:jc w:val="both"/>
        <w:outlineLvl w:val="1"/>
        <w:rPr>
          <w:rFonts w:ascii="Times New Roman" w:eastAsia="Times New Roman" w:hAnsi="Times New Roman" w:cs="Times New Roman"/>
          <w:b/>
          <w:noProof/>
          <w:kern w:val="0"/>
          <w:szCs w:val="20"/>
          <w:u w:val="single"/>
          <w14:ligatures w14:val="none"/>
        </w:rPr>
      </w:pPr>
      <w:r>
        <w:rPr>
          <w:rFonts w:ascii="Times New Roman" w:hAnsi="Times New Roman"/>
          <w:b/>
          <w:noProof/>
          <w:u w:val="single"/>
        </w:rPr>
        <w:t>Description des réformes et des investissements en vue du soutien financier non remboursable</w:t>
      </w:r>
    </w:p>
    <w:p w14:paraId="5A8AE99F" w14:textId="77777777" w:rsidR="00740F0F" w:rsidRPr="0029070D" w:rsidRDefault="00100B64">
      <w:pPr>
        <w:widowControl w:val="0"/>
        <w:autoSpaceDE w:val="0"/>
        <w:autoSpaceDN w:val="0"/>
        <w:spacing w:before="125"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Réforme 1 (C9.R1): stratégie nationale de transformation du système de santé</w:t>
      </w:r>
    </w:p>
    <w:p w14:paraId="5A8AE9A0" w14:textId="77777777" w:rsidR="00740F0F" w:rsidRPr="0029070D" w:rsidRDefault="00100B64">
      <w:pPr>
        <w:widowControl w:val="0"/>
        <w:autoSpaceDE w:val="0"/>
        <w:autoSpaceDN w:val="0"/>
        <w:spacing w:before="113" w:after="0" w:line="240" w:lineRule="auto"/>
        <w:ind w:left="220" w:right="243"/>
        <w:jc w:val="both"/>
        <w:rPr>
          <w:rFonts w:ascii="Times New Roman" w:eastAsia="Times New Roman" w:hAnsi="Times New Roman" w:cs="Times New Roman"/>
          <w:noProof/>
          <w:kern w:val="0"/>
          <w:szCs w:val="20"/>
          <w14:ligatures w14:val="none"/>
        </w:rPr>
      </w:pPr>
      <w:r>
        <w:rPr>
          <w:rFonts w:ascii="Times New Roman" w:hAnsi="Times New Roman"/>
          <w:noProof/>
        </w:rPr>
        <w:t>La stratégie nationale «Ma Santé 2022» s’est concrétisée en juillet 2019 par l’adoption de la loi relative à l’organisation et à la transformation du système de santé. Elle vise à mieux organiser le système de santé au niveau local, notamment par la mise en place de nouvelles structures sanitaires locales ayant pour objectif d’assurer une meilleure coordination entre les segments de soins (comme les communautés professionnelles territoriales de santé). Cette stratégie nationale a été renforcée par plusieurs volets de réforme successifs, notamment le plan «Investir pour l’hôpital» (novembre 2019), le plan «Ségur de la santé» (juillet 2020) et une loi visant à simplifier la gouvernance des hôpitaux (loi visant à améliorer le système de santé par la confiance et la simplification, adoptée par le Parlement en avril 2021). L’objectif de cette dernière, en tant que mesure du plan français de relance et de résilience, est de réformer la gouvernance des hôpitaux en permettant une plus grande flexibilité dans l’organisation et le fonctionnement des hôpitaux et en donnant aux unités hospitalières un rôle accru dans la prise de décision.</w:t>
      </w:r>
    </w:p>
    <w:p w14:paraId="5A8AE9A1" w14:textId="77777777" w:rsidR="00740F0F" w:rsidRPr="0029070D" w:rsidRDefault="00740F0F">
      <w:pPr>
        <w:widowControl w:val="0"/>
        <w:autoSpaceDE w:val="0"/>
        <w:autoSpaceDN w:val="0"/>
        <w:spacing w:after="0" w:line="240" w:lineRule="auto"/>
        <w:ind w:left="220"/>
        <w:jc w:val="both"/>
        <w:rPr>
          <w:rFonts w:ascii="Times New Roman" w:eastAsia="Times New Roman" w:hAnsi="Times New Roman" w:cs="Times New Roman"/>
          <w:noProof/>
          <w:spacing w:val="-1"/>
          <w:kern w:val="0"/>
          <w:szCs w:val="20"/>
          <w:u w:val="single"/>
          <w14:ligatures w14:val="none"/>
        </w:rPr>
      </w:pPr>
    </w:p>
    <w:p w14:paraId="5A8AE9A2" w14:textId="77777777" w:rsidR="00740F0F" w:rsidRPr="0029070D" w:rsidRDefault="00100B64">
      <w:pPr>
        <w:widowControl w:val="0"/>
        <w:autoSpaceDE w:val="0"/>
        <w:autoSpaceDN w:val="0"/>
        <w:spacing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Réforme 2 (C9.R2): création d’une nouvelle branche de la sécurité sociale couvrant le risque de perte d’autonomie</w:t>
      </w:r>
    </w:p>
    <w:p w14:paraId="5A8AE9A3" w14:textId="77777777" w:rsidR="00740F0F" w:rsidRPr="0029070D" w:rsidRDefault="00100B64">
      <w:pPr>
        <w:widowControl w:val="0"/>
        <w:autoSpaceDE w:val="0"/>
        <w:autoSpaceDN w:val="0"/>
        <w:spacing w:before="104" w:after="0" w:line="242" w:lineRule="auto"/>
        <w:ind w:left="220" w:right="246"/>
        <w:jc w:val="both"/>
        <w:rPr>
          <w:rFonts w:ascii="Times New Roman" w:eastAsia="Times New Roman" w:hAnsi="Times New Roman" w:cs="Times New Roman"/>
          <w:noProof/>
          <w:kern w:val="0"/>
          <w:szCs w:val="20"/>
          <w14:ligatures w14:val="none"/>
        </w:rPr>
      </w:pPr>
      <w:r>
        <w:rPr>
          <w:rFonts w:ascii="Times New Roman" w:hAnsi="Times New Roman"/>
          <w:noProof/>
        </w:rPr>
        <w:t>Afin d’améliorer la prise en charge des personnes âgées et handicapées, la mesure prévoit la création d’une cinquième branche du régime général de sécurité sociale couvrant le risque de perte d’autonomie en plus des branches préexistantes (couvrant les risques maladie, retraite, famille, accidents du travail et maladie professionnelle). La loi de financement de la sécurité sociale (LFSS) pour 2021 définit la gouvernance et le financement de cette cinquième branche. L’intégralité du financement des établissements médico-sociaux est transférée à cette cinquième branche de la sécurité sociale.</w:t>
      </w:r>
    </w:p>
    <w:p w14:paraId="5A8AE9A4" w14:textId="77777777" w:rsidR="00740F0F" w:rsidRPr="0029070D" w:rsidRDefault="00100B64">
      <w:pPr>
        <w:widowControl w:val="0"/>
        <w:autoSpaceDE w:val="0"/>
        <w:autoSpaceDN w:val="0"/>
        <w:spacing w:before="219"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1 (C9.I1): numérique en santé</w:t>
      </w:r>
    </w:p>
    <w:p w14:paraId="5A8AE9A5" w14:textId="77777777" w:rsidR="00740F0F" w:rsidRPr="0029070D" w:rsidRDefault="00100B64">
      <w:pPr>
        <w:widowControl w:val="0"/>
        <w:autoSpaceDE w:val="0"/>
        <w:autoSpaceDN w:val="0"/>
        <w:spacing w:before="116" w:after="0" w:line="338" w:lineRule="auto"/>
        <w:ind w:left="220" w:right="1733"/>
        <w:jc w:val="both"/>
        <w:rPr>
          <w:rFonts w:ascii="Times New Roman" w:eastAsia="Times New Roman" w:hAnsi="Times New Roman" w:cs="Times New Roman"/>
          <w:noProof/>
          <w:kern w:val="0"/>
          <w:szCs w:val="20"/>
          <w14:ligatures w14:val="none"/>
        </w:rPr>
      </w:pPr>
      <w:r>
        <w:rPr>
          <w:rFonts w:ascii="Times New Roman" w:hAnsi="Times New Roman"/>
          <w:noProof/>
        </w:rPr>
        <w:t>Cette mesure vise à accélérer le développement des outils numériques dans le secteur de la santé. Elle consiste en quatre sous-mesures:</w:t>
      </w:r>
    </w:p>
    <w:p w14:paraId="5A8AE9A6" w14:textId="77777777" w:rsidR="00740F0F" w:rsidRPr="0029070D" w:rsidRDefault="00100B64">
      <w:pPr>
        <w:widowControl w:val="0"/>
        <w:numPr>
          <w:ilvl w:val="0"/>
          <w:numId w:val="54"/>
        </w:numPr>
        <w:tabs>
          <w:tab w:val="left" w:pos="943"/>
        </w:tabs>
        <w:autoSpaceDE w:val="0"/>
        <w:autoSpaceDN w:val="0"/>
        <w:spacing w:before="30" w:after="0" w:line="240" w:lineRule="auto"/>
        <w:ind w:left="942"/>
        <w:jc w:val="both"/>
        <w:rPr>
          <w:rFonts w:ascii="Symbol" w:eastAsia="Times New Roman" w:hAnsi="Symbol" w:cs="Times New Roman"/>
          <w:noProof/>
          <w:kern w:val="0"/>
          <w:szCs w:val="20"/>
          <w14:ligatures w14:val="none"/>
        </w:rPr>
      </w:pPr>
      <w:r>
        <w:rPr>
          <w:rFonts w:ascii="Times New Roman" w:hAnsi="Times New Roman"/>
          <w:noProof/>
        </w:rPr>
        <w:t>Infrastructure numérique de l’État dans le domaine de la santé.</w:t>
      </w:r>
    </w:p>
    <w:p w14:paraId="5A8AE9A7" w14:textId="77777777" w:rsidR="00740F0F" w:rsidRPr="0029070D" w:rsidRDefault="00100B64">
      <w:pPr>
        <w:widowControl w:val="0"/>
        <w:autoSpaceDE w:val="0"/>
        <w:autoSpaceDN w:val="0"/>
        <w:spacing w:before="8" w:after="0" w:line="240" w:lineRule="auto"/>
        <w:ind w:left="220" w:right="248"/>
        <w:jc w:val="both"/>
        <w:rPr>
          <w:rFonts w:ascii="Times New Roman" w:eastAsia="Times New Roman" w:hAnsi="Times New Roman" w:cs="Times New Roman"/>
          <w:noProof/>
          <w:kern w:val="0"/>
          <w:szCs w:val="20"/>
          <w14:ligatures w14:val="none"/>
        </w:rPr>
      </w:pPr>
      <w:r>
        <w:rPr>
          <w:rFonts w:ascii="Times New Roman" w:hAnsi="Times New Roman"/>
          <w:noProof/>
        </w:rPr>
        <w:t>Cet investissement vise à accélérer le déploiement des systèmes d’information de l’État: dossier médical partagé, plateforme numérique de santé, guichet unique pour tous les services numériques destinés aux professionnels de la santé, cartes d’identité électroniques pour les professionnels de la santé.</w:t>
      </w:r>
    </w:p>
    <w:p w14:paraId="5A8AE9A8" w14:textId="77777777" w:rsidR="00740F0F" w:rsidRPr="0029070D" w:rsidRDefault="00100B64">
      <w:pPr>
        <w:widowControl w:val="0"/>
        <w:numPr>
          <w:ilvl w:val="0"/>
          <w:numId w:val="54"/>
        </w:numPr>
        <w:tabs>
          <w:tab w:val="left" w:pos="942"/>
          <w:tab w:val="left" w:pos="943"/>
        </w:tabs>
        <w:autoSpaceDE w:val="0"/>
        <w:autoSpaceDN w:val="0"/>
        <w:spacing w:before="128" w:after="0" w:line="242" w:lineRule="auto"/>
        <w:ind w:right="281" w:firstLine="360"/>
        <w:rPr>
          <w:rFonts w:ascii="Symbol" w:eastAsia="Times New Roman" w:hAnsi="Symbol" w:cs="Times New Roman"/>
          <w:noProof/>
          <w:kern w:val="0"/>
          <w:szCs w:val="20"/>
          <w14:ligatures w14:val="none"/>
        </w:rPr>
      </w:pPr>
      <w:r>
        <w:rPr>
          <w:rFonts w:ascii="Times New Roman" w:hAnsi="Times New Roman"/>
          <w:noProof/>
        </w:rPr>
        <w:t xml:space="preserve">Interopérabilité et sécurité des logiciels utilisés dans le secteur public et privé des soins de santé. </w:t>
      </w:r>
    </w:p>
    <w:p w14:paraId="5A8AE9A9" w14:textId="77777777" w:rsidR="00740F0F" w:rsidRPr="0029070D" w:rsidRDefault="00100B64">
      <w:pPr>
        <w:widowControl w:val="0"/>
        <w:tabs>
          <w:tab w:val="left" w:pos="942"/>
          <w:tab w:val="left" w:pos="943"/>
        </w:tabs>
        <w:autoSpaceDE w:val="0"/>
        <w:autoSpaceDN w:val="0"/>
        <w:spacing w:before="128" w:after="0" w:line="242" w:lineRule="auto"/>
        <w:ind w:left="220" w:right="281"/>
        <w:rPr>
          <w:rFonts w:ascii="Symbol" w:eastAsia="Times New Roman" w:hAnsi="Symbol" w:cs="Times New Roman"/>
          <w:noProof/>
          <w:kern w:val="0"/>
          <w:szCs w:val="20"/>
          <w14:ligatures w14:val="none"/>
        </w:rPr>
      </w:pPr>
      <w:r>
        <w:rPr>
          <w:rFonts w:ascii="Times New Roman" w:hAnsi="Times New Roman"/>
          <w:noProof/>
        </w:rPr>
        <w:t>Cet investissement vise à mettre à niveau le parc logiciel existant dans le secteur public et privé afin qu’il soit compatible avec les exigences d’interopérabilité et de sécurité imposées par l’État. Cet investissement priorise l’investissement technologique destiné à favoriser l’échange des données de santé du parcours de soins: documents de sortie d’hospitalisation, comptes rendus de biologie, comptes rendus de radiologie et donnée images, prescription et lettre de liaison.</w:t>
      </w:r>
    </w:p>
    <w:p w14:paraId="5A8AE9AA" w14:textId="77777777" w:rsidR="00740F0F" w:rsidRPr="0029070D" w:rsidRDefault="00100B64">
      <w:pPr>
        <w:widowControl w:val="0"/>
        <w:numPr>
          <w:ilvl w:val="0"/>
          <w:numId w:val="54"/>
        </w:numPr>
        <w:tabs>
          <w:tab w:val="left" w:pos="942"/>
          <w:tab w:val="left" w:pos="943"/>
        </w:tabs>
        <w:autoSpaceDE w:val="0"/>
        <w:autoSpaceDN w:val="0"/>
        <w:spacing w:before="124" w:after="0" w:line="240" w:lineRule="auto"/>
        <w:ind w:left="942"/>
        <w:rPr>
          <w:rFonts w:ascii="Symbol" w:eastAsia="Times New Roman" w:hAnsi="Symbol" w:cs="Times New Roman"/>
          <w:noProof/>
          <w:kern w:val="0"/>
          <w:szCs w:val="20"/>
          <w14:ligatures w14:val="none"/>
        </w:rPr>
      </w:pPr>
      <w:r>
        <w:rPr>
          <w:rFonts w:ascii="Times New Roman" w:hAnsi="Times New Roman"/>
          <w:noProof/>
        </w:rPr>
        <w:t>Accompagnement de la transformation, et incitation à l’usage par les professionnels.</w:t>
      </w:r>
    </w:p>
    <w:p w14:paraId="5A8AE9AB" w14:textId="77777777" w:rsidR="00740F0F" w:rsidRPr="0029070D" w:rsidRDefault="00100B64">
      <w:pPr>
        <w:widowControl w:val="0"/>
        <w:autoSpaceDE w:val="0"/>
        <w:autoSpaceDN w:val="0"/>
        <w:spacing w:before="6" w:after="0" w:line="242" w:lineRule="auto"/>
        <w:ind w:left="220" w:right="263"/>
        <w:jc w:val="both"/>
        <w:rPr>
          <w:rFonts w:ascii="Times New Roman" w:eastAsia="Times New Roman" w:hAnsi="Times New Roman" w:cs="Times New Roman"/>
          <w:noProof/>
          <w:kern w:val="0"/>
          <w:szCs w:val="20"/>
          <w14:ligatures w14:val="none"/>
        </w:rPr>
      </w:pPr>
      <w:r>
        <w:rPr>
          <w:rFonts w:ascii="Times New Roman" w:hAnsi="Times New Roman"/>
          <w:noProof/>
        </w:rPr>
        <w:t>Cet investissement permet de financer le déploiement des logiciels et l’accompagnement des utilisateurs. Il fournit également un soutien financier afin d’encourager les professionnels de santé à utiliser les services numériques, notamment le dossier médical partagé.</w:t>
      </w:r>
    </w:p>
    <w:p w14:paraId="5A8AE9AC" w14:textId="77777777" w:rsidR="00740F0F" w:rsidRPr="0029070D" w:rsidRDefault="00100B64">
      <w:pPr>
        <w:widowControl w:val="0"/>
        <w:numPr>
          <w:ilvl w:val="0"/>
          <w:numId w:val="54"/>
        </w:numPr>
        <w:tabs>
          <w:tab w:val="left" w:pos="943"/>
        </w:tabs>
        <w:autoSpaceDE w:val="0"/>
        <w:autoSpaceDN w:val="0"/>
        <w:spacing w:before="121" w:after="0" w:line="240" w:lineRule="auto"/>
        <w:ind w:left="942"/>
        <w:jc w:val="both"/>
        <w:rPr>
          <w:rFonts w:ascii="Symbol" w:eastAsia="Times New Roman" w:hAnsi="Symbol" w:cs="Times New Roman"/>
          <w:noProof/>
          <w:kern w:val="0"/>
          <w:szCs w:val="20"/>
          <w14:ligatures w14:val="none"/>
        </w:rPr>
      </w:pPr>
      <w:r>
        <w:rPr>
          <w:rFonts w:ascii="Times New Roman" w:hAnsi="Times New Roman"/>
          <w:noProof/>
        </w:rPr>
        <w:t>Rattrapage numérique du secteur médico-social.</w:t>
      </w:r>
    </w:p>
    <w:p w14:paraId="5A8AE9AD" w14:textId="77777777" w:rsidR="00740F0F" w:rsidRPr="0029070D" w:rsidRDefault="00100B64">
      <w:pPr>
        <w:widowControl w:val="0"/>
        <w:autoSpaceDE w:val="0"/>
        <w:autoSpaceDN w:val="0"/>
        <w:spacing w:before="6" w:after="0" w:line="242" w:lineRule="auto"/>
        <w:ind w:left="220" w:right="246"/>
        <w:jc w:val="both"/>
        <w:rPr>
          <w:rFonts w:ascii="Times New Roman" w:eastAsia="Times New Roman" w:hAnsi="Times New Roman" w:cs="Times New Roman"/>
          <w:noProof/>
          <w:kern w:val="0"/>
          <w:szCs w:val="20"/>
          <w14:ligatures w14:val="none"/>
        </w:rPr>
      </w:pPr>
      <w:r>
        <w:rPr>
          <w:rFonts w:ascii="Times New Roman" w:hAnsi="Times New Roman"/>
          <w:noProof/>
        </w:rPr>
        <w:t>Cet investissement vise à équiper les établissements médico-sociaux d’infrastructures numériques telles qu’une connexion internet, des ordinateurs et des logiciels. Concrètement, les professionnels d’une ou plusieurs régions investissent conjointement pour réduire les coûts et assurer la cohérence.</w:t>
      </w:r>
    </w:p>
    <w:p w14:paraId="5A8AE9AE" w14:textId="77777777" w:rsidR="00740F0F" w:rsidRPr="0029070D" w:rsidRDefault="00100B64">
      <w:pPr>
        <w:widowControl w:val="0"/>
        <w:autoSpaceDE w:val="0"/>
        <w:autoSpaceDN w:val="0"/>
        <w:spacing w:before="216"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2 (C9.I2): modernisation et restructuration des hôpitaux et de l’offre de soins</w:t>
      </w:r>
    </w:p>
    <w:p w14:paraId="5A8AE9AF" w14:textId="77777777" w:rsidR="00740F0F" w:rsidRPr="0029070D" w:rsidRDefault="00100B64">
      <w:pPr>
        <w:widowControl w:val="0"/>
        <w:autoSpaceDE w:val="0"/>
        <w:autoSpaceDN w:val="0"/>
        <w:spacing w:before="113" w:after="0" w:line="242" w:lineRule="auto"/>
        <w:ind w:left="220" w:right="233"/>
        <w:jc w:val="both"/>
        <w:rPr>
          <w:rFonts w:ascii="Times New Roman" w:eastAsia="Times New Roman" w:hAnsi="Times New Roman" w:cs="Times New Roman"/>
          <w:noProof/>
          <w:kern w:val="0"/>
          <w:szCs w:val="20"/>
          <w14:ligatures w14:val="none"/>
        </w:rPr>
      </w:pPr>
      <w:r>
        <w:rPr>
          <w:rFonts w:ascii="Times New Roman" w:hAnsi="Times New Roman"/>
          <w:noProof/>
        </w:rPr>
        <w:t xml:space="preserve">L’objectif de cette mesure est d’augmenter le soutien aux investissements dans les hôpitaux et les établissements de soins de santé. </w:t>
      </w:r>
    </w:p>
    <w:p w14:paraId="5A8AE9B0" w14:textId="77777777" w:rsidR="00740F0F" w:rsidRPr="0029070D" w:rsidRDefault="00100B64">
      <w:pPr>
        <w:widowControl w:val="0"/>
        <w:autoSpaceDE w:val="0"/>
        <w:autoSpaceDN w:val="0"/>
        <w:spacing w:before="113" w:after="0" w:line="242" w:lineRule="auto"/>
        <w:ind w:left="220" w:right="233"/>
        <w:jc w:val="both"/>
        <w:rPr>
          <w:rFonts w:ascii="Times New Roman" w:eastAsia="Times New Roman" w:hAnsi="Times New Roman" w:cs="Times New Roman"/>
          <w:noProof/>
          <w:kern w:val="0"/>
          <w:szCs w:val="20"/>
          <w14:ligatures w14:val="none"/>
        </w:rPr>
      </w:pPr>
      <w:r>
        <w:rPr>
          <w:rFonts w:ascii="Times New Roman" w:hAnsi="Times New Roman"/>
          <w:noProof/>
        </w:rPr>
        <w:t xml:space="preserve">Cette mesure consiste en i) des investissements dans la rénovation et la modernisation des bâtiments hospitaliers, y compris en ce qui concerne leur efficacité énergétique; ii) les investissements visant à construire des installations ambulatoires et à moderniser les infrastructures et les équipements médicaux et iii) les investissements pour la mise aux normes de sécurité et environnementales. </w:t>
      </w:r>
    </w:p>
    <w:p w14:paraId="5A8AE9B1" w14:textId="625B7650" w:rsidR="00740F0F" w:rsidRPr="0029070D" w:rsidRDefault="00100B64">
      <w:pPr>
        <w:widowControl w:val="0"/>
        <w:autoSpaceDE w:val="0"/>
        <w:autoSpaceDN w:val="0"/>
        <w:spacing w:before="195"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3 (C9.I3): Rénovation des établissements médico-sociaux</w:t>
      </w:r>
    </w:p>
    <w:p w14:paraId="79495E02" w14:textId="77777777" w:rsidR="0052046C" w:rsidRPr="0029070D" w:rsidRDefault="0052046C">
      <w:pPr>
        <w:widowControl w:val="0"/>
        <w:autoSpaceDE w:val="0"/>
        <w:autoSpaceDN w:val="0"/>
        <w:spacing w:before="135" w:after="0" w:line="240" w:lineRule="auto"/>
        <w:ind w:left="220" w:right="231"/>
        <w:jc w:val="both"/>
        <w:rPr>
          <w:rFonts w:ascii="Times New Roman" w:eastAsia="Times New Roman" w:hAnsi="Times New Roman" w:cs="Times New Roman"/>
          <w:noProof/>
          <w:kern w:val="0"/>
          <w14:ligatures w14:val="none"/>
        </w:rPr>
      </w:pPr>
      <w:r>
        <w:rPr>
          <w:rFonts w:ascii="Times New Roman" w:hAnsi="Times New Roman"/>
          <w:noProof/>
        </w:rPr>
        <w:t>L’objectif de cette mesure est d’équiper les établissements médico-sociaux français afin d’améliorer les conditions d’accueil des personnes âgées.</w:t>
      </w:r>
    </w:p>
    <w:p w14:paraId="535EA4AF" w14:textId="77777777" w:rsidR="0052046C" w:rsidRPr="0029070D" w:rsidRDefault="0052046C">
      <w:pPr>
        <w:widowControl w:val="0"/>
        <w:autoSpaceDE w:val="0"/>
        <w:autoSpaceDN w:val="0"/>
        <w:spacing w:before="219" w:after="0" w:line="240" w:lineRule="auto"/>
        <w:ind w:left="220"/>
        <w:jc w:val="both"/>
        <w:rPr>
          <w:rFonts w:ascii="Times New Roman" w:eastAsia="Times New Roman" w:hAnsi="Times New Roman" w:cs="Times New Roman"/>
          <w:noProof/>
          <w:kern w:val="0"/>
          <w14:ligatures w14:val="none"/>
        </w:rPr>
      </w:pPr>
      <w:r>
        <w:rPr>
          <w:rFonts w:ascii="Times New Roman" w:hAnsi="Times New Roman"/>
          <w:noProof/>
        </w:rPr>
        <w:t>Elle consiste à soutenir les investissements dans des équipements destinés à améliorer les conditions d’accueil des personnes âgées.</w:t>
      </w:r>
    </w:p>
    <w:p w14:paraId="5A8AE9B4" w14:textId="20C8D34B" w:rsidR="00740F0F" w:rsidRPr="0029070D" w:rsidRDefault="00100B64">
      <w:pPr>
        <w:widowControl w:val="0"/>
        <w:autoSpaceDE w:val="0"/>
        <w:autoSpaceDN w:val="0"/>
        <w:spacing w:before="219"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4 (C9.I4): numéro national de prévention du suicide</w:t>
      </w:r>
    </w:p>
    <w:p w14:paraId="5A8AE9B5" w14:textId="77777777" w:rsidR="00740F0F" w:rsidRPr="0029070D" w:rsidRDefault="00100B64">
      <w:pPr>
        <w:widowControl w:val="0"/>
        <w:autoSpaceDE w:val="0"/>
        <w:autoSpaceDN w:val="0"/>
        <w:spacing w:before="131" w:after="0" w:line="235" w:lineRule="auto"/>
        <w:ind w:left="220" w:right="246"/>
        <w:jc w:val="both"/>
        <w:rPr>
          <w:rFonts w:ascii="Times New Roman" w:eastAsia="Times New Roman" w:hAnsi="Times New Roman" w:cs="Times New Roman"/>
          <w:noProof/>
          <w:kern w:val="0"/>
          <w:szCs w:val="20"/>
          <w14:ligatures w14:val="none"/>
        </w:rPr>
      </w:pPr>
      <w:r>
        <w:rPr>
          <w:rFonts w:ascii="Times New Roman" w:hAnsi="Times New Roman"/>
          <w:noProof/>
        </w:rPr>
        <w:t>La création d’un numéro national de prévention du suicide s’inscrit dans la stratégie nationale de santé 2018-2022 et constitue l’une des actions annoncées dans le plan Ségur de la santé. La mesure permet la mise en œuvre du système d’information nécessaire au fonctionnement du service. Ce système d’information, dont la création est prévue par le décret nº 2021-1566 du 2 décembre 2021, est mis à disposition des centres répondants organisés en région par des établissements de santé.</w:t>
      </w:r>
    </w:p>
    <w:p w14:paraId="5A8AE9B6" w14:textId="77777777" w:rsidR="00740F0F" w:rsidRPr="0029070D" w:rsidRDefault="00100B64">
      <w:pPr>
        <w:widowControl w:val="0"/>
        <w:autoSpaceDE w:val="0"/>
        <w:autoSpaceDN w:val="0"/>
        <w:spacing w:before="221"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5 (C9.I5): plan «France très haut débit»</w:t>
      </w:r>
    </w:p>
    <w:p w14:paraId="5A8AE9B7" w14:textId="77777777" w:rsidR="00740F0F" w:rsidRPr="0029070D" w:rsidRDefault="00100B64">
      <w:pPr>
        <w:widowControl w:val="0"/>
        <w:autoSpaceDE w:val="0"/>
        <w:autoSpaceDN w:val="0"/>
        <w:spacing w:before="129" w:after="0" w:line="240" w:lineRule="auto"/>
        <w:ind w:left="220" w:right="246"/>
        <w:jc w:val="both"/>
        <w:rPr>
          <w:rFonts w:ascii="Times New Roman" w:eastAsia="Times New Roman" w:hAnsi="Times New Roman" w:cs="Times New Roman"/>
          <w:noProof/>
          <w:kern w:val="0"/>
          <w:szCs w:val="20"/>
          <w14:ligatures w14:val="none"/>
        </w:rPr>
      </w:pPr>
      <w:r>
        <w:rPr>
          <w:rFonts w:ascii="Times New Roman" w:hAnsi="Times New Roman"/>
          <w:noProof/>
        </w:rPr>
        <w:t>Le plan «France très haut débit» visait initialement à améliorer la connectivité du territoire et à fournir d’ici à 2022 un accès «très haut débit» d’au moins 30 Mbps sur le territoire national. La stratégie a été révisée pour relever le niveau des ambitions, en améliorant la connectivité dans les zones rurales, avec le soutien du plan de relance et de résilience français.</w:t>
      </w:r>
    </w:p>
    <w:p w14:paraId="5A8AE9B8" w14:textId="77777777" w:rsidR="00740F0F" w:rsidRPr="0029070D" w:rsidRDefault="00100B64">
      <w:pPr>
        <w:widowControl w:val="0"/>
        <w:autoSpaceDE w:val="0"/>
        <w:autoSpaceDN w:val="0"/>
        <w:spacing w:before="113" w:after="0" w:line="240" w:lineRule="auto"/>
        <w:ind w:left="220" w:right="246"/>
        <w:jc w:val="both"/>
        <w:rPr>
          <w:rFonts w:ascii="Times New Roman" w:eastAsia="Times New Roman" w:hAnsi="Times New Roman" w:cs="Times New Roman"/>
          <w:noProof/>
          <w:kern w:val="0"/>
          <w:szCs w:val="20"/>
          <w14:ligatures w14:val="none"/>
        </w:rPr>
      </w:pPr>
      <w:r>
        <w:rPr>
          <w:rFonts w:ascii="Times New Roman" w:hAnsi="Times New Roman"/>
          <w:noProof/>
        </w:rPr>
        <w:t>La mesure encourage l’accélération du déploiement des réseaux d’accès de nouvelle génération (NGA), notamment en fibre optique, avec des débits au-delà de 100 Mbps et dépassant généralement 1 Gbps. Les projets concernés sont les réseaux d’initiative publique qui couvrent des zones pour lesquelles l’investissement privé est difficile à attirer et visent notamment les territoires suivants: Aude, Auvergne, Bretagne, Cher, Dordogne, Doubs, Haute-Savoie, Indre, Manche, Mayotte, Sarthe et Seine-et-Marne. L’objectif global du gouvernement est de fournir un accès NGA complet d’ici à 2025, conformément aux objectifs de la société Gigabit.</w:t>
      </w:r>
    </w:p>
    <w:p w14:paraId="5A8AE9B9" w14:textId="77777777" w:rsidR="00740F0F" w:rsidRPr="0029070D" w:rsidRDefault="00100B64">
      <w:pPr>
        <w:widowControl w:val="0"/>
        <w:autoSpaceDE w:val="0"/>
        <w:autoSpaceDN w:val="0"/>
        <w:spacing w:before="227"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6 (C9.I6): inclusion numérique</w:t>
      </w:r>
    </w:p>
    <w:p w14:paraId="5A8AE9BA" w14:textId="77777777" w:rsidR="00740F0F" w:rsidRPr="0029070D" w:rsidRDefault="00100B64">
      <w:pPr>
        <w:widowControl w:val="0"/>
        <w:autoSpaceDE w:val="0"/>
        <w:autoSpaceDN w:val="0"/>
        <w:spacing w:before="115" w:after="0" w:line="240" w:lineRule="auto"/>
        <w:ind w:left="220" w:right="253"/>
        <w:jc w:val="both"/>
        <w:rPr>
          <w:rFonts w:ascii="Times New Roman" w:eastAsia="Times New Roman" w:hAnsi="Times New Roman" w:cs="Times New Roman"/>
          <w:noProof/>
          <w:kern w:val="0"/>
          <w:szCs w:val="20"/>
          <w14:ligatures w14:val="none"/>
        </w:rPr>
      </w:pPr>
      <w:r>
        <w:rPr>
          <w:rFonts w:ascii="Times New Roman" w:hAnsi="Times New Roman"/>
          <w:noProof/>
        </w:rPr>
        <w:t>L’action s’appuie sur une initiative existante de soutien à l’inclusion numérique et vise à former 4</w:t>
      </w:r>
      <w:r>
        <w:rPr>
          <w:rFonts w:ascii="Times New Roman" w:hAnsi="Times New Roman"/>
          <w:noProof/>
          <w:sz w:val="20"/>
        </w:rPr>
        <w:t> </w:t>
      </w:r>
      <w:r>
        <w:rPr>
          <w:rFonts w:ascii="Times New Roman" w:hAnsi="Times New Roman"/>
          <w:noProof/>
        </w:rPr>
        <w:t>000 conseillers numériques supplémentaires détachés auprès des collectivités locales et des acteurs privés associatifs ou issus de l’économie sociale et solidaire (tels que les mairies, les bibliothèques, les maisons de retraite, les maisons de repos, les centres d’action sociale et les associations locales). Ces conseillers numériques organisent des ateliers et proposent des formations pour permettre à chacun de s’approprier progressivement les tâches numériques quotidiennes, comme protéger ses données personnelles, maîtriser les réseaux sociaux, vérifier les sources d’information, rédiger un CV, vendre un objet, acheter en ligne, travailler à distance ou prendre un rendez-vous chez le médecin. Ils sont formés en amont de leurs activités et de manière continue afin d’offrir des services de qualité aux personnes accompagnées mais aussi de se préparer à la poursuite de leur mission au-delà des deux années soutenues par le plan national de relance et de résilience.</w:t>
      </w:r>
    </w:p>
    <w:p w14:paraId="5A8AE9BB" w14:textId="77777777" w:rsidR="00740F0F" w:rsidRPr="0029070D" w:rsidRDefault="00100B64">
      <w:pPr>
        <w:widowControl w:val="0"/>
        <w:autoSpaceDE w:val="0"/>
        <w:autoSpaceDN w:val="0"/>
        <w:spacing w:before="113" w:after="0" w:line="240" w:lineRule="auto"/>
        <w:ind w:left="220" w:right="246"/>
        <w:jc w:val="both"/>
        <w:rPr>
          <w:rFonts w:ascii="Times New Roman" w:eastAsia="Times New Roman" w:hAnsi="Times New Roman" w:cs="Times New Roman"/>
          <w:noProof/>
          <w:kern w:val="0"/>
          <w:szCs w:val="20"/>
          <w14:ligatures w14:val="none"/>
        </w:rPr>
      </w:pPr>
      <w:r>
        <w:rPr>
          <w:rFonts w:ascii="Times New Roman" w:hAnsi="Times New Roman"/>
          <w:noProof/>
        </w:rPr>
        <w:t>La mesure soutient parallèlement les réseaux locaux qui proposent des activités numériques (étiquetage clair, élaboration de kits de formation, soutien à l’élaboration de solutions pédagogiques) ainsi que le développement d’«aidants numériques» («Aidants Connect») qui aident directement les personnes effectuant des tâches numériques.</w:t>
      </w:r>
    </w:p>
    <w:p w14:paraId="5A8AE9BC" w14:textId="77777777" w:rsidR="00740F0F" w:rsidRPr="0029070D" w:rsidRDefault="00100B64">
      <w:pPr>
        <w:widowControl w:val="0"/>
        <w:autoSpaceDE w:val="0"/>
        <w:autoSpaceDN w:val="0"/>
        <w:spacing w:before="219"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7 (C9.I7): stratégie de relance de la R&amp;D — Agence nationale de la recherche</w:t>
      </w:r>
    </w:p>
    <w:p w14:paraId="5A8AE9BD" w14:textId="77777777" w:rsidR="00740F0F" w:rsidRPr="0029070D" w:rsidRDefault="00100B64">
      <w:pPr>
        <w:widowControl w:val="0"/>
        <w:autoSpaceDE w:val="0"/>
        <w:autoSpaceDN w:val="0"/>
        <w:spacing w:before="132" w:after="0" w:line="235" w:lineRule="auto"/>
        <w:ind w:left="220" w:right="254"/>
        <w:jc w:val="both"/>
        <w:rPr>
          <w:rFonts w:ascii="Times New Roman" w:eastAsia="Times New Roman" w:hAnsi="Times New Roman" w:cs="Times New Roman"/>
          <w:noProof/>
          <w:kern w:val="0"/>
          <w:szCs w:val="20"/>
          <w14:ligatures w14:val="none"/>
        </w:rPr>
      </w:pPr>
      <w:r>
        <w:rPr>
          <w:rFonts w:ascii="Times New Roman" w:hAnsi="Times New Roman"/>
          <w:noProof/>
        </w:rPr>
        <w:t>La loi de programmation de la recherche (voir composante 6) fixe la trajectoire d’augmentation du budget de l’Agence nationale de la recherche de</w:t>
      </w:r>
      <w:r>
        <w:rPr>
          <w:rFonts w:ascii="Times New Roman" w:hAnsi="Times New Roman"/>
          <w:noProof/>
          <w:sz w:val="20"/>
        </w:rPr>
        <w:t xml:space="preserve"> </w:t>
      </w:r>
      <w:r>
        <w:rPr>
          <w:rFonts w:ascii="Times New Roman" w:hAnsi="Times New Roman"/>
          <w:noProof/>
        </w:rPr>
        <w:t>1</w:t>
      </w:r>
      <w:r>
        <w:rPr>
          <w:rFonts w:ascii="Times New Roman" w:hAnsi="Times New Roman"/>
          <w:noProof/>
          <w:sz w:val="20"/>
        </w:rPr>
        <w:t> </w:t>
      </w:r>
      <w:r>
        <w:rPr>
          <w:rFonts w:ascii="Times New Roman" w:hAnsi="Times New Roman"/>
          <w:noProof/>
        </w:rPr>
        <w:t>190</w:t>
      </w:r>
      <w:r>
        <w:rPr>
          <w:rFonts w:ascii="Times New Roman" w:hAnsi="Times New Roman"/>
          <w:noProof/>
          <w:sz w:val="20"/>
        </w:rPr>
        <w:t> </w:t>
      </w:r>
      <w:r>
        <w:rPr>
          <w:rFonts w:ascii="Times New Roman" w:hAnsi="Times New Roman"/>
          <w:noProof/>
        </w:rPr>
        <w:t>000</w:t>
      </w:r>
      <w:r>
        <w:rPr>
          <w:rFonts w:ascii="Times New Roman" w:hAnsi="Times New Roman"/>
          <w:noProof/>
          <w:sz w:val="20"/>
        </w:rPr>
        <w:t> </w:t>
      </w:r>
      <w:r>
        <w:rPr>
          <w:rFonts w:ascii="Times New Roman" w:hAnsi="Times New Roman"/>
          <w:noProof/>
        </w:rPr>
        <w:t>000 EUR en 2021 à</w:t>
      </w:r>
      <w:r>
        <w:rPr>
          <w:rFonts w:ascii="Times New Roman" w:hAnsi="Times New Roman"/>
          <w:noProof/>
          <w:sz w:val="20"/>
        </w:rPr>
        <w:t xml:space="preserve"> </w:t>
      </w:r>
      <w:r>
        <w:rPr>
          <w:rFonts w:ascii="Times New Roman" w:hAnsi="Times New Roman"/>
          <w:noProof/>
        </w:rPr>
        <w:t>1</w:t>
      </w:r>
      <w:r>
        <w:rPr>
          <w:rFonts w:ascii="Times New Roman" w:hAnsi="Times New Roman"/>
          <w:noProof/>
          <w:sz w:val="20"/>
        </w:rPr>
        <w:t> </w:t>
      </w:r>
      <w:r>
        <w:rPr>
          <w:rFonts w:ascii="Times New Roman" w:hAnsi="Times New Roman"/>
          <w:noProof/>
        </w:rPr>
        <w:t>674</w:t>
      </w:r>
      <w:r>
        <w:rPr>
          <w:rFonts w:ascii="Times New Roman" w:hAnsi="Times New Roman"/>
          <w:noProof/>
          <w:sz w:val="20"/>
        </w:rPr>
        <w:t> </w:t>
      </w:r>
      <w:r>
        <w:rPr>
          <w:rFonts w:ascii="Times New Roman" w:hAnsi="Times New Roman"/>
          <w:noProof/>
        </w:rPr>
        <w:t>000</w:t>
      </w:r>
      <w:r>
        <w:rPr>
          <w:rFonts w:ascii="Times New Roman" w:hAnsi="Times New Roman"/>
          <w:noProof/>
          <w:sz w:val="20"/>
        </w:rPr>
        <w:t> </w:t>
      </w:r>
      <w:r>
        <w:rPr>
          <w:rFonts w:ascii="Times New Roman" w:hAnsi="Times New Roman"/>
          <w:noProof/>
        </w:rPr>
        <w:t>000 EUR en 2027. La mesure complète cette augmentation en renforçant la dotation en 2021 et 2022.</w:t>
      </w:r>
    </w:p>
    <w:p w14:paraId="5A8AE9BE" w14:textId="77777777" w:rsidR="00740F0F" w:rsidRPr="0029070D" w:rsidRDefault="00100B64">
      <w:pPr>
        <w:widowControl w:val="0"/>
        <w:autoSpaceDE w:val="0"/>
        <w:autoSpaceDN w:val="0"/>
        <w:spacing w:before="132" w:after="0" w:line="240" w:lineRule="auto"/>
        <w:ind w:left="220" w:right="246"/>
        <w:jc w:val="both"/>
        <w:rPr>
          <w:rFonts w:ascii="Times New Roman" w:eastAsia="Times New Roman" w:hAnsi="Times New Roman" w:cs="Times New Roman"/>
          <w:noProof/>
          <w:kern w:val="0"/>
          <w14:ligatures w14:val="none"/>
        </w:rPr>
      </w:pPr>
      <w:r>
        <w:rPr>
          <w:rFonts w:ascii="Times New Roman" w:hAnsi="Times New Roman"/>
          <w:noProof/>
        </w:rPr>
        <w:t>Cet investissement supplémentaire augmente le taux de succès des appels à projets. Le rapport annexé à la loi de programmation de la recherche vise à terme à porter celui-ci à 30 % en 2027, contre 16 % constatés en 2018. L’étape intermédiaire consistant à atteindre 20 % d’ici à 2021 devrait se traduire par environ 2</w:t>
      </w:r>
      <w:r>
        <w:rPr>
          <w:rFonts w:ascii="Times New Roman" w:hAnsi="Times New Roman"/>
          <w:noProof/>
          <w:sz w:val="20"/>
        </w:rPr>
        <w:t> </w:t>
      </w:r>
      <w:r>
        <w:rPr>
          <w:rFonts w:ascii="Times New Roman" w:hAnsi="Times New Roman"/>
          <w:noProof/>
        </w:rPr>
        <w:t>300 projets sélectionnés sur les 10</w:t>
      </w:r>
      <w:r>
        <w:rPr>
          <w:rFonts w:ascii="Times New Roman" w:hAnsi="Times New Roman"/>
          <w:noProof/>
          <w:sz w:val="20"/>
        </w:rPr>
        <w:t> </w:t>
      </w:r>
      <w:r>
        <w:rPr>
          <w:rFonts w:ascii="Times New Roman" w:hAnsi="Times New Roman"/>
          <w:noProof/>
        </w:rPr>
        <w:t>000 à 11</w:t>
      </w:r>
      <w:r>
        <w:rPr>
          <w:rFonts w:ascii="Times New Roman" w:hAnsi="Times New Roman"/>
          <w:noProof/>
          <w:sz w:val="20"/>
        </w:rPr>
        <w:t> </w:t>
      </w:r>
      <w:r>
        <w:rPr>
          <w:rFonts w:ascii="Times New Roman" w:hAnsi="Times New Roman"/>
          <w:noProof/>
        </w:rPr>
        <w:t>500 soumis pour l’année. Elle vise à mieux financer la recherche fondamentale dans toutes les disciplines et à assurer en particulier le financement de tous les projets d’excellence, y compris les projets risqués et innovants sur lesquels la relance devrait s’appuyer.</w:t>
      </w:r>
    </w:p>
    <w:p w14:paraId="5A8AE9BF" w14:textId="77777777" w:rsidR="00740F0F" w:rsidRPr="0029070D" w:rsidRDefault="00100B64">
      <w:pPr>
        <w:widowControl w:val="0"/>
        <w:autoSpaceDE w:val="0"/>
        <w:autoSpaceDN w:val="0"/>
        <w:spacing w:before="221" w:after="0" w:line="240" w:lineRule="auto"/>
        <w:ind w:left="220"/>
        <w:jc w:val="both"/>
        <w:rPr>
          <w:rFonts w:ascii="Times New Roman" w:eastAsia="Times New Roman" w:hAnsi="Times New Roman" w:cs="Times New Roman"/>
          <w:noProof/>
          <w:kern w:val="0"/>
          <w:szCs w:val="20"/>
          <w14:ligatures w14:val="none"/>
        </w:rPr>
      </w:pPr>
      <w:r>
        <w:rPr>
          <w:rFonts w:ascii="Times New Roman" w:hAnsi="Times New Roman"/>
          <w:noProof/>
          <w:u w:val="single"/>
        </w:rPr>
        <w:t>Investissement 8 (C9.I8): soutenir les écosystèmes d’enseignement, de recherche, de valorisation et d’innovation (PIA4)</w:t>
      </w:r>
    </w:p>
    <w:p w14:paraId="5A8AE9C0" w14:textId="77777777" w:rsidR="00740F0F" w:rsidRPr="0029070D" w:rsidRDefault="00100B64">
      <w:pPr>
        <w:widowControl w:val="0"/>
        <w:autoSpaceDE w:val="0"/>
        <w:autoSpaceDN w:val="0"/>
        <w:spacing w:before="113" w:after="0" w:line="242" w:lineRule="auto"/>
        <w:ind w:left="220" w:right="243"/>
        <w:jc w:val="both"/>
        <w:rPr>
          <w:rFonts w:ascii="Times New Roman" w:eastAsia="Times New Roman" w:hAnsi="Times New Roman" w:cs="Times New Roman"/>
          <w:noProof/>
          <w:kern w:val="0"/>
          <w:szCs w:val="20"/>
          <w14:ligatures w14:val="none"/>
        </w:rPr>
      </w:pPr>
      <w:r>
        <w:rPr>
          <w:rFonts w:ascii="Times New Roman" w:hAnsi="Times New Roman"/>
          <w:noProof/>
        </w:rPr>
        <w:t>Cette enveloppe du PIA4 (programme d’investissements d’avenir) vise à soutenir l’innovation dans les domaines de l’enseignement (de la maternelle à l’université) et de la recherche. La mesure est consacrée à trois appels à projets.</w:t>
      </w:r>
    </w:p>
    <w:p w14:paraId="5A8AE9C1" w14:textId="77777777" w:rsidR="00740F0F" w:rsidRPr="0029070D" w:rsidRDefault="00100B64">
      <w:pPr>
        <w:widowControl w:val="0"/>
        <w:numPr>
          <w:ilvl w:val="0"/>
          <w:numId w:val="54"/>
        </w:numPr>
        <w:tabs>
          <w:tab w:val="left" w:pos="943"/>
        </w:tabs>
        <w:autoSpaceDE w:val="0"/>
        <w:autoSpaceDN w:val="0"/>
        <w:spacing w:before="112" w:after="0" w:line="259" w:lineRule="auto"/>
        <w:ind w:left="942" w:right="247"/>
        <w:jc w:val="both"/>
        <w:rPr>
          <w:rFonts w:ascii="Symbol" w:eastAsia="Times New Roman" w:hAnsi="Symbol" w:cs="Times New Roman"/>
          <w:noProof/>
          <w:kern w:val="0"/>
          <w:sz w:val="22"/>
          <w:szCs w:val="20"/>
          <w14:ligatures w14:val="none"/>
        </w:rPr>
      </w:pPr>
      <w:r>
        <w:rPr>
          <w:rFonts w:ascii="Times New Roman" w:hAnsi="Times New Roman"/>
          <w:noProof/>
        </w:rPr>
        <w:t>Le premier, «Excellence sous toutes ses formes», vise à soutenir les projets de transformation des établissements d’enseignement supérieur pour les aider à atteindre les meilleurs standards internationaux. On entend par «transformation», toute évolution significative de l’établissement ou du site contribuant à développer ses potentialités dans l’ensemble de ses missions, ou dans les missions considérées comme les plus importantes pour l’établissement ou le site, dans le cadre de son projet stratégique. L’objectif est de conforter et renforcer les communautés académiques françaises dans toute leur diversité et quelle que soit la forme d’ambition qu’elles se donnent.</w:t>
      </w:r>
    </w:p>
    <w:p w14:paraId="5A8AE9C2" w14:textId="77777777" w:rsidR="00740F0F" w:rsidRPr="0029070D" w:rsidRDefault="00100B64">
      <w:pPr>
        <w:widowControl w:val="0"/>
        <w:numPr>
          <w:ilvl w:val="0"/>
          <w:numId w:val="54"/>
        </w:numPr>
        <w:tabs>
          <w:tab w:val="left" w:pos="943"/>
        </w:tabs>
        <w:autoSpaceDE w:val="0"/>
        <w:autoSpaceDN w:val="0"/>
        <w:spacing w:before="120" w:after="0" w:line="259" w:lineRule="auto"/>
        <w:ind w:left="942" w:right="238"/>
        <w:jc w:val="both"/>
        <w:rPr>
          <w:rFonts w:ascii="Symbol" w:eastAsia="Times New Roman" w:hAnsi="Symbol" w:cs="Times New Roman"/>
          <w:noProof/>
          <w:kern w:val="0"/>
          <w:sz w:val="22"/>
          <w:szCs w:val="20"/>
          <w14:ligatures w14:val="none"/>
        </w:rPr>
      </w:pPr>
      <w:r>
        <w:rPr>
          <w:rFonts w:ascii="Times New Roman" w:hAnsi="Times New Roman"/>
          <w:noProof/>
        </w:rPr>
        <w:t>Le second vise à soutenir la diversification des ressources financières des établissements d’enseignement supérieur et de recherche. Il apporte un soutien à la création ou transformation des services dédiés à l’accompagnement dans le montage de projets et en abondant les financements reçus par les établissements. Il constituerait un levier pour inciter les établissements à diversifier leurs ressources (moyens obtenus auprès de l’Union européenne, en matière de formation et les fonds levés dans le cadre de la philanthropie et du mécénat).</w:t>
      </w:r>
    </w:p>
    <w:p w14:paraId="5A8AE9C3" w14:textId="689ACDD5" w:rsidR="00740F0F" w:rsidRPr="0029070D" w:rsidRDefault="00100B64">
      <w:pPr>
        <w:widowControl w:val="0"/>
        <w:numPr>
          <w:ilvl w:val="0"/>
          <w:numId w:val="54"/>
        </w:numPr>
        <w:tabs>
          <w:tab w:val="left" w:pos="943"/>
        </w:tabs>
        <w:autoSpaceDE w:val="0"/>
        <w:autoSpaceDN w:val="0"/>
        <w:spacing w:before="120" w:after="0" w:line="259" w:lineRule="auto"/>
        <w:ind w:left="942" w:right="238"/>
        <w:jc w:val="both"/>
        <w:rPr>
          <w:rFonts w:ascii="Times New Roman" w:eastAsia="Times New Roman" w:hAnsi="Times New Roman" w:cs="Times New Roman"/>
          <w:noProof/>
          <w:kern w:val="0"/>
          <w14:ligatures w14:val="none"/>
        </w:rPr>
      </w:pPr>
      <w:r>
        <w:rPr>
          <w:rFonts w:ascii="Times New Roman" w:hAnsi="Times New Roman"/>
          <w:noProof/>
        </w:rPr>
        <w:t>Le troisième appel à projets est dédié à la transformation de l’enseignement scolaire en y promouvant l’innovation et de nouvelles formes d’organisation et de gestion. Plusieurs priorités sont suivies:</w:t>
      </w:r>
    </w:p>
    <w:p w14:paraId="5A8AE9C4" w14:textId="77777777" w:rsidR="00740F0F" w:rsidRPr="0029070D" w:rsidRDefault="00100B64">
      <w:pPr>
        <w:widowControl w:val="0"/>
        <w:numPr>
          <w:ilvl w:val="1"/>
          <w:numId w:val="54"/>
        </w:numPr>
        <w:tabs>
          <w:tab w:val="left" w:pos="1663"/>
        </w:tabs>
        <w:autoSpaceDE w:val="0"/>
        <w:autoSpaceDN w:val="0"/>
        <w:spacing w:before="11" w:after="0" w:line="225" w:lineRule="auto"/>
        <w:ind w:right="267"/>
        <w:jc w:val="both"/>
        <w:rPr>
          <w:rFonts w:ascii="Times New Roman" w:eastAsia="Times New Roman" w:hAnsi="Times New Roman" w:cs="Times New Roman"/>
          <w:noProof/>
          <w:kern w:val="0"/>
          <w:szCs w:val="20"/>
          <w14:ligatures w14:val="none"/>
        </w:rPr>
      </w:pPr>
      <w:r>
        <w:rPr>
          <w:rFonts w:ascii="Times New Roman" w:hAnsi="Times New Roman"/>
          <w:noProof/>
        </w:rPr>
        <w:t>Territoires d’urgence pédagogique: repérer les élèves en décrochage scolaire sur des territoires cibles, pour renforcer les moyens pédagogiques afin de les remettre à niveau;</w:t>
      </w:r>
    </w:p>
    <w:p w14:paraId="5A8AE9C5" w14:textId="77777777" w:rsidR="00740F0F" w:rsidRPr="0029070D" w:rsidRDefault="00100B64">
      <w:pPr>
        <w:widowControl w:val="0"/>
        <w:numPr>
          <w:ilvl w:val="1"/>
          <w:numId w:val="54"/>
        </w:numPr>
        <w:tabs>
          <w:tab w:val="left" w:pos="1663"/>
        </w:tabs>
        <w:autoSpaceDE w:val="0"/>
        <w:autoSpaceDN w:val="0"/>
        <w:spacing w:before="68" w:after="0" w:line="242" w:lineRule="auto"/>
        <w:ind w:right="238"/>
        <w:jc w:val="both"/>
        <w:rPr>
          <w:rFonts w:ascii="Times New Roman" w:eastAsia="Times New Roman" w:hAnsi="Times New Roman" w:cs="Times New Roman"/>
          <w:noProof/>
          <w:kern w:val="0"/>
          <w:szCs w:val="20"/>
          <w14:ligatures w14:val="none"/>
        </w:rPr>
      </w:pPr>
      <w:r>
        <w:rPr>
          <w:rFonts w:ascii="Times New Roman" w:hAnsi="Times New Roman"/>
          <w:noProof/>
        </w:rPr>
        <w:t>Plateforme nationale «être parent»: offrir en particulier via le numérique mais pas uniquement une nouvelle approche renforçant le rôle, le lien et l’engagement des parents à l’école; Territoire zéro décrocheurs: fixer l’ambition de réduire totalement le décrochage dans le secondaire et le supérieur par des modalités d’intervention interministérielles, associatives et territoriales innovantes;</w:t>
      </w:r>
    </w:p>
    <w:p w14:paraId="5A8AE9C6" w14:textId="77777777" w:rsidR="00740F0F" w:rsidRPr="0029070D" w:rsidRDefault="00100B64">
      <w:pPr>
        <w:widowControl w:val="0"/>
        <w:numPr>
          <w:ilvl w:val="1"/>
          <w:numId w:val="54"/>
        </w:numPr>
        <w:tabs>
          <w:tab w:val="left" w:pos="1663"/>
        </w:tabs>
        <w:autoSpaceDE w:val="0"/>
        <w:autoSpaceDN w:val="0"/>
        <w:spacing w:before="17" w:after="0" w:line="249" w:lineRule="auto"/>
        <w:ind w:right="249"/>
        <w:jc w:val="both"/>
        <w:rPr>
          <w:rFonts w:ascii="Times New Roman" w:eastAsia="Times New Roman" w:hAnsi="Times New Roman" w:cs="Times New Roman"/>
          <w:noProof/>
          <w:kern w:val="0"/>
          <w:szCs w:val="20"/>
          <w14:ligatures w14:val="none"/>
        </w:rPr>
      </w:pPr>
      <w:r>
        <w:rPr>
          <w:rFonts w:ascii="Times New Roman" w:hAnsi="Times New Roman"/>
          <w:noProof/>
        </w:rPr>
        <w:t>Territoires des parcours d’apprentissage: en lien avec les entreprises augmenter significativement les formations en alternance en développant des solutions innovantes, promouvoir des solutions de prises en charge intégrées des jeunes (logement, mobilité, contrat de travail), assurer le suivi des jeunes pour éviter les ruptures.</w:t>
      </w:r>
    </w:p>
    <w:p w14:paraId="5A8AE9C7" w14:textId="77777777" w:rsidR="00740F0F" w:rsidRPr="0029070D" w:rsidRDefault="00100B64">
      <w:pPr>
        <w:widowControl w:val="0"/>
        <w:autoSpaceDE w:val="0"/>
        <w:autoSpaceDN w:val="0"/>
        <w:spacing w:before="164" w:after="0" w:line="237" w:lineRule="auto"/>
        <w:ind w:left="220" w:right="226"/>
        <w:jc w:val="both"/>
        <w:rPr>
          <w:rFonts w:ascii="Times New Roman" w:eastAsia="Times New Roman" w:hAnsi="Times New Roman" w:cs="Times New Roman"/>
          <w:noProof/>
          <w:kern w:val="0"/>
          <w:szCs w:val="20"/>
          <w14:ligatures w14:val="none"/>
        </w:rPr>
      </w:pPr>
      <w:r>
        <w:rPr>
          <w:rFonts w:ascii="Times New Roman" w:hAnsi="Times New Roman"/>
          <w:noProof/>
        </w:rPr>
        <w:t>Les cahiers des charges des futurs appels à projets intègrent des critères d’éligibilité permettant d’assurer la neutralité environnementale des applications de la solution financée, de sorte que la mesure soit conforme au principe consistant à «ne pas causer de préjudice important» du règlement (UE) 2021/241. De plus, le cas échéant, les critères environnementaux font partie des critères de sélection des projets, et les opérateurs sont tenus de produire une analyse critique de leurs propositions sur la base d’une expertise interne et externe; la transition écologique est inscrite dans la loi comme l’un des objectifs du PIA, et les instances dirigeantes du PIA doivent veiller à l’application de ces objectifs, comme contrôlé par un indicateur dédié. Cela conduit à exclure i) les activités liées aux combustibles fossiles, y compris leur utilisation en aval</w:t>
      </w:r>
      <w:r w:rsidRPr="0029070D">
        <w:rPr>
          <w:rStyle w:val="FootnoteReference"/>
          <w:rFonts w:ascii="Times New Roman" w:eastAsia="Times New Roman" w:hAnsi="Times New Roman" w:cs="Times New Roman"/>
          <w:b w:val="0"/>
          <w:bCs/>
          <w:noProof/>
          <w:kern w:val="0"/>
          <w:szCs w:val="20"/>
        </w:rPr>
        <w:footnoteReference w:id="30"/>
      </w:r>
      <w:r>
        <w:rPr>
          <w:rFonts w:ascii="Times New Roman" w:hAnsi="Times New Roman"/>
          <w:noProof/>
        </w:rPr>
        <w:t>; ii) d’activités relevant du système d’échange de quotas d’émission de l’UE (SEQE) permettant d’atteindre les émissions de gaz à effet de serre prévues qui ne sont pas inférieures aux référentiels pertinents</w:t>
      </w:r>
      <w:r w:rsidRPr="0029070D">
        <w:rPr>
          <w:rStyle w:val="FootnoteReference"/>
          <w:rFonts w:ascii="Times New Roman" w:eastAsia="Times New Roman" w:hAnsi="Times New Roman" w:cs="Times New Roman"/>
          <w:b w:val="0"/>
          <w:bCs/>
          <w:noProof/>
          <w:kern w:val="0"/>
          <w:szCs w:val="20"/>
        </w:rPr>
        <w:footnoteReference w:id="31"/>
      </w:r>
      <w:r>
        <w:rPr>
          <w:rFonts w:ascii="Times New Roman" w:hAnsi="Times New Roman"/>
          <w:noProof/>
        </w:rPr>
        <w:t>; iii) les activités liées aux décharges de déchets, aux incinérateurs</w:t>
      </w:r>
      <w:r w:rsidRPr="0029070D">
        <w:rPr>
          <w:rStyle w:val="FootnoteReference"/>
          <w:rFonts w:ascii="Times New Roman" w:eastAsia="Times New Roman" w:hAnsi="Times New Roman" w:cs="Times New Roman"/>
          <w:b w:val="0"/>
          <w:bCs/>
          <w:noProof/>
          <w:kern w:val="0"/>
          <w:szCs w:val="20"/>
        </w:rPr>
        <w:footnoteReference w:id="32"/>
      </w:r>
      <w:r>
        <w:rPr>
          <w:rFonts w:ascii="Times New Roman" w:hAnsi="Times New Roman"/>
          <w:noProof/>
        </w:rPr>
        <w:t xml:space="preserve"> et aux installations de traitement mécanique biologique</w:t>
      </w:r>
      <w:r w:rsidRPr="0029070D">
        <w:rPr>
          <w:rStyle w:val="FootnoteReference"/>
          <w:rFonts w:ascii="Times New Roman" w:eastAsia="Times New Roman" w:hAnsi="Times New Roman" w:cs="Times New Roman"/>
          <w:b w:val="0"/>
          <w:bCs/>
          <w:noProof/>
          <w:kern w:val="0"/>
          <w:szCs w:val="20"/>
        </w:rPr>
        <w:footnoteReference w:id="33"/>
      </w:r>
      <w:r>
        <w:rPr>
          <w:rFonts w:ascii="Times New Roman" w:hAnsi="Times New Roman"/>
          <w:noProof/>
        </w:rPr>
        <w:t>; et iv) les activités pour lesquelles l’élimination à long terme des déchets peut nuire à l’environnement.</w:t>
      </w:r>
    </w:p>
    <w:p w14:paraId="5A8AE9C8" w14:textId="77777777" w:rsidR="00740F0F" w:rsidRPr="0029070D" w:rsidRDefault="00740F0F">
      <w:pPr>
        <w:widowControl w:val="0"/>
        <w:autoSpaceDE w:val="0"/>
        <w:autoSpaceDN w:val="0"/>
        <w:spacing w:after="0" w:line="240" w:lineRule="auto"/>
        <w:rPr>
          <w:rFonts w:ascii="Times New Roman" w:eastAsia="Times New Roman" w:hAnsi="Times New Roman" w:cs="Times New Roman"/>
          <w:noProof/>
          <w:kern w:val="0"/>
          <w:sz w:val="20"/>
          <w:szCs w:val="20"/>
          <w14:ligatures w14:val="none"/>
        </w:rPr>
      </w:pPr>
    </w:p>
    <w:p w14:paraId="5A8AE9C9" w14:textId="77777777" w:rsidR="00740F0F" w:rsidRPr="0029070D" w:rsidRDefault="00740F0F">
      <w:pPr>
        <w:spacing w:before="120" w:after="120" w:line="360" w:lineRule="auto"/>
        <w:jc w:val="both"/>
        <w:rPr>
          <w:rFonts w:ascii="Times New Roman" w:eastAsia="Calibri" w:hAnsi="Times New Roman" w:cs="Times New Roman"/>
          <w:noProof/>
          <w:kern w:val="0"/>
          <w:sz w:val="20"/>
          <w:szCs w:val="22"/>
          <w14:ligatures w14:val="none"/>
        </w:rPr>
        <w:sectPr w:rsidR="00740F0F" w:rsidRPr="0029070D">
          <w:headerReference w:type="even" r:id="rId114"/>
          <w:headerReference w:type="default" r:id="rId115"/>
          <w:footerReference w:type="even" r:id="rId116"/>
          <w:footerReference w:type="default" r:id="rId117"/>
          <w:headerReference w:type="first" r:id="rId118"/>
          <w:footerReference w:type="first" r:id="rId119"/>
          <w:pgSz w:w="11920" w:h="16860"/>
          <w:pgMar w:top="1134" w:right="1134" w:bottom="1134" w:left="1134" w:header="567" w:footer="567" w:gutter="0"/>
          <w:cols w:space="720"/>
          <w:docGrid w:linePitch="326"/>
        </w:sectPr>
      </w:pPr>
    </w:p>
    <w:p w14:paraId="5A8AE9CA" w14:textId="77777777" w:rsidR="00740F0F" w:rsidRPr="003A373D" w:rsidRDefault="00100B64">
      <w:pPr>
        <w:widowControl w:val="0"/>
        <w:numPr>
          <w:ilvl w:val="1"/>
          <w:numId w:val="53"/>
        </w:numPr>
        <w:tabs>
          <w:tab w:val="left" w:pos="942"/>
          <w:tab w:val="left" w:pos="943"/>
        </w:tabs>
        <w:autoSpaceDE w:val="0"/>
        <w:autoSpaceDN w:val="0"/>
        <w:spacing w:before="218" w:after="0" w:line="240" w:lineRule="auto"/>
        <w:ind w:hanging="824"/>
        <w:jc w:val="center"/>
        <w:outlineLvl w:val="1"/>
        <w:rPr>
          <w:rFonts w:ascii="Times New Roman" w:eastAsia="Times New Roman" w:hAnsi="Times New Roman" w:cs="Times New Roman"/>
          <w:b/>
          <w:noProof/>
          <w:kern w:val="0"/>
          <w:szCs w:val="20"/>
          <w:u w:val="single"/>
          <w14:ligatures w14:val="none"/>
        </w:rPr>
      </w:pPr>
      <w:r>
        <w:rPr>
          <w:rFonts w:ascii="Times New Roman" w:hAnsi="Times New Roman"/>
          <w:b/>
          <w:noProof/>
          <w:u w:val="single"/>
        </w:rPr>
        <w:t>Jalons, cibles, indicateurs et calendrier de suivi et de mise en œuvre en vue du soutien financier non remboursable</w:t>
      </w:r>
    </w:p>
    <w:p w14:paraId="5A8AE9CB" w14:textId="77777777" w:rsidR="00740F0F" w:rsidRPr="0029070D" w:rsidRDefault="00740F0F">
      <w:pPr>
        <w:widowControl w:val="0"/>
        <w:autoSpaceDE w:val="0"/>
        <w:autoSpaceDN w:val="0"/>
        <w:spacing w:after="0" w:line="240" w:lineRule="auto"/>
        <w:rPr>
          <w:rFonts w:ascii="Times New Roman" w:eastAsia="Times New Roman" w:hAnsi="Times New Roman" w:cs="Times New Roman"/>
          <w:b/>
          <w:noProof/>
          <w:kern w:val="0"/>
          <w:sz w:val="20"/>
          <w:szCs w:val="20"/>
          <w14:ligatures w14:val="none"/>
        </w:rPr>
      </w:pPr>
    </w:p>
    <w:tbl>
      <w:tblPr>
        <w:tblStyle w:val="NormalTable0"/>
        <w:tblW w:w="15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1149"/>
        <w:gridCol w:w="1064"/>
        <w:gridCol w:w="1916"/>
        <w:gridCol w:w="1306"/>
        <w:gridCol w:w="944"/>
        <w:gridCol w:w="850"/>
        <w:gridCol w:w="1276"/>
        <w:gridCol w:w="992"/>
        <w:gridCol w:w="709"/>
        <w:gridCol w:w="3948"/>
      </w:tblGrid>
      <w:tr w:rsidR="00782477" w:rsidRPr="0029070D" w14:paraId="5A8AE9D4" w14:textId="77777777" w:rsidTr="00F84DDA">
        <w:trPr>
          <w:trHeight w:val="300"/>
          <w:tblHeader/>
          <w:jc w:val="center"/>
        </w:trPr>
        <w:tc>
          <w:tcPr>
            <w:tcW w:w="1271" w:type="dxa"/>
            <w:vMerge w:val="restart"/>
            <w:shd w:val="clear" w:color="auto" w:fill="C5D9EF"/>
            <w:vAlign w:val="center"/>
          </w:tcPr>
          <w:p w14:paraId="5A8AE9CC" w14:textId="77777777" w:rsidR="00740F0F" w:rsidRPr="0029070D" w:rsidRDefault="00100B64">
            <w:pPr>
              <w:spacing w:line="247" w:lineRule="auto"/>
              <w:ind w:left="194" w:right="216" w:hanging="106"/>
              <w:jc w:val="center"/>
              <w:rPr>
                <w:rFonts w:ascii="Times New Roman" w:eastAsia="Times New Roman" w:hAnsi="Times New Roman" w:cs="Times New Roman"/>
                <w:b/>
                <w:noProof/>
                <w:sz w:val="18"/>
                <w:szCs w:val="18"/>
              </w:rPr>
            </w:pPr>
            <w:r>
              <w:rPr>
                <w:rFonts w:ascii="Times New Roman" w:hAnsi="Times New Roman"/>
                <w:b/>
                <w:noProof/>
                <w:sz w:val="18"/>
              </w:rPr>
              <w:t>Numéro séquentiel</w:t>
            </w:r>
          </w:p>
        </w:tc>
        <w:tc>
          <w:tcPr>
            <w:tcW w:w="1149" w:type="dxa"/>
            <w:vMerge w:val="restart"/>
            <w:shd w:val="clear" w:color="auto" w:fill="C5D9EF"/>
            <w:vAlign w:val="center"/>
          </w:tcPr>
          <w:p w14:paraId="5A8AE9CD" w14:textId="77777777" w:rsidR="00740F0F" w:rsidRPr="0029070D" w:rsidRDefault="00100B64">
            <w:pPr>
              <w:spacing w:before="231"/>
              <w:ind w:left="263"/>
              <w:rPr>
                <w:rFonts w:ascii="Times New Roman" w:eastAsia="Times New Roman" w:hAnsi="Times New Roman" w:cs="Times New Roman"/>
                <w:b/>
                <w:noProof/>
                <w:sz w:val="18"/>
                <w:szCs w:val="18"/>
              </w:rPr>
            </w:pPr>
            <w:r>
              <w:rPr>
                <w:rFonts w:ascii="Times New Roman" w:hAnsi="Times New Roman"/>
                <w:b/>
                <w:noProof/>
                <w:sz w:val="18"/>
              </w:rPr>
              <w:t>Mesure</w:t>
            </w:r>
          </w:p>
        </w:tc>
        <w:tc>
          <w:tcPr>
            <w:tcW w:w="1064" w:type="dxa"/>
            <w:vMerge w:val="restart"/>
            <w:shd w:val="clear" w:color="auto" w:fill="C5D9EF"/>
            <w:vAlign w:val="center"/>
          </w:tcPr>
          <w:p w14:paraId="5A8AE9CE" w14:textId="77777777" w:rsidR="00740F0F" w:rsidRPr="0029070D" w:rsidRDefault="00100B64">
            <w:pPr>
              <w:ind w:left="-19"/>
              <w:jc w:val="center"/>
              <w:rPr>
                <w:rFonts w:ascii="Times New Roman" w:eastAsia="Times New Roman" w:hAnsi="Times New Roman" w:cs="Times New Roman"/>
                <w:b/>
                <w:noProof/>
                <w:sz w:val="18"/>
                <w:szCs w:val="18"/>
              </w:rPr>
            </w:pPr>
            <w:r>
              <w:rPr>
                <w:rFonts w:ascii="Times New Roman" w:hAnsi="Times New Roman"/>
                <w:b/>
                <w:noProof/>
                <w:sz w:val="18"/>
              </w:rPr>
              <w:t>Jalon / Cible</w:t>
            </w:r>
          </w:p>
        </w:tc>
        <w:tc>
          <w:tcPr>
            <w:tcW w:w="1916" w:type="dxa"/>
            <w:vMerge w:val="restart"/>
            <w:shd w:val="clear" w:color="auto" w:fill="C5D9EF"/>
            <w:vAlign w:val="center"/>
          </w:tcPr>
          <w:p w14:paraId="5A8AE9CF" w14:textId="77777777" w:rsidR="00740F0F" w:rsidRPr="0029070D" w:rsidRDefault="00100B64">
            <w:pPr>
              <w:spacing w:before="1"/>
              <w:jc w:val="center"/>
              <w:rPr>
                <w:rFonts w:ascii="Times New Roman" w:eastAsia="Times New Roman" w:hAnsi="Times New Roman" w:cs="Times New Roman"/>
                <w:b/>
                <w:noProof/>
                <w:sz w:val="18"/>
                <w:szCs w:val="18"/>
              </w:rPr>
            </w:pPr>
            <w:r>
              <w:rPr>
                <w:rFonts w:ascii="Times New Roman" w:hAnsi="Times New Roman"/>
                <w:b/>
                <w:noProof/>
                <w:sz w:val="18"/>
              </w:rPr>
              <w:t>Dénomination</w:t>
            </w:r>
          </w:p>
        </w:tc>
        <w:tc>
          <w:tcPr>
            <w:tcW w:w="1306" w:type="dxa"/>
            <w:vMerge w:val="restart"/>
            <w:shd w:val="clear" w:color="auto" w:fill="C5D9EF"/>
            <w:vAlign w:val="center"/>
          </w:tcPr>
          <w:p w14:paraId="5A8AE9D0" w14:textId="77777777" w:rsidR="00740F0F" w:rsidRPr="0029070D" w:rsidRDefault="00100B64">
            <w:pPr>
              <w:tabs>
                <w:tab w:val="left" w:pos="1023"/>
              </w:tabs>
              <w:spacing w:before="1" w:line="244" w:lineRule="auto"/>
              <w:ind w:left="72" w:right="42" w:firstLine="43"/>
              <w:jc w:val="center"/>
              <w:rPr>
                <w:rFonts w:ascii="Times New Roman" w:eastAsia="Times New Roman" w:hAnsi="Times New Roman" w:cs="Times New Roman"/>
                <w:b/>
                <w:noProof/>
                <w:sz w:val="18"/>
                <w:szCs w:val="18"/>
              </w:rPr>
            </w:pPr>
            <w:r>
              <w:rPr>
                <w:rFonts w:ascii="Times New Roman" w:hAnsi="Times New Roman"/>
                <w:b/>
                <w:noProof/>
                <w:sz w:val="18"/>
              </w:rPr>
              <w:t>Indicateurs qualitatifs (pour les jalons)</w:t>
            </w:r>
          </w:p>
        </w:tc>
        <w:tc>
          <w:tcPr>
            <w:tcW w:w="3070" w:type="dxa"/>
            <w:gridSpan w:val="3"/>
            <w:shd w:val="clear" w:color="auto" w:fill="C5D9EF"/>
            <w:vAlign w:val="center"/>
          </w:tcPr>
          <w:p w14:paraId="5A8AE9D1" w14:textId="77777777" w:rsidR="00740F0F" w:rsidRPr="0029070D" w:rsidRDefault="00100B64">
            <w:pPr>
              <w:spacing w:before="158" w:line="201" w:lineRule="exact"/>
              <w:ind w:left="191" w:right="284"/>
              <w:jc w:val="center"/>
              <w:rPr>
                <w:rFonts w:ascii="Times New Roman" w:eastAsia="Times New Roman" w:hAnsi="Times New Roman" w:cs="Times New Roman"/>
                <w:b/>
                <w:noProof/>
                <w:sz w:val="18"/>
                <w:szCs w:val="18"/>
              </w:rPr>
            </w:pPr>
            <w:r>
              <w:rPr>
                <w:rFonts w:ascii="Times New Roman" w:hAnsi="Times New Roman"/>
                <w:b/>
                <w:noProof/>
                <w:sz w:val="18"/>
              </w:rPr>
              <w:t>Indicateurs quantitatifs (pour les cibles)</w:t>
            </w:r>
          </w:p>
        </w:tc>
        <w:tc>
          <w:tcPr>
            <w:tcW w:w="1701" w:type="dxa"/>
            <w:gridSpan w:val="2"/>
            <w:shd w:val="clear" w:color="auto" w:fill="C5D9EF"/>
            <w:vAlign w:val="center"/>
          </w:tcPr>
          <w:p w14:paraId="5A8AE9D2" w14:textId="77777777" w:rsidR="00740F0F" w:rsidRPr="0029070D" w:rsidRDefault="00100B64">
            <w:pPr>
              <w:ind w:left="207" w:right="13" w:hanging="161"/>
              <w:jc w:val="center"/>
              <w:rPr>
                <w:rFonts w:ascii="Times New Roman" w:eastAsia="Times New Roman" w:hAnsi="Times New Roman" w:cs="Times New Roman"/>
                <w:b/>
                <w:noProof/>
                <w:sz w:val="18"/>
                <w:szCs w:val="18"/>
              </w:rPr>
            </w:pPr>
            <w:r>
              <w:rPr>
                <w:rFonts w:ascii="Times New Roman" w:hAnsi="Times New Roman"/>
                <w:b/>
                <w:noProof/>
                <w:sz w:val="18"/>
              </w:rPr>
              <w:t>Calendrier indicatif de réalisation</w:t>
            </w:r>
          </w:p>
        </w:tc>
        <w:tc>
          <w:tcPr>
            <w:tcW w:w="3948" w:type="dxa"/>
            <w:vMerge w:val="restart"/>
            <w:shd w:val="clear" w:color="auto" w:fill="C5D9EF"/>
            <w:vAlign w:val="center"/>
          </w:tcPr>
          <w:p w14:paraId="5A8AE9D3" w14:textId="77777777" w:rsidR="00740F0F" w:rsidRPr="0029070D" w:rsidRDefault="00100B64">
            <w:pPr>
              <w:jc w:val="center"/>
              <w:rPr>
                <w:rFonts w:ascii="Times New Roman" w:eastAsia="Times New Roman" w:hAnsi="Times New Roman" w:cs="Times New Roman"/>
                <w:b/>
                <w:noProof/>
                <w:sz w:val="18"/>
                <w:szCs w:val="18"/>
              </w:rPr>
            </w:pPr>
            <w:r>
              <w:rPr>
                <w:rFonts w:ascii="Times New Roman" w:hAnsi="Times New Roman"/>
                <w:b/>
                <w:noProof/>
                <w:sz w:val="18"/>
              </w:rPr>
              <w:t>Description de chaque jalon et cible</w:t>
            </w:r>
          </w:p>
        </w:tc>
      </w:tr>
      <w:tr w:rsidR="00782477" w:rsidRPr="0029070D" w14:paraId="5A8AE9E0" w14:textId="77777777" w:rsidTr="00F84DDA">
        <w:trPr>
          <w:trHeight w:val="300"/>
          <w:tblHeader/>
          <w:jc w:val="center"/>
        </w:trPr>
        <w:tc>
          <w:tcPr>
            <w:tcW w:w="1271" w:type="dxa"/>
            <w:vMerge/>
          </w:tcPr>
          <w:p w14:paraId="5A8AE9D5" w14:textId="77777777" w:rsidR="00740F0F" w:rsidRPr="0029070D" w:rsidRDefault="00740F0F">
            <w:pPr>
              <w:spacing w:before="120" w:after="120" w:line="360" w:lineRule="auto"/>
              <w:rPr>
                <w:rFonts w:ascii="Times New Roman" w:eastAsia="Calibri" w:hAnsi="Times New Roman" w:cs="Times New Roman"/>
                <w:noProof/>
                <w:sz w:val="18"/>
                <w:szCs w:val="18"/>
              </w:rPr>
            </w:pPr>
          </w:p>
        </w:tc>
        <w:tc>
          <w:tcPr>
            <w:tcW w:w="1149" w:type="dxa"/>
            <w:vMerge/>
          </w:tcPr>
          <w:p w14:paraId="5A8AE9D6" w14:textId="77777777" w:rsidR="00740F0F" w:rsidRPr="0029070D" w:rsidRDefault="00740F0F">
            <w:pPr>
              <w:spacing w:before="120" w:after="120" w:line="360" w:lineRule="auto"/>
              <w:rPr>
                <w:rFonts w:ascii="Times New Roman" w:eastAsia="Calibri" w:hAnsi="Times New Roman" w:cs="Times New Roman"/>
                <w:noProof/>
                <w:sz w:val="18"/>
                <w:szCs w:val="18"/>
              </w:rPr>
            </w:pPr>
          </w:p>
        </w:tc>
        <w:tc>
          <w:tcPr>
            <w:tcW w:w="1064" w:type="dxa"/>
            <w:vMerge/>
          </w:tcPr>
          <w:p w14:paraId="5A8AE9D7" w14:textId="77777777" w:rsidR="00740F0F" w:rsidRPr="0029070D" w:rsidRDefault="00740F0F">
            <w:pPr>
              <w:spacing w:before="120" w:after="120" w:line="360" w:lineRule="auto"/>
              <w:rPr>
                <w:rFonts w:ascii="Times New Roman" w:eastAsia="Calibri" w:hAnsi="Times New Roman" w:cs="Times New Roman"/>
                <w:noProof/>
                <w:sz w:val="18"/>
                <w:szCs w:val="18"/>
              </w:rPr>
            </w:pPr>
          </w:p>
        </w:tc>
        <w:tc>
          <w:tcPr>
            <w:tcW w:w="1916" w:type="dxa"/>
            <w:vMerge/>
          </w:tcPr>
          <w:p w14:paraId="5A8AE9D8" w14:textId="77777777" w:rsidR="00740F0F" w:rsidRPr="0029070D" w:rsidRDefault="00740F0F">
            <w:pPr>
              <w:spacing w:before="120" w:after="120" w:line="360" w:lineRule="auto"/>
              <w:rPr>
                <w:rFonts w:ascii="Times New Roman" w:eastAsia="Calibri" w:hAnsi="Times New Roman" w:cs="Times New Roman"/>
                <w:noProof/>
                <w:sz w:val="18"/>
                <w:szCs w:val="18"/>
              </w:rPr>
            </w:pPr>
          </w:p>
        </w:tc>
        <w:tc>
          <w:tcPr>
            <w:tcW w:w="1306" w:type="dxa"/>
            <w:vMerge/>
          </w:tcPr>
          <w:p w14:paraId="5A8AE9D9" w14:textId="77777777" w:rsidR="00740F0F" w:rsidRPr="0029070D" w:rsidRDefault="00740F0F">
            <w:pPr>
              <w:spacing w:before="120" w:after="120" w:line="360" w:lineRule="auto"/>
              <w:rPr>
                <w:rFonts w:ascii="Times New Roman" w:eastAsia="Calibri" w:hAnsi="Times New Roman" w:cs="Times New Roman"/>
                <w:noProof/>
                <w:sz w:val="18"/>
                <w:szCs w:val="18"/>
              </w:rPr>
            </w:pPr>
          </w:p>
        </w:tc>
        <w:tc>
          <w:tcPr>
            <w:tcW w:w="944" w:type="dxa"/>
            <w:shd w:val="clear" w:color="auto" w:fill="C5D9EF"/>
          </w:tcPr>
          <w:p w14:paraId="5A8AE9DA" w14:textId="77777777" w:rsidR="00740F0F" w:rsidRPr="0029070D" w:rsidRDefault="00100B64">
            <w:pPr>
              <w:spacing w:before="131"/>
              <w:ind w:left="211"/>
              <w:jc w:val="center"/>
              <w:rPr>
                <w:rFonts w:ascii="Times New Roman" w:eastAsia="Times New Roman" w:hAnsi="Times New Roman" w:cs="Times New Roman"/>
                <w:b/>
                <w:noProof/>
                <w:sz w:val="18"/>
                <w:szCs w:val="18"/>
              </w:rPr>
            </w:pPr>
            <w:r>
              <w:rPr>
                <w:rFonts w:ascii="Times New Roman" w:hAnsi="Times New Roman"/>
                <w:b/>
                <w:noProof/>
                <w:sz w:val="18"/>
              </w:rPr>
              <w:t>Unité de mesure</w:t>
            </w:r>
          </w:p>
        </w:tc>
        <w:tc>
          <w:tcPr>
            <w:tcW w:w="850" w:type="dxa"/>
            <w:shd w:val="clear" w:color="auto" w:fill="C5D9EF"/>
          </w:tcPr>
          <w:p w14:paraId="5A8AE9DB" w14:textId="77777777" w:rsidR="00740F0F" w:rsidRPr="0029070D" w:rsidRDefault="00100B64">
            <w:pPr>
              <w:spacing w:before="131"/>
              <w:ind w:left="91"/>
              <w:jc w:val="center"/>
              <w:rPr>
                <w:rFonts w:ascii="Times New Roman" w:eastAsia="Times New Roman" w:hAnsi="Times New Roman" w:cs="Times New Roman"/>
                <w:b/>
                <w:noProof/>
                <w:sz w:val="18"/>
                <w:szCs w:val="18"/>
              </w:rPr>
            </w:pPr>
            <w:r>
              <w:rPr>
                <w:rFonts w:ascii="Times New Roman" w:hAnsi="Times New Roman"/>
                <w:b/>
                <w:noProof/>
                <w:sz w:val="18"/>
              </w:rPr>
              <w:t>Base de référence</w:t>
            </w:r>
          </w:p>
        </w:tc>
        <w:tc>
          <w:tcPr>
            <w:tcW w:w="1276" w:type="dxa"/>
            <w:shd w:val="clear" w:color="auto" w:fill="C5D9EF"/>
          </w:tcPr>
          <w:p w14:paraId="5A8AE9DC" w14:textId="77777777" w:rsidR="00740F0F" w:rsidRPr="0029070D" w:rsidRDefault="00100B64">
            <w:pPr>
              <w:spacing w:before="131"/>
              <w:ind w:left="249"/>
              <w:jc w:val="center"/>
              <w:rPr>
                <w:rFonts w:ascii="Times New Roman" w:eastAsia="Times New Roman" w:hAnsi="Times New Roman" w:cs="Times New Roman"/>
                <w:b/>
                <w:noProof/>
                <w:sz w:val="18"/>
                <w:szCs w:val="18"/>
              </w:rPr>
            </w:pPr>
            <w:r>
              <w:rPr>
                <w:rFonts w:ascii="Times New Roman" w:hAnsi="Times New Roman"/>
                <w:b/>
                <w:noProof/>
                <w:sz w:val="18"/>
              </w:rPr>
              <w:t>Objectif</w:t>
            </w:r>
          </w:p>
        </w:tc>
        <w:tc>
          <w:tcPr>
            <w:tcW w:w="992" w:type="dxa"/>
            <w:shd w:val="clear" w:color="auto" w:fill="C5D9EF"/>
          </w:tcPr>
          <w:p w14:paraId="5A8AE9DD" w14:textId="77777777" w:rsidR="00740F0F" w:rsidRPr="0029070D" w:rsidRDefault="00100B64">
            <w:pPr>
              <w:spacing w:before="131"/>
              <w:ind w:left="27" w:right="12"/>
              <w:jc w:val="center"/>
              <w:rPr>
                <w:rFonts w:ascii="Times New Roman" w:eastAsia="Times New Roman" w:hAnsi="Times New Roman" w:cs="Times New Roman"/>
                <w:b/>
                <w:noProof/>
                <w:sz w:val="18"/>
                <w:szCs w:val="18"/>
              </w:rPr>
            </w:pPr>
            <w:r>
              <w:rPr>
                <w:rFonts w:ascii="Times New Roman" w:hAnsi="Times New Roman"/>
                <w:b/>
                <w:noProof/>
                <w:sz w:val="18"/>
              </w:rPr>
              <w:t>Trimestre</w:t>
            </w:r>
          </w:p>
        </w:tc>
        <w:tc>
          <w:tcPr>
            <w:tcW w:w="709" w:type="dxa"/>
            <w:shd w:val="clear" w:color="auto" w:fill="C5D9EF"/>
          </w:tcPr>
          <w:p w14:paraId="5A8AE9DE" w14:textId="77777777" w:rsidR="00740F0F" w:rsidRPr="0029070D" w:rsidRDefault="00100B64">
            <w:pPr>
              <w:spacing w:before="131"/>
              <w:ind w:left="82"/>
              <w:jc w:val="center"/>
              <w:rPr>
                <w:rFonts w:ascii="Times New Roman" w:eastAsia="Times New Roman" w:hAnsi="Times New Roman" w:cs="Times New Roman"/>
                <w:b/>
                <w:noProof/>
                <w:sz w:val="18"/>
                <w:szCs w:val="18"/>
              </w:rPr>
            </w:pPr>
            <w:r>
              <w:rPr>
                <w:rFonts w:ascii="Times New Roman" w:hAnsi="Times New Roman"/>
                <w:b/>
                <w:noProof/>
                <w:sz w:val="18"/>
              </w:rPr>
              <w:t>Année</w:t>
            </w:r>
          </w:p>
        </w:tc>
        <w:tc>
          <w:tcPr>
            <w:tcW w:w="3948" w:type="dxa"/>
            <w:vMerge/>
          </w:tcPr>
          <w:p w14:paraId="5A8AE9DF" w14:textId="77777777" w:rsidR="00740F0F" w:rsidRPr="0029070D" w:rsidRDefault="00740F0F">
            <w:pPr>
              <w:spacing w:before="120" w:after="120" w:line="360" w:lineRule="auto"/>
              <w:rPr>
                <w:rFonts w:ascii="Times New Roman" w:eastAsia="Calibri" w:hAnsi="Times New Roman" w:cs="Times New Roman"/>
                <w:noProof/>
                <w:sz w:val="18"/>
                <w:szCs w:val="18"/>
              </w:rPr>
            </w:pPr>
          </w:p>
        </w:tc>
      </w:tr>
      <w:tr w:rsidR="00782477" w:rsidRPr="0029070D" w14:paraId="5A8AE9ED" w14:textId="77777777" w:rsidTr="00F84DDA">
        <w:trPr>
          <w:trHeight w:val="300"/>
          <w:jc w:val="center"/>
        </w:trPr>
        <w:tc>
          <w:tcPr>
            <w:tcW w:w="1271" w:type="dxa"/>
            <w:shd w:val="clear" w:color="auto" w:fill="C5EDCE"/>
          </w:tcPr>
          <w:p w14:paraId="5A8AE9E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9-1</w:t>
            </w:r>
          </w:p>
        </w:tc>
        <w:tc>
          <w:tcPr>
            <w:tcW w:w="1149" w:type="dxa"/>
            <w:shd w:val="clear" w:color="auto" w:fill="C5EDCE"/>
          </w:tcPr>
          <w:p w14:paraId="5A8AE9E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C9.R1</w:t>
            </w:r>
          </w:p>
          <w:p w14:paraId="5A8AE9E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Stratégie nationale de transformation du système de santé</w:t>
            </w:r>
          </w:p>
        </w:tc>
        <w:tc>
          <w:tcPr>
            <w:tcW w:w="1064" w:type="dxa"/>
            <w:shd w:val="clear" w:color="auto" w:fill="C5EDCE"/>
          </w:tcPr>
          <w:p w14:paraId="5A8AE9E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916" w:type="dxa"/>
            <w:shd w:val="clear" w:color="auto" w:fill="C5EDCE"/>
          </w:tcPr>
          <w:p w14:paraId="5A8AE9E5" w14:textId="77777777" w:rsidR="00740F0F" w:rsidRPr="0029070D" w:rsidRDefault="00100B64">
            <w:pPr>
              <w:tabs>
                <w:tab w:val="left" w:pos="1718"/>
              </w:tabs>
              <w:spacing w:line="214" w:lineRule="exact"/>
              <w:ind w:left="9"/>
              <w:rPr>
                <w:rFonts w:ascii="Times New Roman" w:eastAsia="Times New Roman" w:hAnsi="Times New Roman" w:cs="Times New Roman"/>
                <w:noProof/>
                <w:sz w:val="18"/>
                <w:szCs w:val="18"/>
              </w:rPr>
            </w:pPr>
            <w:r>
              <w:rPr>
                <w:rFonts w:ascii="Times New Roman" w:hAnsi="Times New Roman"/>
                <w:noProof/>
                <w:sz w:val="18"/>
              </w:rPr>
              <w:t>Vote et publication de la proposition de loi visant à améliorer le système de santé (simplification de la gouvernance des hôpitaux).</w:t>
            </w:r>
          </w:p>
        </w:tc>
        <w:tc>
          <w:tcPr>
            <w:tcW w:w="1306" w:type="dxa"/>
            <w:shd w:val="clear" w:color="auto" w:fill="C5EDCE"/>
          </w:tcPr>
          <w:p w14:paraId="5A8AE9E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Entrée en vigueur</w:t>
            </w:r>
          </w:p>
        </w:tc>
        <w:tc>
          <w:tcPr>
            <w:tcW w:w="944" w:type="dxa"/>
            <w:shd w:val="clear" w:color="auto" w:fill="C5EDCE"/>
          </w:tcPr>
          <w:p w14:paraId="5A8AE9E7"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0" w:type="dxa"/>
            <w:shd w:val="clear" w:color="auto" w:fill="C5EDCE"/>
          </w:tcPr>
          <w:p w14:paraId="5A8AE9E8"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1276" w:type="dxa"/>
            <w:shd w:val="clear" w:color="auto" w:fill="C5EDCE"/>
          </w:tcPr>
          <w:p w14:paraId="5A8AE9E9"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2" w:type="dxa"/>
            <w:shd w:val="clear" w:color="auto" w:fill="C5EDCE"/>
          </w:tcPr>
          <w:p w14:paraId="5A8AE9E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709" w:type="dxa"/>
            <w:shd w:val="clear" w:color="auto" w:fill="C5EDCE"/>
          </w:tcPr>
          <w:p w14:paraId="5A8AE9E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3948" w:type="dxa"/>
            <w:shd w:val="clear" w:color="auto" w:fill="C5EDCE"/>
          </w:tcPr>
          <w:p w14:paraId="5A8AE9EC"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Entrée en vigueur de la proposition de loi visant à améliorer le système de santé par la confiance et la simplification qui permet d’accorder aux établissements plus de souplesse dans leur organisation, de remédicaliser la gouvernance des hôpitaux, et de redonner au service hospitalier une plus grande place dans la décision.</w:t>
            </w:r>
          </w:p>
        </w:tc>
      </w:tr>
      <w:tr w:rsidR="00782477" w:rsidRPr="0029070D" w14:paraId="5A8AE9FA" w14:textId="77777777" w:rsidTr="00F84DDA">
        <w:trPr>
          <w:trHeight w:val="300"/>
          <w:jc w:val="center"/>
        </w:trPr>
        <w:tc>
          <w:tcPr>
            <w:tcW w:w="1271" w:type="dxa"/>
            <w:shd w:val="clear" w:color="auto" w:fill="C5EDCE"/>
          </w:tcPr>
          <w:p w14:paraId="5A8AE9E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9-2</w:t>
            </w:r>
          </w:p>
        </w:tc>
        <w:tc>
          <w:tcPr>
            <w:tcW w:w="1149" w:type="dxa"/>
            <w:shd w:val="clear" w:color="auto" w:fill="C5EDCE"/>
          </w:tcPr>
          <w:p w14:paraId="5A8AE9E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C9.R1</w:t>
            </w:r>
          </w:p>
          <w:p w14:paraId="5A8AE9F0" w14:textId="77777777" w:rsidR="00740F0F" w:rsidRPr="0029070D" w:rsidRDefault="00100B64">
            <w:pPr>
              <w:spacing w:line="214" w:lineRule="exact"/>
              <w:ind w:left="9" w:firstLine="4"/>
              <w:jc w:val="center"/>
              <w:rPr>
                <w:rFonts w:ascii="Times New Roman" w:eastAsia="Times New Roman" w:hAnsi="Times New Roman" w:cs="Times New Roman"/>
                <w:noProof/>
                <w:sz w:val="18"/>
                <w:szCs w:val="18"/>
              </w:rPr>
            </w:pPr>
            <w:r>
              <w:rPr>
                <w:rFonts w:ascii="Times New Roman" w:hAnsi="Times New Roman"/>
                <w:noProof/>
                <w:sz w:val="18"/>
              </w:rPr>
              <w:t>Stratégie nationale de transformation du système de santé</w:t>
            </w:r>
          </w:p>
        </w:tc>
        <w:tc>
          <w:tcPr>
            <w:tcW w:w="1064" w:type="dxa"/>
            <w:shd w:val="clear" w:color="auto" w:fill="C5EDCE"/>
          </w:tcPr>
          <w:p w14:paraId="5A8AE9F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916" w:type="dxa"/>
            <w:shd w:val="clear" w:color="auto" w:fill="C5EDCE"/>
          </w:tcPr>
          <w:p w14:paraId="5A8AE9F2"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Taux d’engagement des crédits pour la revalorisation des ressources humaines en santé</w:t>
            </w:r>
          </w:p>
        </w:tc>
        <w:tc>
          <w:tcPr>
            <w:tcW w:w="1306" w:type="dxa"/>
            <w:shd w:val="clear" w:color="auto" w:fill="C5EDCE"/>
          </w:tcPr>
          <w:p w14:paraId="5A8AE9F3"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44" w:type="dxa"/>
            <w:shd w:val="clear" w:color="auto" w:fill="C5EDCE"/>
          </w:tcPr>
          <w:p w14:paraId="5A8AE9F4" w14:textId="77777777" w:rsidR="00740F0F" w:rsidRPr="0029070D" w:rsidRDefault="00100B64">
            <w:pPr>
              <w:spacing w:line="214" w:lineRule="exact"/>
              <w:ind w:left="9" w:hanging="37"/>
              <w:jc w:val="center"/>
              <w:rPr>
                <w:rFonts w:ascii="Times New Roman" w:eastAsia="Times New Roman" w:hAnsi="Times New Roman" w:cs="Times New Roman"/>
                <w:noProof/>
                <w:sz w:val="18"/>
                <w:szCs w:val="18"/>
              </w:rPr>
            </w:pPr>
            <w:r>
              <w:rPr>
                <w:rFonts w:ascii="Times New Roman" w:hAnsi="Times New Roman"/>
                <w:noProof/>
                <w:sz w:val="18"/>
              </w:rPr>
              <w:t>Pourcentage</w:t>
            </w:r>
          </w:p>
        </w:tc>
        <w:tc>
          <w:tcPr>
            <w:tcW w:w="850" w:type="dxa"/>
            <w:shd w:val="clear" w:color="auto" w:fill="C5EDCE"/>
          </w:tcPr>
          <w:p w14:paraId="5A8AE9F5"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1276" w:type="dxa"/>
            <w:shd w:val="clear" w:color="auto" w:fill="C5EDCE"/>
          </w:tcPr>
          <w:p w14:paraId="5A8AE9F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90 %</w:t>
            </w:r>
          </w:p>
        </w:tc>
        <w:tc>
          <w:tcPr>
            <w:tcW w:w="992" w:type="dxa"/>
            <w:shd w:val="clear" w:color="auto" w:fill="C5EDCE"/>
          </w:tcPr>
          <w:p w14:paraId="5A8AE9F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709" w:type="dxa"/>
            <w:shd w:val="clear" w:color="auto" w:fill="C5EDCE"/>
          </w:tcPr>
          <w:p w14:paraId="5A8AE9F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3948" w:type="dxa"/>
            <w:shd w:val="clear" w:color="auto" w:fill="C5EDCE"/>
          </w:tcPr>
          <w:p w14:paraId="5A8AE9F9"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Taux d’engagement des crédits pour la revalorisation des ressources humaines en santé</w:t>
            </w:r>
          </w:p>
        </w:tc>
      </w:tr>
      <w:tr w:rsidR="00782477" w:rsidRPr="0029070D" w14:paraId="5A8AEA07" w14:textId="77777777" w:rsidTr="00F84DDA">
        <w:trPr>
          <w:trHeight w:val="300"/>
          <w:jc w:val="center"/>
        </w:trPr>
        <w:tc>
          <w:tcPr>
            <w:tcW w:w="1271" w:type="dxa"/>
            <w:shd w:val="clear" w:color="auto" w:fill="C5EDCE"/>
          </w:tcPr>
          <w:p w14:paraId="5A8AE9F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9-3</w:t>
            </w:r>
          </w:p>
        </w:tc>
        <w:tc>
          <w:tcPr>
            <w:tcW w:w="1149" w:type="dxa"/>
            <w:shd w:val="clear" w:color="auto" w:fill="C5EDCE"/>
          </w:tcPr>
          <w:p w14:paraId="5A8AE9F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C9.R2</w:t>
            </w:r>
          </w:p>
          <w:p w14:paraId="5A8AE9FD" w14:textId="77777777" w:rsidR="00740F0F" w:rsidRPr="0029070D" w:rsidRDefault="00100B64">
            <w:pPr>
              <w:spacing w:line="214" w:lineRule="exact"/>
              <w:ind w:left="9" w:firstLine="27"/>
              <w:jc w:val="center"/>
              <w:rPr>
                <w:rFonts w:ascii="Times New Roman" w:eastAsia="Times New Roman" w:hAnsi="Times New Roman" w:cs="Times New Roman"/>
                <w:noProof/>
                <w:sz w:val="18"/>
                <w:szCs w:val="18"/>
              </w:rPr>
            </w:pPr>
            <w:r>
              <w:rPr>
                <w:rFonts w:ascii="Times New Roman" w:hAnsi="Times New Roman"/>
                <w:noProof/>
                <w:sz w:val="18"/>
              </w:rPr>
              <w:t>Création d’une nouvelle branche de la sécurité sociale couvrant le risque de perte d’autonomie</w:t>
            </w:r>
          </w:p>
        </w:tc>
        <w:tc>
          <w:tcPr>
            <w:tcW w:w="1064" w:type="dxa"/>
            <w:shd w:val="clear" w:color="auto" w:fill="C5EDCE"/>
          </w:tcPr>
          <w:p w14:paraId="5A8AE9F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916" w:type="dxa"/>
            <w:shd w:val="clear" w:color="auto" w:fill="C5EDCE"/>
          </w:tcPr>
          <w:p w14:paraId="5A8AE9FF"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Loi portant création d’une nouvelle branche de la sécurité sociale consacrée au soutien à l’autonomie des personnes âgées et des personnes handicapées</w:t>
            </w:r>
          </w:p>
        </w:tc>
        <w:tc>
          <w:tcPr>
            <w:tcW w:w="1306" w:type="dxa"/>
            <w:shd w:val="clear" w:color="auto" w:fill="C5EDCE"/>
          </w:tcPr>
          <w:p w14:paraId="5A8AEA0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Entrée en vigueur</w:t>
            </w:r>
          </w:p>
        </w:tc>
        <w:tc>
          <w:tcPr>
            <w:tcW w:w="944" w:type="dxa"/>
            <w:shd w:val="clear" w:color="auto" w:fill="C5EDCE"/>
          </w:tcPr>
          <w:p w14:paraId="5A8AEA01"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0" w:type="dxa"/>
            <w:shd w:val="clear" w:color="auto" w:fill="C5EDCE"/>
          </w:tcPr>
          <w:p w14:paraId="5A8AEA02"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1276" w:type="dxa"/>
            <w:shd w:val="clear" w:color="auto" w:fill="C5EDCE"/>
          </w:tcPr>
          <w:p w14:paraId="5A8AEA03"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2" w:type="dxa"/>
            <w:shd w:val="clear" w:color="auto" w:fill="C5EDCE"/>
          </w:tcPr>
          <w:p w14:paraId="5A8AEA0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T3</w:t>
            </w:r>
          </w:p>
        </w:tc>
        <w:tc>
          <w:tcPr>
            <w:tcW w:w="709" w:type="dxa"/>
            <w:shd w:val="clear" w:color="auto" w:fill="C5EDCE"/>
          </w:tcPr>
          <w:p w14:paraId="5A8AEA0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2020</w:t>
            </w:r>
          </w:p>
        </w:tc>
        <w:tc>
          <w:tcPr>
            <w:tcW w:w="3948" w:type="dxa"/>
            <w:shd w:val="clear" w:color="auto" w:fill="C5EDCE"/>
          </w:tcPr>
          <w:p w14:paraId="5A8AEA06" w14:textId="75B330F1"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 xml:space="preserve">Publication au </w:t>
            </w:r>
            <w:r>
              <w:rPr>
                <w:rFonts w:ascii="Times New Roman" w:hAnsi="Times New Roman"/>
                <w:i/>
                <w:iCs/>
                <w:noProof/>
                <w:sz w:val="18"/>
              </w:rPr>
              <w:t>Journal officiel</w:t>
            </w:r>
            <w:r>
              <w:rPr>
                <w:rFonts w:ascii="Times New Roman" w:hAnsi="Times New Roman"/>
                <w:noProof/>
                <w:sz w:val="18"/>
              </w:rPr>
              <w:t xml:space="preserve"> de la loi nº 2020-991 du 7</w:t>
            </w:r>
            <w:r>
              <w:rPr>
                <w:rFonts w:ascii="Times New Roman" w:hAnsi="Times New Roman"/>
                <w:noProof/>
                <w:sz w:val="20"/>
              </w:rPr>
              <w:t> </w:t>
            </w:r>
            <w:r>
              <w:rPr>
                <w:rFonts w:ascii="Times New Roman" w:hAnsi="Times New Roman"/>
                <w:noProof/>
                <w:sz w:val="18"/>
              </w:rPr>
              <w:t>août 2020 relative à la dette sociale et à l’autonomie, qui prévoit la création d’une nouvelle branche de sécurité sociale consacrée au soutien à l’autonomie des personnes âgées et des personnes handicapées.</w:t>
            </w:r>
          </w:p>
        </w:tc>
      </w:tr>
      <w:tr w:rsidR="00782477" w:rsidRPr="0029070D" w14:paraId="5A8AEA15" w14:textId="77777777" w:rsidTr="00F84DDA">
        <w:trPr>
          <w:trHeight w:val="300"/>
          <w:jc w:val="center"/>
        </w:trPr>
        <w:tc>
          <w:tcPr>
            <w:tcW w:w="1271" w:type="dxa"/>
            <w:shd w:val="clear" w:color="auto" w:fill="C5EDCE"/>
          </w:tcPr>
          <w:p w14:paraId="5A8AEA0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9-4</w:t>
            </w:r>
          </w:p>
        </w:tc>
        <w:tc>
          <w:tcPr>
            <w:tcW w:w="1149" w:type="dxa"/>
            <w:shd w:val="clear" w:color="auto" w:fill="C5EDCE"/>
          </w:tcPr>
          <w:p w14:paraId="5A8AEA0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C9.I1</w:t>
            </w:r>
          </w:p>
          <w:p w14:paraId="5A8AEA0A" w14:textId="77777777" w:rsidR="00740F0F" w:rsidRPr="0029070D" w:rsidRDefault="00100B64">
            <w:pPr>
              <w:spacing w:line="214" w:lineRule="exact"/>
              <w:ind w:left="9" w:right="81" w:hanging="30"/>
              <w:jc w:val="center"/>
              <w:rPr>
                <w:rFonts w:ascii="Times New Roman" w:eastAsia="Times New Roman" w:hAnsi="Times New Roman" w:cs="Times New Roman"/>
                <w:noProof/>
                <w:sz w:val="18"/>
                <w:szCs w:val="18"/>
              </w:rPr>
            </w:pPr>
            <w:r>
              <w:rPr>
                <w:rFonts w:ascii="Times New Roman" w:hAnsi="Times New Roman"/>
                <w:noProof/>
                <w:sz w:val="18"/>
              </w:rPr>
              <w:t xml:space="preserve">Rattrapage du retard sur les standards techniques pour le numérique en santé </w:t>
            </w:r>
          </w:p>
        </w:tc>
        <w:tc>
          <w:tcPr>
            <w:tcW w:w="1064" w:type="dxa"/>
            <w:shd w:val="clear" w:color="auto" w:fill="C5EDCE"/>
          </w:tcPr>
          <w:p w14:paraId="5A8AEA0B" w14:textId="77777777" w:rsidR="00740F0F" w:rsidRPr="0029070D" w:rsidRDefault="00100B64">
            <w:pPr>
              <w:spacing w:line="214" w:lineRule="exact"/>
              <w:ind w:left="9" w:right="5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916" w:type="dxa"/>
            <w:shd w:val="clear" w:color="auto" w:fill="C5EDCE"/>
          </w:tcPr>
          <w:p w14:paraId="5A8AEA0C"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Infrastructure numérique de l’État dans le domaine de la santé</w:t>
            </w:r>
          </w:p>
        </w:tc>
        <w:tc>
          <w:tcPr>
            <w:tcW w:w="1306" w:type="dxa"/>
            <w:shd w:val="clear" w:color="auto" w:fill="C5EDCE"/>
          </w:tcPr>
          <w:p w14:paraId="5A8AEA0D"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44" w:type="dxa"/>
            <w:shd w:val="clear" w:color="auto" w:fill="C5EDCE"/>
          </w:tcPr>
          <w:p w14:paraId="5A8AEA0E" w14:textId="77777777" w:rsidR="00740F0F" w:rsidRPr="0029070D" w:rsidRDefault="00100B64">
            <w:pPr>
              <w:spacing w:line="214" w:lineRule="exact"/>
              <w:ind w:left="9" w:right="11"/>
              <w:jc w:val="center"/>
              <w:rPr>
                <w:rFonts w:ascii="Times New Roman" w:eastAsia="Times New Roman" w:hAnsi="Times New Roman" w:cs="Times New Roman"/>
                <w:noProof/>
                <w:sz w:val="18"/>
                <w:szCs w:val="18"/>
              </w:rPr>
            </w:pPr>
            <w:r>
              <w:rPr>
                <w:rFonts w:ascii="Times New Roman" w:hAnsi="Times New Roman"/>
                <w:noProof/>
                <w:sz w:val="18"/>
              </w:rPr>
              <w:t xml:space="preserve">Nombre </w:t>
            </w:r>
          </w:p>
          <w:p w14:paraId="5A8AEA0F" w14:textId="77777777" w:rsidR="00740F0F" w:rsidRPr="0029070D" w:rsidRDefault="00100B64">
            <w:pPr>
              <w:spacing w:line="214" w:lineRule="exact"/>
              <w:ind w:left="9" w:right="11"/>
              <w:jc w:val="center"/>
              <w:rPr>
                <w:rFonts w:ascii="Times New Roman" w:eastAsia="Times New Roman" w:hAnsi="Times New Roman" w:cs="Times New Roman"/>
                <w:noProof/>
                <w:sz w:val="18"/>
                <w:szCs w:val="18"/>
              </w:rPr>
            </w:pPr>
            <w:r>
              <w:rPr>
                <w:rFonts w:ascii="Times New Roman" w:hAnsi="Times New Roman"/>
                <w:noProof/>
                <w:sz w:val="18"/>
              </w:rPr>
              <w:t>(en millions)</w:t>
            </w:r>
          </w:p>
        </w:tc>
        <w:tc>
          <w:tcPr>
            <w:tcW w:w="850" w:type="dxa"/>
            <w:shd w:val="clear" w:color="auto" w:fill="C5EDCE"/>
          </w:tcPr>
          <w:p w14:paraId="5A8AEA10" w14:textId="77777777" w:rsidR="00740F0F" w:rsidRPr="0029070D" w:rsidRDefault="00100B64">
            <w:pPr>
              <w:spacing w:line="214" w:lineRule="exact"/>
              <w:ind w:left="9" w:right="49"/>
              <w:jc w:val="center"/>
              <w:rPr>
                <w:rFonts w:ascii="Times New Roman" w:eastAsia="Times New Roman" w:hAnsi="Times New Roman" w:cs="Times New Roman"/>
                <w:noProof/>
                <w:sz w:val="18"/>
                <w:szCs w:val="18"/>
              </w:rPr>
            </w:pPr>
            <w:r>
              <w:rPr>
                <w:rFonts w:ascii="Times New Roman" w:hAnsi="Times New Roman"/>
                <w:noProof/>
                <w:sz w:val="18"/>
              </w:rPr>
              <w:t>9,5</w:t>
            </w:r>
          </w:p>
        </w:tc>
        <w:tc>
          <w:tcPr>
            <w:tcW w:w="1276" w:type="dxa"/>
            <w:shd w:val="clear" w:color="auto" w:fill="C5EDCE"/>
          </w:tcPr>
          <w:p w14:paraId="5A8AEA11" w14:textId="77777777" w:rsidR="00740F0F" w:rsidRPr="0029070D" w:rsidRDefault="00100B64">
            <w:pPr>
              <w:spacing w:line="214" w:lineRule="exact"/>
              <w:ind w:left="9" w:right="32"/>
              <w:jc w:val="center"/>
              <w:rPr>
                <w:rFonts w:ascii="Times New Roman" w:eastAsia="Times New Roman" w:hAnsi="Times New Roman" w:cs="Times New Roman"/>
                <w:noProof/>
                <w:sz w:val="18"/>
                <w:szCs w:val="18"/>
              </w:rPr>
            </w:pPr>
            <w:r>
              <w:rPr>
                <w:rFonts w:ascii="Times New Roman" w:hAnsi="Times New Roman"/>
                <w:noProof/>
                <w:sz w:val="18"/>
              </w:rPr>
              <w:t>40</w:t>
            </w:r>
          </w:p>
        </w:tc>
        <w:tc>
          <w:tcPr>
            <w:tcW w:w="992" w:type="dxa"/>
            <w:shd w:val="clear" w:color="auto" w:fill="C5EDCE"/>
          </w:tcPr>
          <w:p w14:paraId="5A8AEA12" w14:textId="77777777" w:rsidR="00740F0F" w:rsidRPr="0029070D" w:rsidRDefault="00100B64">
            <w:pPr>
              <w:spacing w:line="214" w:lineRule="exact"/>
              <w:ind w:left="9" w:right="12"/>
              <w:jc w:val="center"/>
              <w:rPr>
                <w:rFonts w:ascii="Times New Roman" w:eastAsia="Times New Roman" w:hAnsi="Times New Roman" w:cs="Times New Roman"/>
                <w:noProof/>
                <w:sz w:val="18"/>
                <w:szCs w:val="18"/>
              </w:rPr>
            </w:pPr>
            <w:r>
              <w:rPr>
                <w:rFonts w:ascii="Times New Roman" w:hAnsi="Times New Roman"/>
                <w:noProof/>
                <w:sz w:val="18"/>
              </w:rPr>
              <w:t>T4</w:t>
            </w:r>
          </w:p>
        </w:tc>
        <w:tc>
          <w:tcPr>
            <w:tcW w:w="709" w:type="dxa"/>
            <w:shd w:val="clear" w:color="auto" w:fill="C5EDCE"/>
          </w:tcPr>
          <w:p w14:paraId="5A8AEA1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2024</w:t>
            </w:r>
          </w:p>
        </w:tc>
        <w:tc>
          <w:tcPr>
            <w:tcW w:w="3948" w:type="dxa"/>
            <w:shd w:val="clear" w:color="auto" w:fill="C5EDCE"/>
          </w:tcPr>
          <w:p w14:paraId="5A8AEA14"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patients disposant d’un dossier médical électronique national et d’une adresse électronique sécurisée pour la santé</w:t>
            </w:r>
          </w:p>
        </w:tc>
      </w:tr>
      <w:tr w:rsidR="00782477" w:rsidRPr="0029070D" w14:paraId="5A8AEA22" w14:textId="77777777" w:rsidTr="00F84DDA">
        <w:trPr>
          <w:trHeight w:val="300"/>
          <w:jc w:val="center"/>
        </w:trPr>
        <w:tc>
          <w:tcPr>
            <w:tcW w:w="1271" w:type="dxa"/>
            <w:shd w:val="clear" w:color="auto" w:fill="C5EDCE"/>
          </w:tcPr>
          <w:p w14:paraId="5A8AEA1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9-5</w:t>
            </w:r>
          </w:p>
        </w:tc>
        <w:tc>
          <w:tcPr>
            <w:tcW w:w="1149" w:type="dxa"/>
            <w:shd w:val="clear" w:color="auto" w:fill="C5EDCE"/>
          </w:tcPr>
          <w:p w14:paraId="5A8AEA1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C9.I1</w:t>
            </w:r>
          </w:p>
          <w:p w14:paraId="5A8AEA1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 xml:space="preserve">Rattrapage du retard sur les standards techniques pour le numérique en santé </w:t>
            </w:r>
          </w:p>
        </w:tc>
        <w:tc>
          <w:tcPr>
            <w:tcW w:w="1064" w:type="dxa"/>
            <w:shd w:val="clear" w:color="auto" w:fill="C5EDCE"/>
          </w:tcPr>
          <w:p w14:paraId="5A8AEA19" w14:textId="77777777" w:rsidR="00740F0F" w:rsidRPr="0029070D" w:rsidRDefault="00100B64">
            <w:pPr>
              <w:spacing w:line="214" w:lineRule="exact"/>
              <w:ind w:left="9" w:right="5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916" w:type="dxa"/>
            <w:shd w:val="clear" w:color="auto" w:fill="C5EDCE"/>
          </w:tcPr>
          <w:p w14:paraId="5A8AEA1A" w14:textId="77777777" w:rsidR="00740F0F" w:rsidRPr="0029070D" w:rsidRDefault="00100B64">
            <w:pPr>
              <w:tabs>
                <w:tab w:val="left" w:pos="1712"/>
              </w:tabs>
              <w:spacing w:line="214" w:lineRule="exact"/>
              <w:ind w:left="9"/>
              <w:rPr>
                <w:rFonts w:ascii="Times New Roman" w:eastAsia="Times New Roman" w:hAnsi="Times New Roman" w:cs="Times New Roman"/>
                <w:noProof/>
                <w:sz w:val="18"/>
                <w:szCs w:val="18"/>
              </w:rPr>
            </w:pPr>
            <w:r>
              <w:rPr>
                <w:rFonts w:ascii="Times New Roman" w:hAnsi="Times New Roman"/>
                <w:noProof/>
                <w:sz w:val="18"/>
              </w:rPr>
              <w:t>Finalisation de l’interopérabilité et de la sécurité des logiciels du parc installé et accompagnement et incitation à l’usage</w:t>
            </w:r>
          </w:p>
        </w:tc>
        <w:tc>
          <w:tcPr>
            <w:tcW w:w="1306" w:type="dxa"/>
            <w:shd w:val="clear" w:color="auto" w:fill="C5EDCE"/>
          </w:tcPr>
          <w:p w14:paraId="5A8AEA1B"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44" w:type="dxa"/>
            <w:shd w:val="clear" w:color="auto" w:fill="C5EDCE"/>
          </w:tcPr>
          <w:p w14:paraId="5A8AEA1C" w14:textId="77777777" w:rsidR="00740F0F" w:rsidRPr="0029070D" w:rsidRDefault="00100B64">
            <w:pPr>
              <w:spacing w:line="214" w:lineRule="exact"/>
              <w:ind w:left="9" w:right="11"/>
              <w:jc w:val="center"/>
              <w:rPr>
                <w:rFonts w:ascii="Times New Roman" w:eastAsia="Times New Roman" w:hAnsi="Times New Roman" w:cs="Times New Roman"/>
                <w:noProof/>
                <w:sz w:val="18"/>
                <w:szCs w:val="18"/>
              </w:rPr>
            </w:pPr>
            <w:r>
              <w:rPr>
                <w:rFonts w:ascii="Times New Roman" w:hAnsi="Times New Roman"/>
                <w:noProof/>
                <w:sz w:val="18"/>
              </w:rPr>
              <w:t>Nombre</w:t>
            </w:r>
            <w:r>
              <w:rPr>
                <w:rFonts w:ascii="Times New Roman" w:hAnsi="Times New Roman"/>
                <w:noProof/>
                <w:sz w:val="18"/>
              </w:rPr>
              <w:br/>
              <w:t xml:space="preserve"> (en millions)</w:t>
            </w:r>
          </w:p>
        </w:tc>
        <w:tc>
          <w:tcPr>
            <w:tcW w:w="850" w:type="dxa"/>
            <w:shd w:val="clear" w:color="auto" w:fill="C5EDCE"/>
          </w:tcPr>
          <w:p w14:paraId="5A8AEA1D" w14:textId="77777777" w:rsidR="00740F0F" w:rsidRPr="0029070D" w:rsidRDefault="00100B64">
            <w:pPr>
              <w:spacing w:line="214" w:lineRule="exact"/>
              <w:ind w:left="9" w:right="1"/>
              <w:jc w:val="center"/>
              <w:rPr>
                <w:rFonts w:ascii="Times New Roman" w:eastAsia="Times New Roman" w:hAnsi="Times New Roman" w:cs="Times New Roman"/>
                <w:noProof/>
                <w:sz w:val="18"/>
                <w:szCs w:val="18"/>
              </w:rPr>
            </w:pPr>
            <w:r>
              <w:rPr>
                <w:rFonts w:ascii="Times New Roman" w:hAnsi="Times New Roman"/>
                <w:noProof/>
                <w:sz w:val="18"/>
              </w:rPr>
              <w:t>3</w:t>
            </w:r>
          </w:p>
        </w:tc>
        <w:tc>
          <w:tcPr>
            <w:tcW w:w="1276" w:type="dxa"/>
            <w:shd w:val="clear" w:color="auto" w:fill="C5EDCE"/>
          </w:tcPr>
          <w:p w14:paraId="5A8AEA1E" w14:textId="77777777" w:rsidR="00740F0F" w:rsidRPr="0029070D" w:rsidRDefault="00100B64">
            <w:pPr>
              <w:spacing w:line="214" w:lineRule="exact"/>
              <w:ind w:left="9" w:right="38"/>
              <w:jc w:val="center"/>
              <w:rPr>
                <w:rFonts w:ascii="Times New Roman" w:eastAsia="Times New Roman" w:hAnsi="Times New Roman" w:cs="Times New Roman"/>
                <w:noProof/>
                <w:sz w:val="18"/>
                <w:szCs w:val="18"/>
              </w:rPr>
            </w:pPr>
            <w:r>
              <w:rPr>
                <w:rFonts w:ascii="Times New Roman" w:hAnsi="Times New Roman"/>
                <w:noProof/>
                <w:sz w:val="18"/>
              </w:rPr>
              <w:t>15</w:t>
            </w:r>
          </w:p>
        </w:tc>
        <w:tc>
          <w:tcPr>
            <w:tcW w:w="992" w:type="dxa"/>
            <w:shd w:val="clear" w:color="auto" w:fill="C5EDCE"/>
          </w:tcPr>
          <w:p w14:paraId="5A8AEA1F" w14:textId="77777777" w:rsidR="00740F0F" w:rsidRPr="0029070D" w:rsidRDefault="00100B64">
            <w:pPr>
              <w:spacing w:line="214" w:lineRule="exact"/>
              <w:ind w:left="9" w:right="12"/>
              <w:jc w:val="center"/>
              <w:rPr>
                <w:rFonts w:ascii="Times New Roman" w:eastAsia="Times New Roman" w:hAnsi="Times New Roman" w:cs="Times New Roman"/>
                <w:noProof/>
                <w:sz w:val="18"/>
                <w:szCs w:val="18"/>
              </w:rPr>
            </w:pPr>
            <w:r>
              <w:rPr>
                <w:rFonts w:ascii="Times New Roman" w:hAnsi="Times New Roman"/>
                <w:noProof/>
                <w:sz w:val="18"/>
              </w:rPr>
              <w:t>T4</w:t>
            </w:r>
          </w:p>
        </w:tc>
        <w:tc>
          <w:tcPr>
            <w:tcW w:w="709" w:type="dxa"/>
            <w:shd w:val="clear" w:color="auto" w:fill="C5EDCE"/>
          </w:tcPr>
          <w:p w14:paraId="5A8AEA2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2024</w:t>
            </w:r>
          </w:p>
        </w:tc>
        <w:tc>
          <w:tcPr>
            <w:tcW w:w="3948" w:type="dxa"/>
            <w:shd w:val="clear" w:color="auto" w:fill="C5EDCE"/>
          </w:tcPr>
          <w:p w14:paraId="5A8AEA21" w14:textId="77777777" w:rsidR="00740F0F" w:rsidRPr="0029070D" w:rsidRDefault="00100B64">
            <w:pPr>
              <w:spacing w:line="214" w:lineRule="exact"/>
              <w:ind w:left="9" w:right="16"/>
              <w:rPr>
                <w:rFonts w:ascii="Times New Roman" w:eastAsia="Times New Roman" w:hAnsi="Times New Roman" w:cs="Times New Roman"/>
                <w:noProof/>
                <w:sz w:val="18"/>
                <w:szCs w:val="18"/>
              </w:rPr>
            </w:pPr>
            <w:r>
              <w:rPr>
                <w:rFonts w:ascii="Times New Roman" w:hAnsi="Times New Roman"/>
                <w:noProof/>
                <w:sz w:val="18"/>
              </w:rPr>
              <w:t>Documents numériques préparés par les professionnels de la santé (tels que les comptes rendus de biologie, les comptes rendus de radiologie, les rapports et certificats d’hospitalisation) et enregistrés dans le nouveau système.</w:t>
            </w:r>
          </w:p>
        </w:tc>
      </w:tr>
      <w:tr w:rsidR="00782477" w:rsidRPr="0029070D" w14:paraId="5A8AEA2F" w14:textId="77777777" w:rsidTr="00F84DDA">
        <w:trPr>
          <w:trHeight w:val="300"/>
          <w:jc w:val="center"/>
        </w:trPr>
        <w:tc>
          <w:tcPr>
            <w:tcW w:w="1271" w:type="dxa"/>
            <w:shd w:val="clear" w:color="auto" w:fill="C5EDCE"/>
          </w:tcPr>
          <w:p w14:paraId="5A8AEA2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9-6</w:t>
            </w:r>
          </w:p>
        </w:tc>
        <w:tc>
          <w:tcPr>
            <w:tcW w:w="1149" w:type="dxa"/>
            <w:shd w:val="clear" w:color="auto" w:fill="C5EDCE"/>
          </w:tcPr>
          <w:p w14:paraId="5A8AEA2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C9.I1</w:t>
            </w:r>
          </w:p>
          <w:p w14:paraId="5A8AEA25" w14:textId="77777777" w:rsidR="00740F0F" w:rsidRPr="0029070D" w:rsidRDefault="00100B64">
            <w:pPr>
              <w:tabs>
                <w:tab w:val="left" w:pos="874"/>
              </w:tabs>
              <w:spacing w:line="214" w:lineRule="exact"/>
              <w:ind w:left="9" w:right="81" w:firstLine="60"/>
              <w:jc w:val="center"/>
              <w:rPr>
                <w:rFonts w:ascii="Times New Roman" w:eastAsia="Times New Roman" w:hAnsi="Times New Roman" w:cs="Times New Roman"/>
                <w:noProof/>
                <w:sz w:val="18"/>
                <w:szCs w:val="18"/>
              </w:rPr>
            </w:pPr>
            <w:r>
              <w:rPr>
                <w:rFonts w:ascii="Times New Roman" w:hAnsi="Times New Roman"/>
                <w:noProof/>
                <w:sz w:val="18"/>
              </w:rPr>
              <w:t>Rattrapage du retard sur les standards techniques pour le numérique en santé</w:t>
            </w:r>
          </w:p>
        </w:tc>
        <w:tc>
          <w:tcPr>
            <w:tcW w:w="1064" w:type="dxa"/>
            <w:shd w:val="clear" w:color="auto" w:fill="C5EDCE"/>
          </w:tcPr>
          <w:p w14:paraId="5A8AEA26" w14:textId="77777777" w:rsidR="00740F0F" w:rsidRPr="0029070D" w:rsidRDefault="00100B64">
            <w:pPr>
              <w:spacing w:line="214" w:lineRule="exact"/>
              <w:ind w:left="9" w:right="5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916" w:type="dxa"/>
            <w:shd w:val="clear" w:color="auto" w:fill="C5EDCE"/>
          </w:tcPr>
          <w:p w14:paraId="5A8AEA27" w14:textId="77777777" w:rsidR="00740F0F" w:rsidRPr="0029070D" w:rsidRDefault="00100B64">
            <w:pPr>
              <w:spacing w:line="214" w:lineRule="exact"/>
              <w:ind w:left="9" w:right="79"/>
              <w:rPr>
                <w:rFonts w:ascii="Times New Roman" w:eastAsia="Times New Roman" w:hAnsi="Times New Roman" w:cs="Times New Roman"/>
                <w:noProof/>
                <w:sz w:val="18"/>
                <w:szCs w:val="18"/>
              </w:rPr>
            </w:pPr>
            <w:r>
              <w:rPr>
                <w:rFonts w:ascii="Times New Roman" w:hAnsi="Times New Roman"/>
                <w:noProof/>
                <w:sz w:val="18"/>
              </w:rPr>
              <w:t>Rattrapage numérique du secteur médico-social</w:t>
            </w:r>
          </w:p>
        </w:tc>
        <w:tc>
          <w:tcPr>
            <w:tcW w:w="1306" w:type="dxa"/>
            <w:shd w:val="clear" w:color="auto" w:fill="C5EDCE"/>
          </w:tcPr>
          <w:p w14:paraId="5A8AEA28"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44" w:type="dxa"/>
            <w:shd w:val="clear" w:color="auto" w:fill="C5EDCE"/>
          </w:tcPr>
          <w:p w14:paraId="5A8AEA29" w14:textId="77777777" w:rsidR="00740F0F" w:rsidRPr="0029070D" w:rsidRDefault="00100B64">
            <w:pPr>
              <w:spacing w:line="214" w:lineRule="exact"/>
              <w:ind w:left="9" w:right="11"/>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850" w:type="dxa"/>
            <w:shd w:val="clear" w:color="auto" w:fill="C5EDCE"/>
          </w:tcPr>
          <w:p w14:paraId="5A8AEA2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1276" w:type="dxa"/>
            <w:shd w:val="clear" w:color="auto" w:fill="C5EDCE"/>
          </w:tcPr>
          <w:p w14:paraId="5A8AEA2B" w14:textId="77777777" w:rsidR="00740F0F" w:rsidRPr="0029070D" w:rsidRDefault="00100B64">
            <w:pPr>
              <w:spacing w:line="214" w:lineRule="exact"/>
              <w:ind w:left="9" w:right="24"/>
              <w:jc w:val="center"/>
              <w:rPr>
                <w:rFonts w:ascii="Times New Roman" w:eastAsia="Times New Roman" w:hAnsi="Times New Roman" w:cs="Times New Roman"/>
                <w:noProof/>
                <w:sz w:val="18"/>
                <w:szCs w:val="18"/>
              </w:rPr>
            </w:pPr>
            <w:r>
              <w:rPr>
                <w:rFonts w:ascii="Times New Roman" w:hAnsi="Times New Roman"/>
                <w:noProof/>
                <w:sz w:val="18"/>
              </w:rPr>
              <w:t>410 000</w:t>
            </w:r>
          </w:p>
        </w:tc>
        <w:tc>
          <w:tcPr>
            <w:tcW w:w="992" w:type="dxa"/>
            <w:shd w:val="clear" w:color="auto" w:fill="C5EDCE"/>
          </w:tcPr>
          <w:p w14:paraId="5A8AEA2C" w14:textId="77777777" w:rsidR="00740F0F" w:rsidRPr="0029070D" w:rsidRDefault="00100B64">
            <w:pPr>
              <w:spacing w:line="214" w:lineRule="exact"/>
              <w:ind w:left="9" w:right="12"/>
              <w:jc w:val="center"/>
              <w:rPr>
                <w:rFonts w:ascii="Times New Roman" w:eastAsia="Times New Roman" w:hAnsi="Times New Roman" w:cs="Times New Roman"/>
                <w:noProof/>
                <w:sz w:val="18"/>
                <w:szCs w:val="18"/>
              </w:rPr>
            </w:pPr>
            <w:r>
              <w:rPr>
                <w:rFonts w:ascii="Times New Roman" w:hAnsi="Times New Roman"/>
                <w:noProof/>
                <w:sz w:val="18"/>
              </w:rPr>
              <w:t>T4</w:t>
            </w:r>
          </w:p>
        </w:tc>
        <w:tc>
          <w:tcPr>
            <w:tcW w:w="709" w:type="dxa"/>
            <w:shd w:val="clear" w:color="auto" w:fill="C5EDCE"/>
          </w:tcPr>
          <w:p w14:paraId="5A8AEA2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2024</w:t>
            </w:r>
          </w:p>
        </w:tc>
        <w:tc>
          <w:tcPr>
            <w:tcW w:w="3948" w:type="dxa"/>
            <w:shd w:val="clear" w:color="auto" w:fill="C5EDCE"/>
          </w:tcPr>
          <w:p w14:paraId="5A8AEA2E"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dossiers médico-sociaux électroniques actifs</w:t>
            </w:r>
          </w:p>
        </w:tc>
      </w:tr>
      <w:tr w:rsidR="00782477" w:rsidRPr="0029070D" w14:paraId="5A8AEA3C" w14:textId="77777777" w:rsidTr="00F84DDA">
        <w:trPr>
          <w:trHeight w:val="300"/>
          <w:jc w:val="center"/>
        </w:trPr>
        <w:tc>
          <w:tcPr>
            <w:tcW w:w="1271" w:type="dxa"/>
            <w:shd w:val="clear" w:color="auto" w:fill="C5EDCE"/>
          </w:tcPr>
          <w:p w14:paraId="5A8AEA3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9-7</w:t>
            </w:r>
          </w:p>
        </w:tc>
        <w:tc>
          <w:tcPr>
            <w:tcW w:w="1149" w:type="dxa"/>
            <w:shd w:val="clear" w:color="auto" w:fill="C5EDCE"/>
          </w:tcPr>
          <w:p w14:paraId="5A8AEA3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C9.I2</w:t>
            </w:r>
          </w:p>
          <w:p w14:paraId="5A8AEA3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Modernisation et restructuration des hôpitaux et de l’offre de soins</w:t>
            </w:r>
          </w:p>
        </w:tc>
        <w:tc>
          <w:tcPr>
            <w:tcW w:w="1064" w:type="dxa"/>
            <w:shd w:val="clear" w:color="auto" w:fill="C5EDCE"/>
          </w:tcPr>
          <w:p w14:paraId="5A8AEA3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916" w:type="dxa"/>
            <w:shd w:val="clear" w:color="auto" w:fill="C5EDCE"/>
          </w:tcPr>
          <w:p w14:paraId="5A8AEA34"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Établissements soutenus dans leurs investissements en installations techniques, équipements ou de rénovation légère</w:t>
            </w:r>
          </w:p>
        </w:tc>
        <w:tc>
          <w:tcPr>
            <w:tcW w:w="1306" w:type="dxa"/>
            <w:shd w:val="clear" w:color="auto" w:fill="C5EDCE"/>
          </w:tcPr>
          <w:p w14:paraId="5A8AEA35"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44" w:type="dxa"/>
            <w:shd w:val="clear" w:color="auto" w:fill="C5EDCE"/>
          </w:tcPr>
          <w:p w14:paraId="5A8AEA3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850" w:type="dxa"/>
            <w:shd w:val="clear" w:color="auto" w:fill="C5EDCE"/>
          </w:tcPr>
          <w:p w14:paraId="5A8AEA3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1276" w:type="dxa"/>
            <w:shd w:val="clear" w:color="auto" w:fill="C5EDCE"/>
          </w:tcPr>
          <w:p w14:paraId="5A8AEA3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800</w:t>
            </w:r>
          </w:p>
        </w:tc>
        <w:tc>
          <w:tcPr>
            <w:tcW w:w="992" w:type="dxa"/>
            <w:shd w:val="clear" w:color="auto" w:fill="C5EDCE"/>
          </w:tcPr>
          <w:p w14:paraId="5A8AEA3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T1</w:t>
            </w:r>
          </w:p>
        </w:tc>
        <w:tc>
          <w:tcPr>
            <w:tcW w:w="709" w:type="dxa"/>
            <w:shd w:val="clear" w:color="auto" w:fill="C5EDCE"/>
          </w:tcPr>
          <w:p w14:paraId="5A8AEA3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3948" w:type="dxa"/>
            <w:shd w:val="clear" w:color="auto" w:fill="C5EDCE"/>
          </w:tcPr>
          <w:p w14:paraId="5A8AEA3B"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d’établissements auxquels l’ARS (Agence régionale de santé) a attribué des crédits d’investissement en installations techniques, équipements ou de rénovation légère Calcul en cumulé: Nombre d’établissements de soins de santé ayant reçu des crédits d’investissement en installations techniques, équipements ou de rénovation légère</w:t>
            </w:r>
          </w:p>
        </w:tc>
      </w:tr>
      <w:tr w:rsidR="00782477" w:rsidRPr="0029070D" w14:paraId="5A8AEA49" w14:textId="77777777" w:rsidTr="00F84DDA">
        <w:trPr>
          <w:trHeight w:val="300"/>
          <w:jc w:val="center"/>
        </w:trPr>
        <w:tc>
          <w:tcPr>
            <w:tcW w:w="1271" w:type="dxa"/>
            <w:shd w:val="clear" w:color="auto" w:fill="C5EDCE"/>
          </w:tcPr>
          <w:p w14:paraId="5A8AEA3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9-8</w:t>
            </w:r>
          </w:p>
        </w:tc>
        <w:tc>
          <w:tcPr>
            <w:tcW w:w="1149" w:type="dxa"/>
            <w:shd w:val="clear" w:color="auto" w:fill="C5EDCE"/>
          </w:tcPr>
          <w:p w14:paraId="5A8AEA3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C9.I2</w:t>
            </w:r>
          </w:p>
          <w:p w14:paraId="5A8AEA3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Modernisation et restructuration des hôpitaux et de l’offre de soins</w:t>
            </w:r>
          </w:p>
        </w:tc>
        <w:tc>
          <w:tcPr>
            <w:tcW w:w="1064" w:type="dxa"/>
            <w:shd w:val="clear" w:color="auto" w:fill="C5EDCE"/>
          </w:tcPr>
          <w:p w14:paraId="5A8AEA4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916" w:type="dxa"/>
            <w:shd w:val="clear" w:color="auto" w:fill="C5EDCE"/>
          </w:tcPr>
          <w:p w14:paraId="5A8AEA41" w14:textId="77777777" w:rsidR="00740F0F" w:rsidRPr="0029070D" w:rsidRDefault="00100B64">
            <w:pPr>
              <w:tabs>
                <w:tab w:val="left" w:pos="1727"/>
              </w:tabs>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projets d’investissement dans la construction, la rénovation énergétique ou la modernisation d’établissements médicaux (&gt; 20 millions d’EUR) (en cumulé)</w:t>
            </w:r>
          </w:p>
        </w:tc>
        <w:tc>
          <w:tcPr>
            <w:tcW w:w="1306" w:type="dxa"/>
            <w:shd w:val="clear" w:color="auto" w:fill="C5EDCE"/>
          </w:tcPr>
          <w:p w14:paraId="5A8AEA42"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44" w:type="dxa"/>
            <w:shd w:val="clear" w:color="auto" w:fill="C5EDCE"/>
          </w:tcPr>
          <w:p w14:paraId="5A8AEA4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850" w:type="dxa"/>
            <w:shd w:val="clear" w:color="auto" w:fill="C5EDCE"/>
          </w:tcPr>
          <w:p w14:paraId="5A8AEA4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1276" w:type="dxa"/>
            <w:shd w:val="clear" w:color="auto" w:fill="C5EDCE"/>
          </w:tcPr>
          <w:p w14:paraId="5A8AEA4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10</w:t>
            </w:r>
          </w:p>
        </w:tc>
        <w:tc>
          <w:tcPr>
            <w:tcW w:w="992" w:type="dxa"/>
            <w:shd w:val="clear" w:color="auto" w:fill="C5EDCE"/>
          </w:tcPr>
          <w:p w14:paraId="5A8AEA4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709" w:type="dxa"/>
            <w:shd w:val="clear" w:color="auto" w:fill="C5EDCE"/>
          </w:tcPr>
          <w:p w14:paraId="5A8AEA4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2024</w:t>
            </w:r>
          </w:p>
        </w:tc>
        <w:tc>
          <w:tcPr>
            <w:tcW w:w="3948" w:type="dxa"/>
            <w:shd w:val="clear" w:color="auto" w:fill="C5EDCE"/>
          </w:tcPr>
          <w:p w14:paraId="5A8AEA48" w14:textId="77777777" w:rsidR="00740F0F" w:rsidRPr="0029070D" w:rsidRDefault="00100B64">
            <w:pPr>
              <w:tabs>
                <w:tab w:val="left" w:pos="1758"/>
              </w:tabs>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projets d’investissement en faveur de la construction, de la rénovation énergétique ou de la modernisation des établissements de santé, pour un montant supérieur à 20 000 000 EUR, validés par l’ARS (Agence régionale de santé). Calcul en cumulé.</w:t>
            </w:r>
          </w:p>
        </w:tc>
      </w:tr>
      <w:tr w:rsidR="00782477" w:rsidRPr="0029070D" w14:paraId="5A8AEA56" w14:textId="77777777" w:rsidTr="00F84DDA">
        <w:trPr>
          <w:trHeight w:val="300"/>
          <w:jc w:val="center"/>
        </w:trPr>
        <w:tc>
          <w:tcPr>
            <w:tcW w:w="1271" w:type="dxa"/>
            <w:shd w:val="clear" w:color="auto" w:fill="C5EDCE"/>
          </w:tcPr>
          <w:p w14:paraId="5A8AEA4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9-9</w:t>
            </w:r>
          </w:p>
        </w:tc>
        <w:tc>
          <w:tcPr>
            <w:tcW w:w="1149" w:type="dxa"/>
            <w:shd w:val="clear" w:color="auto" w:fill="C5EDCE"/>
          </w:tcPr>
          <w:p w14:paraId="5A8AEA4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C9.I2</w:t>
            </w:r>
          </w:p>
          <w:p w14:paraId="5A8AEA4C" w14:textId="77777777" w:rsidR="00740F0F" w:rsidRPr="0029070D" w:rsidRDefault="00100B64">
            <w:pPr>
              <w:spacing w:line="214" w:lineRule="exact"/>
              <w:ind w:left="9" w:hanging="2"/>
              <w:jc w:val="center"/>
              <w:rPr>
                <w:rFonts w:ascii="Times New Roman" w:eastAsia="Times New Roman" w:hAnsi="Times New Roman" w:cs="Times New Roman"/>
                <w:noProof/>
                <w:sz w:val="18"/>
                <w:szCs w:val="18"/>
              </w:rPr>
            </w:pPr>
            <w:r>
              <w:rPr>
                <w:rFonts w:ascii="Times New Roman" w:hAnsi="Times New Roman"/>
                <w:noProof/>
                <w:sz w:val="18"/>
              </w:rPr>
              <w:t>Modernisation et restructuration des hôpitaux et de l’offre de soins</w:t>
            </w:r>
          </w:p>
        </w:tc>
        <w:tc>
          <w:tcPr>
            <w:tcW w:w="1064" w:type="dxa"/>
            <w:shd w:val="clear" w:color="auto" w:fill="C5EDCE"/>
          </w:tcPr>
          <w:p w14:paraId="5A8AEA4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916" w:type="dxa"/>
            <w:shd w:val="clear" w:color="auto" w:fill="C5EDCE"/>
          </w:tcPr>
          <w:p w14:paraId="5A8AEA4E" w14:textId="77777777" w:rsidR="00740F0F" w:rsidRPr="0029070D" w:rsidRDefault="00100B64">
            <w:pPr>
              <w:tabs>
                <w:tab w:val="left" w:pos="1727"/>
              </w:tabs>
              <w:spacing w:line="214" w:lineRule="exact"/>
              <w:ind w:left="9"/>
              <w:rPr>
                <w:rFonts w:ascii="Times New Roman" w:eastAsia="Times New Roman" w:hAnsi="Times New Roman" w:cs="Times New Roman"/>
                <w:noProof/>
                <w:sz w:val="18"/>
                <w:szCs w:val="18"/>
              </w:rPr>
            </w:pPr>
            <w:bookmarkStart w:id="2" w:name="_Hlk213942772"/>
            <w:r>
              <w:rPr>
                <w:rFonts w:ascii="Times New Roman" w:hAnsi="Times New Roman"/>
                <w:noProof/>
                <w:sz w:val="18"/>
              </w:rPr>
              <w:t>Nombre de projets d’investissement dans la construction, la rénovation énergétique ou la modernisation d’établissements médicaux (&gt; 20 millions d’EUR)</w:t>
            </w:r>
            <w:bookmarkEnd w:id="2"/>
          </w:p>
        </w:tc>
        <w:tc>
          <w:tcPr>
            <w:tcW w:w="1306" w:type="dxa"/>
            <w:shd w:val="clear" w:color="auto" w:fill="C5EDCE"/>
          </w:tcPr>
          <w:p w14:paraId="5A8AEA4F"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44" w:type="dxa"/>
            <w:shd w:val="clear" w:color="auto" w:fill="C5EDCE"/>
          </w:tcPr>
          <w:p w14:paraId="5A8AEA5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850" w:type="dxa"/>
            <w:shd w:val="clear" w:color="auto" w:fill="C5EDCE"/>
          </w:tcPr>
          <w:p w14:paraId="5A8AEA5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10</w:t>
            </w:r>
          </w:p>
        </w:tc>
        <w:tc>
          <w:tcPr>
            <w:tcW w:w="1276" w:type="dxa"/>
            <w:shd w:val="clear" w:color="auto" w:fill="C5EDCE"/>
          </w:tcPr>
          <w:p w14:paraId="5A8AEA5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30</w:t>
            </w:r>
          </w:p>
        </w:tc>
        <w:tc>
          <w:tcPr>
            <w:tcW w:w="992" w:type="dxa"/>
            <w:shd w:val="clear" w:color="auto" w:fill="C5EDCE"/>
          </w:tcPr>
          <w:p w14:paraId="5A8AEA5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T2</w:t>
            </w:r>
          </w:p>
        </w:tc>
        <w:tc>
          <w:tcPr>
            <w:tcW w:w="709" w:type="dxa"/>
            <w:shd w:val="clear" w:color="auto" w:fill="C5EDCE"/>
          </w:tcPr>
          <w:p w14:paraId="5A8AEA5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2026</w:t>
            </w:r>
          </w:p>
        </w:tc>
        <w:tc>
          <w:tcPr>
            <w:tcW w:w="3948" w:type="dxa"/>
            <w:shd w:val="clear" w:color="auto" w:fill="C5EDCE"/>
          </w:tcPr>
          <w:p w14:paraId="5A8AEA55" w14:textId="77777777" w:rsidR="00740F0F" w:rsidRPr="0029070D" w:rsidRDefault="00100B64">
            <w:pPr>
              <w:tabs>
                <w:tab w:val="left" w:pos="1420"/>
              </w:tabs>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projets d’investissement en faveur de la construction, de la rénovation énergétique ou de la modernisation des établissements de santé, pour un montant supérieur à 20 000 000 EUR, validés par l’ARS (Agence régionale de santé). Calcul en cumulé.</w:t>
            </w:r>
          </w:p>
        </w:tc>
      </w:tr>
      <w:tr w:rsidR="00782477" w:rsidRPr="0029070D" w14:paraId="5A8AEA63" w14:textId="77777777" w:rsidTr="00F84DDA">
        <w:trPr>
          <w:trHeight w:val="300"/>
          <w:jc w:val="center"/>
        </w:trPr>
        <w:tc>
          <w:tcPr>
            <w:tcW w:w="1271" w:type="dxa"/>
            <w:shd w:val="clear" w:color="auto" w:fill="C5EDCE"/>
          </w:tcPr>
          <w:p w14:paraId="5A8AEA5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9-10</w:t>
            </w:r>
          </w:p>
        </w:tc>
        <w:tc>
          <w:tcPr>
            <w:tcW w:w="1149" w:type="dxa"/>
            <w:shd w:val="clear" w:color="auto" w:fill="C5EDCE"/>
          </w:tcPr>
          <w:p w14:paraId="5A8AEA58" w14:textId="77777777" w:rsidR="00740F0F" w:rsidRPr="0029070D" w:rsidRDefault="00100B64">
            <w:pPr>
              <w:spacing w:line="214" w:lineRule="exact"/>
              <w:ind w:left="9" w:right="47"/>
              <w:jc w:val="center"/>
              <w:rPr>
                <w:rFonts w:ascii="Times New Roman" w:eastAsia="Times New Roman" w:hAnsi="Times New Roman" w:cs="Times New Roman"/>
                <w:noProof/>
                <w:sz w:val="18"/>
                <w:szCs w:val="18"/>
              </w:rPr>
            </w:pPr>
            <w:r>
              <w:rPr>
                <w:rFonts w:ascii="Times New Roman" w:hAnsi="Times New Roman"/>
                <w:noProof/>
                <w:sz w:val="18"/>
              </w:rPr>
              <w:t>C9.I2</w:t>
            </w:r>
          </w:p>
          <w:p w14:paraId="5A8AEA59" w14:textId="77777777" w:rsidR="00740F0F" w:rsidRPr="0029070D" w:rsidRDefault="00100B64">
            <w:pPr>
              <w:spacing w:line="214" w:lineRule="exact"/>
              <w:ind w:left="9" w:right="59"/>
              <w:jc w:val="center"/>
              <w:rPr>
                <w:rFonts w:ascii="Times New Roman" w:eastAsia="Times New Roman" w:hAnsi="Times New Roman" w:cs="Times New Roman"/>
                <w:noProof/>
                <w:sz w:val="18"/>
                <w:szCs w:val="18"/>
              </w:rPr>
            </w:pPr>
            <w:r>
              <w:rPr>
                <w:rFonts w:ascii="Times New Roman" w:hAnsi="Times New Roman"/>
                <w:noProof/>
                <w:sz w:val="18"/>
              </w:rPr>
              <w:t>Modernisation et restructuration des hôpitaux et de l’offre de soins</w:t>
            </w:r>
          </w:p>
        </w:tc>
        <w:tc>
          <w:tcPr>
            <w:tcW w:w="1064" w:type="dxa"/>
            <w:shd w:val="clear" w:color="auto" w:fill="C5EDCE"/>
          </w:tcPr>
          <w:p w14:paraId="5A8AEA5A" w14:textId="77777777" w:rsidR="00740F0F" w:rsidRPr="0029070D" w:rsidRDefault="00100B64">
            <w:pPr>
              <w:spacing w:line="214" w:lineRule="exact"/>
              <w:ind w:left="9" w:right="5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916" w:type="dxa"/>
            <w:shd w:val="clear" w:color="auto" w:fill="C5EDCE"/>
          </w:tcPr>
          <w:p w14:paraId="5A8AEA5B" w14:textId="77777777" w:rsidR="00740F0F" w:rsidRPr="0029070D" w:rsidRDefault="00100B64">
            <w:pPr>
              <w:spacing w:line="214" w:lineRule="exact"/>
              <w:ind w:left="9" w:right="12"/>
              <w:rPr>
                <w:rFonts w:ascii="Times New Roman" w:eastAsia="Times New Roman" w:hAnsi="Times New Roman" w:cs="Times New Roman"/>
                <w:noProof/>
                <w:sz w:val="18"/>
                <w:szCs w:val="18"/>
              </w:rPr>
            </w:pPr>
            <w:r>
              <w:rPr>
                <w:rFonts w:ascii="Times New Roman" w:hAnsi="Times New Roman"/>
                <w:noProof/>
                <w:sz w:val="18"/>
              </w:rPr>
              <w:t>Nombre d’établissements soutenus dans leurs investissements en installations techniques, équipements ou de rénovation légère</w:t>
            </w:r>
          </w:p>
        </w:tc>
        <w:tc>
          <w:tcPr>
            <w:tcW w:w="1306" w:type="dxa"/>
            <w:shd w:val="clear" w:color="auto" w:fill="C5EDCE"/>
          </w:tcPr>
          <w:p w14:paraId="5A8AEA5C"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44" w:type="dxa"/>
            <w:shd w:val="clear" w:color="auto" w:fill="C5EDCE"/>
          </w:tcPr>
          <w:p w14:paraId="5A8AEA5D" w14:textId="77777777" w:rsidR="00740F0F" w:rsidRPr="0029070D" w:rsidRDefault="00100B64">
            <w:pPr>
              <w:spacing w:line="214" w:lineRule="exact"/>
              <w:ind w:left="9" w:right="11"/>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850" w:type="dxa"/>
            <w:shd w:val="clear" w:color="auto" w:fill="C5EDCE"/>
          </w:tcPr>
          <w:p w14:paraId="5A8AEA5E" w14:textId="77777777" w:rsidR="00740F0F" w:rsidRPr="0029070D" w:rsidRDefault="00100B64">
            <w:pPr>
              <w:spacing w:line="214" w:lineRule="exact"/>
              <w:ind w:left="9" w:right="53"/>
              <w:jc w:val="center"/>
              <w:rPr>
                <w:rFonts w:ascii="Times New Roman" w:eastAsia="Times New Roman" w:hAnsi="Times New Roman" w:cs="Times New Roman"/>
                <w:noProof/>
                <w:sz w:val="18"/>
                <w:szCs w:val="18"/>
              </w:rPr>
            </w:pPr>
            <w:r>
              <w:rPr>
                <w:rFonts w:ascii="Times New Roman" w:hAnsi="Times New Roman"/>
                <w:noProof/>
                <w:sz w:val="18"/>
              </w:rPr>
              <w:t>800</w:t>
            </w:r>
          </w:p>
        </w:tc>
        <w:tc>
          <w:tcPr>
            <w:tcW w:w="1276" w:type="dxa"/>
            <w:shd w:val="clear" w:color="auto" w:fill="C5EDCE"/>
          </w:tcPr>
          <w:p w14:paraId="5A8AEA5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1 000</w:t>
            </w:r>
          </w:p>
        </w:tc>
        <w:tc>
          <w:tcPr>
            <w:tcW w:w="992" w:type="dxa"/>
            <w:shd w:val="clear" w:color="auto" w:fill="C5EDCE"/>
          </w:tcPr>
          <w:p w14:paraId="5A8AEA60" w14:textId="77777777" w:rsidR="00740F0F" w:rsidRPr="0029070D" w:rsidRDefault="00100B64">
            <w:pPr>
              <w:spacing w:line="214" w:lineRule="exact"/>
              <w:ind w:left="9" w:right="12"/>
              <w:jc w:val="center"/>
              <w:rPr>
                <w:rFonts w:ascii="Times New Roman" w:eastAsia="Times New Roman" w:hAnsi="Times New Roman" w:cs="Times New Roman"/>
                <w:noProof/>
                <w:sz w:val="18"/>
                <w:szCs w:val="18"/>
              </w:rPr>
            </w:pPr>
            <w:r>
              <w:rPr>
                <w:rFonts w:ascii="Times New Roman" w:hAnsi="Times New Roman"/>
                <w:noProof/>
                <w:sz w:val="18"/>
              </w:rPr>
              <w:t>T4</w:t>
            </w:r>
          </w:p>
        </w:tc>
        <w:tc>
          <w:tcPr>
            <w:tcW w:w="709" w:type="dxa"/>
            <w:shd w:val="clear" w:color="auto" w:fill="C5EDCE"/>
          </w:tcPr>
          <w:p w14:paraId="5A8AEA6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2025</w:t>
            </w:r>
          </w:p>
        </w:tc>
        <w:tc>
          <w:tcPr>
            <w:tcW w:w="3948" w:type="dxa"/>
            <w:shd w:val="clear" w:color="auto" w:fill="C5EDCE"/>
          </w:tcPr>
          <w:p w14:paraId="5A8AEA62" w14:textId="77777777" w:rsidR="00740F0F" w:rsidRPr="0029070D" w:rsidRDefault="00100B64">
            <w:pPr>
              <w:spacing w:line="214" w:lineRule="exact"/>
              <w:ind w:left="9" w:right="-15"/>
              <w:rPr>
                <w:rFonts w:ascii="Times New Roman" w:eastAsia="Times New Roman" w:hAnsi="Times New Roman" w:cs="Times New Roman"/>
                <w:noProof/>
                <w:sz w:val="18"/>
                <w:szCs w:val="18"/>
              </w:rPr>
            </w:pPr>
            <w:r>
              <w:rPr>
                <w:rFonts w:ascii="Times New Roman" w:hAnsi="Times New Roman"/>
                <w:noProof/>
                <w:sz w:val="18"/>
              </w:rPr>
              <w:t>Nombre d’établissements auxquels l’ARS (Agence régionale de santé) a attribué des crédits d’investissement en installations techniques, équipements ou de rénovation légère. Calcul en cumulé: nombre d’établissements de soins de santé ayant reçu de tels crédits.</w:t>
            </w:r>
          </w:p>
        </w:tc>
      </w:tr>
      <w:tr w:rsidR="00782477" w:rsidRPr="0029070D" w14:paraId="5A8AEA70" w14:textId="77777777" w:rsidTr="00F84DDA">
        <w:trPr>
          <w:trHeight w:val="300"/>
          <w:jc w:val="center"/>
        </w:trPr>
        <w:tc>
          <w:tcPr>
            <w:tcW w:w="1271" w:type="dxa"/>
            <w:shd w:val="clear" w:color="auto" w:fill="C5EDCE"/>
          </w:tcPr>
          <w:p w14:paraId="5A8AEA6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9-11</w:t>
            </w:r>
          </w:p>
        </w:tc>
        <w:tc>
          <w:tcPr>
            <w:tcW w:w="1149" w:type="dxa"/>
            <w:shd w:val="clear" w:color="auto" w:fill="C5EDCE"/>
          </w:tcPr>
          <w:p w14:paraId="5A8AEA65" w14:textId="77777777" w:rsidR="00740F0F" w:rsidRPr="0029070D" w:rsidRDefault="00100B64">
            <w:pPr>
              <w:spacing w:line="214" w:lineRule="exact"/>
              <w:ind w:left="9" w:right="47"/>
              <w:jc w:val="center"/>
              <w:rPr>
                <w:rFonts w:ascii="Times New Roman" w:eastAsia="Times New Roman" w:hAnsi="Times New Roman" w:cs="Times New Roman"/>
                <w:noProof/>
                <w:sz w:val="18"/>
                <w:szCs w:val="18"/>
              </w:rPr>
            </w:pPr>
            <w:r>
              <w:rPr>
                <w:rFonts w:ascii="Times New Roman" w:hAnsi="Times New Roman"/>
                <w:noProof/>
                <w:sz w:val="18"/>
              </w:rPr>
              <w:t>C9.I3</w:t>
            </w:r>
          </w:p>
          <w:p w14:paraId="5A8AEA66" w14:textId="77777777" w:rsidR="00740F0F" w:rsidRPr="0029070D" w:rsidRDefault="00100B64">
            <w:pPr>
              <w:spacing w:line="214" w:lineRule="exact"/>
              <w:ind w:left="9" w:right="41" w:hanging="5"/>
              <w:jc w:val="center"/>
              <w:rPr>
                <w:rFonts w:ascii="Times New Roman" w:eastAsia="Times New Roman" w:hAnsi="Times New Roman" w:cs="Times New Roman"/>
                <w:noProof/>
                <w:sz w:val="18"/>
                <w:szCs w:val="18"/>
              </w:rPr>
            </w:pPr>
            <w:r>
              <w:rPr>
                <w:rFonts w:ascii="Times New Roman" w:hAnsi="Times New Roman"/>
                <w:noProof/>
                <w:sz w:val="18"/>
              </w:rPr>
              <w:t>Rénovation des établissements médico-sociaux</w:t>
            </w:r>
          </w:p>
        </w:tc>
        <w:tc>
          <w:tcPr>
            <w:tcW w:w="1064" w:type="dxa"/>
            <w:shd w:val="clear" w:color="auto" w:fill="C5EDCE"/>
          </w:tcPr>
          <w:p w14:paraId="5A8AEA67" w14:textId="77777777" w:rsidR="00740F0F" w:rsidRPr="0029070D" w:rsidRDefault="00100B64">
            <w:pPr>
              <w:spacing w:line="214" w:lineRule="exact"/>
              <w:ind w:left="9" w:right="5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916" w:type="dxa"/>
            <w:shd w:val="clear" w:color="auto" w:fill="C5EDCE"/>
          </w:tcPr>
          <w:p w14:paraId="5A8AEA68" w14:textId="77777777" w:rsidR="00740F0F" w:rsidRPr="0029070D" w:rsidRDefault="00100B64">
            <w:pPr>
              <w:spacing w:line="214" w:lineRule="exact"/>
              <w:ind w:left="9" w:right="24"/>
              <w:rPr>
                <w:rFonts w:ascii="Times New Roman" w:eastAsia="Times New Roman" w:hAnsi="Times New Roman" w:cs="Times New Roman"/>
                <w:noProof/>
                <w:sz w:val="18"/>
                <w:szCs w:val="18"/>
              </w:rPr>
            </w:pPr>
            <w:r>
              <w:rPr>
                <w:rFonts w:ascii="Times New Roman" w:hAnsi="Times New Roman"/>
                <w:noProof/>
                <w:sz w:val="18"/>
              </w:rPr>
              <w:t>Nombre d’établissements d’hébergement ayant bénéficié d’une aide à l’équipement en vue d’améliorer les conditions d’accueil des personnes âgées («investissement du quotidien») (en cumulé)</w:t>
            </w:r>
          </w:p>
        </w:tc>
        <w:tc>
          <w:tcPr>
            <w:tcW w:w="1306" w:type="dxa"/>
            <w:shd w:val="clear" w:color="auto" w:fill="C5EDCE"/>
          </w:tcPr>
          <w:p w14:paraId="5A8AEA69"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44" w:type="dxa"/>
            <w:shd w:val="clear" w:color="auto" w:fill="C5EDCE"/>
          </w:tcPr>
          <w:p w14:paraId="5A8AEA6A" w14:textId="77777777" w:rsidR="00740F0F" w:rsidRPr="0029070D" w:rsidRDefault="00100B64">
            <w:pPr>
              <w:spacing w:line="214" w:lineRule="exact"/>
              <w:ind w:left="9" w:right="11"/>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850" w:type="dxa"/>
            <w:shd w:val="clear" w:color="auto" w:fill="C5EDCE"/>
          </w:tcPr>
          <w:p w14:paraId="5A8AEA6B"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1276" w:type="dxa"/>
            <w:shd w:val="clear" w:color="auto" w:fill="C5EDCE"/>
          </w:tcPr>
          <w:p w14:paraId="5A8AEA6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3 000</w:t>
            </w:r>
          </w:p>
        </w:tc>
        <w:tc>
          <w:tcPr>
            <w:tcW w:w="992" w:type="dxa"/>
            <w:shd w:val="clear" w:color="auto" w:fill="C5EDCE"/>
          </w:tcPr>
          <w:p w14:paraId="5A8AEA6D" w14:textId="77777777" w:rsidR="00740F0F" w:rsidRPr="0029070D" w:rsidRDefault="00100B64">
            <w:pPr>
              <w:spacing w:line="214" w:lineRule="exact"/>
              <w:ind w:left="9" w:right="12"/>
              <w:jc w:val="center"/>
              <w:rPr>
                <w:rFonts w:ascii="Times New Roman" w:eastAsia="Times New Roman" w:hAnsi="Times New Roman" w:cs="Times New Roman"/>
                <w:noProof/>
                <w:sz w:val="18"/>
                <w:szCs w:val="18"/>
              </w:rPr>
            </w:pPr>
            <w:r>
              <w:rPr>
                <w:rFonts w:ascii="Times New Roman" w:hAnsi="Times New Roman"/>
                <w:noProof/>
                <w:sz w:val="18"/>
              </w:rPr>
              <w:t>T4</w:t>
            </w:r>
          </w:p>
        </w:tc>
        <w:tc>
          <w:tcPr>
            <w:tcW w:w="709" w:type="dxa"/>
            <w:shd w:val="clear" w:color="auto" w:fill="C5EDCE"/>
          </w:tcPr>
          <w:p w14:paraId="5A8AEA6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3948" w:type="dxa"/>
            <w:shd w:val="clear" w:color="auto" w:fill="C5EDCE"/>
          </w:tcPr>
          <w:p w14:paraId="5A8AEA6F"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d’établissements d’hébergement pour personnes âgées dépendantes ayant bénéficié d’un financement dans le cadre du dispositif «investissement du quotidien»</w:t>
            </w:r>
          </w:p>
        </w:tc>
      </w:tr>
      <w:tr w:rsidR="00782477" w:rsidRPr="0029070D" w14:paraId="5A8AEA89" w14:textId="77777777" w:rsidTr="00F84DDA">
        <w:trPr>
          <w:trHeight w:val="300"/>
          <w:jc w:val="center"/>
        </w:trPr>
        <w:tc>
          <w:tcPr>
            <w:tcW w:w="1271" w:type="dxa"/>
            <w:shd w:val="clear" w:color="auto" w:fill="C5EDCE"/>
          </w:tcPr>
          <w:p w14:paraId="5A8AEA7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9-13</w:t>
            </w:r>
          </w:p>
        </w:tc>
        <w:tc>
          <w:tcPr>
            <w:tcW w:w="1149" w:type="dxa"/>
            <w:shd w:val="clear" w:color="auto" w:fill="C5EDCE"/>
          </w:tcPr>
          <w:p w14:paraId="5A8AEA7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C9.I4</w:t>
            </w:r>
          </w:p>
          <w:p w14:paraId="5A8AEA7F" w14:textId="77777777" w:rsidR="00740F0F" w:rsidRPr="0029070D" w:rsidRDefault="00100B64">
            <w:pPr>
              <w:spacing w:line="214" w:lineRule="exact"/>
              <w:ind w:left="9" w:firstLine="3"/>
              <w:jc w:val="center"/>
              <w:rPr>
                <w:rFonts w:ascii="Times New Roman" w:eastAsia="Times New Roman" w:hAnsi="Times New Roman" w:cs="Times New Roman"/>
                <w:noProof/>
                <w:sz w:val="18"/>
                <w:szCs w:val="18"/>
              </w:rPr>
            </w:pPr>
            <w:r>
              <w:rPr>
                <w:rFonts w:ascii="Times New Roman" w:hAnsi="Times New Roman"/>
                <w:noProof/>
                <w:sz w:val="18"/>
              </w:rPr>
              <w:t>Numéro national de prévention du suicide</w:t>
            </w:r>
          </w:p>
        </w:tc>
        <w:tc>
          <w:tcPr>
            <w:tcW w:w="1064" w:type="dxa"/>
            <w:shd w:val="clear" w:color="auto" w:fill="C5EDCE"/>
          </w:tcPr>
          <w:p w14:paraId="5A8AEA80" w14:textId="77777777" w:rsidR="00740F0F" w:rsidRPr="0029070D" w:rsidRDefault="00100B64">
            <w:pPr>
              <w:spacing w:line="214" w:lineRule="exact"/>
              <w:ind w:left="9" w:right="5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916" w:type="dxa"/>
            <w:shd w:val="clear" w:color="auto" w:fill="C5EDCE"/>
          </w:tcPr>
          <w:p w14:paraId="5A8AEA81" w14:textId="77777777" w:rsidR="00740F0F" w:rsidRPr="0029070D" w:rsidRDefault="00100B64">
            <w:pPr>
              <w:spacing w:line="214" w:lineRule="exact"/>
              <w:ind w:left="9" w:right="10"/>
              <w:rPr>
                <w:rFonts w:ascii="Times New Roman" w:eastAsia="Times New Roman" w:hAnsi="Times New Roman" w:cs="Times New Roman"/>
                <w:noProof/>
                <w:sz w:val="18"/>
                <w:szCs w:val="18"/>
              </w:rPr>
            </w:pPr>
            <w:r>
              <w:rPr>
                <w:rFonts w:ascii="Times New Roman" w:hAnsi="Times New Roman"/>
                <w:noProof/>
                <w:sz w:val="18"/>
              </w:rPr>
              <w:t>Mise en service de la ligne téléphonique de prévention du suicide</w:t>
            </w:r>
          </w:p>
        </w:tc>
        <w:tc>
          <w:tcPr>
            <w:tcW w:w="1306" w:type="dxa"/>
            <w:shd w:val="clear" w:color="auto" w:fill="C5EDCE"/>
          </w:tcPr>
          <w:p w14:paraId="5A8AEA82" w14:textId="77777777" w:rsidR="00740F0F" w:rsidRPr="0029070D" w:rsidRDefault="00100B64">
            <w:pPr>
              <w:spacing w:line="214" w:lineRule="exact"/>
              <w:ind w:left="9" w:right="390" w:firstLine="105"/>
              <w:jc w:val="center"/>
              <w:rPr>
                <w:rFonts w:ascii="Times New Roman" w:eastAsia="Times New Roman" w:hAnsi="Times New Roman" w:cs="Times New Roman"/>
                <w:noProof/>
                <w:sz w:val="18"/>
                <w:szCs w:val="18"/>
              </w:rPr>
            </w:pPr>
            <w:r>
              <w:rPr>
                <w:rFonts w:ascii="Times New Roman" w:hAnsi="Times New Roman"/>
                <w:noProof/>
                <w:sz w:val="18"/>
              </w:rPr>
              <w:t>Activation du numéro national</w:t>
            </w:r>
          </w:p>
        </w:tc>
        <w:tc>
          <w:tcPr>
            <w:tcW w:w="944" w:type="dxa"/>
            <w:shd w:val="clear" w:color="auto" w:fill="C5EDCE"/>
          </w:tcPr>
          <w:p w14:paraId="5A8AEA83"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0" w:type="dxa"/>
            <w:shd w:val="clear" w:color="auto" w:fill="C5EDCE"/>
          </w:tcPr>
          <w:p w14:paraId="5A8AEA84"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1276" w:type="dxa"/>
            <w:shd w:val="clear" w:color="auto" w:fill="C5EDCE"/>
          </w:tcPr>
          <w:p w14:paraId="5A8AEA85"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2" w:type="dxa"/>
            <w:shd w:val="clear" w:color="auto" w:fill="C5EDCE"/>
          </w:tcPr>
          <w:p w14:paraId="5A8AEA86" w14:textId="77777777" w:rsidR="00740F0F" w:rsidRPr="0029070D" w:rsidRDefault="00100B64">
            <w:pPr>
              <w:spacing w:line="214" w:lineRule="exact"/>
              <w:ind w:left="9" w:right="12"/>
              <w:jc w:val="center"/>
              <w:rPr>
                <w:rFonts w:ascii="Times New Roman" w:eastAsia="Times New Roman" w:hAnsi="Times New Roman" w:cs="Times New Roman"/>
                <w:noProof/>
                <w:sz w:val="18"/>
                <w:szCs w:val="18"/>
              </w:rPr>
            </w:pPr>
            <w:r>
              <w:rPr>
                <w:rFonts w:ascii="Times New Roman" w:hAnsi="Times New Roman"/>
                <w:noProof/>
                <w:sz w:val="18"/>
              </w:rPr>
              <w:t>T4</w:t>
            </w:r>
          </w:p>
        </w:tc>
        <w:tc>
          <w:tcPr>
            <w:tcW w:w="709" w:type="dxa"/>
            <w:shd w:val="clear" w:color="auto" w:fill="C5EDCE"/>
          </w:tcPr>
          <w:p w14:paraId="5A8AEA8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3948" w:type="dxa"/>
            <w:shd w:val="clear" w:color="auto" w:fill="C5EDCE"/>
          </w:tcPr>
          <w:p w14:paraId="5A8AEA88"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Mise en service de la ligne de prévention du suicide.</w:t>
            </w:r>
          </w:p>
        </w:tc>
      </w:tr>
      <w:tr w:rsidR="00782477" w:rsidRPr="0029070D" w14:paraId="5A8AEA96" w14:textId="77777777" w:rsidTr="00F84DDA">
        <w:trPr>
          <w:trHeight w:val="1213"/>
          <w:jc w:val="center"/>
        </w:trPr>
        <w:tc>
          <w:tcPr>
            <w:tcW w:w="1271" w:type="dxa"/>
            <w:shd w:val="clear" w:color="auto" w:fill="C5EDCE"/>
          </w:tcPr>
          <w:p w14:paraId="5A8AEA8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9-14</w:t>
            </w:r>
          </w:p>
        </w:tc>
        <w:tc>
          <w:tcPr>
            <w:tcW w:w="1149" w:type="dxa"/>
            <w:shd w:val="clear" w:color="auto" w:fill="C5EDCE"/>
          </w:tcPr>
          <w:p w14:paraId="5A8AEA8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C9.I5</w:t>
            </w:r>
          </w:p>
          <w:p w14:paraId="5A8AEA8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Plan France très haut débit</w:t>
            </w:r>
          </w:p>
        </w:tc>
        <w:tc>
          <w:tcPr>
            <w:tcW w:w="1064" w:type="dxa"/>
            <w:shd w:val="clear" w:color="auto" w:fill="C5EDCE"/>
          </w:tcPr>
          <w:p w14:paraId="5A8AEA8D" w14:textId="77777777" w:rsidR="00740F0F" w:rsidRPr="0029070D" w:rsidRDefault="00100B64">
            <w:pPr>
              <w:spacing w:line="214" w:lineRule="exact"/>
              <w:ind w:left="9" w:right="5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916" w:type="dxa"/>
            <w:shd w:val="clear" w:color="auto" w:fill="C5EDCE"/>
          </w:tcPr>
          <w:p w14:paraId="5A8AEA8E" w14:textId="77777777" w:rsidR="00740F0F" w:rsidRPr="0029070D" w:rsidRDefault="00100B64">
            <w:pPr>
              <w:spacing w:line="214" w:lineRule="exact"/>
              <w:ind w:left="9" w:right="-3"/>
              <w:rPr>
                <w:rFonts w:ascii="Times New Roman" w:eastAsia="Times New Roman" w:hAnsi="Times New Roman" w:cs="Times New Roman"/>
                <w:noProof/>
                <w:sz w:val="18"/>
                <w:szCs w:val="18"/>
              </w:rPr>
            </w:pPr>
            <w:r>
              <w:rPr>
                <w:rFonts w:ascii="Times New Roman" w:hAnsi="Times New Roman"/>
                <w:noProof/>
                <w:sz w:val="18"/>
              </w:rPr>
              <w:t>Logements et locaux professionnels supplémentaires connectables à la fibre</w:t>
            </w:r>
          </w:p>
        </w:tc>
        <w:tc>
          <w:tcPr>
            <w:tcW w:w="1306" w:type="dxa"/>
            <w:shd w:val="clear" w:color="auto" w:fill="C5EDCE"/>
          </w:tcPr>
          <w:p w14:paraId="5A8AEA8F"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44" w:type="dxa"/>
            <w:shd w:val="clear" w:color="auto" w:fill="C5EDCE"/>
          </w:tcPr>
          <w:p w14:paraId="5A8AEA90" w14:textId="77777777" w:rsidR="00740F0F" w:rsidRPr="0029070D" w:rsidRDefault="00100B64">
            <w:pPr>
              <w:spacing w:line="214" w:lineRule="exact"/>
              <w:ind w:left="9" w:right="11"/>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850" w:type="dxa"/>
            <w:shd w:val="clear" w:color="auto" w:fill="C5EDCE"/>
          </w:tcPr>
          <w:p w14:paraId="5A8AEA91" w14:textId="77777777" w:rsidR="00740F0F" w:rsidRPr="0029070D" w:rsidRDefault="00100B64">
            <w:pPr>
              <w:spacing w:line="214" w:lineRule="exact"/>
              <w:ind w:left="9" w:right="6"/>
              <w:jc w:val="center"/>
              <w:rPr>
                <w:rFonts w:ascii="Times New Roman" w:eastAsia="Times New Roman" w:hAnsi="Times New Roman" w:cs="Times New Roman"/>
                <w:noProof/>
                <w:sz w:val="18"/>
                <w:szCs w:val="18"/>
              </w:rPr>
            </w:pPr>
            <w:r>
              <w:rPr>
                <w:rFonts w:ascii="Times New Roman" w:hAnsi="Times New Roman"/>
                <w:noProof/>
                <w:sz w:val="18"/>
              </w:rPr>
              <w:t>0</w:t>
            </w:r>
          </w:p>
        </w:tc>
        <w:tc>
          <w:tcPr>
            <w:tcW w:w="1276" w:type="dxa"/>
            <w:shd w:val="clear" w:color="auto" w:fill="C5EDCE"/>
          </w:tcPr>
          <w:p w14:paraId="5A8AEA92" w14:textId="77777777" w:rsidR="00740F0F" w:rsidRPr="0029070D" w:rsidRDefault="00100B64">
            <w:pPr>
              <w:spacing w:line="214" w:lineRule="exact"/>
              <w:ind w:left="9" w:right="38"/>
              <w:jc w:val="center"/>
              <w:rPr>
                <w:rFonts w:ascii="Times New Roman" w:eastAsia="Times New Roman" w:hAnsi="Times New Roman" w:cs="Times New Roman"/>
                <w:noProof/>
                <w:sz w:val="18"/>
                <w:szCs w:val="18"/>
              </w:rPr>
            </w:pPr>
            <w:r>
              <w:rPr>
                <w:rFonts w:ascii="Times New Roman" w:hAnsi="Times New Roman"/>
                <w:noProof/>
                <w:sz w:val="18"/>
              </w:rPr>
              <w:t>1 700 000</w:t>
            </w:r>
          </w:p>
        </w:tc>
        <w:tc>
          <w:tcPr>
            <w:tcW w:w="992" w:type="dxa"/>
            <w:shd w:val="clear" w:color="auto" w:fill="C5EDCE"/>
          </w:tcPr>
          <w:p w14:paraId="5A8AEA93" w14:textId="77777777" w:rsidR="00740F0F" w:rsidRPr="0029070D" w:rsidRDefault="00100B64">
            <w:pPr>
              <w:spacing w:line="214" w:lineRule="exact"/>
              <w:ind w:left="9" w:right="12"/>
              <w:jc w:val="center"/>
              <w:rPr>
                <w:rFonts w:ascii="Times New Roman" w:eastAsia="Times New Roman" w:hAnsi="Times New Roman" w:cs="Times New Roman"/>
                <w:noProof/>
                <w:sz w:val="18"/>
                <w:szCs w:val="18"/>
              </w:rPr>
            </w:pPr>
            <w:r>
              <w:rPr>
                <w:rFonts w:ascii="Times New Roman" w:hAnsi="Times New Roman"/>
                <w:noProof/>
                <w:sz w:val="18"/>
              </w:rPr>
              <w:t>T1</w:t>
            </w:r>
          </w:p>
        </w:tc>
        <w:tc>
          <w:tcPr>
            <w:tcW w:w="709" w:type="dxa"/>
            <w:shd w:val="clear" w:color="auto" w:fill="C5EDCE"/>
          </w:tcPr>
          <w:p w14:paraId="5A8AEA9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3948" w:type="dxa"/>
            <w:shd w:val="clear" w:color="auto" w:fill="C5EDCE"/>
          </w:tcPr>
          <w:p w14:paraId="5A8AEA95" w14:textId="77777777" w:rsidR="00740F0F" w:rsidRPr="0029070D" w:rsidRDefault="00100B64">
            <w:pPr>
              <w:spacing w:line="214" w:lineRule="exact"/>
              <w:ind w:left="9" w:right="20"/>
              <w:rPr>
                <w:rFonts w:ascii="Times New Roman" w:eastAsia="Times New Roman" w:hAnsi="Times New Roman" w:cs="Times New Roman"/>
                <w:noProof/>
                <w:sz w:val="18"/>
                <w:szCs w:val="18"/>
              </w:rPr>
            </w:pPr>
            <w:r>
              <w:rPr>
                <w:rFonts w:ascii="Times New Roman" w:hAnsi="Times New Roman"/>
                <w:noProof/>
                <w:sz w:val="18"/>
              </w:rPr>
              <w:t>Nombre de logements et locaux professionnels supplémentaires (par rapport à 2020) connectables à la fibre en 2021</w:t>
            </w:r>
          </w:p>
        </w:tc>
      </w:tr>
      <w:tr w:rsidR="00782477" w:rsidRPr="0029070D" w14:paraId="5A8AEAA3" w14:textId="77777777" w:rsidTr="00F84DDA">
        <w:trPr>
          <w:trHeight w:val="1401"/>
          <w:jc w:val="center"/>
        </w:trPr>
        <w:tc>
          <w:tcPr>
            <w:tcW w:w="1271" w:type="dxa"/>
            <w:shd w:val="clear" w:color="auto" w:fill="C5EDCE"/>
          </w:tcPr>
          <w:p w14:paraId="5A8AEA9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9-15</w:t>
            </w:r>
          </w:p>
        </w:tc>
        <w:tc>
          <w:tcPr>
            <w:tcW w:w="1149" w:type="dxa"/>
            <w:shd w:val="clear" w:color="auto" w:fill="C5EDCE"/>
          </w:tcPr>
          <w:p w14:paraId="5A8AEA98"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C9.I5</w:t>
            </w:r>
          </w:p>
          <w:p w14:paraId="5A8AEA99" w14:textId="77777777" w:rsidR="00740F0F" w:rsidRPr="0029070D" w:rsidRDefault="00100B64">
            <w:pPr>
              <w:tabs>
                <w:tab w:val="left" w:pos="764"/>
              </w:tabs>
              <w:spacing w:line="214" w:lineRule="exact"/>
              <w:ind w:left="9" w:right="103"/>
              <w:jc w:val="center"/>
              <w:rPr>
                <w:rFonts w:ascii="Times New Roman" w:eastAsia="Times New Roman" w:hAnsi="Times New Roman" w:cs="Times New Roman"/>
                <w:noProof/>
                <w:sz w:val="18"/>
                <w:szCs w:val="18"/>
              </w:rPr>
            </w:pPr>
            <w:r>
              <w:rPr>
                <w:rFonts w:ascii="Times New Roman" w:hAnsi="Times New Roman"/>
                <w:noProof/>
                <w:sz w:val="18"/>
              </w:rPr>
              <w:t>Plan France très haut débit</w:t>
            </w:r>
          </w:p>
        </w:tc>
        <w:tc>
          <w:tcPr>
            <w:tcW w:w="1064" w:type="dxa"/>
            <w:shd w:val="clear" w:color="auto" w:fill="C5EDCE"/>
          </w:tcPr>
          <w:p w14:paraId="5A8AEA9A" w14:textId="77777777" w:rsidR="00740F0F" w:rsidRPr="0029070D" w:rsidRDefault="00100B64">
            <w:pPr>
              <w:spacing w:line="214" w:lineRule="exact"/>
              <w:ind w:left="9" w:right="5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916" w:type="dxa"/>
            <w:shd w:val="clear" w:color="auto" w:fill="C5EDCE"/>
          </w:tcPr>
          <w:p w14:paraId="5A8AEA9B" w14:textId="77777777" w:rsidR="00740F0F" w:rsidRPr="0029070D" w:rsidRDefault="00100B64">
            <w:pPr>
              <w:spacing w:line="214" w:lineRule="exact"/>
              <w:ind w:left="9" w:right="-3"/>
              <w:rPr>
                <w:rFonts w:ascii="Times New Roman" w:eastAsia="Times New Roman" w:hAnsi="Times New Roman" w:cs="Times New Roman"/>
                <w:noProof/>
                <w:sz w:val="18"/>
                <w:szCs w:val="18"/>
              </w:rPr>
            </w:pPr>
            <w:r>
              <w:rPr>
                <w:rFonts w:ascii="Times New Roman" w:hAnsi="Times New Roman"/>
                <w:noProof/>
                <w:sz w:val="18"/>
              </w:rPr>
              <w:t>Logements et locaux professionnels supplémentaires connectables à la fibre</w:t>
            </w:r>
          </w:p>
        </w:tc>
        <w:tc>
          <w:tcPr>
            <w:tcW w:w="1306" w:type="dxa"/>
            <w:shd w:val="clear" w:color="auto" w:fill="C5EDCE"/>
          </w:tcPr>
          <w:p w14:paraId="5A8AEA9C"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44" w:type="dxa"/>
            <w:shd w:val="clear" w:color="auto" w:fill="C5EDCE"/>
          </w:tcPr>
          <w:p w14:paraId="5A8AEA9D" w14:textId="77777777" w:rsidR="00740F0F" w:rsidRPr="0029070D" w:rsidRDefault="00100B64">
            <w:pPr>
              <w:spacing w:line="214" w:lineRule="exact"/>
              <w:ind w:left="9" w:right="11"/>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850" w:type="dxa"/>
            <w:shd w:val="clear" w:color="auto" w:fill="C5EDCE"/>
          </w:tcPr>
          <w:p w14:paraId="5A8AEA9E" w14:textId="77777777" w:rsidR="00740F0F" w:rsidRPr="0029070D" w:rsidRDefault="00100B64">
            <w:pPr>
              <w:spacing w:line="214" w:lineRule="exact"/>
              <w:ind w:left="9" w:right="6"/>
              <w:jc w:val="center"/>
              <w:rPr>
                <w:rFonts w:ascii="Times New Roman" w:eastAsia="Times New Roman" w:hAnsi="Times New Roman" w:cs="Times New Roman"/>
                <w:noProof/>
                <w:sz w:val="18"/>
                <w:szCs w:val="18"/>
              </w:rPr>
            </w:pPr>
            <w:r>
              <w:rPr>
                <w:rFonts w:ascii="Times New Roman" w:hAnsi="Times New Roman"/>
                <w:noProof/>
                <w:sz w:val="18"/>
              </w:rPr>
              <w:t>0</w:t>
            </w:r>
          </w:p>
        </w:tc>
        <w:tc>
          <w:tcPr>
            <w:tcW w:w="1276" w:type="dxa"/>
            <w:shd w:val="clear" w:color="auto" w:fill="C5EDCE"/>
          </w:tcPr>
          <w:p w14:paraId="5A8AEA9F" w14:textId="77777777" w:rsidR="00740F0F" w:rsidRPr="0029070D" w:rsidRDefault="00100B64">
            <w:pPr>
              <w:spacing w:line="214" w:lineRule="exact"/>
              <w:ind w:left="9" w:right="38"/>
              <w:jc w:val="center"/>
              <w:rPr>
                <w:rFonts w:ascii="Times New Roman" w:eastAsia="Times New Roman" w:hAnsi="Times New Roman" w:cs="Times New Roman"/>
                <w:noProof/>
                <w:sz w:val="18"/>
                <w:szCs w:val="18"/>
              </w:rPr>
            </w:pPr>
            <w:r>
              <w:rPr>
                <w:rFonts w:ascii="Times New Roman" w:hAnsi="Times New Roman"/>
                <w:noProof/>
                <w:sz w:val="18"/>
              </w:rPr>
              <w:t>2 500 000</w:t>
            </w:r>
          </w:p>
        </w:tc>
        <w:tc>
          <w:tcPr>
            <w:tcW w:w="992" w:type="dxa"/>
            <w:shd w:val="clear" w:color="auto" w:fill="C5EDCE"/>
          </w:tcPr>
          <w:p w14:paraId="5A8AEAA0" w14:textId="77777777" w:rsidR="00740F0F" w:rsidRPr="0029070D" w:rsidRDefault="00100B64">
            <w:pPr>
              <w:spacing w:line="214" w:lineRule="exact"/>
              <w:ind w:left="9" w:right="12"/>
              <w:jc w:val="center"/>
              <w:rPr>
                <w:rFonts w:ascii="Times New Roman" w:eastAsia="Times New Roman" w:hAnsi="Times New Roman" w:cs="Times New Roman"/>
                <w:noProof/>
                <w:sz w:val="18"/>
                <w:szCs w:val="18"/>
              </w:rPr>
            </w:pPr>
            <w:r>
              <w:rPr>
                <w:rFonts w:ascii="Times New Roman" w:hAnsi="Times New Roman"/>
                <w:noProof/>
                <w:sz w:val="18"/>
              </w:rPr>
              <w:t>T4</w:t>
            </w:r>
          </w:p>
        </w:tc>
        <w:tc>
          <w:tcPr>
            <w:tcW w:w="709" w:type="dxa"/>
            <w:shd w:val="clear" w:color="auto" w:fill="C5EDCE"/>
          </w:tcPr>
          <w:p w14:paraId="5A8AEAA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3948" w:type="dxa"/>
            <w:shd w:val="clear" w:color="auto" w:fill="C5EDCE"/>
          </w:tcPr>
          <w:p w14:paraId="5A8AEAA2" w14:textId="77777777" w:rsidR="00740F0F" w:rsidRPr="0029070D" w:rsidRDefault="00100B64">
            <w:pPr>
              <w:spacing w:line="214" w:lineRule="exact"/>
              <w:ind w:left="9" w:right="20"/>
              <w:rPr>
                <w:rFonts w:ascii="Times New Roman" w:eastAsia="Times New Roman" w:hAnsi="Times New Roman" w:cs="Times New Roman"/>
                <w:noProof/>
                <w:sz w:val="18"/>
                <w:szCs w:val="18"/>
              </w:rPr>
            </w:pPr>
            <w:r>
              <w:rPr>
                <w:rFonts w:ascii="Times New Roman" w:hAnsi="Times New Roman"/>
                <w:noProof/>
                <w:sz w:val="18"/>
              </w:rPr>
              <w:t>Nombre de logements et locaux professionnels supplémentaires (par rapport à 2022) connectables à la fibre en 2023</w:t>
            </w:r>
          </w:p>
        </w:tc>
      </w:tr>
      <w:tr w:rsidR="00782477" w:rsidRPr="0029070D" w14:paraId="5A8AEAB0" w14:textId="77777777" w:rsidTr="00F84DDA">
        <w:trPr>
          <w:trHeight w:val="697"/>
          <w:jc w:val="center"/>
        </w:trPr>
        <w:tc>
          <w:tcPr>
            <w:tcW w:w="1271" w:type="dxa"/>
            <w:shd w:val="clear" w:color="auto" w:fill="C5EDCE"/>
          </w:tcPr>
          <w:p w14:paraId="5A8AEAA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9-16</w:t>
            </w:r>
          </w:p>
        </w:tc>
        <w:tc>
          <w:tcPr>
            <w:tcW w:w="1149" w:type="dxa"/>
            <w:shd w:val="clear" w:color="auto" w:fill="C5EDCE"/>
          </w:tcPr>
          <w:p w14:paraId="5A8AEAA5" w14:textId="77777777" w:rsidR="00740F0F" w:rsidRPr="0029070D" w:rsidRDefault="00100B64">
            <w:pPr>
              <w:spacing w:line="214" w:lineRule="exact"/>
              <w:ind w:left="9" w:right="59"/>
              <w:jc w:val="center"/>
              <w:rPr>
                <w:rFonts w:ascii="Times New Roman" w:eastAsia="Times New Roman" w:hAnsi="Times New Roman" w:cs="Times New Roman"/>
                <w:noProof/>
                <w:sz w:val="18"/>
                <w:szCs w:val="18"/>
              </w:rPr>
            </w:pPr>
            <w:r>
              <w:rPr>
                <w:rFonts w:ascii="Times New Roman" w:hAnsi="Times New Roman"/>
                <w:noProof/>
                <w:sz w:val="18"/>
              </w:rPr>
              <w:t>C9.I6</w:t>
            </w:r>
          </w:p>
          <w:p w14:paraId="5A8AEAA6" w14:textId="77777777" w:rsidR="00740F0F" w:rsidRPr="0029070D" w:rsidRDefault="00100B64">
            <w:pPr>
              <w:spacing w:line="214" w:lineRule="exact"/>
              <w:ind w:left="9" w:right="59"/>
              <w:jc w:val="center"/>
              <w:rPr>
                <w:rFonts w:ascii="Times New Roman" w:eastAsia="Times New Roman" w:hAnsi="Times New Roman" w:cs="Times New Roman"/>
                <w:noProof/>
                <w:sz w:val="18"/>
                <w:szCs w:val="18"/>
              </w:rPr>
            </w:pPr>
            <w:r>
              <w:rPr>
                <w:rFonts w:ascii="Times New Roman" w:hAnsi="Times New Roman"/>
                <w:noProof/>
                <w:sz w:val="18"/>
              </w:rPr>
              <w:t>Inclusion numérique</w:t>
            </w:r>
          </w:p>
        </w:tc>
        <w:tc>
          <w:tcPr>
            <w:tcW w:w="1064" w:type="dxa"/>
            <w:shd w:val="clear" w:color="auto" w:fill="C5EDCE"/>
          </w:tcPr>
          <w:p w14:paraId="5A8AEAA7" w14:textId="77777777" w:rsidR="00740F0F" w:rsidRPr="0029070D" w:rsidRDefault="00100B64">
            <w:pPr>
              <w:spacing w:line="214" w:lineRule="exact"/>
              <w:ind w:left="9" w:right="5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916" w:type="dxa"/>
            <w:shd w:val="clear" w:color="auto" w:fill="C5EDCE"/>
          </w:tcPr>
          <w:p w14:paraId="5A8AEAA8"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Conseillers numériques France Services formés</w:t>
            </w:r>
          </w:p>
        </w:tc>
        <w:tc>
          <w:tcPr>
            <w:tcW w:w="1306" w:type="dxa"/>
            <w:shd w:val="clear" w:color="auto" w:fill="C5EDCE"/>
          </w:tcPr>
          <w:p w14:paraId="5A8AEAA9"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44" w:type="dxa"/>
            <w:shd w:val="clear" w:color="auto" w:fill="C5EDCE"/>
          </w:tcPr>
          <w:p w14:paraId="5A8AEAAA" w14:textId="77777777" w:rsidR="00740F0F" w:rsidRPr="0029070D" w:rsidRDefault="00100B64">
            <w:pPr>
              <w:spacing w:line="214" w:lineRule="exact"/>
              <w:ind w:left="9" w:right="11"/>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850" w:type="dxa"/>
            <w:shd w:val="clear" w:color="auto" w:fill="C5EDCE"/>
          </w:tcPr>
          <w:p w14:paraId="5A8AEAAB" w14:textId="77777777" w:rsidR="00740F0F" w:rsidRPr="0029070D" w:rsidRDefault="00100B64">
            <w:pPr>
              <w:spacing w:line="214" w:lineRule="exact"/>
              <w:ind w:left="9" w:right="6"/>
              <w:jc w:val="center"/>
              <w:rPr>
                <w:rFonts w:ascii="Times New Roman" w:eastAsia="Times New Roman" w:hAnsi="Times New Roman" w:cs="Times New Roman"/>
                <w:noProof/>
                <w:sz w:val="18"/>
                <w:szCs w:val="18"/>
              </w:rPr>
            </w:pPr>
            <w:r>
              <w:rPr>
                <w:rFonts w:ascii="Times New Roman" w:hAnsi="Times New Roman"/>
                <w:noProof/>
                <w:sz w:val="18"/>
              </w:rPr>
              <w:t>0</w:t>
            </w:r>
          </w:p>
        </w:tc>
        <w:tc>
          <w:tcPr>
            <w:tcW w:w="1276" w:type="dxa"/>
            <w:shd w:val="clear" w:color="auto" w:fill="C5EDCE"/>
          </w:tcPr>
          <w:p w14:paraId="5A8AEAAC" w14:textId="77777777" w:rsidR="00740F0F" w:rsidRPr="0029070D" w:rsidRDefault="00100B64">
            <w:pPr>
              <w:spacing w:line="214" w:lineRule="exact"/>
              <w:ind w:left="9" w:right="32"/>
              <w:jc w:val="center"/>
              <w:rPr>
                <w:rFonts w:ascii="Times New Roman" w:eastAsia="Times New Roman" w:hAnsi="Times New Roman" w:cs="Times New Roman"/>
                <w:noProof/>
                <w:sz w:val="18"/>
                <w:szCs w:val="18"/>
              </w:rPr>
            </w:pPr>
            <w:r>
              <w:rPr>
                <w:rFonts w:ascii="Times New Roman" w:hAnsi="Times New Roman"/>
                <w:noProof/>
                <w:sz w:val="18"/>
              </w:rPr>
              <w:t>3 600</w:t>
            </w:r>
          </w:p>
        </w:tc>
        <w:tc>
          <w:tcPr>
            <w:tcW w:w="992" w:type="dxa"/>
            <w:shd w:val="clear" w:color="auto" w:fill="C5EDCE"/>
          </w:tcPr>
          <w:p w14:paraId="5A8AEAAD" w14:textId="77777777" w:rsidR="00740F0F" w:rsidRPr="0029070D" w:rsidRDefault="00100B64">
            <w:pPr>
              <w:spacing w:line="214" w:lineRule="exact"/>
              <w:ind w:left="9" w:right="12"/>
              <w:jc w:val="center"/>
              <w:rPr>
                <w:rFonts w:ascii="Times New Roman" w:eastAsia="Times New Roman" w:hAnsi="Times New Roman" w:cs="Times New Roman"/>
                <w:noProof/>
                <w:sz w:val="18"/>
                <w:szCs w:val="18"/>
              </w:rPr>
            </w:pPr>
            <w:r>
              <w:rPr>
                <w:rFonts w:ascii="Times New Roman" w:hAnsi="Times New Roman"/>
                <w:noProof/>
                <w:sz w:val="18"/>
              </w:rPr>
              <w:t>T4</w:t>
            </w:r>
          </w:p>
        </w:tc>
        <w:tc>
          <w:tcPr>
            <w:tcW w:w="709" w:type="dxa"/>
            <w:shd w:val="clear" w:color="auto" w:fill="C5EDCE"/>
          </w:tcPr>
          <w:p w14:paraId="5A8AEAA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3948" w:type="dxa"/>
            <w:shd w:val="clear" w:color="auto" w:fill="C5EDCE"/>
          </w:tcPr>
          <w:p w14:paraId="5A8AEAAF" w14:textId="77777777" w:rsidR="00740F0F" w:rsidRPr="0029070D" w:rsidRDefault="00100B64">
            <w:pPr>
              <w:spacing w:line="214" w:lineRule="exact"/>
              <w:ind w:left="9" w:right="1"/>
              <w:rPr>
                <w:rFonts w:ascii="Times New Roman" w:eastAsia="Times New Roman" w:hAnsi="Times New Roman" w:cs="Times New Roman"/>
                <w:noProof/>
                <w:sz w:val="18"/>
                <w:szCs w:val="18"/>
              </w:rPr>
            </w:pPr>
            <w:r>
              <w:rPr>
                <w:rFonts w:ascii="Times New Roman" w:hAnsi="Times New Roman"/>
                <w:noProof/>
                <w:sz w:val="18"/>
              </w:rPr>
              <w:t>Nombre de conseillers numériques France Services formés dans le cadre de la campagne de formation et de recrutement</w:t>
            </w:r>
          </w:p>
        </w:tc>
      </w:tr>
      <w:tr w:rsidR="00782477" w:rsidRPr="0029070D" w14:paraId="5A8AEABD" w14:textId="77777777" w:rsidTr="00F84DDA">
        <w:trPr>
          <w:trHeight w:val="1403"/>
          <w:jc w:val="center"/>
        </w:trPr>
        <w:tc>
          <w:tcPr>
            <w:tcW w:w="1271" w:type="dxa"/>
            <w:shd w:val="clear" w:color="auto" w:fill="C5EDCE"/>
          </w:tcPr>
          <w:p w14:paraId="5A8AEAB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9-17</w:t>
            </w:r>
          </w:p>
        </w:tc>
        <w:tc>
          <w:tcPr>
            <w:tcW w:w="1149" w:type="dxa"/>
            <w:shd w:val="clear" w:color="auto" w:fill="C5EDCE"/>
          </w:tcPr>
          <w:p w14:paraId="5A8AEAB2" w14:textId="77777777" w:rsidR="00740F0F" w:rsidRPr="0029070D" w:rsidRDefault="00100B64">
            <w:pPr>
              <w:spacing w:line="214" w:lineRule="exact"/>
              <w:ind w:left="9" w:right="59"/>
              <w:jc w:val="center"/>
              <w:rPr>
                <w:rFonts w:ascii="Times New Roman" w:eastAsia="Times New Roman" w:hAnsi="Times New Roman" w:cs="Times New Roman"/>
                <w:noProof/>
                <w:sz w:val="18"/>
                <w:szCs w:val="18"/>
              </w:rPr>
            </w:pPr>
            <w:r>
              <w:rPr>
                <w:rFonts w:ascii="Times New Roman" w:hAnsi="Times New Roman"/>
                <w:noProof/>
                <w:sz w:val="18"/>
              </w:rPr>
              <w:t>C9.I7</w:t>
            </w:r>
          </w:p>
          <w:p w14:paraId="5A8AEAB3" w14:textId="77777777" w:rsidR="00740F0F" w:rsidRPr="0029070D" w:rsidRDefault="00100B64">
            <w:pPr>
              <w:spacing w:line="214" w:lineRule="exact"/>
              <w:ind w:left="9" w:firstLine="1"/>
              <w:jc w:val="center"/>
              <w:rPr>
                <w:rFonts w:ascii="Times New Roman" w:eastAsia="Times New Roman" w:hAnsi="Times New Roman" w:cs="Times New Roman"/>
                <w:noProof/>
                <w:sz w:val="18"/>
                <w:szCs w:val="18"/>
              </w:rPr>
            </w:pPr>
            <w:r>
              <w:rPr>
                <w:rFonts w:ascii="Times New Roman" w:hAnsi="Times New Roman"/>
                <w:noProof/>
                <w:sz w:val="18"/>
              </w:rPr>
              <w:t>Stratégie de relance de la R&amp;D — Agence nationale de la recherche</w:t>
            </w:r>
          </w:p>
        </w:tc>
        <w:tc>
          <w:tcPr>
            <w:tcW w:w="1064" w:type="dxa"/>
            <w:shd w:val="clear" w:color="auto" w:fill="C5EDCE"/>
          </w:tcPr>
          <w:p w14:paraId="5A8AEAB4" w14:textId="77777777" w:rsidR="00740F0F" w:rsidRPr="0029070D" w:rsidRDefault="00100B64">
            <w:pPr>
              <w:spacing w:line="214" w:lineRule="exact"/>
              <w:ind w:left="9" w:right="59"/>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916" w:type="dxa"/>
            <w:shd w:val="clear" w:color="auto" w:fill="C5EDCE"/>
          </w:tcPr>
          <w:p w14:paraId="5A8AEAB5" w14:textId="77777777" w:rsidR="00740F0F" w:rsidRPr="0029070D" w:rsidRDefault="00100B64">
            <w:pPr>
              <w:spacing w:line="214" w:lineRule="exact"/>
              <w:ind w:left="9" w:right="138"/>
              <w:rPr>
                <w:rFonts w:ascii="Times New Roman" w:eastAsia="Times New Roman" w:hAnsi="Times New Roman" w:cs="Times New Roman"/>
                <w:noProof/>
                <w:sz w:val="18"/>
                <w:szCs w:val="18"/>
              </w:rPr>
            </w:pPr>
            <w:r>
              <w:rPr>
                <w:rFonts w:ascii="Times New Roman" w:hAnsi="Times New Roman"/>
                <w:noProof/>
                <w:sz w:val="18"/>
              </w:rPr>
              <w:t>Taux de succès global pour les appels à projets génériques et spécifiques</w:t>
            </w:r>
          </w:p>
        </w:tc>
        <w:tc>
          <w:tcPr>
            <w:tcW w:w="1306" w:type="dxa"/>
            <w:shd w:val="clear" w:color="auto" w:fill="C5EDCE"/>
          </w:tcPr>
          <w:p w14:paraId="5A8AEAB6"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44" w:type="dxa"/>
            <w:shd w:val="clear" w:color="auto" w:fill="C5EDCE"/>
          </w:tcPr>
          <w:p w14:paraId="5A8AEAB7" w14:textId="77777777" w:rsidR="00740F0F" w:rsidRPr="0029070D" w:rsidRDefault="00100B64">
            <w:pPr>
              <w:spacing w:line="214" w:lineRule="exact"/>
              <w:ind w:left="9" w:right="-6" w:hanging="57"/>
              <w:jc w:val="center"/>
              <w:rPr>
                <w:rFonts w:ascii="Times New Roman" w:eastAsia="Times New Roman" w:hAnsi="Times New Roman" w:cs="Times New Roman"/>
                <w:noProof/>
                <w:sz w:val="18"/>
                <w:szCs w:val="18"/>
              </w:rPr>
            </w:pPr>
            <w:r>
              <w:rPr>
                <w:rFonts w:ascii="Times New Roman" w:hAnsi="Times New Roman"/>
                <w:noProof/>
                <w:sz w:val="18"/>
              </w:rPr>
              <w:t>Pourcentage</w:t>
            </w:r>
          </w:p>
        </w:tc>
        <w:tc>
          <w:tcPr>
            <w:tcW w:w="850" w:type="dxa"/>
            <w:shd w:val="clear" w:color="auto" w:fill="C5EDCE"/>
          </w:tcPr>
          <w:p w14:paraId="5A8AEAB8" w14:textId="77777777" w:rsidR="00740F0F" w:rsidRPr="0029070D" w:rsidRDefault="00100B64">
            <w:pPr>
              <w:spacing w:line="214" w:lineRule="exact"/>
              <w:ind w:left="9" w:right="74"/>
              <w:jc w:val="center"/>
              <w:rPr>
                <w:rFonts w:ascii="Times New Roman" w:eastAsia="Times New Roman" w:hAnsi="Times New Roman" w:cs="Times New Roman"/>
                <w:noProof/>
                <w:sz w:val="18"/>
                <w:szCs w:val="18"/>
              </w:rPr>
            </w:pPr>
            <w:r>
              <w:rPr>
                <w:rFonts w:ascii="Times New Roman" w:hAnsi="Times New Roman"/>
                <w:noProof/>
                <w:sz w:val="18"/>
              </w:rPr>
              <w:t>16</w:t>
            </w:r>
          </w:p>
        </w:tc>
        <w:tc>
          <w:tcPr>
            <w:tcW w:w="1276" w:type="dxa"/>
            <w:shd w:val="clear" w:color="auto" w:fill="C5EDCE"/>
          </w:tcPr>
          <w:p w14:paraId="5A8AEAB9" w14:textId="77777777" w:rsidR="00740F0F" w:rsidRPr="0029070D" w:rsidRDefault="00100B64">
            <w:pPr>
              <w:spacing w:line="214" w:lineRule="exact"/>
              <w:ind w:left="9" w:right="32"/>
              <w:jc w:val="center"/>
              <w:rPr>
                <w:rFonts w:ascii="Times New Roman" w:eastAsia="Times New Roman" w:hAnsi="Times New Roman" w:cs="Times New Roman"/>
                <w:noProof/>
                <w:sz w:val="18"/>
                <w:szCs w:val="18"/>
              </w:rPr>
            </w:pPr>
            <w:r>
              <w:rPr>
                <w:rFonts w:ascii="Times New Roman" w:hAnsi="Times New Roman"/>
                <w:noProof/>
                <w:sz w:val="18"/>
              </w:rPr>
              <w:t>20</w:t>
            </w:r>
          </w:p>
        </w:tc>
        <w:tc>
          <w:tcPr>
            <w:tcW w:w="992" w:type="dxa"/>
            <w:shd w:val="clear" w:color="auto" w:fill="C5EDCE"/>
          </w:tcPr>
          <w:p w14:paraId="5A8AEABA" w14:textId="77777777" w:rsidR="00740F0F" w:rsidRPr="0029070D" w:rsidRDefault="00100B64">
            <w:pPr>
              <w:spacing w:line="214" w:lineRule="exact"/>
              <w:ind w:left="9" w:right="12"/>
              <w:jc w:val="center"/>
              <w:rPr>
                <w:rFonts w:ascii="Times New Roman" w:eastAsia="Times New Roman" w:hAnsi="Times New Roman" w:cs="Times New Roman"/>
                <w:noProof/>
                <w:sz w:val="18"/>
                <w:szCs w:val="18"/>
              </w:rPr>
            </w:pPr>
            <w:r>
              <w:rPr>
                <w:rFonts w:ascii="Times New Roman" w:hAnsi="Times New Roman"/>
                <w:noProof/>
                <w:sz w:val="18"/>
              </w:rPr>
              <w:t>T2</w:t>
            </w:r>
          </w:p>
        </w:tc>
        <w:tc>
          <w:tcPr>
            <w:tcW w:w="709" w:type="dxa"/>
            <w:shd w:val="clear" w:color="auto" w:fill="C5EDCE"/>
          </w:tcPr>
          <w:p w14:paraId="5A8AEABB"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2022</w:t>
            </w:r>
          </w:p>
        </w:tc>
        <w:tc>
          <w:tcPr>
            <w:tcW w:w="3948" w:type="dxa"/>
            <w:shd w:val="clear" w:color="auto" w:fill="C5EDCE"/>
          </w:tcPr>
          <w:p w14:paraId="5A8AEABC" w14:textId="77777777" w:rsidR="00740F0F" w:rsidRPr="0029070D" w:rsidRDefault="00100B64">
            <w:pPr>
              <w:spacing w:line="214" w:lineRule="exact"/>
              <w:ind w:left="9" w:right="7"/>
              <w:rPr>
                <w:rFonts w:ascii="Times New Roman" w:eastAsia="Times New Roman" w:hAnsi="Times New Roman" w:cs="Times New Roman"/>
                <w:noProof/>
                <w:sz w:val="18"/>
                <w:szCs w:val="18"/>
              </w:rPr>
            </w:pPr>
            <w:r>
              <w:rPr>
                <w:rFonts w:ascii="Times New Roman" w:hAnsi="Times New Roman"/>
                <w:noProof/>
                <w:sz w:val="18"/>
              </w:rPr>
              <w:t>Rapport entre le nombre de projets sélectionnés par l’Agence nationale de la recherche et le nombre de projets soumis dans le cadre des appels génériques et spécifiques. Le rapport pour les appels à projets lancés en 2021 sera mesuré au deuxième trimestre de l’année 2022.</w:t>
            </w:r>
          </w:p>
        </w:tc>
      </w:tr>
      <w:tr w:rsidR="00782477" w:rsidRPr="0029070D" w14:paraId="5A8AEACC" w14:textId="77777777" w:rsidTr="00F84DDA">
        <w:trPr>
          <w:trHeight w:val="2826"/>
          <w:jc w:val="center"/>
        </w:trPr>
        <w:tc>
          <w:tcPr>
            <w:tcW w:w="1271" w:type="dxa"/>
            <w:shd w:val="clear" w:color="auto" w:fill="C5EDCE"/>
          </w:tcPr>
          <w:p w14:paraId="5A8AEAB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9-18</w:t>
            </w:r>
          </w:p>
        </w:tc>
        <w:tc>
          <w:tcPr>
            <w:tcW w:w="1149" w:type="dxa"/>
            <w:shd w:val="clear" w:color="auto" w:fill="C5EDCE"/>
          </w:tcPr>
          <w:p w14:paraId="5A8AEABF" w14:textId="77777777" w:rsidR="00740F0F" w:rsidRPr="0029070D" w:rsidRDefault="00100B64">
            <w:pPr>
              <w:spacing w:line="214" w:lineRule="exact"/>
              <w:ind w:left="9" w:right="59"/>
              <w:jc w:val="center"/>
              <w:rPr>
                <w:rFonts w:ascii="Times New Roman" w:eastAsia="Times New Roman" w:hAnsi="Times New Roman" w:cs="Times New Roman"/>
                <w:noProof/>
                <w:sz w:val="18"/>
                <w:szCs w:val="18"/>
              </w:rPr>
            </w:pPr>
            <w:r>
              <w:rPr>
                <w:rFonts w:ascii="Times New Roman" w:hAnsi="Times New Roman"/>
                <w:noProof/>
                <w:sz w:val="18"/>
              </w:rPr>
              <w:t>C9.I8 PIA4</w:t>
            </w:r>
          </w:p>
          <w:p w14:paraId="5A8AEAC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w:t>
            </w:r>
          </w:p>
          <w:p w14:paraId="5A8AEAC1" w14:textId="77777777" w:rsidR="00740F0F" w:rsidRPr="0029070D" w:rsidRDefault="00100B64">
            <w:pPr>
              <w:spacing w:line="214" w:lineRule="exact"/>
              <w:ind w:left="9" w:right="143" w:firstLine="2"/>
              <w:jc w:val="center"/>
              <w:rPr>
                <w:rFonts w:ascii="Times New Roman" w:eastAsia="Times New Roman" w:hAnsi="Times New Roman" w:cs="Times New Roman"/>
                <w:noProof/>
                <w:sz w:val="18"/>
                <w:szCs w:val="18"/>
              </w:rPr>
            </w:pPr>
            <w:r>
              <w:rPr>
                <w:rFonts w:ascii="Times New Roman" w:hAnsi="Times New Roman"/>
                <w:noProof/>
                <w:sz w:val="18"/>
              </w:rPr>
              <w:t>Soutien aux écosystèmes d’enseignement, de recherche, de valorisation et d’innovation</w:t>
            </w:r>
          </w:p>
        </w:tc>
        <w:tc>
          <w:tcPr>
            <w:tcW w:w="1064" w:type="dxa"/>
            <w:shd w:val="clear" w:color="auto" w:fill="C5EDCE"/>
          </w:tcPr>
          <w:p w14:paraId="5A8AEAC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916" w:type="dxa"/>
            <w:shd w:val="clear" w:color="auto" w:fill="C5EDCE"/>
          </w:tcPr>
          <w:p w14:paraId="5A8AEAC3" w14:textId="77777777" w:rsidR="00740F0F" w:rsidRPr="0029070D" w:rsidRDefault="00100B64">
            <w:pPr>
              <w:spacing w:line="214" w:lineRule="exact"/>
              <w:ind w:left="9" w:right="4"/>
              <w:rPr>
                <w:rFonts w:ascii="Times New Roman" w:eastAsia="Times New Roman" w:hAnsi="Times New Roman" w:cs="Times New Roman"/>
                <w:noProof/>
                <w:sz w:val="18"/>
                <w:szCs w:val="18"/>
              </w:rPr>
            </w:pPr>
            <w:r>
              <w:rPr>
                <w:rFonts w:ascii="Times New Roman" w:hAnsi="Times New Roman"/>
                <w:noProof/>
                <w:sz w:val="18"/>
              </w:rPr>
              <w:t>Les trois appels à projets sont lancés («ExcellencES»,</w:t>
            </w:r>
          </w:p>
          <w:p w14:paraId="5A8AEAC4" w14:textId="77777777" w:rsidR="00740F0F" w:rsidRPr="0029070D" w:rsidRDefault="00100B64">
            <w:pPr>
              <w:spacing w:line="214" w:lineRule="exact"/>
              <w:ind w:left="50" w:right="4"/>
              <w:rPr>
                <w:rFonts w:ascii="Times New Roman" w:eastAsia="Times New Roman" w:hAnsi="Times New Roman" w:cs="Times New Roman"/>
                <w:noProof/>
                <w:sz w:val="18"/>
                <w:szCs w:val="18"/>
              </w:rPr>
            </w:pPr>
            <w:r>
              <w:rPr>
                <w:rFonts w:ascii="Times New Roman" w:hAnsi="Times New Roman"/>
                <w:noProof/>
                <w:sz w:val="18"/>
              </w:rPr>
              <w:t>«Diversification des ressources des établissements supérieur et de recherche» et «Transformation de l’enseignement scolaire en y promouvant l’innovation et de nouvelles formes d’organisation et de gestion»)</w:t>
            </w:r>
          </w:p>
        </w:tc>
        <w:tc>
          <w:tcPr>
            <w:tcW w:w="1306" w:type="dxa"/>
            <w:shd w:val="clear" w:color="auto" w:fill="C5EDCE"/>
          </w:tcPr>
          <w:p w14:paraId="5A8AEAC5" w14:textId="77777777" w:rsidR="00740F0F" w:rsidRPr="0029070D" w:rsidRDefault="00100B64">
            <w:pPr>
              <w:spacing w:line="214" w:lineRule="exact"/>
              <w:ind w:left="9" w:hanging="22"/>
              <w:rPr>
                <w:rFonts w:ascii="Times New Roman" w:eastAsia="Times New Roman" w:hAnsi="Times New Roman" w:cs="Times New Roman"/>
                <w:noProof/>
                <w:sz w:val="18"/>
                <w:szCs w:val="18"/>
              </w:rPr>
            </w:pPr>
            <w:r>
              <w:rPr>
                <w:rFonts w:ascii="Times New Roman" w:hAnsi="Times New Roman"/>
                <w:noProof/>
                <w:sz w:val="18"/>
              </w:rPr>
              <w:t>Publication des appels sur le site internet</w:t>
            </w:r>
          </w:p>
        </w:tc>
        <w:tc>
          <w:tcPr>
            <w:tcW w:w="944" w:type="dxa"/>
            <w:shd w:val="clear" w:color="auto" w:fill="C5EDCE"/>
          </w:tcPr>
          <w:p w14:paraId="5A8AEAC6"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0" w:type="dxa"/>
            <w:shd w:val="clear" w:color="auto" w:fill="C5EDCE"/>
          </w:tcPr>
          <w:p w14:paraId="5A8AEAC7"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1276" w:type="dxa"/>
            <w:shd w:val="clear" w:color="auto" w:fill="C5EDCE"/>
          </w:tcPr>
          <w:p w14:paraId="5A8AEAC8"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2" w:type="dxa"/>
            <w:shd w:val="clear" w:color="auto" w:fill="C5EDCE"/>
          </w:tcPr>
          <w:p w14:paraId="5A8AEAC9" w14:textId="77777777" w:rsidR="00740F0F" w:rsidRPr="0029070D" w:rsidRDefault="00100B64">
            <w:pPr>
              <w:spacing w:line="214" w:lineRule="exact"/>
              <w:ind w:left="9" w:right="12"/>
              <w:jc w:val="center"/>
              <w:rPr>
                <w:rFonts w:ascii="Times New Roman" w:eastAsia="Times New Roman" w:hAnsi="Times New Roman" w:cs="Times New Roman"/>
                <w:noProof/>
                <w:sz w:val="18"/>
                <w:szCs w:val="18"/>
              </w:rPr>
            </w:pPr>
            <w:r>
              <w:rPr>
                <w:rFonts w:ascii="Times New Roman" w:hAnsi="Times New Roman"/>
                <w:noProof/>
                <w:sz w:val="18"/>
              </w:rPr>
              <w:t>T4</w:t>
            </w:r>
          </w:p>
        </w:tc>
        <w:tc>
          <w:tcPr>
            <w:tcW w:w="709" w:type="dxa"/>
            <w:shd w:val="clear" w:color="auto" w:fill="C5EDCE"/>
          </w:tcPr>
          <w:p w14:paraId="5A8AEACA"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2021</w:t>
            </w:r>
          </w:p>
        </w:tc>
        <w:tc>
          <w:tcPr>
            <w:tcW w:w="3948" w:type="dxa"/>
            <w:shd w:val="clear" w:color="auto" w:fill="C5EDCE"/>
          </w:tcPr>
          <w:p w14:paraId="5A8AEACB" w14:textId="77777777" w:rsidR="00740F0F" w:rsidRPr="0029070D" w:rsidRDefault="00100B64">
            <w:pPr>
              <w:spacing w:line="214" w:lineRule="exact"/>
              <w:ind w:left="9" w:right="6"/>
              <w:rPr>
                <w:rFonts w:ascii="Times New Roman" w:eastAsia="Times New Roman" w:hAnsi="Times New Roman" w:cs="Times New Roman"/>
                <w:noProof/>
                <w:sz w:val="18"/>
                <w:szCs w:val="18"/>
              </w:rPr>
            </w:pPr>
            <w:r>
              <w:rPr>
                <w:rFonts w:ascii="Times New Roman" w:hAnsi="Times New Roman"/>
                <w:noProof/>
                <w:sz w:val="18"/>
              </w:rPr>
              <w:t>Tous les appels à projets lancés dans le cadre de cette mesure, avec des cahiers des charges intégrant des critères d’éligibilité permettant d’assurer la neutralité environnementale des applications de la solution financée.</w:t>
            </w:r>
          </w:p>
        </w:tc>
      </w:tr>
      <w:tr w:rsidR="00782477" w:rsidRPr="0029070D" w14:paraId="5A8AEAD9" w14:textId="77777777" w:rsidTr="00F84DDA">
        <w:trPr>
          <w:trHeight w:val="300"/>
          <w:jc w:val="center"/>
        </w:trPr>
        <w:tc>
          <w:tcPr>
            <w:tcW w:w="1271" w:type="dxa"/>
            <w:shd w:val="clear" w:color="auto" w:fill="C5EDCE"/>
          </w:tcPr>
          <w:p w14:paraId="5A8AEAC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9-19</w:t>
            </w:r>
          </w:p>
        </w:tc>
        <w:tc>
          <w:tcPr>
            <w:tcW w:w="1149" w:type="dxa"/>
            <w:shd w:val="clear" w:color="auto" w:fill="C5EDCE"/>
          </w:tcPr>
          <w:p w14:paraId="5A8AEACE"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C9.I8 PIA4</w:t>
            </w:r>
          </w:p>
          <w:p w14:paraId="5A8AEACF" w14:textId="77777777" w:rsidR="00740F0F" w:rsidRPr="0029070D" w:rsidRDefault="00100B64">
            <w:pPr>
              <w:spacing w:line="214" w:lineRule="exact"/>
              <w:ind w:left="9" w:right="105"/>
              <w:jc w:val="center"/>
              <w:rPr>
                <w:rFonts w:ascii="Times New Roman" w:eastAsia="Times New Roman" w:hAnsi="Times New Roman" w:cs="Times New Roman"/>
                <w:noProof/>
                <w:sz w:val="18"/>
                <w:szCs w:val="18"/>
              </w:rPr>
            </w:pPr>
            <w:r>
              <w:rPr>
                <w:rFonts w:ascii="Times New Roman" w:hAnsi="Times New Roman"/>
                <w:noProof/>
                <w:sz w:val="18"/>
              </w:rPr>
              <w:t>Soutien aux écosystèmes d’enseignement, de recherche, de valorisation et d’innovation</w:t>
            </w:r>
          </w:p>
        </w:tc>
        <w:tc>
          <w:tcPr>
            <w:tcW w:w="1064" w:type="dxa"/>
            <w:shd w:val="clear" w:color="auto" w:fill="C5EDCE"/>
          </w:tcPr>
          <w:p w14:paraId="5A8AEAD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916" w:type="dxa"/>
            <w:shd w:val="clear" w:color="auto" w:fill="C5EDCE"/>
          </w:tcPr>
          <w:p w14:paraId="5A8AEAD1" w14:textId="77777777" w:rsidR="00740F0F" w:rsidRPr="0029070D" w:rsidRDefault="00100B64">
            <w:pPr>
              <w:spacing w:line="214" w:lineRule="exact"/>
              <w:ind w:left="9" w:right="183"/>
              <w:rPr>
                <w:rFonts w:ascii="Times New Roman" w:eastAsia="Times New Roman" w:hAnsi="Times New Roman" w:cs="Times New Roman"/>
                <w:noProof/>
                <w:sz w:val="18"/>
                <w:szCs w:val="18"/>
              </w:rPr>
            </w:pPr>
            <w:r>
              <w:rPr>
                <w:rFonts w:ascii="Times New Roman" w:hAnsi="Times New Roman"/>
                <w:noProof/>
                <w:sz w:val="18"/>
              </w:rPr>
              <w:t>Attribution des marchés – décision d’exécution du Premier ministre</w:t>
            </w:r>
          </w:p>
        </w:tc>
        <w:tc>
          <w:tcPr>
            <w:tcW w:w="1306" w:type="dxa"/>
            <w:shd w:val="clear" w:color="auto" w:fill="C5EDCE"/>
          </w:tcPr>
          <w:p w14:paraId="5A8AEAD2" w14:textId="77777777" w:rsidR="00740F0F" w:rsidRPr="009447E5" w:rsidRDefault="00100B64">
            <w:pPr>
              <w:spacing w:line="214" w:lineRule="exact"/>
              <w:ind w:left="9" w:right="23"/>
              <w:rPr>
                <w:rFonts w:ascii="Times New Roman" w:eastAsia="Times New Roman" w:hAnsi="Times New Roman" w:cs="Times New Roman"/>
                <w:noProof/>
                <w:sz w:val="18"/>
                <w:szCs w:val="18"/>
              </w:rPr>
            </w:pPr>
            <w:r>
              <w:rPr>
                <w:rFonts w:ascii="Times New Roman" w:hAnsi="Times New Roman"/>
                <w:noProof/>
                <w:sz w:val="18"/>
              </w:rPr>
              <w:t>Rapport du secrétariat général pour l’investissement (SGPI)</w:t>
            </w:r>
          </w:p>
        </w:tc>
        <w:tc>
          <w:tcPr>
            <w:tcW w:w="944" w:type="dxa"/>
            <w:shd w:val="clear" w:color="auto" w:fill="C5EDCE"/>
          </w:tcPr>
          <w:p w14:paraId="5A8AEAD3" w14:textId="77777777" w:rsidR="00740F0F" w:rsidRPr="009447E5" w:rsidRDefault="00740F0F">
            <w:pPr>
              <w:spacing w:line="214" w:lineRule="exact"/>
              <w:ind w:left="9"/>
              <w:jc w:val="center"/>
              <w:rPr>
                <w:rFonts w:ascii="Times New Roman" w:eastAsia="Times New Roman" w:hAnsi="Times New Roman" w:cs="Times New Roman"/>
                <w:noProof/>
                <w:sz w:val="18"/>
                <w:szCs w:val="18"/>
              </w:rPr>
            </w:pPr>
          </w:p>
        </w:tc>
        <w:tc>
          <w:tcPr>
            <w:tcW w:w="850" w:type="dxa"/>
            <w:shd w:val="clear" w:color="auto" w:fill="C5EDCE"/>
          </w:tcPr>
          <w:p w14:paraId="5A8AEAD4" w14:textId="77777777" w:rsidR="00740F0F" w:rsidRPr="009447E5" w:rsidRDefault="00740F0F">
            <w:pPr>
              <w:spacing w:line="214" w:lineRule="exact"/>
              <w:ind w:left="9"/>
              <w:jc w:val="center"/>
              <w:rPr>
                <w:rFonts w:ascii="Times New Roman" w:eastAsia="Times New Roman" w:hAnsi="Times New Roman" w:cs="Times New Roman"/>
                <w:noProof/>
                <w:sz w:val="18"/>
                <w:szCs w:val="18"/>
              </w:rPr>
            </w:pPr>
          </w:p>
        </w:tc>
        <w:tc>
          <w:tcPr>
            <w:tcW w:w="1276" w:type="dxa"/>
            <w:shd w:val="clear" w:color="auto" w:fill="C5EDCE"/>
          </w:tcPr>
          <w:p w14:paraId="5A8AEAD5" w14:textId="77777777" w:rsidR="00740F0F" w:rsidRPr="009447E5" w:rsidRDefault="00740F0F">
            <w:pPr>
              <w:spacing w:line="214" w:lineRule="exact"/>
              <w:ind w:left="9"/>
              <w:jc w:val="center"/>
              <w:rPr>
                <w:rFonts w:ascii="Times New Roman" w:eastAsia="Times New Roman" w:hAnsi="Times New Roman" w:cs="Times New Roman"/>
                <w:noProof/>
                <w:sz w:val="18"/>
                <w:szCs w:val="18"/>
              </w:rPr>
            </w:pPr>
          </w:p>
        </w:tc>
        <w:tc>
          <w:tcPr>
            <w:tcW w:w="992" w:type="dxa"/>
            <w:shd w:val="clear" w:color="auto" w:fill="C5EDCE"/>
          </w:tcPr>
          <w:p w14:paraId="5A8AEAD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T4</w:t>
            </w:r>
          </w:p>
        </w:tc>
        <w:tc>
          <w:tcPr>
            <w:tcW w:w="709" w:type="dxa"/>
            <w:shd w:val="clear" w:color="auto" w:fill="C5EDCE"/>
          </w:tcPr>
          <w:p w14:paraId="5A8AEAD7"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3948" w:type="dxa"/>
            <w:shd w:val="clear" w:color="auto" w:fill="C5EDCE"/>
          </w:tcPr>
          <w:p w14:paraId="5A8AEAD8" w14:textId="77777777" w:rsidR="00740F0F" w:rsidRPr="0029070D" w:rsidRDefault="00100B64">
            <w:pPr>
              <w:spacing w:line="214" w:lineRule="exact"/>
              <w:ind w:left="9" w:right="2"/>
              <w:rPr>
                <w:rFonts w:ascii="Times New Roman" w:eastAsia="Times New Roman" w:hAnsi="Times New Roman" w:cs="Times New Roman"/>
                <w:noProof/>
                <w:sz w:val="18"/>
                <w:szCs w:val="18"/>
              </w:rPr>
            </w:pPr>
            <w:r>
              <w:rPr>
                <w:rFonts w:ascii="Times New Roman" w:hAnsi="Times New Roman"/>
                <w:noProof/>
                <w:sz w:val="18"/>
              </w:rPr>
              <w:t>Décision d’exécution du Premier ministre à l’issue des appels à propositions/appels à manifestation d’intérêt lancés dans le cadre du jalon 9-18; autorisant la contractualisation avec les bénéficiaires au moyen de conventions d’octroi de fonds à signer pour tous les bénéficiaires.</w:t>
            </w:r>
          </w:p>
        </w:tc>
      </w:tr>
    </w:tbl>
    <w:p w14:paraId="5A8AEADA" w14:textId="77777777" w:rsidR="00740F0F" w:rsidRPr="0029070D" w:rsidRDefault="00740F0F">
      <w:pPr>
        <w:spacing w:before="120" w:after="120" w:line="252" w:lineRule="auto"/>
        <w:jc w:val="both"/>
        <w:rPr>
          <w:rFonts w:ascii="Times New Roman" w:eastAsia="Calibri" w:hAnsi="Times New Roman" w:cs="Times New Roman"/>
          <w:noProof/>
          <w:kern w:val="0"/>
          <w:sz w:val="19"/>
          <w:szCs w:val="22"/>
          <w14:ligatures w14:val="none"/>
        </w:rPr>
        <w:sectPr w:rsidR="00740F0F" w:rsidRPr="0029070D">
          <w:headerReference w:type="even" r:id="rId120"/>
          <w:headerReference w:type="default" r:id="rId121"/>
          <w:footerReference w:type="even" r:id="rId122"/>
          <w:footerReference w:type="default" r:id="rId123"/>
          <w:headerReference w:type="first" r:id="rId124"/>
          <w:footerReference w:type="first" r:id="rId125"/>
          <w:pgSz w:w="16860" w:h="11920" w:orient="landscape"/>
          <w:pgMar w:top="1134" w:right="1134" w:bottom="1134" w:left="1134" w:header="567" w:footer="567" w:gutter="0"/>
          <w:cols w:space="720"/>
          <w:docGrid w:linePitch="326"/>
        </w:sectPr>
      </w:pPr>
    </w:p>
    <w:p w14:paraId="5A8AEADB" w14:textId="77777777" w:rsidR="00740F0F" w:rsidRPr="003A373D" w:rsidRDefault="00100B64">
      <w:pPr>
        <w:widowControl w:val="0"/>
        <w:numPr>
          <w:ilvl w:val="0"/>
          <w:numId w:val="55"/>
        </w:numPr>
        <w:tabs>
          <w:tab w:val="left" w:pos="327"/>
        </w:tabs>
        <w:autoSpaceDE w:val="0"/>
        <w:autoSpaceDN w:val="0"/>
        <w:spacing w:before="100" w:after="0" w:line="240" w:lineRule="auto"/>
        <w:ind w:left="328" w:hanging="215"/>
        <w:jc w:val="both"/>
        <w:rPr>
          <w:rFonts w:ascii="Times New Roman" w:eastAsia="Times New Roman" w:hAnsi="Times New Roman" w:cs="Times New Roman"/>
          <w:b/>
          <w:noProof/>
          <w:kern w:val="0"/>
          <w:szCs w:val="20"/>
          <w:u w:val="single"/>
          <w14:ligatures w14:val="none"/>
        </w:rPr>
      </w:pPr>
      <w:r>
        <w:rPr>
          <w:rFonts w:ascii="Times New Roman" w:hAnsi="Times New Roman"/>
          <w:b/>
          <w:noProof/>
          <w:u w:val="single"/>
        </w:rPr>
        <w:t>COMPOSANTE 10: REPowerEU</w:t>
      </w:r>
    </w:p>
    <w:p w14:paraId="5A8AEADC" w14:textId="77777777" w:rsidR="00740F0F" w:rsidRPr="0029070D" w:rsidRDefault="00740F0F">
      <w:pPr>
        <w:widowControl w:val="0"/>
        <w:autoSpaceDE w:val="0"/>
        <w:autoSpaceDN w:val="0"/>
        <w:spacing w:before="6" w:after="0" w:line="240" w:lineRule="auto"/>
        <w:rPr>
          <w:rFonts w:ascii="Times New Roman" w:eastAsia="Times New Roman" w:hAnsi="Times New Roman" w:cs="Times New Roman"/>
          <w:b/>
          <w:noProof/>
          <w:kern w:val="0"/>
          <w:sz w:val="22"/>
          <w:szCs w:val="20"/>
          <w14:ligatures w14:val="none"/>
        </w:rPr>
      </w:pPr>
    </w:p>
    <w:p w14:paraId="5A8AEADD" w14:textId="77777777" w:rsidR="00740F0F" w:rsidRPr="0029070D" w:rsidRDefault="00100B64">
      <w:pPr>
        <w:widowControl w:val="0"/>
        <w:autoSpaceDE w:val="0"/>
        <w:autoSpaceDN w:val="0"/>
        <w:spacing w:before="90" w:after="0" w:line="259" w:lineRule="auto"/>
        <w:ind w:left="326" w:right="676"/>
        <w:jc w:val="both"/>
        <w:rPr>
          <w:rFonts w:ascii="Times New Roman" w:eastAsia="Times New Roman" w:hAnsi="Times New Roman" w:cs="Times New Roman"/>
          <w:noProof/>
          <w:kern w:val="0"/>
          <w:szCs w:val="20"/>
          <w14:ligatures w14:val="none"/>
        </w:rPr>
      </w:pPr>
      <w:r>
        <w:rPr>
          <w:rFonts w:ascii="Times New Roman" w:hAnsi="Times New Roman"/>
          <w:noProof/>
        </w:rPr>
        <w:t>L’objectif du chapitre REPowerEU est de soutenir les ambitions de la France en matière d’indépendance et de transition énergétiques, dans le contexte des nouvelles réalités géopolitiques et du marché de l’énergie. Le financement au titre de REPowerEU contribue à financer deux grands axes nécessaires pour renforcer la souveraineté énergétique de la France et réduire sa dépendance énergétique : décarbonation de l’industrie – notamment grâce au développement du secteur de l’hydrogène non fossile et renouvelable – et rénovation énergétique des logements privés et des bâtiments publics. Trois réformes relevant du chapitre REPowerEU aideront également la France à atteindre ses objectifs et renforceront la cohérence des politiques. La mise en œuvre des réformes visant à accélérer le déploiement des sources d’énergie renouvelables et à renforcer la sobriété énergétique, soutenue par le nouveau Secrétariat général à la planification écologique, ainsi que les quatre mesures d’investissement (les mesures d’efficacité énergétique, la mesure de soutien à l’industrie zéro fossile et la mesure visant à accroître la production et l’utilisation d’hydrogène non fossile) devraient toutes contribuer à réduire la dépendance à l’égard des combustibles fossiles.</w:t>
      </w:r>
    </w:p>
    <w:p w14:paraId="5A8AEADE" w14:textId="77777777" w:rsidR="00740F0F" w:rsidRPr="0029070D" w:rsidRDefault="00740F0F">
      <w:pPr>
        <w:widowControl w:val="0"/>
        <w:autoSpaceDE w:val="0"/>
        <w:autoSpaceDN w:val="0"/>
        <w:spacing w:before="8" w:after="0" w:line="240" w:lineRule="auto"/>
        <w:rPr>
          <w:rFonts w:ascii="Times New Roman" w:eastAsia="Times New Roman" w:hAnsi="Times New Roman" w:cs="Times New Roman"/>
          <w:noProof/>
          <w:kern w:val="0"/>
          <w:sz w:val="32"/>
          <w:szCs w:val="20"/>
          <w14:ligatures w14:val="none"/>
        </w:rPr>
      </w:pPr>
    </w:p>
    <w:p w14:paraId="5A8AEADF" w14:textId="77777777" w:rsidR="00740F0F" w:rsidRPr="0029070D" w:rsidRDefault="00100B64">
      <w:pPr>
        <w:widowControl w:val="0"/>
        <w:autoSpaceDE w:val="0"/>
        <w:autoSpaceDN w:val="0"/>
        <w:spacing w:after="0" w:line="259" w:lineRule="auto"/>
        <w:ind w:left="326" w:right="679"/>
        <w:jc w:val="both"/>
        <w:rPr>
          <w:rFonts w:ascii="Times New Roman" w:eastAsia="Times New Roman" w:hAnsi="Times New Roman" w:cs="Times New Roman"/>
          <w:noProof/>
          <w:kern w:val="0"/>
          <w:szCs w:val="20"/>
          <w14:ligatures w14:val="none"/>
        </w:rPr>
      </w:pPr>
      <w:r>
        <w:rPr>
          <w:rFonts w:ascii="Times New Roman" w:hAnsi="Times New Roman"/>
          <w:noProof/>
        </w:rPr>
        <w:t>La mise en œuvre de la mesure d’investissement relative au PIIEC Hydrogène revêt une dimension plurinationale et transfrontière, à l’exception du projet lié au développement de véhicules à émissions nulles. En outre, avec les investissements liés à la rénovation énergétique des bâtiments publics et la mesure renforcée C10.I4 Rénovation énergétique des logements privés, le plan contribue à accélérer le rythme de rénovation des bâtiments dans le but de réduire la dépendance à l’égard des combustibles fossiles et de réduire la demande d’énergie. Ces mesures sont complétées par la mesure Industrie zéro fossile, qui vise également à réduire la dépendance à l’égard des combustibles fossiles et la demande d’énergie du secteur industriel.</w:t>
      </w:r>
    </w:p>
    <w:p w14:paraId="5A8AEAE0" w14:textId="77777777" w:rsidR="00740F0F" w:rsidRPr="0029070D" w:rsidRDefault="00740F0F">
      <w:pPr>
        <w:widowControl w:val="0"/>
        <w:autoSpaceDE w:val="0"/>
        <w:autoSpaceDN w:val="0"/>
        <w:spacing w:before="8" w:after="0" w:line="240" w:lineRule="auto"/>
        <w:rPr>
          <w:rFonts w:ascii="Times New Roman" w:eastAsia="Times New Roman" w:hAnsi="Times New Roman" w:cs="Times New Roman"/>
          <w:noProof/>
          <w:kern w:val="0"/>
          <w:sz w:val="32"/>
          <w:szCs w:val="20"/>
          <w14:ligatures w14:val="none"/>
        </w:rPr>
      </w:pPr>
    </w:p>
    <w:p w14:paraId="5A8AEAE1" w14:textId="77777777" w:rsidR="00740F0F" w:rsidRPr="003A373D" w:rsidRDefault="00100B64">
      <w:pPr>
        <w:widowControl w:val="0"/>
        <w:autoSpaceDE w:val="0"/>
        <w:autoSpaceDN w:val="0"/>
        <w:spacing w:after="0" w:line="259" w:lineRule="auto"/>
        <w:ind w:left="326" w:right="681"/>
        <w:jc w:val="both"/>
        <w:rPr>
          <w:rFonts w:ascii="Times New Roman" w:eastAsia="Times New Roman" w:hAnsi="Times New Roman" w:cs="Times New Roman"/>
          <w:noProof/>
          <w:kern w:val="0"/>
          <w:szCs w:val="20"/>
          <w14:ligatures w14:val="none"/>
        </w:rPr>
      </w:pPr>
      <w:r>
        <w:rPr>
          <w:rFonts w:ascii="Times New Roman" w:hAnsi="Times New Roman"/>
          <w:noProof/>
        </w:rPr>
        <w:t>Aucune mesure relevant de cette composante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w:t>
      </w:r>
    </w:p>
    <w:p w14:paraId="5A8AEAE2" w14:textId="77777777" w:rsidR="00740F0F" w:rsidRPr="003A373D" w:rsidRDefault="00740F0F">
      <w:pPr>
        <w:widowControl w:val="0"/>
        <w:autoSpaceDE w:val="0"/>
        <w:autoSpaceDN w:val="0"/>
        <w:spacing w:before="5" w:after="0" w:line="240" w:lineRule="auto"/>
        <w:rPr>
          <w:rFonts w:ascii="Times New Roman" w:eastAsia="Times New Roman" w:hAnsi="Times New Roman" w:cs="Times New Roman"/>
          <w:noProof/>
          <w:kern w:val="0"/>
          <w:sz w:val="33"/>
          <w:szCs w:val="20"/>
          <w14:ligatures w14:val="none"/>
        </w:rPr>
      </w:pPr>
    </w:p>
    <w:p w14:paraId="5A8AEAE3" w14:textId="77777777" w:rsidR="00740F0F" w:rsidRPr="003A373D" w:rsidRDefault="00100B64">
      <w:pPr>
        <w:widowControl w:val="0"/>
        <w:numPr>
          <w:ilvl w:val="1"/>
          <w:numId w:val="55"/>
        </w:numPr>
        <w:tabs>
          <w:tab w:val="left" w:pos="747"/>
        </w:tabs>
        <w:autoSpaceDE w:val="0"/>
        <w:autoSpaceDN w:val="0"/>
        <w:spacing w:before="120" w:after="0" w:line="240" w:lineRule="auto"/>
        <w:ind w:hanging="421"/>
        <w:jc w:val="both"/>
        <w:outlineLvl w:val="1"/>
        <w:rPr>
          <w:rFonts w:ascii="Times New Roman" w:eastAsia="Times New Roman" w:hAnsi="Times New Roman" w:cs="Times New Roman"/>
          <w:b/>
          <w:noProof/>
          <w:kern w:val="0"/>
          <w:szCs w:val="20"/>
          <w:u w:val="single"/>
          <w14:ligatures w14:val="none"/>
        </w:rPr>
      </w:pPr>
      <w:r>
        <w:rPr>
          <w:rFonts w:ascii="Times New Roman" w:hAnsi="Times New Roman"/>
          <w:b/>
          <w:noProof/>
          <w:u w:val="single"/>
        </w:rPr>
        <w:t>Description des réformes et des investissements en vue du soutien financier non remboursable</w:t>
      </w:r>
    </w:p>
    <w:p w14:paraId="5A8AEAE4" w14:textId="77777777" w:rsidR="00740F0F" w:rsidRPr="003A373D" w:rsidRDefault="00740F0F">
      <w:pPr>
        <w:widowControl w:val="0"/>
        <w:autoSpaceDE w:val="0"/>
        <w:autoSpaceDN w:val="0"/>
        <w:spacing w:after="0" w:line="240" w:lineRule="auto"/>
        <w:rPr>
          <w:rFonts w:ascii="Times New Roman" w:eastAsia="Times New Roman" w:hAnsi="Times New Roman" w:cs="Times New Roman"/>
          <w:b/>
          <w:noProof/>
          <w:kern w:val="0"/>
          <w:sz w:val="20"/>
          <w:szCs w:val="20"/>
          <w14:ligatures w14:val="none"/>
        </w:rPr>
      </w:pPr>
    </w:p>
    <w:p w14:paraId="5A8AEAE5" w14:textId="77777777" w:rsidR="00740F0F" w:rsidRPr="0029070D" w:rsidRDefault="00100B64">
      <w:pPr>
        <w:widowControl w:val="0"/>
        <w:autoSpaceDE w:val="0"/>
        <w:autoSpaceDN w:val="0"/>
        <w:spacing w:before="126" w:after="0" w:line="240" w:lineRule="auto"/>
        <w:ind w:left="326"/>
        <w:rPr>
          <w:rFonts w:ascii="Times New Roman" w:eastAsia="Times New Roman" w:hAnsi="Times New Roman" w:cs="Times New Roman"/>
          <w:noProof/>
          <w:kern w:val="0"/>
          <w:szCs w:val="20"/>
          <w14:ligatures w14:val="none"/>
        </w:rPr>
      </w:pPr>
      <w:r>
        <w:rPr>
          <w:rFonts w:ascii="Times New Roman" w:hAnsi="Times New Roman"/>
          <w:noProof/>
          <w:u w:val="single"/>
        </w:rPr>
        <w:t>Réforme 1 (C10.R1): loi sur l’accélération de la production d’énergies renouvelables</w:t>
      </w:r>
    </w:p>
    <w:p w14:paraId="5A8AEAE6" w14:textId="77777777" w:rsidR="00740F0F" w:rsidRPr="0029070D" w:rsidRDefault="00740F0F">
      <w:pPr>
        <w:widowControl w:val="0"/>
        <w:autoSpaceDE w:val="0"/>
        <w:autoSpaceDN w:val="0"/>
        <w:spacing w:before="2" w:after="0" w:line="240" w:lineRule="auto"/>
        <w:rPr>
          <w:rFonts w:ascii="Times New Roman" w:eastAsia="Times New Roman" w:hAnsi="Times New Roman" w:cs="Times New Roman"/>
          <w:noProof/>
          <w:kern w:val="0"/>
          <w:sz w:val="23"/>
          <w:szCs w:val="20"/>
          <w14:ligatures w14:val="none"/>
        </w:rPr>
      </w:pPr>
    </w:p>
    <w:p w14:paraId="5A8AEAE7" w14:textId="77777777" w:rsidR="00740F0F" w:rsidRPr="0029070D" w:rsidRDefault="00100B64">
      <w:pPr>
        <w:widowControl w:val="0"/>
        <w:autoSpaceDE w:val="0"/>
        <w:autoSpaceDN w:val="0"/>
        <w:spacing w:before="125" w:after="0" w:line="259" w:lineRule="auto"/>
        <w:ind w:left="326" w:right="677"/>
        <w:jc w:val="both"/>
        <w:rPr>
          <w:rFonts w:ascii="Times New Roman" w:eastAsia="Times New Roman" w:hAnsi="Times New Roman" w:cs="Times New Roman"/>
          <w:noProof/>
          <w:kern w:val="0"/>
          <w:szCs w:val="20"/>
          <w14:ligatures w14:val="none"/>
        </w:rPr>
      </w:pPr>
      <w:r>
        <w:rPr>
          <w:rFonts w:ascii="Times New Roman" w:hAnsi="Times New Roman"/>
          <w:noProof/>
        </w:rPr>
        <w:t>L’objectif de cette réforme est d’accélérer l’utilisation des énergies renouvelables en France, afin d’atteindre les objectifs de transition énergétique du pays et d’assurer sa sécurité d’approvisionnement énergétique. La France adoptera une loi sur l’accélération de la production d’énergies renouvelables pour la mi-2023, dont l’objectif est d’éliminer les principaux freins qui entravent actuellement le déploiement des énergies renouvelables: elle facilite notamment l’octroi des autorisations et définit des «zones d’accélération» propices au développement rapide des projets, notamment dans les domaines de l’énergie éolienne, de l’énergie solaire (y compris thermique, photovoltaïque et agrivoltaïque) et de la méthanisation.</w:t>
      </w:r>
    </w:p>
    <w:p w14:paraId="5A8AEAE8" w14:textId="77777777" w:rsidR="00740F0F" w:rsidRPr="0029070D" w:rsidRDefault="00100B64">
      <w:pPr>
        <w:widowControl w:val="0"/>
        <w:autoSpaceDE w:val="0"/>
        <w:autoSpaceDN w:val="0"/>
        <w:spacing w:before="108" w:after="0" w:line="256" w:lineRule="auto"/>
        <w:ind w:left="326" w:right="682"/>
        <w:jc w:val="both"/>
        <w:rPr>
          <w:rFonts w:ascii="Times New Roman" w:eastAsia="Times New Roman" w:hAnsi="Times New Roman" w:cs="Times New Roman"/>
          <w:noProof/>
          <w:kern w:val="0"/>
          <w:szCs w:val="20"/>
          <w14:ligatures w14:val="none"/>
        </w:rPr>
      </w:pPr>
      <w:r>
        <w:rPr>
          <w:rFonts w:ascii="Times New Roman" w:hAnsi="Times New Roman"/>
          <w:noProof/>
        </w:rPr>
        <w:t>En termes de procédures, la loi vise à établir un point d’entrée unique pour l’instruction des dossiers (le «référent préfectoral», qui représente l’État au niveau régional ou local). Elle vise également à encourager la participation de toutes les communes à l’identification des «zones d’accélération».</w:t>
      </w:r>
    </w:p>
    <w:p w14:paraId="5A8AEAE9" w14:textId="77777777" w:rsidR="00740F0F" w:rsidRPr="0029070D" w:rsidRDefault="00740F0F">
      <w:pPr>
        <w:widowControl w:val="0"/>
        <w:autoSpaceDE w:val="0"/>
        <w:autoSpaceDN w:val="0"/>
        <w:spacing w:before="4" w:after="0" w:line="240" w:lineRule="auto"/>
        <w:rPr>
          <w:rFonts w:ascii="Times New Roman" w:eastAsia="Times New Roman" w:hAnsi="Times New Roman" w:cs="Times New Roman"/>
          <w:noProof/>
          <w:kern w:val="0"/>
          <w:sz w:val="31"/>
          <w:szCs w:val="20"/>
          <w14:ligatures w14:val="none"/>
        </w:rPr>
      </w:pPr>
    </w:p>
    <w:p w14:paraId="5A8AEAEA" w14:textId="77777777" w:rsidR="00740F0F" w:rsidRPr="0029070D" w:rsidRDefault="00100B64">
      <w:pPr>
        <w:widowControl w:val="0"/>
        <w:autoSpaceDE w:val="0"/>
        <w:autoSpaceDN w:val="0"/>
        <w:spacing w:after="0" w:line="240" w:lineRule="auto"/>
        <w:ind w:left="326"/>
        <w:jc w:val="both"/>
        <w:rPr>
          <w:rFonts w:ascii="Times New Roman" w:eastAsia="Times New Roman" w:hAnsi="Times New Roman" w:cs="Times New Roman"/>
          <w:noProof/>
          <w:kern w:val="0"/>
          <w:szCs w:val="20"/>
          <w14:ligatures w14:val="none"/>
        </w:rPr>
      </w:pPr>
      <w:r>
        <w:rPr>
          <w:rFonts w:ascii="Times New Roman" w:hAnsi="Times New Roman"/>
          <w:noProof/>
        </w:rPr>
        <w:t>Plusieurs dispositions législatives de large portée seront directement applicables :</w:t>
      </w:r>
    </w:p>
    <w:p w14:paraId="5A8AEAEB" w14:textId="77777777" w:rsidR="00740F0F" w:rsidRPr="0029070D" w:rsidRDefault="00100B64">
      <w:pPr>
        <w:widowControl w:val="0"/>
        <w:numPr>
          <w:ilvl w:val="0"/>
          <w:numId w:val="56"/>
        </w:numPr>
        <w:tabs>
          <w:tab w:val="left" w:pos="612"/>
        </w:tabs>
        <w:autoSpaceDE w:val="0"/>
        <w:autoSpaceDN w:val="0"/>
        <w:spacing w:before="120" w:after="0" w:line="254" w:lineRule="auto"/>
        <w:ind w:right="677"/>
        <w:jc w:val="both"/>
        <w:rPr>
          <w:rFonts w:ascii="Times New Roman" w:eastAsia="Times New Roman" w:hAnsi="Times New Roman" w:cs="Times New Roman"/>
          <w:noProof/>
          <w:kern w:val="0"/>
          <w:szCs w:val="20"/>
          <w14:ligatures w14:val="none"/>
        </w:rPr>
      </w:pPr>
      <w:r>
        <w:rPr>
          <w:rFonts w:ascii="Times New Roman" w:hAnsi="Times New Roman"/>
          <w:noProof/>
        </w:rPr>
        <w:t>la planification territoriale des énergies renouvelables reposera sur un processus ascendant, associant toutes les municipalités et tous les territoires chargés de définir les «zones d’accélération», à l’issue d’un processus rigoureux de consultation de toutes les parties prenantes;</w:t>
      </w:r>
    </w:p>
    <w:p w14:paraId="5A8AEAEC" w14:textId="77777777" w:rsidR="00740F0F" w:rsidRPr="0029070D" w:rsidRDefault="00100B64">
      <w:pPr>
        <w:widowControl w:val="0"/>
        <w:numPr>
          <w:ilvl w:val="0"/>
          <w:numId w:val="56"/>
        </w:numPr>
        <w:tabs>
          <w:tab w:val="left" w:pos="612"/>
        </w:tabs>
        <w:autoSpaceDE w:val="0"/>
        <w:autoSpaceDN w:val="0"/>
        <w:spacing w:before="39" w:after="0" w:line="254" w:lineRule="auto"/>
        <w:ind w:right="680"/>
        <w:jc w:val="both"/>
        <w:rPr>
          <w:rFonts w:ascii="Times New Roman" w:eastAsia="Times New Roman" w:hAnsi="Times New Roman" w:cs="Times New Roman"/>
          <w:noProof/>
          <w:kern w:val="0"/>
          <w:szCs w:val="20"/>
          <w14:ligatures w14:val="none"/>
        </w:rPr>
      </w:pPr>
      <w:r>
        <w:rPr>
          <w:rFonts w:ascii="Times New Roman" w:hAnsi="Times New Roman"/>
          <w:noProof/>
        </w:rPr>
        <w:t>l’accélération de la planification de l’éolien en mer: des débats publics seront lancés au sujet des quatre façades maritimes de France afin de définir une cartographie des projets éoliens en mer, et l’État sera chargé des études techniques qui devraient permettre au GRT (gestionnaire du réseau de transport) d’anticiper les travaux de raccordement;</w:t>
      </w:r>
    </w:p>
    <w:p w14:paraId="5A8AEAED" w14:textId="77777777" w:rsidR="00740F0F" w:rsidRPr="0029070D" w:rsidRDefault="00100B64">
      <w:pPr>
        <w:widowControl w:val="0"/>
        <w:numPr>
          <w:ilvl w:val="0"/>
          <w:numId w:val="56"/>
        </w:numPr>
        <w:tabs>
          <w:tab w:val="left" w:pos="612"/>
        </w:tabs>
        <w:autoSpaceDE w:val="0"/>
        <w:autoSpaceDN w:val="0"/>
        <w:spacing w:before="38" w:after="0" w:line="247" w:lineRule="auto"/>
        <w:ind w:right="684"/>
        <w:jc w:val="both"/>
        <w:rPr>
          <w:rFonts w:ascii="Times New Roman" w:eastAsia="Times New Roman" w:hAnsi="Times New Roman" w:cs="Times New Roman"/>
          <w:noProof/>
          <w:kern w:val="0"/>
          <w:szCs w:val="20"/>
          <w14:ligatures w14:val="none"/>
        </w:rPr>
      </w:pPr>
      <w:r>
        <w:rPr>
          <w:rFonts w:ascii="Times New Roman" w:hAnsi="Times New Roman"/>
          <w:noProof/>
        </w:rPr>
        <w:t>la simplification de l’installation des panneaux photovoltaïques sur les délaissés autoroutiers et ferroviaires;</w:t>
      </w:r>
    </w:p>
    <w:p w14:paraId="5A8AEAEE" w14:textId="77777777" w:rsidR="00740F0F" w:rsidRPr="0029070D" w:rsidRDefault="00100B64">
      <w:pPr>
        <w:widowControl w:val="0"/>
        <w:numPr>
          <w:ilvl w:val="0"/>
          <w:numId w:val="56"/>
        </w:numPr>
        <w:tabs>
          <w:tab w:val="left" w:pos="612"/>
        </w:tabs>
        <w:autoSpaceDE w:val="0"/>
        <w:autoSpaceDN w:val="0"/>
        <w:spacing w:before="50" w:after="0" w:line="254" w:lineRule="auto"/>
        <w:ind w:right="678"/>
        <w:jc w:val="both"/>
        <w:rPr>
          <w:rFonts w:ascii="Times New Roman" w:eastAsia="Times New Roman" w:hAnsi="Times New Roman" w:cs="Times New Roman"/>
          <w:noProof/>
          <w:kern w:val="0"/>
          <w:szCs w:val="20"/>
          <w14:ligatures w14:val="none"/>
        </w:rPr>
      </w:pPr>
      <w:r>
        <w:rPr>
          <w:rFonts w:ascii="Times New Roman" w:hAnsi="Times New Roman"/>
          <w:noProof/>
        </w:rPr>
        <w:t>le développement de l’autoconsommation collective sera renforcé par l’affectation des revenus des surplus de production de sources d’énergie renouvelables dans les habitations à loyer modéré (HLM) à la réduction des coûts, à l’entretien ou à la réparation des installations; et par la clarification du cadre contractuel pour les collectivités en autoconsommation.</w:t>
      </w:r>
    </w:p>
    <w:p w14:paraId="5A8AEAEF" w14:textId="77777777" w:rsidR="00740F0F" w:rsidRPr="0029070D" w:rsidRDefault="00740F0F">
      <w:pPr>
        <w:widowControl w:val="0"/>
        <w:autoSpaceDE w:val="0"/>
        <w:autoSpaceDN w:val="0"/>
        <w:spacing w:before="3" w:after="0" w:line="240" w:lineRule="auto"/>
        <w:rPr>
          <w:rFonts w:ascii="Times New Roman" w:eastAsia="Times New Roman" w:hAnsi="Times New Roman" w:cs="Times New Roman"/>
          <w:noProof/>
          <w:kern w:val="0"/>
          <w:sz w:val="34"/>
          <w:szCs w:val="20"/>
          <w14:ligatures w14:val="none"/>
        </w:rPr>
      </w:pPr>
    </w:p>
    <w:p w14:paraId="5A8AEAF0" w14:textId="77777777" w:rsidR="00740F0F" w:rsidRPr="0029070D" w:rsidRDefault="00100B64">
      <w:pPr>
        <w:widowControl w:val="0"/>
        <w:autoSpaceDE w:val="0"/>
        <w:autoSpaceDN w:val="0"/>
        <w:spacing w:after="0" w:line="240" w:lineRule="auto"/>
        <w:ind w:left="467"/>
        <w:jc w:val="both"/>
        <w:rPr>
          <w:rFonts w:ascii="Times New Roman" w:eastAsia="Times New Roman" w:hAnsi="Times New Roman" w:cs="Times New Roman"/>
          <w:noProof/>
          <w:kern w:val="0"/>
          <w:szCs w:val="20"/>
          <w14:ligatures w14:val="none"/>
        </w:rPr>
      </w:pPr>
      <w:r>
        <w:rPr>
          <w:rFonts w:ascii="Times New Roman" w:hAnsi="Times New Roman"/>
          <w:noProof/>
          <w:u w:val="single"/>
        </w:rPr>
        <w:t>Réforme 2 (C10.R2): mise en place du Secrétariat général à la planification écologique (SGPE)</w:t>
      </w:r>
    </w:p>
    <w:p w14:paraId="5A8AEAF1" w14:textId="77777777" w:rsidR="00740F0F" w:rsidRPr="0029070D" w:rsidRDefault="00100B64">
      <w:pPr>
        <w:widowControl w:val="0"/>
        <w:autoSpaceDE w:val="0"/>
        <w:autoSpaceDN w:val="0"/>
        <w:spacing w:before="58" w:after="0" w:line="240" w:lineRule="auto"/>
        <w:ind w:left="467" w:right="679"/>
        <w:jc w:val="both"/>
        <w:rPr>
          <w:rFonts w:ascii="Times New Roman" w:eastAsia="Times New Roman" w:hAnsi="Times New Roman" w:cs="Times New Roman"/>
          <w:noProof/>
          <w:kern w:val="0"/>
          <w:szCs w:val="20"/>
          <w14:ligatures w14:val="none"/>
        </w:rPr>
      </w:pPr>
      <w:r>
        <w:rPr>
          <w:rFonts w:ascii="Times New Roman" w:hAnsi="Times New Roman"/>
          <w:noProof/>
        </w:rPr>
        <w:t>Un Secrétariat général à la planification écologique (SGPE) est créé sous l’autorité du Premier ministre avant le premier trimestre de 2023. Ses prérogatives sont clairement définies par décret. Le SGPE est chargé de coordonner l’élaboration des stratégies nationales en matière de climat, d’énergie, de biodiversité et d’économie circulaire, en veillant au respect des engagements européens et internationaux de la France. Le SGPE est également chargé d’assurer la mise en œuvre de ces stratégies par tous les ministères concernés et leur déclinaison en plans d’action. Le SGPE devrait assurer une évaluation régulière des politiques menées dans le cadre de ces stratégies et plans d’action, ainsi que la publication d’indicateurs permettant de rendre compte de leur état d’avancement. Le SGPE prépare et coordonne les réponses du gouvernement aux avis du Haut Conseil pour le climat.</w:t>
      </w:r>
    </w:p>
    <w:p w14:paraId="5A8AEAF2" w14:textId="77777777" w:rsidR="00740F0F" w:rsidRPr="0029070D" w:rsidRDefault="00740F0F">
      <w:pPr>
        <w:widowControl w:val="0"/>
        <w:autoSpaceDE w:val="0"/>
        <w:autoSpaceDN w:val="0"/>
        <w:spacing w:before="1" w:after="0" w:line="240" w:lineRule="auto"/>
        <w:rPr>
          <w:rFonts w:ascii="Times New Roman" w:eastAsia="Times New Roman" w:hAnsi="Times New Roman" w:cs="Times New Roman"/>
          <w:noProof/>
          <w:kern w:val="0"/>
          <w:sz w:val="31"/>
          <w:szCs w:val="20"/>
          <w14:ligatures w14:val="none"/>
        </w:rPr>
      </w:pPr>
    </w:p>
    <w:p w14:paraId="5A8AEAF3" w14:textId="77777777" w:rsidR="00740F0F" w:rsidRPr="0029070D" w:rsidRDefault="00100B64">
      <w:pPr>
        <w:widowControl w:val="0"/>
        <w:autoSpaceDE w:val="0"/>
        <w:autoSpaceDN w:val="0"/>
        <w:spacing w:after="0" w:line="240" w:lineRule="auto"/>
        <w:ind w:left="467"/>
        <w:jc w:val="both"/>
        <w:rPr>
          <w:rFonts w:ascii="Times New Roman" w:eastAsia="Times New Roman" w:hAnsi="Times New Roman" w:cs="Times New Roman"/>
          <w:noProof/>
          <w:kern w:val="0"/>
          <w:szCs w:val="20"/>
          <w14:ligatures w14:val="none"/>
        </w:rPr>
      </w:pPr>
      <w:r>
        <w:rPr>
          <w:rFonts w:ascii="Times New Roman" w:hAnsi="Times New Roman"/>
          <w:noProof/>
          <w:u w:val="single"/>
        </w:rPr>
        <w:t>Réforme 3 (C10.R3): plan de sobriété énergétique</w:t>
      </w:r>
    </w:p>
    <w:p w14:paraId="5A8AEAF4" w14:textId="77777777" w:rsidR="00740F0F" w:rsidRPr="0029070D" w:rsidRDefault="00100B64">
      <w:pPr>
        <w:widowControl w:val="0"/>
        <w:autoSpaceDE w:val="0"/>
        <w:autoSpaceDN w:val="0"/>
        <w:spacing w:before="39" w:after="0" w:line="240" w:lineRule="auto"/>
        <w:ind w:left="467" w:right="680"/>
        <w:jc w:val="both"/>
        <w:rPr>
          <w:rFonts w:ascii="Times New Roman" w:eastAsia="Times New Roman" w:hAnsi="Times New Roman" w:cs="Times New Roman"/>
          <w:noProof/>
          <w:kern w:val="0"/>
          <w:szCs w:val="20"/>
          <w14:ligatures w14:val="none"/>
        </w:rPr>
      </w:pPr>
      <w:r>
        <w:rPr>
          <w:rFonts w:ascii="Times New Roman" w:hAnsi="Times New Roman"/>
          <w:noProof/>
        </w:rPr>
        <w:t>Un plan de sobriété énergétique est publié par le gouvernement avant la fin de 2022 afin d’accélérer la réduction de la consommation d’énergie en promouvant des actions d’efficacité énergétique associant l’État, les collectivités locales, les entreprises et les citoyens, avec l’objectif d’une réduction de 10 % de la consommation d’énergie d’ici à 2024 (par rapport à l’hiver 2018-2019). Le plan de sobriété énergétique comprend des mesures transversales et sectorielles à mettre en œuvre par chaque acteur, sur une base volontaire. Le plan de sobriété énergétique contient des propositions de réduction de consommation d’énergie dans différents domaines comprenant le logement, les transports et l’industrie. La majorité des actions proposées concernent des bâtiments (par exemple, abaissement de la température de chauffage des locaux/logements, abaissement de la température de chauffage des ballons d’eau chaude, etc.).</w:t>
      </w:r>
    </w:p>
    <w:p w14:paraId="5A8AEAF5" w14:textId="77777777" w:rsidR="00740F0F" w:rsidRPr="0029070D" w:rsidRDefault="00740F0F">
      <w:pPr>
        <w:widowControl w:val="0"/>
        <w:autoSpaceDE w:val="0"/>
        <w:autoSpaceDN w:val="0"/>
        <w:spacing w:before="1" w:after="0" w:line="240" w:lineRule="auto"/>
        <w:rPr>
          <w:rFonts w:ascii="Times New Roman" w:eastAsia="Times New Roman" w:hAnsi="Times New Roman" w:cs="Times New Roman"/>
          <w:noProof/>
          <w:kern w:val="0"/>
          <w:sz w:val="31"/>
          <w:szCs w:val="20"/>
          <w14:ligatures w14:val="none"/>
        </w:rPr>
      </w:pPr>
    </w:p>
    <w:p w14:paraId="5A8AEAF6" w14:textId="77777777" w:rsidR="00740F0F" w:rsidRPr="0029070D" w:rsidRDefault="00100B64">
      <w:pPr>
        <w:widowControl w:val="0"/>
        <w:autoSpaceDE w:val="0"/>
        <w:autoSpaceDN w:val="0"/>
        <w:spacing w:before="1" w:after="0" w:line="240" w:lineRule="auto"/>
        <w:ind w:left="467"/>
        <w:rPr>
          <w:rFonts w:ascii="Times New Roman" w:eastAsia="Times New Roman" w:hAnsi="Times New Roman" w:cs="Times New Roman"/>
          <w:noProof/>
          <w:kern w:val="0"/>
          <w:szCs w:val="20"/>
          <w14:ligatures w14:val="none"/>
        </w:rPr>
      </w:pPr>
      <w:r>
        <w:rPr>
          <w:rFonts w:ascii="Times New Roman" w:hAnsi="Times New Roman"/>
          <w:noProof/>
          <w:u w:val="single"/>
        </w:rPr>
        <w:t>Investissement 1 (C10.I1): industrie zéro fossile</w:t>
      </w:r>
    </w:p>
    <w:p w14:paraId="5A8AEAF7" w14:textId="77777777" w:rsidR="00740F0F" w:rsidRPr="0029070D" w:rsidRDefault="00740F0F">
      <w:pPr>
        <w:widowControl w:val="0"/>
        <w:autoSpaceDE w:val="0"/>
        <w:autoSpaceDN w:val="0"/>
        <w:spacing w:before="7" w:after="0" w:line="240" w:lineRule="auto"/>
        <w:rPr>
          <w:rFonts w:ascii="Times New Roman" w:eastAsia="Times New Roman" w:hAnsi="Times New Roman" w:cs="Times New Roman"/>
          <w:noProof/>
          <w:kern w:val="0"/>
          <w:sz w:val="30"/>
          <w:szCs w:val="20"/>
          <w14:ligatures w14:val="none"/>
        </w:rPr>
      </w:pPr>
    </w:p>
    <w:p w14:paraId="5A8AEAF8" w14:textId="77777777" w:rsidR="00740F0F" w:rsidRPr="0029070D" w:rsidRDefault="00100B64">
      <w:pPr>
        <w:widowControl w:val="0"/>
        <w:spacing w:after="0" w:line="240" w:lineRule="auto"/>
        <w:ind w:left="467" w:right="682"/>
        <w:jc w:val="both"/>
        <w:rPr>
          <w:rFonts w:ascii="Times New Roman" w:eastAsia="Times New Roman" w:hAnsi="Times New Roman" w:cs="Times New Roman"/>
          <w:noProof/>
        </w:rPr>
      </w:pPr>
      <w:r>
        <w:rPr>
          <w:rFonts w:ascii="Times New Roman" w:hAnsi="Times New Roman"/>
          <w:noProof/>
        </w:rPr>
        <w:t>La mesure soutient les investissements dans la décarbonation de la chaleur industrielle et dans l’efficacité énergétique et les changements de procédés industriels en vue de réduire la consommation d’énergie fossile.</w:t>
      </w:r>
    </w:p>
    <w:p w14:paraId="5A8AEAF9" w14:textId="77777777" w:rsidR="00740F0F" w:rsidRPr="0029070D" w:rsidRDefault="00100B64">
      <w:pPr>
        <w:widowControl w:val="0"/>
        <w:spacing w:after="0" w:line="240" w:lineRule="auto"/>
        <w:ind w:left="467" w:right="682"/>
        <w:jc w:val="both"/>
        <w:rPr>
          <w:rFonts w:ascii="Times New Roman" w:eastAsia="Times New Roman" w:hAnsi="Times New Roman" w:cs="Times New Roman"/>
          <w:noProof/>
        </w:rPr>
      </w:pPr>
      <w:r>
        <w:rPr>
          <w:rFonts w:ascii="Times New Roman" w:hAnsi="Times New Roman"/>
          <w:noProof/>
        </w:rPr>
        <w:t xml:space="preserve"> </w:t>
      </w:r>
    </w:p>
    <w:p w14:paraId="5A8AEAFA" w14:textId="77777777" w:rsidR="00740F0F" w:rsidRPr="0029070D" w:rsidRDefault="00100B64">
      <w:pPr>
        <w:widowControl w:val="0"/>
        <w:spacing w:after="0" w:line="240" w:lineRule="auto"/>
        <w:ind w:left="467" w:right="682"/>
        <w:jc w:val="both"/>
        <w:rPr>
          <w:noProof/>
        </w:rPr>
      </w:pPr>
      <w:r>
        <w:rPr>
          <w:rFonts w:ascii="Times New Roman" w:hAnsi="Times New Roman"/>
          <w:noProof/>
        </w:rPr>
        <w:t>La mesure consiste à financer des projets sélectionnés à l’issue d’appels à projets dans trois catégories: i) la production de chaleur à partir de biomasse; ii) les projets de grande envergure visant à réduire la consommation d’énergie fossile; iii) les projets de décarbonation de petite envergure.</w:t>
      </w:r>
    </w:p>
    <w:p w14:paraId="5A8AEAFB" w14:textId="77777777" w:rsidR="00740F0F" w:rsidRPr="0029070D" w:rsidRDefault="00740F0F">
      <w:pPr>
        <w:widowControl w:val="0"/>
        <w:autoSpaceDE w:val="0"/>
        <w:autoSpaceDN w:val="0"/>
        <w:spacing w:before="110" w:after="0" w:line="228" w:lineRule="auto"/>
        <w:ind w:left="467"/>
        <w:jc w:val="both"/>
        <w:rPr>
          <w:rFonts w:ascii="Times New Roman" w:eastAsia="Times New Roman" w:hAnsi="Times New Roman" w:cs="Times New Roman"/>
          <w:b/>
          <w:bCs/>
          <w:noProof/>
          <w:kern w:val="0"/>
          <w:szCs w:val="20"/>
          <w14:ligatures w14:val="none"/>
        </w:rPr>
      </w:pPr>
    </w:p>
    <w:p w14:paraId="5A8AEAFC" w14:textId="77777777" w:rsidR="00740F0F" w:rsidRPr="003A373D" w:rsidRDefault="00100B64">
      <w:pPr>
        <w:widowControl w:val="0"/>
        <w:autoSpaceDE w:val="0"/>
        <w:autoSpaceDN w:val="0"/>
        <w:spacing w:after="0" w:line="240" w:lineRule="auto"/>
        <w:ind w:left="467"/>
        <w:rPr>
          <w:rFonts w:ascii="Times New Roman" w:eastAsia="Times New Roman" w:hAnsi="Times New Roman" w:cs="Times New Roman"/>
          <w:noProof/>
          <w:kern w:val="0"/>
          <w:szCs w:val="20"/>
          <w:u w:val="single"/>
          <w14:ligatures w14:val="none"/>
        </w:rPr>
      </w:pPr>
      <w:r>
        <w:rPr>
          <w:rFonts w:ascii="Times New Roman" w:hAnsi="Times New Roman"/>
          <w:noProof/>
          <w:u w:val="single"/>
        </w:rPr>
        <w:t>Investissement 2 (C10.I2): PIIEC Hydrogène</w:t>
      </w:r>
    </w:p>
    <w:p w14:paraId="5A8AEAFD" w14:textId="77777777" w:rsidR="00740F0F" w:rsidRPr="0029070D" w:rsidRDefault="00740F0F">
      <w:pPr>
        <w:widowControl w:val="0"/>
        <w:autoSpaceDE w:val="0"/>
        <w:autoSpaceDN w:val="0"/>
        <w:spacing w:before="9" w:after="0" w:line="240" w:lineRule="auto"/>
        <w:rPr>
          <w:rFonts w:ascii="Times New Roman" w:eastAsia="Times New Roman" w:hAnsi="Times New Roman" w:cs="Times New Roman"/>
          <w:noProof/>
          <w:kern w:val="0"/>
          <w:sz w:val="23"/>
          <w:szCs w:val="20"/>
          <w14:ligatures w14:val="none"/>
        </w:rPr>
      </w:pPr>
    </w:p>
    <w:p w14:paraId="5A8AEAFE" w14:textId="77777777" w:rsidR="00740F0F" w:rsidRPr="0029070D" w:rsidRDefault="00100B64">
      <w:pPr>
        <w:widowControl w:val="0"/>
        <w:autoSpaceDE w:val="0"/>
        <w:autoSpaceDN w:val="0"/>
        <w:spacing w:before="125" w:after="0" w:line="259" w:lineRule="auto"/>
        <w:ind w:left="467" w:right="682"/>
        <w:jc w:val="both"/>
        <w:rPr>
          <w:rFonts w:ascii="Times New Roman" w:eastAsia="Times New Roman" w:hAnsi="Times New Roman" w:cs="Times New Roman"/>
          <w:noProof/>
          <w:kern w:val="0"/>
          <w:szCs w:val="20"/>
          <w14:ligatures w14:val="none"/>
        </w:rPr>
      </w:pPr>
      <w:r>
        <w:rPr>
          <w:rFonts w:ascii="Times New Roman" w:hAnsi="Times New Roman"/>
          <w:noProof/>
        </w:rPr>
        <w:t>L’objectif de cette mesure est de contribuer à la pénétration de la production d’hydrogène, des technologies fondées sur l’hydrogène et du transport à émissions nulles.</w:t>
      </w:r>
    </w:p>
    <w:p w14:paraId="5A8AEAFF" w14:textId="77777777" w:rsidR="00740F0F" w:rsidRPr="0029070D" w:rsidRDefault="00740F0F">
      <w:pPr>
        <w:widowControl w:val="0"/>
        <w:autoSpaceDE w:val="0"/>
        <w:autoSpaceDN w:val="0"/>
        <w:spacing w:before="125" w:after="0" w:line="259" w:lineRule="auto"/>
        <w:ind w:left="467" w:right="682"/>
        <w:jc w:val="both"/>
        <w:rPr>
          <w:rFonts w:ascii="Times New Roman" w:eastAsia="Times New Roman" w:hAnsi="Times New Roman" w:cs="Times New Roman"/>
          <w:noProof/>
          <w:kern w:val="0"/>
          <w:szCs w:val="20"/>
          <w14:ligatures w14:val="none"/>
        </w:rPr>
      </w:pPr>
    </w:p>
    <w:p w14:paraId="5A8AEB00" w14:textId="67A1FB54" w:rsidR="00740F0F" w:rsidRPr="0029070D" w:rsidRDefault="00100B64">
      <w:pPr>
        <w:widowControl w:val="0"/>
        <w:autoSpaceDE w:val="0"/>
        <w:autoSpaceDN w:val="0"/>
        <w:spacing w:after="0" w:line="259" w:lineRule="auto"/>
        <w:ind w:left="467" w:right="685"/>
        <w:jc w:val="both"/>
        <w:rPr>
          <w:rFonts w:ascii="Times New Roman" w:eastAsia="Times New Roman" w:hAnsi="Times New Roman" w:cs="Times New Roman"/>
          <w:noProof/>
          <w:kern w:val="0"/>
          <w:szCs w:val="20"/>
          <w14:ligatures w14:val="none"/>
        </w:rPr>
      </w:pPr>
      <w:r>
        <w:rPr>
          <w:rFonts w:ascii="Times New Roman" w:hAnsi="Times New Roman"/>
          <w:noProof/>
        </w:rPr>
        <w:t xml:space="preserve">Cette mesure consiste en des investissements dans la recherche et le développement dans les projets Genvia et Faurecia. </w:t>
      </w:r>
    </w:p>
    <w:p w14:paraId="5A8AEB01" w14:textId="77777777" w:rsidR="00740F0F" w:rsidRPr="0029070D" w:rsidRDefault="00740F0F">
      <w:pPr>
        <w:widowControl w:val="0"/>
        <w:autoSpaceDE w:val="0"/>
        <w:autoSpaceDN w:val="0"/>
        <w:spacing w:before="6" w:after="0" w:line="240" w:lineRule="auto"/>
        <w:rPr>
          <w:rFonts w:ascii="Times New Roman" w:eastAsia="Times New Roman" w:hAnsi="Times New Roman" w:cs="Times New Roman"/>
          <w:noProof/>
          <w:kern w:val="0"/>
          <w:sz w:val="34"/>
          <w:szCs w:val="20"/>
          <w14:ligatures w14:val="none"/>
        </w:rPr>
      </w:pPr>
    </w:p>
    <w:p w14:paraId="5A8AEB02" w14:textId="77777777" w:rsidR="00740F0F" w:rsidRPr="003A373D" w:rsidRDefault="00100B64">
      <w:pPr>
        <w:widowControl w:val="0"/>
        <w:autoSpaceDE w:val="0"/>
        <w:autoSpaceDN w:val="0"/>
        <w:spacing w:before="1" w:after="0" w:line="240" w:lineRule="auto"/>
        <w:ind w:left="467"/>
        <w:rPr>
          <w:rFonts w:ascii="Times New Roman" w:eastAsia="Times New Roman" w:hAnsi="Times New Roman" w:cs="Times New Roman"/>
          <w:noProof/>
          <w:kern w:val="0"/>
          <w:szCs w:val="20"/>
          <w:u w:val="single"/>
          <w14:ligatures w14:val="none"/>
        </w:rPr>
      </w:pPr>
      <w:r>
        <w:rPr>
          <w:rFonts w:ascii="Times New Roman" w:hAnsi="Times New Roman"/>
          <w:noProof/>
          <w:u w:val="single"/>
        </w:rPr>
        <w:t>Investissement 3 (C10.I3): rénovation thermique des bâtiments publics</w:t>
      </w:r>
    </w:p>
    <w:p w14:paraId="5A8AEB03" w14:textId="77777777" w:rsidR="00740F0F" w:rsidRPr="0029070D" w:rsidRDefault="00740F0F">
      <w:pPr>
        <w:widowControl w:val="0"/>
        <w:autoSpaceDE w:val="0"/>
        <w:autoSpaceDN w:val="0"/>
        <w:spacing w:before="8" w:after="0" w:line="240" w:lineRule="auto"/>
        <w:rPr>
          <w:rFonts w:ascii="Times New Roman" w:eastAsia="Times New Roman" w:hAnsi="Times New Roman" w:cs="Times New Roman"/>
          <w:noProof/>
          <w:kern w:val="0"/>
          <w:sz w:val="23"/>
          <w:szCs w:val="20"/>
          <w14:ligatures w14:val="none"/>
        </w:rPr>
      </w:pPr>
    </w:p>
    <w:p w14:paraId="5A8AEB04" w14:textId="77777777" w:rsidR="00740F0F" w:rsidRPr="0029070D" w:rsidRDefault="00100B64">
      <w:pPr>
        <w:widowControl w:val="0"/>
        <w:autoSpaceDE w:val="0"/>
        <w:autoSpaceDN w:val="0"/>
        <w:spacing w:before="114" w:after="0" w:line="259" w:lineRule="auto"/>
        <w:ind w:left="467" w:right="681"/>
        <w:jc w:val="both"/>
        <w:rPr>
          <w:rFonts w:ascii="Times New Roman" w:eastAsia="Times New Roman" w:hAnsi="Times New Roman" w:cs="Times New Roman"/>
          <w:noProof/>
          <w:kern w:val="0"/>
          <w14:ligatures w14:val="none"/>
        </w:rPr>
      </w:pPr>
      <w:r>
        <w:rPr>
          <w:rFonts w:ascii="Times New Roman" w:hAnsi="Times New Roman"/>
          <w:noProof/>
        </w:rPr>
        <w:t>L’objectif de cette mesure est de réduire la consommation d’énergie du parc immobilier de l’État. Cette mesure consiste à soutenir les projets de rénovation thermique des bâtiments publics appartenant à l’État.</w:t>
      </w:r>
    </w:p>
    <w:p w14:paraId="5A8AEB05" w14:textId="77777777" w:rsidR="00740F0F" w:rsidRPr="0029070D" w:rsidRDefault="00740F0F">
      <w:pPr>
        <w:widowControl w:val="0"/>
        <w:autoSpaceDE w:val="0"/>
        <w:autoSpaceDN w:val="0"/>
        <w:spacing w:before="8" w:after="0" w:line="240" w:lineRule="auto"/>
        <w:rPr>
          <w:rFonts w:ascii="Times New Roman" w:eastAsia="Times New Roman" w:hAnsi="Times New Roman" w:cs="Times New Roman"/>
          <w:noProof/>
          <w:kern w:val="0"/>
          <w:sz w:val="32"/>
          <w:szCs w:val="20"/>
          <w14:ligatures w14:val="none"/>
        </w:rPr>
      </w:pPr>
    </w:p>
    <w:p w14:paraId="5A8AEB06" w14:textId="77777777" w:rsidR="00740F0F" w:rsidRPr="003A373D" w:rsidRDefault="00100B64">
      <w:pPr>
        <w:widowControl w:val="0"/>
        <w:autoSpaceDE w:val="0"/>
        <w:autoSpaceDN w:val="0"/>
        <w:spacing w:after="0" w:line="261" w:lineRule="auto"/>
        <w:ind w:left="467" w:right="686"/>
        <w:jc w:val="both"/>
        <w:rPr>
          <w:rFonts w:ascii="Times New Roman" w:eastAsia="Times New Roman" w:hAnsi="Times New Roman" w:cs="Times New Roman"/>
          <w:noProof/>
          <w:kern w:val="0"/>
          <w:u w:val="single"/>
          <w14:ligatures w14:val="none"/>
        </w:rPr>
      </w:pPr>
      <w:r>
        <w:rPr>
          <w:rFonts w:ascii="Times New Roman" w:hAnsi="Times New Roman"/>
          <w:noProof/>
          <w:u w:val="single"/>
        </w:rPr>
        <w:t>Investissement 4 (C10.I4): mesure renforcée: rénovation énergétique des logements privés avec MaPrimeRénov’</w:t>
      </w:r>
    </w:p>
    <w:p w14:paraId="5A8AEB07" w14:textId="77777777" w:rsidR="00740F0F" w:rsidRPr="0029070D" w:rsidRDefault="00740F0F">
      <w:pPr>
        <w:widowControl w:val="0"/>
        <w:autoSpaceDE w:val="0"/>
        <w:autoSpaceDN w:val="0"/>
        <w:spacing w:before="6" w:after="0" w:line="240" w:lineRule="auto"/>
        <w:rPr>
          <w:rFonts w:ascii="Times New Roman" w:eastAsia="Times New Roman" w:hAnsi="Times New Roman" w:cs="Times New Roman"/>
          <w:noProof/>
          <w:kern w:val="0"/>
          <w:sz w:val="21"/>
          <w:szCs w:val="20"/>
          <w14:ligatures w14:val="none"/>
        </w:rPr>
      </w:pPr>
    </w:p>
    <w:p w14:paraId="5A8AEB08" w14:textId="77777777" w:rsidR="00740F0F" w:rsidRPr="0029070D" w:rsidRDefault="00100B64">
      <w:pPr>
        <w:widowControl w:val="0"/>
        <w:autoSpaceDE w:val="0"/>
        <w:autoSpaceDN w:val="0"/>
        <w:spacing w:before="126" w:after="0" w:line="259" w:lineRule="auto"/>
        <w:ind w:left="467" w:right="677"/>
        <w:jc w:val="both"/>
        <w:rPr>
          <w:rFonts w:ascii="Times New Roman" w:eastAsia="Times New Roman" w:hAnsi="Times New Roman" w:cs="Times New Roman"/>
          <w:noProof/>
          <w:kern w:val="0"/>
          <w14:ligatures w14:val="none"/>
        </w:rPr>
      </w:pPr>
      <w:r>
        <w:rPr>
          <w:rFonts w:ascii="Times New Roman" w:hAnsi="Times New Roman"/>
          <w:noProof/>
        </w:rPr>
        <w:t>L’objectif de cette mesure est de réduire la consommation d’énergie des logements privés. La mesure consiste à renforcer la mesure C1.I1 «Rénovation énergétique des bâtiments privés», dans le cadre de la composante 1: Rénovation des bâtiments, et à accroître le nombre de logements privés qui font l’objet de travaux de rénovation énergétique, favorisant ainsi les gains d’efficacité énergétique dans le secteur du logement.</w:t>
      </w:r>
    </w:p>
    <w:p w14:paraId="5A8AEB09" w14:textId="77777777" w:rsidR="00740F0F" w:rsidRPr="0029070D" w:rsidRDefault="00740F0F">
      <w:pPr>
        <w:widowControl w:val="0"/>
        <w:autoSpaceDE w:val="0"/>
        <w:autoSpaceDN w:val="0"/>
        <w:spacing w:before="126" w:after="0" w:line="259" w:lineRule="auto"/>
        <w:ind w:left="467" w:right="677"/>
        <w:jc w:val="both"/>
        <w:rPr>
          <w:rFonts w:ascii="Times New Roman" w:eastAsia="Times New Roman" w:hAnsi="Times New Roman" w:cs="Times New Roman"/>
          <w:noProof/>
          <w:kern w:val="0"/>
          <w14:ligatures w14:val="none"/>
        </w:rPr>
      </w:pPr>
    </w:p>
    <w:p w14:paraId="5A8AEB0A" w14:textId="77777777" w:rsidR="00740F0F" w:rsidRPr="003A373D" w:rsidRDefault="00100B64">
      <w:pPr>
        <w:widowControl w:val="0"/>
        <w:autoSpaceDE w:val="0"/>
        <w:autoSpaceDN w:val="0"/>
        <w:spacing w:before="126" w:after="0" w:line="259" w:lineRule="auto"/>
        <w:ind w:left="467" w:right="677"/>
        <w:jc w:val="both"/>
        <w:rPr>
          <w:rFonts w:ascii="Times New Roman" w:eastAsia="Times New Roman" w:hAnsi="Times New Roman" w:cs="Times New Roman"/>
          <w:noProof/>
          <w:kern w:val="0"/>
          <w:szCs w:val="20"/>
          <w:u w:val="single"/>
          <w14:ligatures w14:val="none"/>
        </w:rPr>
      </w:pPr>
      <w:r>
        <w:rPr>
          <w:rFonts w:ascii="Times New Roman" w:hAnsi="Times New Roman"/>
          <w:noProof/>
          <w:u w:val="single"/>
        </w:rPr>
        <w:t>Investissement 5 (C10.I5): mesure renforcée: soutien à la demande en véhicules propres</w:t>
      </w:r>
    </w:p>
    <w:p w14:paraId="5A8AEB0B" w14:textId="77777777" w:rsidR="00740F0F" w:rsidRPr="0029070D" w:rsidRDefault="00100B64">
      <w:pPr>
        <w:widowControl w:val="0"/>
        <w:autoSpaceDE w:val="0"/>
        <w:autoSpaceDN w:val="0"/>
        <w:spacing w:before="126" w:after="0" w:line="259" w:lineRule="auto"/>
        <w:ind w:left="467" w:right="677"/>
        <w:jc w:val="both"/>
        <w:rPr>
          <w:rFonts w:ascii="Times New Roman" w:eastAsia="Calibri" w:hAnsi="Times New Roman" w:cs="Times New Roman"/>
          <w:noProof/>
        </w:rPr>
      </w:pPr>
      <w:r>
        <w:rPr>
          <w:rFonts w:ascii="Times New Roman" w:hAnsi="Times New Roman"/>
          <w:noProof/>
        </w:rPr>
        <w:t>L’objectif de cette mesure est de soutenir la demande en véhicules propres, principalement auprès des ménages.</w:t>
      </w:r>
    </w:p>
    <w:p w14:paraId="5A8AEB0C" w14:textId="77777777" w:rsidR="00740F0F" w:rsidRPr="0029070D" w:rsidRDefault="00100B64">
      <w:pPr>
        <w:widowControl w:val="0"/>
        <w:autoSpaceDE w:val="0"/>
        <w:autoSpaceDN w:val="0"/>
        <w:spacing w:before="126" w:after="0" w:line="259" w:lineRule="auto"/>
        <w:ind w:left="467" w:right="677"/>
        <w:jc w:val="both"/>
        <w:rPr>
          <w:rFonts w:ascii="Times New Roman" w:eastAsia="Calibri" w:hAnsi="Times New Roman" w:cs="Times New Roman"/>
          <w:noProof/>
          <w:kern w:val="0"/>
          <w:szCs w:val="22"/>
          <w14:ligatures w14:val="none"/>
        </w:rPr>
        <w:sectPr w:rsidR="00740F0F" w:rsidRPr="0029070D">
          <w:headerReference w:type="even" r:id="rId126"/>
          <w:headerReference w:type="default" r:id="rId127"/>
          <w:footerReference w:type="even" r:id="rId128"/>
          <w:footerReference w:type="default" r:id="rId129"/>
          <w:headerReference w:type="first" r:id="rId130"/>
          <w:footerReference w:type="first" r:id="rId131"/>
          <w:pgSz w:w="11910" w:h="16850"/>
          <w:pgMar w:top="1134" w:right="1134" w:bottom="1134" w:left="1134" w:header="567" w:footer="567" w:gutter="0"/>
          <w:cols w:space="720"/>
          <w:docGrid w:linePitch="326"/>
        </w:sectPr>
      </w:pPr>
      <w:r>
        <w:rPr>
          <w:rFonts w:ascii="Times New Roman" w:hAnsi="Times New Roman"/>
          <w:noProof/>
        </w:rPr>
        <w:t>La mesure prévoit un «bonus écologique» pour les véhicules légers qui est une aide à l’acquisition d’un véhicule électrique ou fonctionnant à l’hydrogène. Il s’agit d’un renforcement de la mesure C3.I2.</w:t>
      </w:r>
    </w:p>
    <w:p w14:paraId="5A8AEB0D" w14:textId="77777777" w:rsidR="00740F0F" w:rsidRPr="00B46C4C" w:rsidRDefault="00100B64" w:rsidP="003A373D">
      <w:pPr>
        <w:keepLines/>
        <w:widowControl w:val="0"/>
        <w:numPr>
          <w:ilvl w:val="1"/>
          <w:numId w:val="55"/>
        </w:numPr>
        <w:tabs>
          <w:tab w:val="left" w:pos="1087"/>
        </w:tabs>
        <w:autoSpaceDE w:val="0"/>
        <w:autoSpaceDN w:val="0"/>
        <w:spacing w:before="162" w:after="0" w:line="240" w:lineRule="auto"/>
        <w:ind w:left="664" w:right="-160"/>
        <w:jc w:val="center"/>
        <w:outlineLvl w:val="1"/>
        <w:rPr>
          <w:rFonts w:ascii="Times New Roman" w:eastAsia="Times New Roman" w:hAnsi="Times New Roman" w:cs="Times New Roman"/>
          <w:b/>
          <w:noProof/>
          <w:kern w:val="0"/>
          <w:szCs w:val="20"/>
          <w:u w:val="single"/>
          <w14:ligatures w14:val="none"/>
        </w:rPr>
      </w:pPr>
      <w:r>
        <w:rPr>
          <w:rFonts w:ascii="Times New Roman" w:hAnsi="Times New Roman"/>
          <w:b/>
          <w:noProof/>
          <w:u w:val="single"/>
        </w:rPr>
        <w:t>Jalons, cibles, indicateurs et calendrier de suivi et de mise en œuvre en vue du soutien financier non remboursable</w:t>
      </w:r>
    </w:p>
    <w:p w14:paraId="5A8AEB0E" w14:textId="77777777" w:rsidR="00740F0F" w:rsidRPr="0029070D" w:rsidRDefault="00740F0F">
      <w:pPr>
        <w:widowControl w:val="0"/>
        <w:autoSpaceDE w:val="0"/>
        <w:autoSpaceDN w:val="0"/>
        <w:spacing w:before="9" w:after="1" w:line="240" w:lineRule="auto"/>
        <w:rPr>
          <w:rFonts w:ascii="Times New Roman" w:eastAsia="Times New Roman" w:hAnsi="Times New Roman" w:cs="Times New Roman"/>
          <w:b/>
          <w:noProof/>
          <w:kern w:val="0"/>
          <w:sz w:val="20"/>
          <w:szCs w:val="20"/>
          <w14:ligatures w14:val="none"/>
        </w:rPr>
      </w:pPr>
    </w:p>
    <w:tbl>
      <w:tblPr>
        <w:tblStyle w:val="NormalTable0"/>
        <w:tblW w:w="155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5"/>
        <w:gridCol w:w="1392"/>
        <w:gridCol w:w="1134"/>
        <w:gridCol w:w="1843"/>
        <w:gridCol w:w="1417"/>
        <w:gridCol w:w="709"/>
        <w:gridCol w:w="850"/>
        <w:gridCol w:w="851"/>
        <w:gridCol w:w="992"/>
        <w:gridCol w:w="1134"/>
        <w:gridCol w:w="4037"/>
      </w:tblGrid>
      <w:tr w:rsidR="00782477" w:rsidRPr="0029070D" w14:paraId="5A8AEB17" w14:textId="77777777" w:rsidTr="00F84DDA">
        <w:trPr>
          <w:trHeight w:val="585"/>
          <w:tblHeader/>
          <w:jc w:val="center"/>
        </w:trPr>
        <w:tc>
          <w:tcPr>
            <w:tcW w:w="1155" w:type="dxa"/>
            <w:vMerge w:val="restart"/>
            <w:shd w:val="clear" w:color="auto" w:fill="C5D9EF"/>
          </w:tcPr>
          <w:p w14:paraId="5A8AEB0F" w14:textId="77777777" w:rsidR="00740F0F" w:rsidRPr="0029070D" w:rsidRDefault="00100B64" w:rsidP="003A373D">
            <w:pPr>
              <w:spacing w:before="1" w:line="247" w:lineRule="auto"/>
              <w:ind w:left="239" w:right="122" w:hanging="92"/>
              <w:jc w:val="center"/>
              <w:rPr>
                <w:rFonts w:ascii="Times New Roman" w:eastAsia="Times New Roman" w:hAnsi="Times New Roman" w:cs="Times New Roman"/>
                <w:b/>
                <w:noProof/>
                <w:sz w:val="18"/>
                <w:szCs w:val="18"/>
              </w:rPr>
            </w:pPr>
            <w:r>
              <w:rPr>
                <w:rFonts w:ascii="Times New Roman" w:hAnsi="Times New Roman"/>
                <w:b/>
                <w:noProof/>
                <w:sz w:val="18"/>
              </w:rPr>
              <w:t>Numéro séquentiel</w:t>
            </w:r>
          </w:p>
        </w:tc>
        <w:tc>
          <w:tcPr>
            <w:tcW w:w="1392" w:type="dxa"/>
            <w:vMerge w:val="restart"/>
            <w:shd w:val="clear" w:color="auto" w:fill="C5D9EF"/>
          </w:tcPr>
          <w:p w14:paraId="5A8AEB10" w14:textId="77777777" w:rsidR="00740F0F" w:rsidRPr="0029070D" w:rsidRDefault="00100B64" w:rsidP="003A373D">
            <w:pPr>
              <w:spacing w:before="174"/>
              <w:ind w:left="167"/>
              <w:jc w:val="center"/>
              <w:rPr>
                <w:rFonts w:ascii="Times New Roman" w:eastAsia="Times New Roman" w:hAnsi="Times New Roman" w:cs="Times New Roman"/>
                <w:b/>
                <w:noProof/>
                <w:sz w:val="18"/>
                <w:szCs w:val="18"/>
              </w:rPr>
            </w:pPr>
            <w:r>
              <w:rPr>
                <w:rFonts w:ascii="Times New Roman" w:hAnsi="Times New Roman"/>
                <w:b/>
                <w:noProof/>
                <w:sz w:val="18"/>
              </w:rPr>
              <w:t>Mesure</w:t>
            </w:r>
          </w:p>
        </w:tc>
        <w:tc>
          <w:tcPr>
            <w:tcW w:w="1134" w:type="dxa"/>
            <w:vMerge w:val="restart"/>
            <w:shd w:val="clear" w:color="auto" w:fill="C5D9EF"/>
          </w:tcPr>
          <w:p w14:paraId="5A8AEB11" w14:textId="77777777" w:rsidR="00740F0F" w:rsidRPr="0029070D" w:rsidRDefault="00100B64" w:rsidP="003A373D">
            <w:pPr>
              <w:spacing w:before="175"/>
              <w:ind w:left="222"/>
              <w:jc w:val="center"/>
              <w:rPr>
                <w:rFonts w:ascii="Times New Roman" w:eastAsia="Times New Roman" w:hAnsi="Times New Roman" w:cs="Times New Roman"/>
                <w:b/>
                <w:noProof/>
                <w:sz w:val="18"/>
                <w:szCs w:val="18"/>
              </w:rPr>
            </w:pPr>
            <w:r>
              <w:rPr>
                <w:rFonts w:ascii="Times New Roman" w:hAnsi="Times New Roman"/>
                <w:b/>
                <w:noProof/>
                <w:sz w:val="18"/>
              </w:rPr>
              <w:t>Jalon / Cible</w:t>
            </w:r>
          </w:p>
        </w:tc>
        <w:tc>
          <w:tcPr>
            <w:tcW w:w="1843" w:type="dxa"/>
            <w:vMerge w:val="restart"/>
            <w:shd w:val="clear" w:color="auto" w:fill="C5D9EF"/>
          </w:tcPr>
          <w:p w14:paraId="5A8AEB12" w14:textId="77777777" w:rsidR="00740F0F" w:rsidRPr="0029070D" w:rsidRDefault="00100B64" w:rsidP="00F84DDA">
            <w:pPr>
              <w:ind w:left="771"/>
              <w:jc w:val="center"/>
              <w:rPr>
                <w:rFonts w:ascii="Times New Roman" w:eastAsia="Times New Roman" w:hAnsi="Times New Roman" w:cs="Times New Roman"/>
                <w:b/>
                <w:noProof/>
                <w:sz w:val="18"/>
                <w:szCs w:val="18"/>
              </w:rPr>
            </w:pPr>
            <w:r w:rsidRPr="00F84DDA">
              <w:rPr>
                <w:rFonts w:ascii="Times New Roman" w:hAnsi="Times New Roman"/>
                <w:b/>
                <w:noProof/>
                <w:sz w:val="16"/>
                <w:szCs w:val="18"/>
              </w:rPr>
              <w:t>Dénomination</w:t>
            </w:r>
          </w:p>
        </w:tc>
        <w:tc>
          <w:tcPr>
            <w:tcW w:w="1417" w:type="dxa"/>
            <w:vMerge w:val="restart"/>
            <w:shd w:val="clear" w:color="auto" w:fill="C5D9EF"/>
          </w:tcPr>
          <w:p w14:paraId="5A8AEB13" w14:textId="77777777" w:rsidR="00740F0F" w:rsidRPr="0029070D" w:rsidRDefault="00100B64" w:rsidP="003A373D">
            <w:pPr>
              <w:spacing w:line="244" w:lineRule="auto"/>
              <w:ind w:left="227" w:right="177" w:firstLine="24"/>
              <w:jc w:val="center"/>
              <w:rPr>
                <w:rFonts w:ascii="Times New Roman" w:eastAsia="Times New Roman" w:hAnsi="Times New Roman" w:cs="Times New Roman"/>
                <w:b/>
                <w:noProof/>
                <w:sz w:val="18"/>
                <w:szCs w:val="18"/>
              </w:rPr>
            </w:pPr>
            <w:r>
              <w:rPr>
                <w:rFonts w:ascii="Times New Roman" w:hAnsi="Times New Roman"/>
                <w:b/>
                <w:noProof/>
                <w:sz w:val="18"/>
              </w:rPr>
              <w:t>Indicateur qualitatif (pour les jalons)</w:t>
            </w:r>
          </w:p>
        </w:tc>
        <w:tc>
          <w:tcPr>
            <w:tcW w:w="2410" w:type="dxa"/>
            <w:gridSpan w:val="3"/>
            <w:shd w:val="clear" w:color="auto" w:fill="C5D9EF"/>
          </w:tcPr>
          <w:p w14:paraId="5A8AEB14" w14:textId="128E203F" w:rsidR="00740F0F" w:rsidRPr="0029070D" w:rsidRDefault="00100B64" w:rsidP="003A51C1">
            <w:pPr>
              <w:ind w:left="57" w:right="57"/>
              <w:jc w:val="center"/>
              <w:rPr>
                <w:rFonts w:ascii="Times New Roman" w:eastAsia="Times New Roman" w:hAnsi="Times New Roman" w:cs="Times New Roman"/>
                <w:b/>
                <w:noProof/>
                <w:sz w:val="18"/>
                <w:szCs w:val="18"/>
              </w:rPr>
            </w:pPr>
            <w:r>
              <w:rPr>
                <w:rFonts w:ascii="Times New Roman" w:hAnsi="Times New Roman"/>
                <w:b/>
                <w:noProof/>
                <w:sz w:val="18"/>
              </w:rPr>
              <w:t>Indicateurs quantitatifs (pour les cibles)</w:t>
            </w:r>
          </w:p>
        </w:tc>
        <w:tc>
          <w:tcPr>
            <w:tcW w:w="2126" w:type="dxa"/>
            <w:gridSpan w:val="2"/>
            <w:shd w:val="clear" w:color="auto" w:fill="C5D9EF"/>
          </w:tcPr>
          <w:p w14:paraId="5A8AEB15" w14:textId="77777777" w:rsidR="00740F0F" w:rsidRPr="0029070D" w:rsidRDefault="00100B64" w:rsidP="003A373D">
            <w:pPr>
              <w:ind w:left="619" w:right="616"/>
              <w:jc w:val="center"/>
              <w:rPr>
                <w:rFonts w:ascii="Times New Roman" w:eastAsia="Times New Roman" w:hAnsi="Times New Roman" w:cs="Times New Roman"/>
                <w:b/>
                <w:noProof/>
                <w:sz w:val="18"/>
                <w:szCs w:val="18"/>
              </w:rPr>
            </w:pPr>
            <w:r>
              <w:rPr>
                <w:rFonts w:ascii="Times New Roman" w:hAnsi="Times New Roman"/>
                <w:b/>
                <w:noProof/>
                <w:sz w:val="18"/>
              </w:rPr>
              <w:t>Calendrier indicatif de réalisation</w:t>
            </w:r>
          </w:p>
        </w:tc>
        <w:tc>
          <w:tcPr>
            <w:tcW w:w="4037" w:type="dxa"/>
            <w:vMerge w:val="restart"/>
            <w:shd w:val="clear" w:color="auto" w:fill="C5D9EF"/>
          </w:tcPr>
          <w:p w14:paraId="5A8AEB16" w14:textId="77777777" w:rsidR="00740F0F" w:rsidRPr="0029070D" w:rsidRDefault="00100B64">
            <w:pPr>
              <w:ind w:left="733"/>
              <w:rPr>
                <w:rFonts w:ascii="Times New Roman" w:eastAsia="Times New Roman" w:hAnsi="Times New Roman" w:cs="Times New Roman"/>
                <w:b/>
                <w:noProof/>
                <w:sz w:val="18"/>
                <w:szCs w:val="18"/>
              </w:rPr>
            </w:pPr>
            <w:r>
              <w:rPr>
                <w:rFonts w:ascii="Times New Roman" w:hAnsi="Times New Roman"/>
                <w:b/>
                <w:noProof/>
                <w:sz w:val="18"/>
              </w:rPr>
              <w:t>Description de chaque jalon et cible</w:t>
            </w:r>
          </w:p>
        </w:tc>
      </w:tr>
      <w:tr w:rsidR="00782477" w:rsidRPr="0029070D" w14:paraId="5A8AEB23" w14:textId="77777777" w:rsidTr="00F84DDA">
        <w:trPr>
          <w:trHeight w:val="314"/>
          <w:tblHeader/>
          <w:jc w:val="center"/>
        </w:trPr>
        <w:tc>
          <w:tcPr>
            <w:tcW w:w="1155" w:type="dxa"/>
            <w:vMerge/>
          </w:tcPr>
          <w:p w14:paraId="5A8AEB18" w14:textId="77777777" w:rsidR="00740F0F" w:rsidRPr="0029070D" w:rsidRDefault="00740F0F" w:rsidP="003A373D">
            <w:pPr>
              <w:spacing w:before="120" w:after="120" w:line="360" w:lineRule="auto"/>
              <w:jc w:val="center"/>
              <w:rPr>
                <w:rFonts w:ascii="Times New Roman" w:eastAsia="Calibri" w:hAnsi="Times New Roman" w:cs="Times New Roman"/>
                <w:noProof/>
                <w:sz w:val="18"/>
                <w:szCs w:val="18"/>
              </w:rPr>
            </w:pPr>
          </w:p>
        </w:tc>
        <w:tc>
          <w:tcPr>
            <w:tcW w:w="1392" w:type="dxa"/>
            <w:vMerge/>
          </w:tcPr>
          <w:p w14:paraId="5A8AEB19" w14:textId="77777777" w:rsidR="00740F0F" w:rsidRPr="0029070D" w:rsidRDefault="00740F0F" w:rsidP="003A373D">
            <w:pPr>
              <w:spacing w:before="120" w:after="120" w:line="360" w:lineRule="auto"/>
              <w:jc w:val="center"/>
              <w:rPr>
                <w:rFonts w:ascii="Times New Roman" w:eastAsia="Calibri" w:hAnsi="Times New Roman" w:cs="Times New Roman"/>
                <w:noProof/>
                <w:sz w:val="18"/>
                <w:szCs w:val="18"/>
              </w:rPr>
            </w:pPr>
          </w:p>
        </w:tc>
        <w:tc>
          <w:tcPr>
            <w:tcW w:w="1134" w:type="dxa"/>
            <w:vMerge/>
          </w:tcPr>
          <w:p w14:paraId="5A8AEB1A" w14:textId="77777777" w:rsidR="00740F0F" w:rsidRPr="0029070D" w:rsidRDefault="00740F0F" w:rsidP="003A373D">
            <w:pPr>
              <w:spacing w:before="120" w:after="120" w:line="360" w:lineRule="auto"/>
              <w:jc w:val="center"/>
              <w:rPr>
                <w:rFonts w:ascii="Times New Roman" w:eastAsia="Calibri" w:hAnsi="Times New Roman" w:cs="Times New Roman"/>
                <w:noProof/>
                <w:sz w:val="18"/>
                <w:szCs w:val="18"/>
              </w:rPr>
            </w:pPr>
          </w:p>
        </w:tc>
        <w:tc>
          <w:tcPr>
            <w:tcW w:w="1843" w:type="dxa"/>
            <w:vMerge/>
          </w:tcPr>
          <w:p w14:paraId="5A8AEB1B" w14:textId="77777777" w:rsidR="00740F0F" w:rsidRPr="0029070D" w:rsidRDefault="00740F0F" w:rsidP="00F84DDA">
            <w:pPr>
              <w:spacing w:before="120" w:after="120" w:line="360" w:lineRule="auto"/>
              <w:jc w:val="center"/>
              <w:rPr>
                <w:rFonts w:ascii="Times New Roman" w:eastAsia="Calibri" w:hAnsi="Times New Roman" w:cs="Times New Roman"/>
                <w:noProof/>
                <w:sz w:val="18"/>
                <w:szCs w:val="18"/>
              </w:rPr>
            </w:pPr>
          </w:p>
        </w:tc>
        <w:tc>
          <w:tcPr>
            <w:tcW w:w="1417" w:type="dxa"/>
            <w:vMerge/>
          </w:tcPr>
          <w:p w14:paraId="5A8AEB1C" w14:textId="77777777" w:rsidR="00740F0F" w:rsidRPr="0029070D" w:rsidRDefault="00740F0F" w:rsidP="003A373D">
            <w:pPr>
              <w:spacing w:before="120" w:after="120" w:line="360" w:lineRule="auto"/>
              <w:jc w:val="center"/>
              <w:rPr>
                <w:rFonts w:ascii="Times New Roman" w:eastAsia="Calibri" w:hAnsi="Times New Roman" w:cs="Times New Roman"/>
                <w:noProof/>
                <w:sz w:val="18"/>
                <w:szCs w:val="18"/>
              </w:rPr>
            </w:pPr>
          </w:p>
        </w:tc>
        <w:tc>
          <w:tcPr>
            <w:tcW w:w="709" w:type="dxa"/>
            <w:shd w:val="clear" w:color="auto" w:fill="C5D9EF"/>
          </w:tcPr>
          <w:p w14:paraId="5A8AEB1D" w14:textId="77777777" w:rsidR="00740F0F" w:rsidRPr="0029070D" w:rsidRDefault="00100B64" w:rsidP="003A51C1">
            <w:pPr>
              <w:ind w:left="57" w:right="57"/>
              <w:jc w:val="center"/>
              <w:rPr>
                <w:rFonts w:ascii="Times New Roman" w:eastAsia="Times New Roman" w:hAnsi="Times New Roman" w:cs="Times New Roman"/>
                <w:b/>
                <w:noProof/>
                <w:sz w:val="18"/>
                <w:szCs w:val="18"/>
              </w:rPr>
            </w:pPr>
            <w:r>
              <w:rPr>
                <w:rFonts w:ascii="Times New Roman" w:hAnsi="Times New Roman"/>
                <w:b/>
                <w:noProof/>
                <w:sz w:val="18"/>
              </w:rPr>
              <w:t>Unité de mesure</w:t>
            </w:r>
          </w:p>
        </w:tc>
        <w:tc>
          <w:tcPr>
            <w:tcW w:w="850" w:type="dxa"/>
            <w:shd w:val="clear" w:color="auto" w:fill="C5D9EF"/>
          </w:tcPr>
          <w:p w14:paraId="5A8AEB1E" w14:textId="77777777" w:rsidR="00740F0F" w:rsidRPr="0029070D" w:rsidRDefault="00100B64" w:rsidP="003A51C1">
            <w:pPr>
              <w:ind w:left="57" w:right="57"/>
              <w:jc w:val="center"/>
              <w:rPr>
                <w:rFonts w:ascii="Times New Roman" w:eastAsia="Times New Roman" w:hAnsi="Times New Roman" w:cs="Times New Roman"/>
                <w:b/>
                <w:noProof/>
                <w:sz w:val="18"/>
                <w:szCs w:val="18"/>
              </w:rPr>
            </w:pPr>
            <w:r>
              <w:rPr>
                <w:rFonts w:ascii="Times New Roman" w:hAnsi="Times New Roman"/>
                <w:b/>
                <w:noProof/>
                <w:sz w:val="18"/>
              </w:rPr>
              <w:t>Base de référence</w:t>
            </w:r>
          </w:p>
        </w:tc>
        <w:tc>
          <w:tcPr>
            <w:tcW w:w="851" w:type="dxa"/>
            <w:shd w:val="clear" w:color="auto" w:fill="C5D9EF"/>
          </w:tcPr>
          <w:p w14:paraId="5A8AEB1F" w14:textId="77777777" w:rsidR="00740F0F" w:rsidRPr="0029070D" w:rsidRDefault="00100B64" w:rsidP="003A51C1">
            <w:pPr>
              <w:ind w:left="57" w:right="57"/>
              <w:jc w:val="center"/>
              <w:rPr>
                <w:rFonts w:ascii="Times New Roman" w:eastAsia="Times New Roman" w:hAnsi="Times New Roman" w:cs="Times New Roman"/>
                <w:b/>
                <w:noProof/>
                <w:sz w:val="18"/>
                <w:szCs w:val="18"/>
              </w:rPr>
            </w:pPr>
            <w:r>
              <w:rPr>
                <w:rFonts w:ascii="Times New Roman" w:hAnsi="Times New Roman"/>
                <w:b/>
                <w:noProof/>
                <w:sz w:val="18"/>
              </w:rPr>
              <w:t>Objectif</w:t>
            </w:r>
          </w:p>
        </w:tc>
        <w:tc>
          <w:tcPr>
            <w:tcW w:w="992" w:type="dxa"/>
            <w:shd w:val="clear" w:color="auto" w:fill="C5D9EF"/>
          </w:tcPr>
          <w:p w14:paraId="5A8AEB20" w14:textId="77777777" w:rsidR="00740F0F" w:rsidRPr="0029070D" w:rsidRDefault="00100B64" w:rsidP="003A51C1">
            <w:pPr>
              <w:ind w:left="92" w:right="191"/>
              <w:jc w:val="center"/>
              <w:rPr>
                <w:rFonts w:ascii="Times New Roman" w:eastAsia="Times New Roman" w:hAnsi="Times New Roman" w:cs="Times New Roman"/>
                <w:b/>
                <w:noProof/>
                <w:sz w:val="18"/>
                <w:szCs w:val="18"/>
              </w:rPr>
            </w:pPr>
            <w:r w:rsidRPr="00F84DDA">
              <w:rPr>
                <w:rFonts w:ascii="Times New Roman" w:hAnsi="Times New Roman"/>
                <w:b/>
                <w:noProof/>
                <w:sz w:val="16"/>
                <w:szCs w:val="18"/>
              </w:rPr>
              <w:t>Trimestre</w:t>
            </w:r>
          </w:p>
        </w:tc>
        <w:tc>
          <w:tcPr>
            <w:tcW w:w="1134" w:type="dxa"/>
            <w:shd w:val="clear" w:color="auto" w:fill="C5D9EF"/>
          </w:tcPr>
          <w:p w14:paraId="5A8AEB21" w14:textId="77777777" w:rsidR="00740F0F" w:rsidRPr="0029070D" w:rsidRDefault="00100B64" w:rsidP="003A51C1">
            <w:pPr>
              <w:ind w:left="104"/>
              <w:jc w:val="center"/>
              <w:rPr>
                <w:rFonts w:ascii="Times New Roman" w:eastAsia="Times New Roman" w:hAnsi="Times New Roman" w:cs="Times New Roman"/>
                <w:b/>
                <w:noProof/>
                <w:sz w:val="18"/>
                <w:szCs w:val="18"/>
              </w:rPr>
            </w:pPr>
            <w:r>
              <w:rPr>
                <w:rFonts w:ascii="Times New Roman" w:hAnsi="Times New Roman"/>
                <w:b/>
                <w:noProof/>
                <w:sz w:val="18"/>
              </w:rPr>
              <w:t>Année</w:t>
            </w:r>
          </w:p>
        </w:tc>
        <w:tc>
          <w:tcPr>
            <w:tcW w:w="4037" w:type="dxa"/>
            <w:vMerge/>
          </w:tcPr>
          <w:p w14:paraId="5A8AEB22" w14:textId="77777777" w:rsidR="00740F0F" w:rsidRPr="0029070D" w:rsidRDefault="00740F0F">
            <w:pPr>
              <w:spacing w:before="120" w:after="120" w:line="360" w:lineRule="auto"/>
              <w:rPr>
                <w:rFonts w:ascii="Times New Roman" w:eastAsia="Calibri" w:hAnsi="Times New Roman" w:cs="Times New Roman"/>
                <w:noProof/>
                <w:sz w:val="18"/>
                <w:szCs w:val="18"/>
              </w:rPr>
            </w:pPr>
          </w:p>
        </w:tc>
      </w:tr>
      <w:tr w:rsidR="00782477" w:rsidRPr="0029070D" w14:paraId="5A8AEB30" w14:textId="77777777" w:rsidTr="00F84DDA">
        <w:trPr>
          <w:trHeight w:val="1712"/>
          <w:jc w:val="center"/>
        </w:trPr>
        <w:tc>
          <w:tcPr>
            <w:tcW w:w="1155" w:type="dxa"/>
            <w:tcBorders>
              <w:left w:val="single" w:sz="6" w:space="0" w:color="000000" w:themeColor="text1"/>
              <w:bottom w:val="single" w:sz="6" w:space="0" w:color="000000" w:themeColor="text1"/>
              <w:right w:val="single" w:sz="6" w:space="0" w:color="000000" w:themeColor="text1"/>
            </w:tcBorders>
            <w:shd w:val="clear" w:color="auto" w:fill="C5EDCE"/>
          </w:tcPr>
          <w:p w14:paraId="5A8AEB2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10-1</w:t>
            </w:r>
          </w:p>
        </w:tc>
        <w:tc>
          <w:tcPr>
            <w:tcW w:w="1392" w:type="dxa"/>
            <w:tcBorders>
              <w:left w:val="single" w:sz="6" w:space="0" w:color="000000" w:themeColor="text1"/>
              <w:bottom w:val="single" w:sz="6" w:space="0" w:color="000000" w:themeColor="text1"/>
              <w:right w:val="single" w:sz="6" w:space="0" w:color="000000" w:themeColor="text1"/>
            </w:tcBorders>
            <w:shd w:val="clear" w:color="auto" w:fill="C5EDCE"/>
          </w:tcPr>
          <w:p w14:paraId="5A8AEB2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C10.R1</w:t>
            </w:r>
          </w:p>
          <w:p w14:paraId="5A8AEB26" w14:textId="77777777" w:rsidR="00740F0F" w:rsidRPr="0029070D" w:rsidRDefault="00100B64">
            <w:pPr>
              <w:spacing w:line="214" w:lineRule="exact"/>
              <w:ind w:left="9" w:firstLine="4"/>
              <w:jc w:val="center"/>
              <w:rPr>
                <w:rFonts w:ascii="Times New Roman" w:eastAsia="Times New Roman" w:hAnsi="Times New Roman" w:cs="Times New Roman"/>
                <w:noProof/>
                <w:sz w:val="18"/>
                <w:szCs w:val="18"/>
              </w:rPr>
            </w:pPr>
            <w:r>
              <w:rPr>
                <w:rFonts w:ascii="Times New Roman" w:hAnsi="Times New Roman"/>
                <w:noProof/>
                <w:sz w:val="18"/>
              </w:rPr>
              <w:t>Loi sur l’accélération de la production d’énergies renouvelables</w:t>
            </w:r>
          </w:p>
        </w:tc>
        <w:tc>
          <w:tcPr>
            <w:tcW w:w="1134" w:type="dxa"/>
            <w:tcBorders>
              <w:left w:val="single" w:sz="6" w:space="0" w:color="000000" w:themeColor="text1"/>
              <w:bottom w:val="single" w:sz="6" w:space="0" w:color="000000" w:themeColor="text1"/>
              <w:right w:val="single" w:sz="6" w:space="0" w:color="000000" w:themeColor="text1"/>
            </w:tcBorders>
            <w:shd w:val="clear" w:color="auto" w:fill="C5EDCE"/>
          </w:tcPr>
          <w:p w14:paraId="5A8AEB27" w14:textId="77777777" w:rsidR="00740F0F" w:rsidRPr="0029070D" w:rsidRDefault="00100B64">
            <w:pPr>
              <w:spacing w:line="214" w:lineRule="exact"/>
              <w:ind w:left="9" w:right="131"/>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43" w:type="dxa"/>
            <w:tcBorders>
              <w:left w:val="single" w:sz="6" w:space="0" w:color="000000" w:themeColor="text1"/>
              <w:bottom w:val="single" w:sz="6" w:space="0" w:color="000000" w:themeColor="text1"/>
              <w:right w:val="single" w:sz="6" w:space="0" w:color="000000" w:themeColor="text1"/>
            </w:tcBorders>
            <w:shd w:val="clear" w:color="auto" w:fill="C5EDCE"/>
          </w:tcPr>
          <w:p w14:paraId="5A8AEB28" w14:textId="77777777" w:rsidR="00740F0F" w:rsidRPr="0029070D" w:rsidRDefault="00100B64" w:rsidP="00F84DDA">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Entrée en vigueur de la loi sur l’accélération de la production d’énergies renouvelables</w:t>
            </w:r>
          </w:p>
        </w:tc>
        <w:tc>
          <w:tcPr>
            <w:tcW w:w="1417" w:type="dxa"/>
            <w:tcBorders>
              <w:left w:val="single" w:sz="6" w:space="0" w:color="000000" w:themeColor="text1"/>
              <w:bottom w:val="single" w:sz="6" w:space="0" w:color="000000" w:themeColor="text1"/>
              <w:right w:val="single" w:sz="6" w:space="0" w:color="000000" w:themeColor="text1"/>
            </w:tcBorders>
            <w:shd w:val="clear" w:color="auto" w:fill="C5EDCE"/>
          </w:tcPr>
          <w:p w14:paraId="5A8AEB29" w14:textId="77777777" w:rsidR="00740F0F" w:rsidRPr="0029070D" w:rsidRDefault="00100B64">
            <w:pPr>
              <w:spacing w:line="214" w:lineRule="exact"/>
              <w:ind w:left="9" w:right="11"/>
              <w:rPr>
                <w:rFonts w:ascii="Times New Roman" w:eastAsia="Times New Roman" w:hAnsi="Times New Roman" w:cs="Times New Roman"/>
                <w:noProof/>
                <w:sz w:val="18"/>
                <w:szCs w:val="18"/>
              </w:rPr>
            </w:pPr>
            <w:r>
              <w:rPr>
                <w:rFonts w:ascii="Times New Roman" w:hAnsi="Times New Roman"/>
                <w:noProof/>
                <w:sz w:val="18"/>
              </w:rPr>
              <w:t>Dispositions de la loi prévoyant l’entrée en vigueur des dispositions directement applicables</w:t>
            </w:r>
          </w:p>
        </w:tc>
        <w:tc>
          <w:tcPr>
            <w:tcW w:w="709" w:type="dxa"/>
            <w:tcBorders>
              <w:left w:val="single" w:sz="6" w:space="0" w:color="000000" w:themeColor="text1"/>
              <w:bottom w:val="single" w:sz="6" w:space="0" w:color="000000" w:themeColor="text1"/>
              <w:right w:val="single" w:sz="6" w:space="0" w:color="000000" w:themeColor="text1"/>
            </w:tcBorders>
            <w:shd w:val="clear" w:color="auto" w:fill="C5EDCE"/>
          </w:tcPr>
          <w:p w14:paraId="5A8AEB2A"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0" w:type="dxa"/>
            <w:tcBorders>
              <w:left w:val="single" w:sz="6" w:space="0" w:color="000000" w:themeColor="text1"/>
              <w:bottom w:val="single" w:sz="6" w:space="0" w:color="000000" w:themeColor="text1"/>
              <w:right w:val="single" w:sz="6" w:space="0" w:color="000000" w:themeColor="text1"/>
            </w:tcBorders>
            <w:shd w:val="clear" w:color="auto" w:fill="C5EDCE"/>
          </w:tcPr>
          <w:p w14:paraId="5A8AEB2B"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1" w:type="dxa"/>
            <w:tcBorders>
              <w:left w:val="single" w:sz="6" w:space="0" w:color="000000" w:themeColor="text1"/>
              <w:bottom w:val="single" w:sz="6" w:space="0" w:color="000000" w:themeColor="text1"/>
              <w:right w:val="single" w:sz="6" w:space="0" w:color="000000" w:themeColor="text1"/>
            </w:tcBorders>
            <w:shd w:val="clear" w:color="auto" w:fill="C5EDCE"/>
          </w:tcPr>
          <w:p w14:paraId="5A8AEB2C"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2" w:type="dxa"/>
            <w:tcBorders>
              <w:left w:val="single" w:sz="6" w:space="0" w:color="000000" w:themeColor="text1"/>
              <w:bottom w:val="single" w:sz="6" w:space="0" w:color="000000" w:themeColor="text1"/>
              <w:right w:val="single" w:sz="6" w:space="0" w:color="000000" w:themeColor="text1"/>
            </w:tcBorders>
            <w:shd w:val="clear" w:color="auto" w:fill="C5EDCE"/>
          </w:tcPr>
          <w:p w14:paraId="5A8AEB2D" w14:textId="77777777" w:rsidR="00740F0F" w:rsidRPr="0029070D" w:rsidRDefault="00100B64" w:rsidP="003A373D">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T1</w:t>
            </w:r>
          </w:p>
        </w:tc>
        <w:tc>
          <w:tcPr>
            <w:tcW w:w="1134" w:type="dxa"/>
            <w:tcBorders>
              <w:left w:val="single" w:sz="6" w:space="0" w:color="000000" w:themeColor="text1"/>
              <w:bottom w:val="single" w:sz="6" w:space="0" w:color="000000" w:themeColor="text1"/>
              <w:right w:val="single" w:sz="6" w:space="0" w:color="000000" w:themeColor="text1"/>
            </w:tcBorders>
            <w:shd w:val="clear" w:color="auto" w:fill="C5EDCE"/>
          </w:tcPr>
          <w:p w14:paraId="5A8AEB2E" w14:textId="77777777" w:rsidR="00740F0F" w:rsidRPr="0029070D" w:rsidRDefault="00100B64" w:rsidP="003A373D">
            <w:pPr>
              <w:spacing w:line="214" w:lineRule="exact"/>
              <w:ind w:left="9" w:right="132"/>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4037" w:type="dxa"/>
            <w:tcBorders>
              <w:left w:val="single" w:sz="6" w:space="0" w:color="000000" w:themeColor="text1"/>
              <w:bottom w:val="single" w:sz="6" w:space="0" w:color="000000" w:themeColor="text1"/>
              <w:right w:val="single" w:sz="6" w:space="0" w:color="000000" w:themeColor="text1"/>
            </w:tcBorders>
            <w:shd w:val="clear" w:color="auto" w:fill="C5EDCE"/>
          </w:tcPr>
          <w:p w14:paraId="5A8AEB2F" w14:textId="77777777" w:rsidR="00740F0F" w:rsidRPr="0029070D" w:rsidRDefault="00100B64">
            <w:pPr>
              <w:spacing w:line="214" w:lineRule="exact"/>
              <w:ind w:left="9" w:right="103"/>
              <w:rPr>
                <w:rFonts w:ascii="Times New Roman" w:eastAsia="Times New Roman" w:hAnsi="Times New Roman" w:cs="Times New Roman"/>
                <w:noProof/>
                <w:sz w:val="18"/>
                <w:szCs w:val="18"/>
              </w:rPr>
            </w:pPr>
            <w:r>
              <w:rPr>
                <w:rFonts w:ascii="Times New Roman" w:hAnsi="Times New Roman"/>
                <w:noProof/>
                <w:sz w:val="18"/>
              </w:rPr>
              <w:t>Promulgation de la loi et entrée en vigueur des dispositions directement applicables en ce qui concerne la planification territoriale visant à définir des «zones d’accélération», débat public sur la planification de l’éolien en mer, simplification des procédures d’installation de panneaux photovoltaïques sur les autoroutes et les voies ferrées abandonnées et développement de l’autoconsommation collective.</w:t>
            </w:r>
          </w:p>
        </w:tc>
      </w:tr>
      <w:tr w:rsidR="00782477" w:rsidRPr="0029070D" w14:paraId="5A8AEB40" w14:textId="77777777" w:rsidTr="00F84DDA">
        <w:trPr>
          <w:trHeight w:val="2952"/>
          <w:jc w:val="center"/>
        </w:trPr>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31" w14:textId="77777777" w:rsidR="00740F0F" w:rsidRPr="0029070D" w:rsidRDefault="00100B64">
            <w:pPr>
              <w:ind w:left="357"/>
              <w:rPr>
                <w:rFonts w:ascii="Times New Roman" w:eastAsia="Times New Roman" w:hAnsi="Times New Roman" w:cs="Times New Roman"/>
                <w:noProof/>
                <w:sz w:val="18"/>
                <w:szCs w:val="18"/>
              </w:rPr>
            </w:pPr>
            <w:r>
              <w:rPr>
                <w:rFonts w:ascii="Times New Roman" w:hAnsi="Times New Roman"/>
                <w:noProof/>
                <w:sz w:val="18"/>
              </w:rPr>
              <w:t>10-2</w:t>
            </w:r>
          </w:p>
        </w:tc>
        <w:tc>
          <w:tcPr>
            <w:tcW w:w="13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32" w14:textId="77777777" w:rsidR="00740F0F" w:rsidRPr="0029070D" w:rsidRDefault="00100B64">
            <w:pPr>
              <w:jc w:val="center"/>
              <w:rPr>
                <w:rFonts w:ascii="Times New Roman" w:eastAsia="Times New Roman" w:hAnsi="Times New Roman" w:cs="Times New Roman"/>
                <w:noProof/>
                <w:sz w:val="18"/>
                <w:szCs w:val="18"/>
              </w:rPr>
            </w:pPr>
            <w:r>
              <w:rPr>
                <w:rFonts w:ascii="Times New Roman" w:hAnsi="Times New Roman"/>
                <w:noProof/>
                <w:sz w:val="18"/>
              </w:rPr>
              <w:t>C10.R2</w:t>
            </w:r>
          </w:p>
          <w:p w14:paraId="5A8AEB33" w14:textId="77777777" w:rsidR="00740F0F" w:rsidRPr="0029070D" w:rsidRDefault="00100B64">
            <w:pPr>
              <w:ind w:right="36" w:firstLine="3"/>
              <w:jc w:val="center"/>
              <w:rPr>
                <w:rFonts w:ascii="Times New Roman" w:eastAsia="Times New Roman" w:hAnsi="Times New Roman" w:cs="Times New Roman"/>
                <w:noProof/>
                <w:sz w:val="18"/>
                <w:szCs w:val="18"/>
              </w:rPr>
            </w:pPr>
            <w:r>
              <w:rPr>
                <w:rFonts w:ascii="Times New Roman" w:hAnsi="Times New Roman"/>
                <w:noProof/>
                <w:sz w:val="18"/>
              </w:rPr>
              <w:t>Mise en place du secrétariat général à la planification écologique (SGPE)</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34" w14:textId="77777777" w:rsidR="00740F0F" w:rsidRPr="0029070D" w:rsidRDefault="00100B64">
            <w:pPr>
              <w:ind w:left="138" w:right="131"/>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35" w14:textId="77777777" w:rsidR="00740F0F" w:rsidRPr="0029070D" w:rsidRDefault="00100B64" w:rsidP="00F84DDA">
            <w:pPr>
              <w:jc w:val="center"/>
              <w:rPr>
                <w:rFonts w:ascii="Times New Roman" w:eastAsia="Times New Roman" w:hAnsi="Times New Roman" w:cs="Times New Roman"/>
                <w:noProof/>
                <w:sz w:val="18"/>
                <w:szCs w:val="18"/>
              </w:rPr>
            </w:pPr>
            <w:r>
              <w:rPr>
                <w:rFonts w:ascii="Times New Roman" w:hAnsi="Times New Roman"/>
                <w:noProof/>
                <w:sz w:val="18"/>
              </w:rPr>
              <w:t>Entrée en vigueur du décret d’application de la mise en place du SGPE</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36" w14:textId="77777777" w:rsidR="00740F0F" w:rsidRPr="0029070D" w:rsidRDefault="00100B64">
            <w:pPr>
              <w:ind w:left="15" w:right="11"/>
              <w:rPr>
                <w:rFonts w:ascii="Times New Roman" w:eastAsia="Times New Roman" w:hAnsi="Times New Roman" w:cs="Times New Roman"/>
                <w:noProof/>
                <w:sz w:val="18"/>
                <w:szCs w:val="18"/>
              </w:rPr>
            </w:pPr>
            <w:r>
              <w:rPr>
                <w:rFonts w:ascii="Times New Roman" w:hAnsi="Times New Roman"/>
                <w:noProof/>
                <w:sz w:val="18"/>
              </w:rPr>
              <w:t>Dispositions du décret indiquant l’entrée en vigueur</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37" w14:textId="77777777" w:rsidR="00740F0F" w:rsidRPr="0029070D" w:rsidRDefault="00740F0F">
            <w:pPr>
              <w:rPr>
                <w:rFonts w:ascii="Times New Roman" w:eastAsia="Times New Roman" w:hAnsi="Times New Roman" w:cs="Times New Roman"/>
                <w:noProof/>
                <w:sz w:val="18"/>
                <w:szCs w:val="18"/>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38" w14:textId="77777777" w:rsidR="00740F0F" w:rsidRPr="0029070D" w:rsidRDefault="00740F0F">
            <w:pPr>
              <w:rPr>
                <w:rFonts w:ascii="Times New Roman" w:eastAsia="Times New Roman" w:hAnsi="Times New Roman" w:cs="Times New Roman"/>
                <w:noProof/>
                <w:sz w:val="18"/>
                <w:szCs w:val="18"/>
              </w:rPr>
            </w:pP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39" w14:textId="77777777" w:rsidR="00740F0F" w:rsidRPr="0029070D" w:rsidRDefault="00740F0F">
            <w:pPr>
              <w:rPr>
                <w:rFonts w:ascii="Times New Roman" w:eastAsia="Times New Roman" w:hAnsi="Times New Roman" w:cs="Times New Roman"/>
                <w:noProof/>
                <w:sz w:val="18"/>
                <w:szCs w:val="18"/>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3A" w14:textId="77777777" w:rsidR="00740F0F" w:rsidRPr="0029070D" w:rsidRDefault="00100B64" w:rsidP="003A373D">
            <w:pPr>
              <w:spacing w:before="146"/>
              <w:ind w:left="4"/>
              <w:jc w:val="center"/>
              <w:rPr>
                <w:rFonts w:ascii="Times New Roman" w:eastAsia="Times New Roman" w:hAnsi="Times New Roman" w:cs="Times New Roman"/>
                <w:noProof/>
                <w:sz w:val="18"/>
                <w:szCs w:val="18"/>
              </w:rPr>
            </w:pPr>
            <w:r>
              <w:rPr>
                <w:rFonts w:ascii="Times New Roman" w:hAnsi="Times New Roman"/>
                <w:noProof/>
                <w:sz w:val="18"/>
              </w:rPr>
              <w:t>T1</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3B" w14:textId="77777777" w:rsidR="00740F0F" w:rsidRPr="0029070D" w:rsidRDefault="00100B64" w:rsidP="003A373D">
            <w:pPr>
              <w:spacing w:before="146"/>
              <w:ind w:right="132"/>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4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3C" w14:textId="77777777" w:rsidR="00740F0F" w:rsidRPr="0029070D" w:rsidRDefault="00100B64">
            <w:pPr>
              <w:ind w:right="119"/>
              <w:rPr>
                <w:rFonts w:ascii="Times New Roman" w:eastAsia="Times New Roman" w:hAnsi="Times New Roman" w:cs="Times New Roman"/>
                <w:noProof/>
                <w:sz w:val="18"/>
                <w:szCs w:val="18"/>
              </w:rPr>
            </w:pPr>
            <w:r>
              <w:rPr>
                <w:rFonts w:ascii="Times New Roman" w:hAnsi="Times New Roman"/>
                <w:noProof/>
                <w:sz w:val="18"/>
              </w:rPr>
              <w:t>Entrée en vigueur du décret nº 2022-990 relatif à la mise en place du SGPE et à son entrée en service. Le décret définit les prérogatives du SGPE, et notamment:</w:t>
            </w:r>
          </w:p>
          <w:p w14:paraId="5A8AEB3D" w14:textId="77777777" w:rsidR="00740F0F" w:rsidRPr="0029070D" w:rsidRDefault="00100B64">
            <w:pPr>
              <w:numPr>
                <w:ilvl w:val="0"/>
                <w:numId w:val="57"/>
              </w:numPr>
              <w:spacing w:before="149" w:line="247" w:lineRule="auto"/>
              <w:ind w:left="297" w:right="119" w:hanging="284"/>
              <w:rPr>
                <w:rFonts w:ascii="Times New Roman" w:eastAsia="Times New Roman" w:hAnsi="Times New Roman" w:cs="Times New Roman"/>
                <w:noProof/>
                <w:sz w:val="18"/>
                <w:szCs w:val="18"/>
              </w:rPr>
            </w:pPr>
            <w:r>
              <w:rPr>
                <w:rFonts w:ascii="Times New Roman" w:hAnsi="Times New Roman"/>
                <w:noProof/>
                <w:sz w:val="18"/>
              </w:rPr>
              <w:t>coordonner l’élaboration des stratégies nationales en matière de climat, d’énergie, de biodiversité et d’économie circulaire</w:t>
            </w:r>
          </w:p>
          <w:p w14:paraId="5A8AEB3E" w14:textId="77777777" w:rsidR="00740F0F" w:rsidRPr="0029070D" w:rsidRDefault="00100B64">
            <w:pPr>
              <w:numPr>
                <w:ilvl w:val="0"/>
                <w:numId w:val="57"/>
              </w:numPr>
              <w:spacing w:before="149" w:line="247" w:lineRule="auto"/>
              <w:ind w:left="297" w:right="119" w:hanging="284"/>
              <w:rPr>
                <w:rFonts w:ascii="Times New Roman" w:eastAsia="Times New Roman" w:hAnsi="Times New Roman" w:cs="Times New Roman"/>
                <w:noProof/>
                <w:sz w:val="18"/>
                <w:szCs w:val="18"/>
              </w:rPr>
            </w:pPr>
            <w:r>
              <w:rPr>
                <w:rFonts w:ascii="Times New Roman" w:hAnsi="Times New Roman"/>
                <w:noProof/>
                <w:sz w:val="18"/>
              </w:rPr>
              <w:t>assurer la mise en œuvre de ces stratégies par tous les ministères concernés et leur traduction en plans d’action;</w:t>
            </w:r>
          </w:p>
          <w:p w14:paraId="5A8AEB3F" w14:textId="77777777" w:rsidR="00740F0F" w:rsidRPr="0029070D" w:rsidRDefault="00100B64">
            <w:pPr>
              <w:numPr>
                <w:ilvl w:val="0"/>
                <w:numId w:val="57"/>
              </w:numPr>
              <w:spacing w:before="156" w:line="247" w:lineRule="auto"/>
              <w:ind w:left="297" w:right="120" w:hanging="284"/>
              <w:rPr>
                <w:rFonts w:ascii="Times New Roman" w:eastAsia="Times New Roman" w:hAnsi="Times New Roman" w:cs="Times New Roman"/>
                <w:noProof/>
                <w:sz w:val="18"/>
                <w:szCs w:val="18"/>
              </w:rPr>
            </w:pPr>
            <w:r>
              <w:rPr>
                <w:rFonts w:ascii="Times New Roman" w:hAnsi="Times New Roman"/>
                <w:noProof/>
                <w:sz w:val="18"/>
              </w:rPr>
              <w:t>préparer et coordonner les réponses du gouvernement aux avis du Haut conseil pour le climat.</w:t>
            </w:r>
          </w:p>
        </w:tc>
      </w:tr>
      <w:tr w:rsidR="00782477" w:rsidRPr="0029070D" w14:paraId="5A8AEB4F" w14:textId="77777777" w:rsidTr="00F84DDA">
        <w:trPr>
          <w:trHeight w:val="1912"/>
          <w:jc w:val="center"/>
        </w:trPr>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41"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10-3</w:t>
            </w:r>
          </w:p>
        </w:tc>
        <w:tc>
          <w:tcPr>
            <w:tcW w:w="13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42" w14:textId="77777777" w:rsidR="00740F0F" w:rsidRPr="0029070D" w:rsidRDefault="00100B64">
            <w:pPr>
              <w:spacing w:line="214" w:lineRule="exact"/>
              <w:ind w:left="9" w:right="36"/>
              <w:jc w:val="center"/>
              <w:rPr>
                <w:rFonts w:ascii="Times New Roman" w:eastAsia="Times New Roman" w:hAnsi="Times New Roman" w:cs="Times New Roman"/>
                <w:noProof/>
                <w:sz w:val="18"/>
                <w:szCs w:val="18"/>
              </w:rPr>
            </w:pPr>
            <w:r>
              <w:rPr>
                <w:rFonts w:ascii="Times New Roman" w:hAnsi="Times New Roman"/>
                <w:noProof/>
                <w:sz w:val="18"/>
              </w:rPr>
              <w:t>C10.R3</w:t>
            </w:r>
          </w:p>
          <w:p w14:paraId="5A8AEB43" w14:textId="77777777" w:rsidR="00740F0F" w:rsidRPr="0029070D" w:rsidRDefault="00100B64">
            <w:pPr>
              <w:spacing w:line="214" w:lineRule="exact"/>
              <w:ind w:left="9" w:right="36" w:firstLine="2"/>
              <w:jc w:val="center"/>
              <w:rPr>
                <w:rFonts w:ascii="Times New Roman" w:eastAsia="Times New Roman" w:hAnsi="Times New Roman" w:cs="Times New Roman"/>
                <w:noProof/>
                <w:sz w:val="18"/>
                <w:szCs w:val="18"/>
              </w:rPr>
            </w:pPr>
            <w:r>
              <w:rPr>
                <w:rFonts w:ascii="Times New Roman" w:hAnsi="Times New Roman"/>
                <w:noProof/>
                <w:sz w:val="18"/>
              </w:rPr>
              <w:t>Plan de sobriété énergétique</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44" w14:textId="77777777" w:rsidR="00740F0F" w:rsidRPr="0029070D" w:rsidRDefault="00100B64">
            <w:pPr>
              <w:spacing w:line="214" w:lineRule="exact"/>
              <w:ind w:left="9" w:right="123"/>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45" w14:textId="77777777" w:rsidR="00740F0F" w:rsidRPr="0029070D" w:rsidRDefault="00100B64" w:rsidP="00F84DDA">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Publication du plan de sobriété énergétique</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46"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Publication du plan de sobriété énergétique</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47"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48"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49"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4A" w14:textId="77777777" w:rsidR="00740F0F" w:rsidRPr="0029070D" w:rsidRDefault="00100B64" w:rsidP="003A373D">
            <w:pPr>
              <w:spacing w:line="214" w:lineRule="exact"/>
              <w:ind w:left="9" w:right="331"/>
              <w:jc w:val="center"/>
              <w:rPr>
                <w:rFonts w:ascii="Times New Roman" w:eastAsia="Times New Roman" w:hAnsi="Times New Roman" w:cs="Times New Roman"/>
                <w:noProof/>
                <w:sz w:val="18"/>
                <w:szCs w:val="18"/>
              </w:rPr>
            </w:pPr>
            <w:r>
              <w:rPr>
                <w:rFonts w:ascii="Times New Roman" w:hAnsi="Times New Roman"/>
                <w:noProof/>
                <w:sz w:val="18"/>
              </w:rPr>
              <w:t>T1</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4B" w14:textId="77777777" w:rsidR="00740F0F" w:rsidRPr="0029070D" w:rsidRDefault="00100B64" w:rsidP="003A373D">
            <w:pPr>
              <w:spacing w:line="214" w:lineRule="exact"/>
              <w:ind w:left="9" w:right="132"/>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4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4C" w14:textId="77777777" w:rsidR="00740F0F" w:rsidRPr="0029070D" w:rsidRDefault="00100B64">
            <w:pPr>
              <w:spacing w:line="214" w:lineRule="exact"/>
              <w:ind w:left="9" w:right="113"/>
              <w:rPr>
                <w:rFonts w:ascii="Times New Roman" w:eastAsia="Times New Roman" w:hAnsi="Times New Roman" w:cs="Times New Roman"/>
                <w:noProof/>
                <w:sz w:val="18"/>
                <w:szCs w:val="18"/>
              </w:rPr>
            </w:pPr>
            <w:r>
              <w:rPr>
                <w:rFonts w:ascii="Times New Roman" w:hAnsi="Times New Roman"/>
                <w:noProof/>
                <w:sz w:val="18"/>
              </w:rPr>
              <w:t>Publication du plan de sobriété énergétique avec l’objectif d’une réduction de 10 % de la consommation d’énergie nationale d’ici à 2024 (par rapport à l’hiver 2018-2019).</w:t>
            </w:r>
          </w:p>
          <w:p w14:paraId="5A8AEB4D"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Le plan contient des propositions de réduction de consommation d’énergie dans différents domaines comprenant le logement, les transports</w:t>
            </w:r>
          </w:p>
          <w:p w14:paraId="5A8AEB4E"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et l’industrie.</w:t>
            </w:r>
          </w:p>
        </w:tc>
      </w:tr>
      <w:tr w:rsidR="00782477" w:rsidRPr="0029070D" w14:paraId="5A8AEB5E" w14:textId="77777777" w:rsidTr="00F84DDA">
        <w:trPr>
          <w:trHeight w:val="2663"/>
          <w:jc w:val="center"/>
        </w:trPr>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5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10-4</w:t>
            </w:r>
          </w:p>
        </w:tc>
        <w:tc>
          <w:tcPr>
            <w:tcW w:w="13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51" w14:textId="77777777" w:rsidR="00740F0F" w:rsidRPr="0029070D" w:rsidRDefault="00100B64">
            <w:pPr>
              <w:spacing w:line="214" w:lineRule="exact"/>
              <w:ind w:left="9" w:right="131"/>
              <w:jc w:val="center"/>
              <w:rPr>
                <w:rFonts w:ascii="Times New Roman" w:eastAsia="Times New Roman" w:hAnsi="Times New Roman" w:cs="Times New Roman"/>
                <w:noProof/>
                <w:sz w:val="18"/>
                <w:szCs w:val="18"/>
              </w:rPr>
            </w:pPr>
            <w:r>
              <w:rPr>
                <w:rFonts w:ascii="Times New Roman" w:hAnsi="Times New Roman"/>
                <w:noProof/>
                <w:sz w:val="18"/>
              </w:rPr>
              <w:t>C10.I1</w:t>
            </w:r>
          </w:p>
          <w:p w14:paraId="5A8AEB52" w14:textId="77777777" w:rsidR="00740F0F" w:rsidRPr="0029070D" w:rsidRDefault="00100B64">
            <w:pPr>
              <w:spacing w:line="214" w:lineRule="exact"/>
              <w:ind w:left="9" w:right="126"/>
              <w:jc w:val="center"/>
              <w:rPr>
                <w:rFonts w:ascii="Times New Roman" w:eastAsia="Times New Roman" w:hAnsi="Times New Roman" w:cs="Times New Roman"/>
                <w:noProof/>
                <w:sz w:val="18"/>
                <w:szCs w:val="18"/>
              </w:rPr>
            </w:pPr>
            <w:r>
              <w:rPr>
                <w:rFonts w:ascii="Times New Roman" w:hAnsi="Times New Roman"/>
                <w:noProof/>
                <w:sz w:val="18"/>
              </w:rPr>
              <w:t>Industrie zéro fossile</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53" w14:textId="77777777" w:rsidR="00740F0F" w:rsidRPr="0029070D" w:rsidRDefault="00100B64">
            <w:pPr>
              <w:spacing w:line="214" w:lineRule="exact"/>
              <w:ind w:left="9" w:right="123"/>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54" w14:textId="77777777" w:rsidR="00740F0F" w:rsidRPr="0029070D" w:rsidRDefault="00100B64" w:rsidP="00F84DDA">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Sélection des projets contribuant à une réduction prévisionnelle de la consommation d’énergie fossile</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55"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Sélection des projets</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56"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57"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58"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59" w14:textId="77777777" w:rsidR="00740F0F" w:rsidRPr="0029070D" w:rsidRDefault="00100B64" w:rsidP="003A373D">
            <w:pPr>
              <w:spacing w:line="214" w:lineRule="exact"/>
              <w:ind w:left="9" w:right="331"/>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5A" w14:textId="77777777" w:rsidR="00740F0F" w:rsidRPr="0029070D" w:rsidRDefault="00100B64" w:rsidP="003A373D">
            <w:pPr>
              <w:spacing w:line="214" w:lineRule="exact"/>
              <w:ind w:left="9" w:right="132"/>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4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5B"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Sélection de projets visant conjointement une réduction prévisionnelle de la consommation d’énergie fossile de 250 GWh d’énergie primaire par an.</w:t>
            </w:r>
          </w:p>
          <w:p w14:paraId="5A8AEB5C" w14:textId="77777777" w:rsidR="00740F0F" w:rsidRPr="0029070D" w:rsidRDefault="00100B64">
            <w:pPr>
              <w:spacing w:line="214" w:lineRule="exact"/>
              <w:ind w:left="9" w:right="155"/>
              <w:rPr>
                <w:rFonts w:ascii="Times New Roman" w:eastAsia="Times New Roman" w:hAnsi="Times New Roman" w:cs="Times New Roman"/>
                <w:noProof/>
                <w:sz w:val="18"/>
                <w:szCs w:val="18"/>
              </w:rPr>
            </w:pPr>
            <w:r>
              <w:rPr>
                <w:rFonts w:ascii="Times New Roman" w:hAnsi="Times New Roman"/>
                <w:noProof/>
                <w:sz w:val="18"/>
              </w:rPr>
              <w:t>La réduction de consommation de GWh d’énergie primaire est calculée par rapport à la situation «avant investissement» et définie par l’opérateur dans la réponse à l’appel à projets. Les investissements réalisés dans les installations couvertes par le SEQE permettent d’atteindre les projections d’émissions de gaz à effet de serre conformément aux conditions énoncées dans la description de la mesure.</w:t>
            </w:r>
          </w:p>
          <w:p w14:paraId="5A8AEB5D"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Les solutions fondées sur la biomasse sont conformes aux conditions énoncées dans la description de la mesure</w:t>
            </w:r>
          </w:p>
        </w:tc>
      </w:tr>
      <w:tr w:rsidR="00782477" w:rsidRPr="0029070D" w14:paraId="5A8AEB71" w14:textId="77777777" w:rsidTr="00F84DDA">
        <w:trPr>
          <w:trHeight w:val="395"/>
          <w:jc w:val="center"/>
        </w:trPr>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5F" w14:textId="77777777" w:rsidR="00740F0F" w:rsidRPr="0029070D" w:rsidRDefault="00100B64">
            <w:pPr>
              <w:ind w:left="357"/>
              <w:rPr>
                <w:rFonts w:ascii="Times New Roman" w:eastAsia="Times New Roman" w:hAnsi="Times New Roman" w:cs="Times New Roman"/>
                <w:noProof/>
                <w:sz w:val="18"/>
                <w:szCs w:val="18"/>
              </w:rPr>
            </w:pPr>
            <w:r>
              <w:rPr>
                <w:rFonts w:ascii="Times New Roman" w:hAnsi="Times New Roman"/>
                <w:noProof/>
                <w:sz w:val="18"/>
              </w:rPr>
              <w:t>10-5</w:t>
            </w:r>
          </w:p>
        </w:tc>
        <w:tc>
          <w:tcPr>
            <w:tcW w:w="13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60" w14:textId="77777777" w:rsidR="00740F0F" w:rsidRPr="0029070D" w:rsidRDefault="00100B64">
            <w:pPr>
              <w:ind w:left="144" w:right="131"/>
              <w:jc w:val="center"/>
              <w:rPr>
                <w:rFonts w:ascii="Times New Roman" w:eastAsia="Times New Roman" w:hAnsi="Times New Roman" w:cs="Times New Roman"/>
                <w:noProof/>
                <w:sz w:val="18"/>
                <w:szCs w:val="18"/>
              </w:rPr>
            </w:pPr>
            <w:r>
              <w:rPr>
                <w:rFonts w:ascii="Times New Roman" w:hAnsi="Times New Roman"/>
                <w:noProof/>
                <w:sz w:val="18"/>
              </w:rPr>
              <w:t>C10.I1</w:t>
            </w:r>
          </w:p>
          <w:p w14:paraId="5A8AEB61" w14:textId="77777777" w:rsidR="00740F0F" w:rsidRPr="0029070D" w:rsidRDefault="00100B64">
            <w:pPr>
              <w:ind w:left="144" w:right="126"/>
              <w:jc w:val="center"/>
              <w:rPr>
                <w:rFonts w:ascii="Times New Roman" w:eastAsia="Times New Roman" w:hAnsi="Times New Roman" w:cs="Times New Roman"/>
                <w:noProof/>
                <w:sz w:val="18"/>
                <w:szCs w:val="18"/>
              </w:rPr>
            </w:pPr>
            <w:r>
              <w:rPr>
                <w:rFonts w:ascii="Times New Roman" w:hAnsi="Times New Roman"/>
                <w:noProof/>
                <w:sz w:val="18"/>
              </w:rPr>
              <w:t>Industrie zéro fossile</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62" w14:textId="77777777" w:rsidR="00740F0F" w:rsidRPr="0029070D" w:rsidRDefault="00100B64">
            <w:pPr>
              <w:ind w:left="144" w:right="123"/>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63" w14:textId="77777777" w:rsidR="00740F0F" w:rsidRPr="0029070D" w:rsidRDefault="00100B64" w:rsidP="00F84DDA">
            <w:pPr>
              <w:jc w:val="center"/>
              <w:rPr>
                <w:rFonts w:ascii="Times New Roman" w:eastAsia="Times New Roman" w:hAnsi="Times New Roman" w:cs="Times New Roman"/>
                <w:noProof/>
                <w:sz w:val="18"/>
                <w:szCs w:val="18"/>
              </w:rPr>
            </w:pPr>
            <w:r>
              <w:rPr>
                <w:rFonts w:ascii="Times New Roman" w:hAnsi="Times New Roman"/>
                <w:noProof/>
                <w:sz w:val="18"/>
              </w:rPr>
              <w:t>Mise en service des projets contribuant à une réduction prévisionnelle de la consommation d’énergie fossile</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64" w14:textId="77777777" w:rsidR="00740F0F" w:rsidRPr="0029070D" w:rsidRDefault="00100B64">
            <w:pPr>
              <w:ind w:left="15"/>
              <w:rPr>
                <w:rFonts w:ascii="Times New Roman" w:eastAsia="Times New Roman" w:hAnsi="Times New Roman" w:cs="Times New Roman"/>
                <w:noProof/>
                <w:sz w:val="18"/>
                <w:szCs w:val="18"/>
              </w:rPr>
            </w:pPr>
            <w:r>
              <w:rPr>
                <w:rFonts w:ascii="Times New Roman" w:hAnsi="Times New Roman"/>
                <w:noProof/>
                <w:sz w:val="18"/>
              </w:rPr>
              <w:t>Mise en service des projets</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65" w14:textId="77777777" w:rsidR="00740F0F" w:rsidRPr="0029070D" w:rsidRDefault="00740F0F">
            <w:pPr>
              <w:rPr>
                <w:rFonts w:ascii="Times New Roman" w:eastAsia="Times New Roman" w:hAnsi="Times New Roman" w:cs="Times New Roman"/>
                <w:noProof/>
                <w:sz w:val="18"/>
                <w:szCs w:val="18"/>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66" w14:textId="77777777" w:rsidR="00740F0F" w:rsidRPr="0029070D" w:rsidRDefault="00740F0F">
            <w:pPr>
              <w:rPr>
                <w:rFonts w:ascii="Times New Roman" w:eastAsia="Times New Roman" w:hAnsi="Times New Roman" w:cs="Times New Roman"/>
                <w:noProof/>
                <w:sz w:val="18"/>
                <w:szCs w:val="18"/>
              </w:rPr>
            </w:pP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67" w14:textId="77777777" w:rsidR="00740F0F" w:rsidRPr="0029070D" w:rsidRDefault="00740F0F">
            <w:pPr>
              <w:rPr>
                <w:rFonts w:ascii="Times New Roman" w:eastAsia="Times New Roman" w:hAnsi="Times New Roman" w:cs="Times New Roman"/>
                <w:noProof/>
                <w:sz w:val="18"/>
                <w:szCs w:val="18"/>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68" w14:textId="77777777" w:rsidR="00740F0F" w:rsidRPr="0029070D" w:rsidRDefault="00100B64" w:rsidP="003A373D">
            <w:pPr>
              <w:ind w:left="338" w:right="331"/>
              <w:jc w:val="center"/>
              <w:rPr>
                <w:rFonts w:ascii="Times New Roman" w:eastAsia="Times New Roman" w:hAnsi="Times New Roman" w:cs="Times New Roman"/>
                <w:noProof/>
                <w:sz w:val="18"/>
                <w:szCs w:val="18"/>
              </w:rPr>
            </w:pPr>
            <w:r>
              <w:rPr>
                <w:rFonts w:ascii="Times New Roman" w:hAnsi="Times New Roman"/>
                <w:noProof/>
                <w:sz w:val="18"/>
              </w:rPr>
              <w:t>T2</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69" w14:textId="77777777" w:rsidR="00740F0F" w:rsidRPr="0029070D" w:rsidRDefault="00100B64" w:rsidP="003A373D">
            <w:pPr>
              <w:ind w:right="132"/>
              <w:jc w:val="center"/>
              <w:rPr>
                <w:rFonts w:ascii="Times New Roman" w:eastAsia="Times New Roman" w:hAnsi="Times New Roman" w:cs="Times New Roman"/>
                <w:noProof/>
                <w:sz w:val="18"/>
                <w:szCs w:val="18"/>
              </w:rPr>
            </w:pPr>
            <w:r>
              <w:rPr>
                <w:rFonts w:ascii="Times New Roman" w:hAnsi="Times New Roman"/>
                <w:noProof/>
                <w:sz w:val="18"/>
              </w:rPr>
              <w:t>2026</w:t>
            </w:r>
          </w:p>
        </w:tc>
        <w:tc>
          <w:tcPr>
            <w:tcW w:w="4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6A" w14:textId="4C33A726" w:rsidR="00740F0F" w:rsidRPr="0029070D" w:rsidRDefault="00100B64" w:rsidP="003A373D">
            <w:pPr>
              <w:ind w:left="57" w:right="57"/>
              <w:rPr>
                <w:rFonts w:ascii="Times New Roman" w:eastAsia="Times New Roman" w:hAnsi="Times New Roman" w:cs="Times New Roman"/>
                <w:noProof/>
                <w:sz w:val="18"/>
                <w:szCs w:val="18"/>
              </w:rPr>
            </w:pPr>
            <w:r>
              <w:rPr>
                <w:rFonts w:ascii="Times New Roman" w:hAnsi="Times New Roman"/>
                <w:noProof/>
                <w:sz w:val="18"/>
              </w:rPr>
              <w:t>Mise en service de projets visant conjointement une réduction prévisionnelle de la consommation d’énergie fossile de 150 GWh d’énergie primaire par an.</w:t>
            </w:r>
          </w:p>
          <w:p w14:paraId="5A8AEB6B" w14:textId="24FDF7BF" w:rsidR="00740F0F" w:rsidRPr="0029070D" w:rsidRDefault="00100B64" w:rsidP="003A373D">
            <w:pPr>
              <w:ind w:left="57" w:right="57"/>
              <w:rPr>
                <w:rFonts w:ascii="Times New Roman" w:eastAsia="Times New Roman" w:hAnsi="Times New Roman" w:cs="Times New Roman"/>
                <w:noProof/>
                <w:sz w:val="18"/>
                <w:szCs w:val="18"/>
              </w:rPr>
            </w:pPr>
            <w:r>
              <w:rPr>
                <w:rFonts w:ascii="Times New Roman" w:hAnsi="Times New Roman"/>
                <w:noProof/>
                <w:sz w:val="18"/>
              </w:rPr>
              <w:t xml:space="preserve">La réduction de consommation de GWh d’énergie primaire est calculée par rapport à la situation «avant investissement» et définie dans les conventions financières ou leurs annexes. Si la réduction attendue de consommation de GWh d’énergie primaire n’est pas indiquée dans les conventions financières ou leurs annexes, elle est extraite de l’évaluation de la demande fournie par l’organisme chargé de l’octroi. </w:t>
            </w:r>
          </w:p>
          <w:p w14:paraId="5A8AEB6C" w14:textId="77777777" w:rsidR="00740F0F" w:rsidRPr="0029070D" w:rsidRDefault="00100B64" w:rsidP="003A373D">
            <w:pPr>
              <w:ind w:left="57" w:right="57"/>
              <w:rPr>
                <w:rFonts w:ascii="Times New Roman" w:eastAsia="Times New Roman" w:hAnsi="Times New Roman" w:cs="Times New Roman"/>
                <w:noProof/>
                <w:sz w:val="18"/>
                <w:szCs w:val="18"/>
              </w:rPr>
            </w:pPr>
            <w:r>
              <w:rPr>
                <w:rFonts w:ascii="Times New Roman" w:hAnsi="Times New Roman"/>
                <w:noProof/>
                <w:sz w:val="18"/>
              </w:rPr>
              <w:t>Les projets sont sélectionnés au moyen d’appels dans trois catégories:</w:t>
            </w:r>
          </w:p>
          <w:p w14:paraId="5A8AEB6D" w14:textId="3EA35DA2" w:rsidR="00740F0F" w:rsidRPr="0029070D" w:rsidRDefault="00100B64" w:rsidP="003A373D">
            <w:pPr>
              <w:ind w:left="57" w:right="57"/>
              <w:rPr>
                <w:rFonts w:ascii="Times New Roman" w:eastAsia="Times New Roman" w:hAnsi="Times New Roman" w:cs="Times New Roman"/>
                <w:noProof/>
                <w:sz w:val="18"/>
                <w:szCs w:val="18"/>
              </w:rPr>
            </w:pPr>
            <w:r>
              <w:rPr>
                <w:rFonts w:ascii="Times New Roman" w:hAnsi="Times New Roman"/>
                <w:noProof/>
                <w:sz w:val="18"/>
              </w:rPr>
              <w:t>1)</w:t>
            </w:r>
            <w:r>
              <w:rPr>
                <w:noProof/>
              </w:rPr>
              <w:tab/>
            </w:r>
            <w:r>
              <w:rPr>
                <w:rFonts w:ascii="Times New Roman" w:hAnsi="Times New Roman"/>
                <w:noProof/>
                <w:sz w:val="18"/>
              </w:rPr>
              <w:t>la production de chaleur à partir de biomasse au moyen de projets d’installation de nouvelles chaudières à biomasse permettant le remplacement des combustibles fossiles. La solution à base de biomasse respectera les critères de durabilité et de réduction des émissions de gaz à effet de serre fixés aux articles 29 à 31 de la directive (UE) 2018/2001 sur les sources d’énergie renouvelables (directive SER II), ainsi que les règles applicables aux biocarburants produits à partir de cultures destinées à l’alimentation humaine et animale énoncées à l’article 26 de ladite directive, de même que les actes délégués et les actes d’exécution qui y sont liés;</w:t>
            </w:r>
          </w:p>
          <w:p w14:paraId="5A8AEB6E" w14:textId="77777777" w:rsidR="00740F0F" w:rsidRPr="0029070D" w:rsidRDefault="00100B64" w:rsidP="003A373D">
            <w:pPr>
              <w:ind w:left="57" w:right="57"/>
              <w:rPr>
                <w:rFonts w:ascii="Times New Roman" w:eastAsia="Times New Roman" w:hAnsi="Times New Roman" w:cs="Times New Roman"/>
                <w:noProof/>
                <w:sz w:val="18"/>
                <w:szCs w:val="18"/>
              </w:rPr>
            </w:pPr>
            <w:r>
              <w:rPr>
                <w:rFonts w:ascii="Times New Roman" w:hAnsi="Times New Roman"/>
                <w:noProof/>
                <w:sz w:val="18"/>
              </w:rPr>
              <w:t>2)</w:t>
            </w:r>
            <w:r>
              <w:rPr>
                <w:rFonts w:ascii="Times New Roman" w:hAnsi="Times New Roman"/>
                <w:noProof/>
                <w:sz w:val="18"/>
              </w:rPr>
              <w:tab/>
              <w:t>les projets de grande envergure (d’une valeur supérieure à 3 millions d’EUR) visant à réduire la consommation d’énergie fossile, tels que des projets portant sur l’efficacité énergétique, la récupération de la chaleur fatale, la modification des procédés industriels de production et l’électrification.</w:t>
            </w:r>
          </w:p>
          <w:p w14:paraId="5A8AEB6F" w14:textId="703523DF" w:rsidR="00740F0F" w:rsidRPr="0029070D" w:rsidRDefault="00100B64" w:rsidP="003A373D">
            <w:pPr>
              <w:ind w:left="57" w:right="57"/>
              <w:rPr>
                <w:rFonts w:ascii="Times New Roman" w:eastAsia="Times New Roman" w:hAnsi="Times New Roman" w:cs="Times New Roman"/>
                <w:noProof/>
                <w:sz w:val="18"/>
                <w:szCs w:val="18"/>
              </w:rPr>
            </w:pPr>
            <w:r>
              <w:rPr>
                <w:rFonts w:ascii="Times New Roman" w:hAnsi="Times New Roman"/>
                <w:noProof/>
                <w:sz w:val="18"/>
              </w:rPr>
              <w:t>3)</w:t>
            </w:r>
            <w:r>
              <w:rPr>
                <w:rFonts w:ascii="Times New Roman" w:hAnsi="Times New Roman"/>
                <w:noProof/>
                <w:sz w:val="18"/>
              </w:rPr>
              <w:tab/>
              <w:t>les projets de décarbonation de moindre envergure (d’une valeur inférieure à 3</w:t>
            </w:r>
            <w:r>
              <w:rPr>
                <w:rFonts w:ascii="Times New Roman" w:hAnsi="Times New Roman"/>
                <w:noProof/>
                <w:sz w:val="20"/>
              </w:rPr>
              <w:t> </w:t>
            </w:r>
            <w:r>
              <w:rPr>
                <w:rFonts w:ascii="Times New Roman" w:hAnsi="Times New Roman"/>
                <w:noProof/>
                <w:sz w:val="18"/>
              </w:rPr>
              <w:t>millions d’EUR), tels que des projets portant sur l’efficacité énergétique, la récupération de la chaleur fatale, la modification des procédés industriels de production et l’électrification.</w:t>
            </w:r>
          </w:p>
          <w:p w14:paraId="5A8AEB70" w14:textId="77777777" w:rsidR="00740F0F" w:rsidRPr="0029070D" w:rsidRDefault="00100B64" w:rsidP="003A373D">
            <w:pPr>
              <w:ind w:left="57" w:right="57"/>
              <w:rPr>
                <w:rFonts w:ascii="Times New Roman" w:eastAsia="Times New Roman" w:hAnsi="Times New Roman" w:cs="Times New Roman"/>
                <w:noProof/>
                <w:sz w:val="18"/>
                <w:szCs w:val="18"/>
              </w:rPr>
            </w:pPr>
            <w:r>
              <w:rPr>
                <w:rFonts w:ascii="Times New Roman" w:hAnsi="Times New Roman"/>
                <w:noProof/>
                <w:sz w:val="18"/>
              </w:rPr>
              <w:t>Les projets sélectionnés qui ne sont pas évalués dans le cadre du jalon 10-4 doivent respecter le principe consistant à «ne pas causer de préjudice important». Les investissements réalisés dans des installations relevant du système d’échange de quotas d’émission de l’Union européenne (SEQE) permettent de réduire l’intensité d’émissions de CO</w:t>
            </w:r>
            <w:r>
              <w:rPr>
                <w:rFonts w:ascii="Times New Roman" w:hAnsi="Times New Roman"/>
                <w:noProof/>
                <w:sz w:val="18"/>
                <w:vertAlign w:val="subscript"/>
              </w:rPr>
              <w:t>2</w:t>
            </w:r>
            <w:r>
              <w:rPr>
                <w:rFonts w:ascii="Times New Roman" w:hAnsi="Times New Roman"/>
                <w:noProof/>
                <w:sz w:val="18"/>
              </w:rPr>
              <w:t>, de sorte que la mesure respecte le principe consistant à «ne pas causer de préjudice important» énoncé dans le règlement (UE) 2021/241. Les activités énumérées ci-après ne sont pas soutenues: i) les activités liées aux combustibles fossiles, y compris l’utilisation en aval</w:t>
            </w:r>
            <w:r w:rsidRPr="0029070D">
              <w:rPr>
                <w:rStyle w:val="FootnoteReference"/>
                <w:rFonts w:ascii="Times New Roman" w:eastAsia="Times New Roman" w:hAnsi="Times New Roman" w:cs="Times New Roman"/>
                <w:noProof/>
                <w:sz w:val="18"/>
                <w:szCs w:val="18"/>
              </w:rPr>
              <w:footnoteReference w:id="34"/>
            </w:r>
            <w:r>
              <w:rPr>
                <w:rFonts w:ascii="Times New Roman" w:hAnsi="Times New Roman"/>
                <w:noProof/>
                <w:sz w:val="18"/>
              </w:rPr>
              <w:t>; ii) les activités menées dans le cadre du système d’échange de quotas d’émission (SEQE) de l’UE dont la projection d’intensité d’émissions de gaz à effet de serre n’est pas inférieure aux référentiels pertinents</w:t>
            </w:r>
            <w:r w:rsidRPr="0029070D">
              <w:rPr>
                <w:rStyle w:val="FootnoteReference"/>
                <w:rFonts w:ascii="Times New Roman" w:eastAsia="Times New Roman" w:hAnsi="Times New Roman" w:cs="Times New Roman"/>
                <w:noProof/>
                <w:sz w:val="18"/>
                <w:szCs w:val="18"/>
              </w:rPr>
              <w:footnoteReference w:id="35"/>
            </w:r>
            <w:r>
              <w:rPr>
                <w:rFonts w:ascii="Times New Roman" w:hAnsi="Times New Roman"/>
                <w:noProof/>
                <w:sz w:val="18"/>
              </w:rPr>
              <w:t>; iii) les activités liées aux décharges de déchets, aux incinérateurs</w:t>
            </w:r>
            <w:r w:rsidRPr="0029070D">
              <w:rPr>
                <w:rStyle w:val="FootnoteReference"/>
                <w:rFonts w:ascii="Times New Roman" w:eastAsia="Times New Roman" w:hAnsi="Times New Roman" w:cs="Times New Roman"/>
                <w:noProof/>
                <w:sz w:val="18"/>
                <w:szCs w:val="18"/>
              </w:rPr>
              <w:footnoteReference w:id="36"/>
            </w:r>
            <w:r>
              <w:rPr>
                <w:rFonts w:ascii="Times New Roman" w:hAnsi="Times New Roman"/>
                <w:noProof/>
                <w:sz w:val="18"/>
              </w:rPr>
              <w:t xml:space="preserve"> et aux installations de traitement mécanique biologique</w:t>
            </w:r>
            <w:r w:rsidRPr="0029070D">
              <w:rPr>
                <w:rStyle w:val="FootnoteReference"/>
                <w:rFonts w:ascii="Times New Roman" w:eastAsia="Times New Roman" w:hAnsi="Times New Roman" w:cs="Times New Roman"/>
                <w:noProof/>
                <w:sz w:val="18"/>
                <w:szCs w:val="18"/>
              </w:rPr>
              <w:footnoteReference w:id="37"/>
            </w:r>
            <w:r>
              <w:rPr>
                <w:rFonts w:ascii="Times New Roman" w:hAnsi="Times New Roman"/>
                <w:noProof/>
                <w:sz w:val="18"/>
              </w:rPr>
              <w:t>;</w:t>
            </w:r>
          </w:p>
        </w:tc>
      </w:tr>
      <w:tr w:rsidR="00782477" w:rsidRPr="0029070D" w14:paraId="5A8AEB7E" w14:textId="77777777" w:rsidTr="00F84DDA">
        <w:trPr>
          <w:trHeight w:val="1115"/>
          <w:jc w:val="center"/>
        </w:trPr>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72"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10-7</w:t>
            </w:r>
          </w:p>
        </w:tc>
        <w:tc>
          <w:tcPr>
            <w:tcW w:w="13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7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C10.I2</w:t>
            </w:r>
          </w:p>
          <w:p w14:paraId="5A8AEB74"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PIIEC Hydrogène</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75" w14:textId="77777777" w:rsidR="00740F0F" w:rsidRPr="0029070D" w:rsidRDefault="00100B64">
            <w:pPr>
              <w:spacing w:line="214" w:lineRule="exact"/>
              <w:ind w:left="9" w:right="123"/>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76" w14:textId="77777777" w:rsidR="00740F0F" w:rsidRPr="0029070D" w:rsidRDefault="00100B64" w:rsidP="00F84DDA">
            <w:pPr>
              <w:spacing w:line="214" w:lineRule="exact"/>
              <w:ind w:left="9" w:right="160"/>
              <w:jc w:val="center"/>
              <w:rPr>
                <w:rFonts w:ascii="Times New Roman" w:eastAsia="Times New Roman" w:hAnsi="Times New Roman" w:cs="Times New Roman"/>
                <w:noProof/>
                <w:sz w:val="18"/>
                <w:szCs w:val="18"/>
              </w:rPr>
            </w:pPr>
            <w:r>
              <w:rPr>
                <w:rFonts w:ascii="Times New Roman" w:hAnsi="Times New Roman"/>
                <w:noProof/>
                <w:sz w:val="18"/>
              </w:rPr>
              <w:t>Électrolyseur à oxyde solide à haute température (projet Genvia)</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77" w14:textId="77777777" w:rsidR="00740F0F" w:rsidRPr="0029070D" w:rsidRDefault="00100B64">
            <w:pPr>
              <w:spacing w:line="214" w:lineRule="exact"/>
              <w:ind w:left="9" w:right="11" w:hanging="2"/>
              <w:rPr>
                <w:rFonts w:ascii="Times New Roman" w:eastAsia="Times New Roman" w:hAnsi="Times New Roman" w:cs="Times New Roman"/>
                <w:noProof/>
                <w:sz w:val="18"/>
                <w:szCs w:val="18"/>
              </w:rPr>
            </w:pPr>
            <w:r>
              <w:rPr>
                <w:rFonts w:ascii="Times New Roman" w:hAnsi="Times New Roman"/>
                <w:noProof/>
                <w:sz w:val="18"/>
              </w:rPr>
              <w:t>Installation du premier démonstrateur</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78"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79"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7A"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7B" w14:textId="77777777" w:rsidR="00740F0F" w:rsidRPr="0029070D" w:rsidRDefault="00100B64" w:rsidP="003A373D">
            <w:pPr>
              <w:spacing w:line="214" w:lineRule="exact"/>
              <w:ind w:left="9" w:right="331"/>
              <w:jc w:val="center"/>
              <w:rPr>
                <w:rFonts w:ascii="Times New Roman" w:eastAsia="Times New Roman" w:hAnsi="Times New Roman" w:cs="Times New Roman"/>
                <w:noProof/>
                <w:sz w:val="18"/>
                <w:szCs w:val="18"/>
              </w:rPr>
            </w:pPr>
            <w:r>
              <w:rPr>
                <w:rFonts w:ascii="Times New Roman" w:hAnsi="Times New Roman"/>
                <w:noProof/>
                <w:sz w:val="18"/>
              </w:rPr>
              <w:t>T1</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7C" w14:textId="77777777" w:rsidR="00740F0F" w:rsidRPr="0029070D" w:rsidRDefault="00100B64" w:rsidP="003A373D">
            <w:pPr>
              <w:spacing w:line="214" w:lineRule="exact"/>
              <w:ind w:left="9" w:right="132"/>
              <w:jc w:val="center"/>
              <w:rPr>
                <w:rFonts w:ascii="Times New Roman" w:eastAsia="Times New Roman" w:hAnsi="Times New Roman" w:cs="Times New Roman"/>
                <w:noProof/>
                <w:sz w:val="18"/>
                <w:szCs w:val="18"/>
              </w:rPr>
            </w:pPr>
            <w:r>
              <w:rPr>
                <w:rFonts w:ascii="Times New Roman" w:hAnsi="Times New Roman"/>
                <w:noProof/>
                <w:sz w:val="18"/>
              </w:rPr>
              <w:t>2026</w:t>
            </w:r>
          </w:p>
        </w:tc>
        <w:tc>
          <w:tcPr>
            <w:tcW w:w="4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7D"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 xml:space="preserve">Installation du premier démonstrateur d’un électrolyseur à oxyde solide à haute température </w:t>
            </w:r>
          </w:p>
        </w:tc>
      </w:tr>
      <w:tr w:rsidR="00782477" w:rsidRPr="0029070D" w14:paraId="5A8AEB98" w14:textId="77777777" w:rsidTr="00F84DDA">
        <w:trPr>
          <w:trHeight w:val="1447"/>
          <w:jc w:val="center"/>
        </w:trPr>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8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10-9</w:t>
            </w:r>
          </w:p>
        </w:tc>
        <w:tc>
          <w:tcPr>
            <w:tcW w:w="13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8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C10.I2</w:t>
            </w:r>
          </w:p>
          <w:p w14:paraId="5A8AEB8E" w14:textId="77777777" w:rsidR="00740F0F" w:rsidRPr="0029070D" w:rsidRDefault="00100B64">
            <w:pPr>
              <w:spacing w:line="214" w:lineRule="exact"/>
              <w:ind w:left="9" w:right="36"/>
              <w:jc w:val="center"/>
              <w:rPr>
                <w:rFonts w:ascii="Times New Roman" w:eastAsia="Times New Roman" w:hAnsi="Times New Roman" w:cs="Times New Roman"/>
                <w:noProof/>
                <w:sz w:val="18"/>
                <w:szCs w:val="18"/>
              </w:rPr>
            </w:pPr>
            <w:r>
              <w:rPr>
                <w:rFonts w:ascii="Times New Roman" w:hAnsi="Times New Roman"/>
                <w:noProof/>
                <w:sz w:val="18"/>
              </w:rPr>
              <w:t>PIIEC Hydrogène</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8F" w14:textId="77777777" w:rsidR="00740F0F" w:rsidRPr="0029070D" w:rsidRDefault="00100B64">
            <w:pPr>
              <w:spacing w:line="214" w:lineRule="exact"/>
              <w:ind w:left="9" w:right="131"/>
              <w:jc w:val="center"/>
              <w:rPr>
                <w:rFonts w:ascii="Times New Roman" w:eastAsia="Times New Roman" w:hAnsi="Times New Roman" w:cs="Times New Roman"/>
                <w:noProof/>
                <w:sz w:val="18"/>
                <w:szCs w:val="18"/>
              </w:rPr>
            </w:pPr>
            <w:r>
              <w:rPr>
                <w:rFonts w:ascii="Times New Roman" w:hAnsi="Times New Roman"/>
                <w:noProof/>
                <w:sz w:val="18"/>
              </w:rPr>
              <w:t>Jalon</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90" w14:textId="77777777" w:rsidR="00740F0F" w:rsidRPr="0029070D" w:rsidRDefault="00100B64" w:rsidP="00F84DDA">
            <w:pPr>
              <w:spacing w:line="214" w:lineRule="exact"/>
              <w:ind w:left="9" w:right="-15"/>
              <w:jc w:val="center"/>
              <w:rPr>
                <w:rFonts w:ascii="Times New Roman" w:eastAsia="Times New Roman" w:hAnsi="Times New Roman" w:cs="Times New Roman"/>
                <w:noProof/>
                <w:sz w:val="18"/>
                <w:szCs w:val="18"/>
              </w:rPr>
            </w:pPr>
            <w:r>
              <w:rPr>
                <w:rFonts w:ascii="Times New Roman" w:hAnsi="Times New Roman"/>
                <w:noProof/>
                <w:sz w:val="18"/>
              </w:rPr>
              <w:t>Réservoirs à hydrogène gazeux (projet Faurecia)</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91" w14:textId="77777777" w:rsidR="00740F0F" w:rsidRPr="0029070D" w:rsidRDefault="00100B64" w:rsidP="003A51C1">
            <w:pPr>
              <w:ind w:left="57" w:right="57"/>
              <w:rPr>
                <w:rFonts w:ascii="Times New Roman" w:eastAsia="Times New Roman" w:hAnsi="Times New Roman" w:cs="Times New Roman"/>
                <w:noProof/>
                <w:sz w:val="18"/>
                <w:szCs w:val="18"/>
              </w:rPr>
            </w:pPr>
            <w:r>
              <w:rPr>
                <w:rFonts w:ascii="Times New Roman" w:hAnsi="Times New Roman"/>
                <w:noProof/>
                <w:sz w:val="18"/>
              </w:rPr>
              <w:t>Installation de la ligne de production pilote</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92"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93"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94"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95" w14:textId="77777777" w:rsidR="00740F0F" w:rsidRPr="0029070D" w:rsidRDefault="00100B64" w:rsidP="003A373D">
            <w:pPr>
              <w:spacing w:line="214" w:lineRule="exact"/>
              <w:ind w:left="9" w:right="331"/>
              <w:jc w:val="center"/>
              <w:rPr>
                <w:rFonts w:ascii="Times New Roman" w:eastAsia="Times New Roman" w:hAnsi="Times New Roman" w:cs="Times New Roman"/>
                <w:noProof/>
                <w:sz w:val="18"/>
                <w:szCs w:val="18"/>
              </w:rPr>
            </w:pPr>
            <w:r>
              <w:rPr>
                <w:rFonts w:ascii="Times New Roman" w:hAnsi="Times New Roman"/>
                <w:noProof/>
                <w:sz w:val="18"/>
              </w:rPr>
              <w:t>T2</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96" w14:textId="77777777" w:rsidR="00740F0F" w:rsidRPr="0029070D" w:rsidRDefault="00100B64" w:rsidP="003A373D">
            <w:pPr>
              <w:spacing w:line="214" w:lineRule="exact"/>
              <w:ind w:left="9" w:right="132"/>
              <w:jc w:val="center"/>
              <w:rPr>
                <w:rFonts w:ascii="Times New Roman" w:eastAsia="Times New Roman" w:hAnsi="Times New Roman" w:cs="Times New Roman"/>
                <w:noProof/>
                <w:sz w:val="18"/>
                <w:szCs w:val="18"/>
              </w:rPr>
            </w:pPr>
            <w:r>
              <w:rPr>
                <w:rFonts w:ascii="Times New Roman" w:hAnsi="Times New Roman"/>
                <w:noProof/>
                <w:sz w:val="18"/>
              </w:rPr>
              <w:t>2026</w:t>
            </w:r>
          </w:p>
        </w:tc>
        <w:tc>
          <w:tcPr>
            <w:tcW w:w="4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97" w14:textId="77777777" w:rsidR="00740F0F" w:rsidRPr="0029070D" w:rsidRDefault="00100B64">
            <w:pPr>
              <w:spacing w:line="214" w:lineRule="exact"/>
              <w:ind w:left="9" w:right="155"/>
              <w:rPr>
                <w:rFonts w:ascii="Times New Roman" w:eastAsia="Times New Roman" w:hAnsi="Times New Roman" w:cs="Times New Roman"/>
                <w:noProof/>
                <w:sz w:val="18"/>
                <w:szCs w:val="18"/>
              </w:rPr>
            </w:pPr>
            <w:r>
              <w:rPr>
                <w:rFonts w:ascii="Times New Roman" w:hAnsi="Times New Roman"/>
                <w:noProof/>
                <w:sz w:val="18"/>
              </w:rPr>
              <w:t xml:space="preserve">Installation de la ligne pilote de production des réservoirs d’hydrogène gazeux «Genll» </w:t>
            </w:r>
          </w:p>
        </w:tc>
      </w:tr>
      <w:tr w:rsidR="00782477" w:rsidRPr="0029070D" w14:paraId="5A8AEBA5" w14:textId="77777777" w:rsidTr="00F84DDA">
        <w:trPr>
          <w:trHeight w:val="1761"/>
          <w:jc w:val="center"/>
        </w:trPr>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9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10-10</w:t>
            </w:r>
          </w:p>
        </w:tc>
        <w:tc>
          <w:tcPr>
            <w:tcW w:w="13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9A" w14:textId="77777777" w:rsidR="00740F0F" w:rsidRPr="0029070D" w:rsidRDefault="00100B64">
            <w:pPr>
              <w:spacing w:line="214" w:lineRule="exact"/>
              <w:ind w:left="9" w:right="131"/>
              <w:jc w:val="center"/>
              <w:rPr>
                <w:rFonts w:ascii="Times New Roman" w:eastAsia="Times New Roman" w:hAnsi="Times New Roman" w:cs="Times New Roman"/>
                <w:noProof/>
                <w:sz w:val="18"/>
                <w:szCs w:val="18"/>
              </w:rPr>
            </w:pPr>
            <w:r>
              <w:rPr>
                <w:rFonts w:ascii="Times New Roman" w:hAnsi="Times New Roman"/>
                <w:noProof/>
                <w:sz w:val="18"/>
              </w:rPr>
              <w:t>C10.I3</w:t>
            </w:r>
          </w:p>
          <w:p w14:paraId="5A8AEB9B" w14:textId="77777777" w:rsidR="00740F0F" w:rsidRPr="0029070D" w:rsidRDefault="00100B64">
            <w:pPr>
              <w:spacing w:line="214" w:lineRule="exact"/>
              <w:ind w:left="9" w:firstLine="1"/>
              <w:jc w:val="center"/>
              <w:rPr>
                <w:rFonts w:ascii="Times New Roman" w:eastAsia="Times New Roman" w:hAnsi="Times New Roman" w:cs="Times New Roman"/>
                <w:noProof/>
                <w:sz w:val="18"/>
                <w:szCs w:val="18"/>
              </w:rPr>
            </w:pPr>
            <w:r>
              <w:rPr>
                <w:rFonts w:ascii="Times New Roman" w:hAnsi="Times New Roman"/>
                <w:noProof/>
                <w:sz w:val="18"/>
              </w:rPr>
              <w:t>Rénovation thermique des bâtiments publics</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9C" w14:textId="77777777" w:rsidR="00740F0F" w:rsidRPr="0029070D" w:rsidRDefault="00100B64">
            <w:pPr>
              <w:spacing w:line="214" w:lineRule="exact"/>
              <w:ind w:left="9" w:right="131"/>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9D" w14:textId="77777777" w:rsidR="00740F0F" w:rsidRPr="0029070D" w:rsidRDefault="00100B64" w:rsidP="00F84DDA">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Projets de rénovation de sites publics appartenant à l’État, pour lesquels le contrat de travaux de rénovation a été notifié</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9E"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9F"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A0"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A1" w14:textId="77777777" w:rsidR="00740F0F" w:rsidRPr="0029070D" w:rsidRDefault="00100B64">
            <w:pPr>
              <w:spacing w:line="214" w:lineRule="exact"/>
              <w:ind w:left="9" w:right="2"/>
              <w:jc w:val="center"/>
              <w:rPr>
                <w:rFonts w:ascii="Times New Roman" w:eastAsia="Times New Roman" w:hAnsi="Times New Roman" w:cs="Times New Roman"/>
                <w:noProof/>
                <w:sz w:val="18"/>
                <w:szCs w:val="18"/>
              </w:rPr>
            </w:pPr>
            <w:r>
              <w:rPr>
                <w:rFonts w:ascii="Times New Roman" w:hAnsi="Times New Roman"/>
                <w:noProof/>
                <w:sz w:val="18"/>
              </w:rPr>
              <w:t>1 000</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A2" w14:textId="77777777" w:rsidR="00740F0F" w:rsidRPr="0029070D" w:rsidRDefault="00100B64" w:rsidP="003A373D">
            <w:pPr>
              <w:spacing w:line="214" w:lineRule="exact"/>
              <w:ind w:left="9" w:right="331"/>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A3" w14:textId="77777777" w:rsidR="00740F0F" w:rsidRPr="0029070D" w:rsidRDefault="00100B64" w:rsidP="003A373D">
            <w:pPr>
              <w:spacing w:line="214" w:lineRule="exact"/>
              <w:ind w:left="9" w:right="132"/>
              <w:jc w:val="center"/>
              <w:rPr>
                <w:rFonts w:ascii="Times New Roman" w:eastAsia="Times New Roman" w:hAnsi="Times New Roman" w:cs="Times New Roman"/>
                <w:noProof/>
                <w:sz w:val="18"/>
                <w:szCs w:val="18"/>
              </w:rPr>
            </w:pPr>
            <w:r>
              <w:rPr>
                <w:rFonts w:ascii="Times New Roman" w:hAnsi="Times New Roman"/>
                <w:noProof/>
                <w:sz w:val="18"/>
              </w:rPr>
              <w:t>2023</w:t>
            </w:r>
          </w:p>
        </w:tc>
        <w:tc>
          <w:tcPr>
            <w:tcW w:w="4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A4" w14:textId="477B70DB" w:rsidR="00740F0F" w:rsidRPr="0029070D" w:rsidRDefault="00100B64">
            <w:pPr>
              <w:spacing w:line="214" w:lineRule="exact"/>
              <w:ind w:left="9" w:right="118"/>
              <w:rPr>
                <w:rFonts w:ascii="Times New Roman" w:eastAsia="Times New Roman" w:hAnsi="Times New Roman" w:cs="Times New Roman"/>
                <w:noProof/>
                <w:sz w:val="18"/>
                <w:szCs w:val="18"/>
              </w:rPr>
            </w:pPr>
            <w:r>
              <w:rPr>
                <w:rFonts w:ascii="Times New Roman" w:hAnsi="Times New Roman"/>
                <w:noProof/>
                <w:sz w:val="18"/>
              </w:rPr>
              <w:t>Nombre de projets de rénovation de sites publics appartenant à l’État pour lesquels au moins un marché de travaux de rénovation a été notifié. Ces projets ont été sélectionnés à l’issue de deux appels à projets («Résilience I» et «Résilience II»).</w:t>
            </w:r>
          </w:p>
        </w:tc>
      </w:tr>
      <w:tr w:rsidR="00782477" w:rsidRPr="0029070D" w14:paraId="5A8AEBB2" w14:textId="77777777" w:rsidTr="00F84DDA">
        <w:trPr>
          <w:trHeight w:val="1312"/>
          <w:jc w:val="center"/>
        </w:trPr>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A6"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10-11</w:t>
            </w:r>
          </w:p>
        </w:tc>
        <w:tc>
          <w:tcPr>
            <w:tcW w:w="13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A7" w14:textId="77777777" w:rsidR="00740F0F" w:rsidRPr="0029070D" w:rsidRDefault="00100B64">
            <w:pPr>
              <w:spacing w:line="214" w:lineRule="exact"/>
              <w:ind w:left="9" w:right="131"/>
              <w:jc w:val="center"/>
              <w:rPr>
                <w:rFonts w:ascii="Times New Roman" w:eastAsia="Times New Roman" w:hAnsi="Times New Roman" w:cs="Times New Roman"/>
                <w:noProof/>
                <w:sz w:val="18"/>
                <w:szCs w:val="18"/>
              </w:rPr>
            </w:pPr>
            <w:r>
              <w:rPr>
                <w:rFonts w:ascii="Times New Roman" w:hAnsi="Times New Roman"/>
                <w:noProof/>
                <w:sz w:val="18"/>
              </w:rPr>
              <w:t>C10.I3</w:t>
            </w:r>
          </w:p>
          <w:p w14:paraId="5A8AEBA8" w14:textId="77777777" w:rsidR="00740F0F" w:rsidRPr="0029070D" w:rsidRDefault="00100B64">
            <w:pPr>
              <w:spacing w:line="214" w:lineRule="exact"/>
              <w:ind w:left="9" w:right="156" w:firstLine="1"/>
              <w:jc w:val="center"/>
              <w:rPr>
                <w:rFonts w:ascii="Times New Roman" w:eastAsia="Times New Roman" w:hAnsi="Times New Roman" w:cs="Times New Roman"/>
                <w:noProof/>
                <w:sz w:val="18"/>
                <w:szCs w:val="18"/>
              </w:rPr>
            </w:pPr>
            <w:r>
              <w:rPr>
                <w:rFonts w:ascii="Times New Roman" w:hAnsi="Times New Roman"/>
                <w:noProof/>
                <w:sz w:val="18"/>
              </w:rPr>
              <w:t>Rénovation thermique des bâtiments publics</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A9" w14:textId="77777777" w:rsidR="00740F0F" w:rsidRPr="0029070D" w:rsidRDefault="00100B64">
            <w:pPr>
              <w:spacing w:line="214" w:lineRule="exact"/>
              <w:ind w:left="9" w:right="125"/>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AA" w14:textId="77777777" w:rsidR="00740F0F" w:rsidRPr="0029070D" w:rsidRDefault="00100B64" w:rsidP="00F84DDA">
            <w:pPr>
              <w:spacing w:line="214" w:lineRule="exact"/>
              <w:ind w:left="9" w:right="139" w:hanging="2"/>
              <w:jc w:val="center"/>
              <w:rPr>
                <w:rFonts w:ascii="Times New Roman" w:eastAsia="Times New Roman" w:hAnsi="Times New Roman" w:cs="Times New Roman"/>
                <w:noProof/>
                <w:sz w:val="18"/>
                <w:szCs w:val="18"/>
              </w:rPr>
            </w:pPr>
            <w:r>
              <w:rPr>
                <w:rFonts w:ascii="Times New Roman" w:hAnsi="Times New Roman"/>
                <w:noProof/>
                <w:sz w:val="18"/>
              </w:rPr>
              <w:t>Nombre de projets de rénovation énergétique dans des bâtiments appartenant à l’État.</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AB"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AC"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AD"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0</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AE" w14:textId="77777777" w:rsidR="00740F0F" w:rsidRPr="0029070D" w:rsidRDefault="00100B64">
            <w:pPr>
              <w:spacing w:line="214" w:lineRule="exact"/>
              <w:ind w:left="9" w:right="2"/>
              <w:jc w:val="center"/>
              <w:rPr>
                <w:rFonts w:ascii="Times New Roman" w:eastAsia="Times New Roman" w:hAnsi="Times New Roman" w:cs="Times New Roman"/>
                <w:noProof/>
                <w:sz w:val="18"/>
                <w:szCs w:val="18"/>
              </w:rPr>
            </w:pPr>
            <w:r>
              <w:rPr>
                <w:rFonts w:ascii="Times New Roman" w:hAnsi="Times New Roman"/>
                <w:noProof/>
                <w:sz w:val="18"/>
              </w:rPr>
              <w:t>900</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AF" w14:textId="77777777" w:rsidR="00740F0F" w:rsidRPr="0029070D" w:rsidRDefault="00100B64" w:rsidP="003A373D">
            <w:pPr>
              <w:spacing w:line="214" w:lineRule="exact"/>
              <w:ind w:left="9" w:right="331"/>
              <w:jc w:val="center"/>
              <w:rPr>
                <w:rFonts w:ascii="Times New Roman" w:eastAsia="Times New Roman" w:hAnsi="Times New Roman" w:cs="Times New Roman"/>
                <w:noProof/>
                <w:sz w:val="18"/>
                <w:szCs w:val="18"/>
              </w:rPr>
            </w:pPr>
            <w:r>
              <w:rPr>
                <w:rFonts w:ascii="Times New Roman" w:hAnsi="Times New Roman"/>
                <w:noProof/>
                <w:sz w:val="18"/>
              </w:rPr>
              <w:t>T1</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B0" w14:textId="77777777" w:rsidR="00740F0F" w:rsidRPr="0029070D" w:rsidRDefault="00100B64" w:rsidP="003A373D">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2025</w:t>
            </w:r>
          </w:p>
        </w:tc>
        <w:tc>
          <w:tcPr>
            <w:tcW w:w="4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B1" w14:textId="3B8063A4" w:rsidR="00740F0F" w:rsidRPr="0029070D" w:rsidRDefault="00100B64">
            <w:pPr>
              <w:spacing w:line="214" w:lineRule="exact"/>
              <w:ind w:left="9" w:right="155"/>
              <w:rPr>
                <w:rFonts w:ascii="Times New Roman" w:eastAsia="Times New Roman" w:hAnsi="Times New Roman" w:cs="Times New Roman"/>
                <w:noProof/>
                <w:sz w:val="18"/>
                <w:szCs w:val="18"/>
              </w:rPr>
            </w:pPr>
            <w:r>
              <w:rPr>
                <w:rFonts w:ascii="Times New Roman" w:hAnsi="Times New Roman"/>
                <w:noProof/>
                <w:sz w:val="18"/>
              </w:rPr>
              <w:t>Nombre de projets de rénovation énergétique de bâtiments appartenant à l’État Ces projets ont été sélectionnés à l’issue de deux appels à projets («Résilience I» et «Résilience II»).</w:t>
            </w:r>
          </w:p>
        </w:tc>
      </w:tr>
      <w:tr w:rsidR="00782477" w:rsidRPr="0029070D" w14:paraId="5A8AEBBF" w14:textId="77777777" w:rsidTr="00F84DDA">
        <w:trPr>
          <w:trHeight w:val="1403"/>
          <w:jc w:val="center"/>
        </w:trPr>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B3"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10-12</w:t>
            </w:r>
          </w:p>
        </w:tc>
        <w:tc>
          <w:tcPr>
            <w:tcW w:w="13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B4" w14:textId="77777777" w:rsidR="00740F0F" w:rsidRPr="0029070D" w:rsidRDefault="00100B64">
            <w:pPr>
              <w:spacing w:line="214" w:lineRule="exact"/>
              <w:ind w:left="9" w:right="131"/>
              <w:jc w:val="center"/>
              <w:rPr>
                <w:rFonts w:ascii="Times New Roman" w:eastAsia="Times New Roman" w:hAnsi="Times New Roman" w:cs="Times New Roman"/>
                <w:noProof/>
                <w:sz w:val="18"/>
                <w:szCs w:val="18"/>
              </w:rPr>
            </w:pPr>
            <w:r>
              <w:rPr>
                <w:rFonts w:ascii="Times New Roman" w:hAnsi="Times New Roman"/>
                <w:noProof/>
                <w:sz w:val="18"/>
              </w:rPr>
              <w:t>C10.I4</w:t>
            </w:r>
          </w:p>
          <w:p w14:paraId="5A8AEBB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Rénovation énergétique des logements privés avec MaPrimeRénov’</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B6" w14:textId="77777777" w:rsidR="00740F0F" w:rsidRPr="0029070D" w:rsidRDefault="00100B64">
            <w:pPr>
              <w:spacing w:line="214" w:lineRule="exact"/>
              <w:ind w:left="9" w:right="125"/>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B7" w14:textId="77777777" w:rsidR="00740F0F" w:rsidRPr="0029070D" w:rsidRDefault="00100B64" w:rsidP="00F84DDA">
            <w:pPr>
              <w:spacing w:line="214" w:lineRule="exact"/>
              <w:ind w:left="9" w:right="160"/>
              <w:jc w:val="center"/>
              <w:rPr>
                <w:rFonts w:ascii="Times New Roman" w:eastAsia="Times New Roman" w:hAnsi="Times New Roman" w:cs="Times New Roman"/>
                <w:noProof/>
                <w:sz w:val="18"/>
                <w:szCs w:val="18"/>
              </w:rPr>
            </w:pPr>
            <w:r>
              <w:rPr>
                <w:rFonts w:ascii="Times New Roman" w:hAnsi="Times New Roman"/>
                <w:noProof/>
                <w:sz w:val="18"/>
              </w:rPr>
              <w:t>Nombre de dossiers MaPrimeRénov’ accordés aux propriétaires privés</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B8"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B9"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BA" w14:textId="77777777" w:rsidR="00740F0F" w:rsidRPr="0029070D" w:rsidRDefault="00100B64">
            <w:pPr>
              <w:spacing w:line="214" w:lineRule="exact"/>
              <w:ind w:left="9" w:right="95"/>
              <w:jc w:val="center"/>
              <w:rPr>
                <w:rFonts w:ascii="Times New Roman" w:eastAsia="Times New Roman" w:hAnsi="Times New Roman" w:cs="Times New Roman"/>
                <w:noProof/>
                <w:sz w:val="18"/>
                <w:szCs w:val="18"/>
              </w:rPr>
            </w:pPr>
            <w:r>
              <w:rPr>
                <w:rFonts w:ascii="Times New Roman" w:hAnsi="Times New Roman"/>
                <w:noProof/>
                <w:sz w:val="18"/>
              </w:rPr>
              <w:t>700 000</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BB" w14:textId="44AF188C" w:rsidR="00740F0F" w:rsidRPr="0029070D" w:rsidRDefault="004D16D2">
            <w:pPr>
              <w:spacing w:line="214" w:lineRule="exact"/>
              <w:ind w:left="9" w:right="-98"/>
              <w:jc w:val="center"/>
              <w:rPr>
                <w:rFonts w:ascii="Times New Roman" w:eastAsia="Times New Roman" w:hAnsi="Times New Roman" w:cs="Times New Roman"/>
                <w:noProof/>
                <w:sz w:val="18"/>
                <w:szCs w:val="18"/>
              </w:rPr>
            </w:pPr>
            <w:r>
              <w:rPr>
                <w:rFonts w:ascii="Times New Roman" w:hAnsi="Times New Roman"/>
                <w:noProof/>
                <w:sz w:val="18"/>
              </w:rPr>
              <w:t>1</w:t>
            </w:r>
            <w:r>
              <w:rPr>
                <w:rFonts w:ascii="Times New Roman" w:hAnsi="Times New Roman"/>
                <w:noProof/>
                <w:sz w:val="20"/>
              </w:rPr>
              <w:t> </w:t>
            </w:r>
            <w:r>
              <w:rPr>
                <w:rFonts w:ascii="Times New Roman" w:hAnsi="Times New Roman"/>
                <w:noProof/>
                <w:sz w:val="18"/>
              </w:rPr>
              <w:t>096</w:t>
            </w:r>
            <w:r>
              <w:rPr>
                <w:rFonts w:ascii="Times New Roman" w:hAnsi="Times New Roman"/>
                <w:noProof/>
                <w:sz w:val="20"/>
              </w:rPr>
              <w:t> </w:t>
            </w:r>
            <w:r>
              <w:rPr>
                <w:rFonts w:ascii="Times New Roman" w:hAnsi="Times New Roman"/>
                <w:noProof/>
                <w:sz w:val="18"/>
              </w:rPr>
              <w:t>000</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BC" w14:textId="77777777" w:rsidR="00740F0F" w:rsidRPr="0029070D" w:rsidRDefault="00100B64" w:rsidP="003A373D">
            <w:pPr>
              <w:spacing w:line="214" w:lineRule="exact"/>
              <w:ind w:left="9" w:right="334"/>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BD" w14:textId="77777777" w:rsidR="00740F0F" w:rsidRPr="0029070D" w:rsidRDefault="00100B64" w:rsidP="003A373D">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2025</w:t>
            </w:r>
          </w:p>
        </w:tc>
        <w:tc>
          <w:tcPr>
            <w:tcW w:w="4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BE" w14:textId="26C3AAE9"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dossiers MaPrimeRénov’ accordés aux propriétaires privés, en cumulé en 2024 et 2025</w:t>
            </w:r>
          </w:p>
        </w:tc>
      </w:tr>
      <w:tr w:rsidR="00782477" w:rsidRPr="0029070D" w14:paraId="5A8AEBCB" w14:textId="77777777" w:rsidTr="00F84DDA">
        <w:trPr>
          <w:trHeight w:val="1266"/>
          <w:jc w:val="center"/>
        </w:trPr>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C0"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10-13</w:t>
            </w:r>
          </w:p>
        </w:tc>
        <w:tc>
          <w:tcPr>
            <w:tcW w:w="13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C1" w14:textId="77777777" w:rsidR="00740F0F" w:rsidRPr="0029070D" w:rsidRDefault="00100B64">
            <w:pPr>
              <w:spacing w:line="214" w:lineRule="exact"/>
              <w:ind w:left="9" w:right="36"/>
              <w:jc w:val="center"/>
              <w:rPr>
                <w:rFonts w:ascii="Times New Roman" w:eastAsia="Times New Roman" w:hAnsi="Times New Roman" w:cs="Times New Roman"/>
                <w:noProof/>
                <w:sz w:val="18"/>
                <w:szCs w:val="18"/>
              </w:rPr>
            </w:pPr>
            <w:r>
              <w:rPr>
                <w:rFonts w:ascii="Times New Roman" w:hAnsi="Times New Roman"/>
                <w:noProof/>
                <w:sz w:val="18"/>
              </w:rPr>
              <w:t>C10.I5 Soutien à la demande en véhicules propres</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C2" w14:textId="77777777" w:rsidR="00740F0F" w:rsidRPr="0029070D" w:rsidRDefault="00100B64">
            <w:pPr>
              <w:spacing w:line="214" w:lineRule="exact"/>
              <w:ind w:left="9" w:right="131"/>
              <w:jc w:val="center"/>
              <w:rPr>
                <w:rFonts w:ascii="Times New Roman" w:eastAsia="Times New Roman" w:hAnsi="Times New Roman" w:cs="Times New Roman"/>
                <w:noProof/>
                <w:sz w:val="18"/>
                <w:szCs w:val="18"/>
              </w:rPr>
            </w:pPr>
            <w:r>
              <w:rPr>
                <w:rFonts w:ascii="Times New Roman" w:hAnsi="Times New Roman"/>
                <w:noProof/>
                <w:sz w:val="18"/>
              </w:rPr>
              <w:t>Cible</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C3" w14:textId="77777777" w:rsidR="00740F0F" w:rsidRPr="0029070D" w:rsidRDefault="00100B64" w:rsidP="00F84DDA">
            <w:pPr>
              <w:spacing w:line="214" w:lineRule="exact"/>
              <w:ind w:left="9" w:right="160"/>
              <w:jc w:val="center"/>
              <w:rPr>
                <w:rFonts w:ascii="Times New Roman" w:eastAsia="Times New Roman" w:hAnsi="Times New Roman" w:cs="Times New Roman"/>
                <w:noProof/>
                <w:sz w:val="18"/>
                <w:szCs w:val="18"/>
              </w:rPr>
            </w:pPr>
            <w:r>
              <w:rPr>
                <w:rFonts w:ascii="Times New Roman" w:hAnsi="Times New Roman"/>
                <w:noProof/>
                <w:sz w:val="18"/>
              </w:rPr>
              <w:t>Bonus écologiques</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C4" w14:textId="77777777" w:rsidR="00740F0F" w:rsidRPr="0029070D" w:rsidRDefault="00740F0F">
            <w:pPr>
              <w:spacing w:line="214" w:lineRule="exact"/>
              <w:ind w:left="9"/>
              <w:jc w:val="center"/>
              <w:rPr>
                <w:rFonts w:ascii="Times New Roman" w:eastAsia="Times New Roman" w:hAnsi="Times New Roman" w:cs="Times New Roman"/>
                <w:noProof/>
                <w:sz w:val="18"/>
                <w:szCs w:val="18"/>
              </w:rPr>
            </w:pP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C5" w14:textId="77777777" w:rsidR="00740F0F" w:rsidRPr="0029070D" w:rsidRDefault="00100B64">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Nombre</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C6" w14:textId="77777777" w:rsidR="00740F0F" w:rsidRPr="0029070D" w:rsidRDefault="00100B64">
            <w:pPr>
              <w:spacing w:line="214" w:lineRule="exact"/>
              <w:ind w:left="9" w:right="95"/>
              <w:jc w:val="center"/>
              <w:rPr>
                <w:rFonts w:ascii="Times New Roman" w:eastAsia="Times New Roman" w:hAnsi="Times New Roman" w:cs="Times New Roman"/>
                <w:noProof/>
                <w:sz w:val="18"/>
                <w:szCs w:val="18"/>
              </w:rPr>
            </w:pPr>
            <w:r>
              <w:rPr>
                <w:rFonts w:ascii="Times New Roman" w:hAnsi="Times New Roman"/>
                <w:noProof/>
                <w:sz w:val="18"/>
              </w:rPr>
              <w:t>0</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C7" w14:textId="62AD5B66" w:rsidR="00740F0F" w:rsidRPr="0029070D" w:rsidRDefault="00100B64">
            <w:pPr>
              <w:spacing w:line="214" w:lineRule="exact"/>
              <w:ind w:left="9" w:right="2"/>
              <w:jc w:val="center"/>
              <w:rPr>
                <w:rFonts w:ascii="Times New Roman" w:eastAsia="Times New Roman" w:hAnsi="Times New Roman" w:cs="Times New Roman"/>
                <w:noProof/>
                <w:sz w:val="18"/>
                <w:szCs w:val="18"/>
              </w:rPr>
            </w:pPr>
            <w:r>
              <w:rPr>
                <w:rFonts w:ascii="Times New Roman" w:hAnsi="Times New Roman"/>
                <w:noProof/>
                <w:sz w:val="18"/>
              </w:rPr>
              <w:t>134 300</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C8" w14:textId="77777777" w:rsidR="00740F0F" w:rsidRPr="0029070D" w:rsidRDefault="00100B64" w:rsidP="003A373D">
            <w:pPr>
              <w:spacing w:line="214" w:lineRule="exact"/>
              <w:ind w:left="9" w:right="334"/>
              <w:jc w:val="center"/>
              <w:rPr>
                <w:rFonts w:ascii="Times New Roman" w:eastAsia="Times New Roman" w:hAnsi="Times New Roman" w:cs="Times New Roman"/>
                <w:noProof/>
                <w:sz w:val="18"/>
                <w:szCs w:val="18"/>
              </w:rPr>
            </w:pPr>
            <w:r>
              <w:rPr>
                <w:rFonts w:ascii="Times New Roman" w:hAnsi="Times New Roman"/>
                <w:noProof/>
                <w:sz w:val="18"/>
              </w:rPr>
              <w:t>T4</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C9" w14:textId="77777777" w:rsidR="00740F0F" w:rsidRPr="0029070D" w:rsidRDefault="00100B64" w:rsidP="003A373D">
            <w:pPr>
              <w:spacing w:line="214" w:lineRule="exact"/>
              <w:ind w:left="9"/>
              <w:jc w:val="center"/>
              <w:rPr>
                <w:rFonts w:ascii="Times New Roman" w:eastAsia="Times New Roman" w:hAnsi="Times New Roman" w:cs="Times New Roman"/>
                <w:noProof/>
                <w:sz w:val="18"/>
                <w:szCs w:val="18"/>
              </w:rPr>
            </w:pPr>
            <w:r>
              <w:rPr>
                <w:rFonts w:ascii="Times New Roman" w:hAnsi="Times New Roman"/>
                <w:noProof/>
                <w:sz w:val="18"/>
              </w:rPr>
              <w:t>2024</w:t>
            </w:r>
          </w:p>
        </w:tc>
        <w:tc>
          <w:tcPr>
            <w:tcW w:w="4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DCE"/>
          </w:tcPr>
          <w:p w14:paraId="5A8AEBCA" w14:textId="77777777" w:rsidR="00740F0F" w:rsidRPr="0029070D" w:rsidRDefault="00100B64">
            <w:pPr>
              <w:spacing w:line="214" w:lineRule="exact"/>
              <w:ind w:left="9"/>
              <w:rPr>
                <w:rFonts w:ascii="Times New Roman" w:eastAsia="Times New Roman" w:hAnsi="Times New Roman" w:cs="Times New Roman"/>
                <w:noProof/>
                <w:sz w:val="18"/>
                <w:szCs w:val="18"/>
              </w:rPr>
            </w:pPr>
            <w:r>
              <w:rPr>
                <w:rFonts w:ascii="Times New Roman" w:hAnsi="Times New Roman"/>
                <w:noProof/>
                <w:sz w:val="18"/>
              </w:rPr>
              <w:t>Nombre de bonus écologiques octroyés pour des véhicules légers (voitures particulières et camionnettes, à l’exclusion des véhicules hybrides rechargeables) en 2024</w:t>
            </w:r>
          </w:p>
        </w:tc>
      </w:tr>
    </w:tbl>
    <w:p w14:paraId="5A8AEBCC" w14:textId="77777777" w:rsidR="00740F0F" w:rsidRPr="0029070D" w:rsidRDefault="00740F0F">
      <w:pPr>
        <w:spacing w:before="120" w:after="120" w:line="360" w:lineRule="auto"/>
        <w:rPr>
          <w:rFonts w:ascii="Times New Roman" w:eastAsia="Calibri" w:hAnsi="Times New Roman" w:cs="Times New Roman"/>
          <w:noProof/>
          <w:kern w:val="0"/>
          <w:sz w:val="19"/>
          <w:szCs w:val="22"/>
          <w14:ligatures w14:val="none"/>
        </w:rPr>
        <w:sectPr w:rsidR="00740F0F" w:rsidRPr="0029070D">
          <w:headerReference w:type="even" r:id="rId132"/>
          <w:headerReference w:type="default" r:id="rId133"/>
          <w:footerReference w:type="even" r:id="rId134"/>
          <w:footerReference w:type="default" r:id="rId135"/>
          <w:headerReference w:type="first" r:id="rId136"/>
          <w:footerReference w:type="first" r:id="rId137"/>
          <w:pgSz w:w="16850" w:h="11910" w:orient="landscape"/>
          <w:pgMar w:top="1134" w:right="1134" w:bottom="1134" w:left="1134" w:header="567" w:footer="567" w:gutter="0"/>
          <w:cols w:space="720"/>
          <w:docGrid w:linePitch="326"/>
        </w:sectPr>
      </w:pPr>
    </w:p>
    <w:p w14:paraId="5A8AEBCD" w14:textId="77777777" w:rsidR="00740F0F" w:rsidRPr="0029070D" w:rsidRDefault="00100B64">
      <w:pPr>
        <w:widowControl w:val="0"/>
        <w:tabs>
          <w:tab w:val="left" w:pos="969"/>
          <w:tab w:val="left" w:pos="970"/>
        </w:tabs>
        <w:autoSpaceDE w:val="0"/>
        <w:autoSpaceDN w:val="0"/>
        <w:spacing w:before="109" w:after="0" w:line="240" w:lineRule="auto"/>
        <w:jc w:val="both"/>
        <w:rPr>
          <w:rFonts w:ascii="Times New Roman" w:eastAsia="Times New Roman" w:hAnsi="Times New Roman" w:cs="Times New Roman"/>
          <w:b/>
          <w:noProof/>
          <w:kern w:val="0"/>
          <w:szCs w:val="20"/>
          <w14:ligatures w14:val="none"/>
        </w:rPr>
      </w:pPr>
      <w:r>
        <w:rPr>
          <w:rFonts w:ascii="Times New Roman" w:hAnsi="Times New Roman"/>
          <w:b/>
          <w:noProof/>
        </w:rPr>
        <w:t>2. Estimation du coût total du plan pour la reprise et la résilience</w:t>
      </w:r>
    </w:p>
    <w:p w14:paraId="5A8AEBCE" w14:textId="1E4439B9" w:rsidR="00740F0F" w:rsidRPr="0029070D" w:rsidRDefault="00100B64">
      <w:pPr>
        <w:spacing w:before="118" w:after="120" w:line="254" w:lineRule="auto"/>
        <w:rPr>
          <w:rFonts w:ascii="Times New Roman" w:eastAsia="Calibri" w:hAnsi="Times New Roman" w:cs="Times New Roman"/>
          <w:noProof/>
          <w:kern w:val="0"/>
          <w:szCs w:val="22"/>
          <w14:ligatures w14:val="none"/>
        </w:rPr>
      </w:pPr>
      <w:r>
        <w:rPr>
          <w:rFonts w:ascii="Times New Roman" w:hAnsi="Times New Roman"/>
          <w:noProof/>
        </w:rPr>
        <w:t>Le coût total estimé du plan pour la reprise et la résilience de la France, incluant le chapitre REPowerEU, s’élève à</w:t>
      </w:r>
      <w:r>
        <w:rPr>
          <w:rFonts w:ascii="Times New Roman" w:hAnsi="Times New Roman"/>
          <w:noProof/>
          <w:sz w:val="20"/>
        </w:rPr>
        <w:t xml:space="preserve"> </w:t>
      </w:r>
      <w:r>
        <w:rPr>
          <w:rFonts w:ascii="Times New Roman" w:hAnsi="Times New Roman"/>
          <w:noProof/>
        </w:rPr>
        <w:t>40</w:t>
      </w:r>
      <w:r>
        <w:rPr>
          <w:rFonts w:ascii="Times New Roman" w:hAnsi="Times New Roman"/>
          <w:noProof/>
          <w:sz w:val="20"/>
        </w:rPr>
        <w:t> </w:t>
      </w:r>
      <w:r>
        <w:rPr>
          <w:rFonts w:ascii="Times New Roman" w:hAnsi="Times New Roman"/>
          <w:noProof/>
        </w:rPr>
        <w:t>310</w:t>
      </w:r>
      <w:r>
        <w:rPr>
          <w:rFonts w:ascii="Times New Roman" w:hAnsi="Times New Roman"/>
          <w:noProof/>
          <w:sz w:val="20"/>
        </w:rPr>
        <w:t> </w:t>
      </w:r>
      <w:r>
        <w:rPr>
          <w:rFonts w:ascii="Times New Roman" w:hAnsi="Times New Roman"/>
          <w:noProof/>
        </w:rPr>
        <w:t>303</w:t>
      </w:r>
      <w:r>
        <w:rPr>
          <w:rFonts w:ascii="Times New Roman" w:hAnsi="Times New Roman"/>
          <w:noProof/>
          <w:sz w:val="20"/>
        </w:rPr>
        <w:t> </w:t>
      </w:r>
      <w:r>
        <w:rPr>
          <w:rFonts w:ascii="Times New Roman" w:hAnsi="Times New Roman"/>
          <w:noProof/>
        </w:rPr>
        <w:t>896 EUR.</w:t>
      </w:r>
    </w:p>
    <w:p w14:paraId="5A8AEBCF" w14:textId="374D4AF8" w:rsidR="00740F0F" w:rsidRPr="0029070D" w:rsidRDefault="00100B64">
      <w:pPr>
        <w:spacing w:before="167" w:after="120" w:line="360" w:lineRule="auto"/>
        <w:rPr>
          <w:rFonts w:ascii="Times New Roman" w:eastAsia="Calibri" w:hAnsi="Times New Roman" w:cs="Times New Roman"/>
          <w:noProof/>
          <w:kern w:val="0"/>
          <w14:ligatures w14:val="none"/>
        </w:rPr>
      </w:pPr>
      <w:r>
        <w:rPr>
          <w:rFonts w:ascii="Times New Roman" w:hAnsi="Times New Roman"/>
          <w:noProof/>
        </w:rPr>
        <w:t>Le coût total estimé du chapitre REPowerEU est de</w:t>
      </w:r>
      <w:r>
        <w:rPr>
          <w:rFonts w:ascii="Times New Roman" w:hAnsi="Times New Roman"/>
          <w:noProof/>
          <w:sz w:val="20"/>
        </w:rPr>
        <w:t xml:space="preserve"> </w:t>
      </w:r>
      <w:r>
        <w:rPr>
          <w:rFonts w:ascii="Times New Roman" w:hAnsi="Times New Roman"/>
          <w:noProof/>
        </w:rPr>
        <w:t>2</w:t>
      </w:r>
      <w:r>
        <w:rPr>
          <w:rFonts w:ascii="Times New Roman" w:hAnsi="Times New Roman"/>
          <w:noProof/>
          <w:sz w:val="20"/>
        </w:rPr>
        <w:t> </w:t>
      </w:r>
      <w:r>
        <w:rPr>
          <w:rFonts w:ascii="Times New Roman" w:hAnsi="Times New Roman"/>
          <w:noProof/>
        </w:rPr>
        <w:t>822</w:t>
      </w:r>
      <w:r>
        <w:rPr>
          <w:rFonts w:ascii="Times New Roman" w:hAnsi="Times New Roman"/>
          <w:noProof/>
          <w:sz w:val="20"/>
        </w:rPr>
        <w:t> </w:t>
      </w:r>
      <w:r>
        <w:rPr>
          <w:rFonts w:ascii="Times New Roman" w:hAnsi="Times New Roman"/>
          <w:noProof/>
        </w:rPr>
        <w:t>659</w:t>
      </w:r>
      <w:r>
        <w:rPr>
          <w:rFonts w:ascii="Times New Roman" w:hAnsi="Times New Roman"/>
          <w:noProof/>
          <w:sz w:val="20"/>
        </w:rPr>
        <w:t> </w:t>
      </w:r>
      <w:r>
        <w:rPr>
          <w:rFonts w:ascii="Times New Roman" w:hAnsi="Times New Roman"/>
          <w:noProof/>
        </w:rPr>
        <w:t>006</w:t>
      </w:r>
      <w:r>
        <w:rPr>
          <w:rFonts w:ascii="Times New Roman" w:hAnsi="Times New Roman"/>
          <w:noProof/>
          <w:sz w:val="20"/>
        </w:rPr>
        <w:t> </w:t>
      </w:r>
      <w:r>
        <w:rPr>
          <w:rFonts w:ascii="Times New Roman" w:hAnsi="Times New Roman"/>
          <w:noProof/>
        </w:rPr>
        <w:t>EUR.</w:t>
      </w:r>
    </w:p>
    <w:p w14:paraId="5A8AEBD0" w14:textId="77777777" w:rsidR="00740F0F" w:rsidRPr="0029070D" w:rsidRDefault="00100B64">
      <w:pPr>
        <w:widowControl w:val="0"/>
        <w:autoSpaceDE w:val="0"/>
        <w:autoSpaceDN w:val="0"/>
        <w:spacing w:before="182" w:after="0" w:line="240" w:lineRule="auto"/>
        <w:ind w:left="340"/>
        <w:outlineLvl w:val="1"/>
        <w:rPr>
          <w:rFonts w:ascii="Times New Roman" w:eastAsia="Times New Roman" w:hAnsi="Times New Roman" w:cs="Times New Roman"/>
          <w:b/>
          <w:noProof/>
          <w:kern w:val="0"/>
          <w:szCs w:val="20"/>
          <w:u w:color="000000"/>
          <w14:ligatures w14:val="none"/>
        </w:rPr>
      </w:pPr>
      <w:r>
        <w:rPr>
          <w:rFonts w:ascii="Times New Roman" w:hAnsi="Times New Roman"/>
          <w:b/>
          <w:noProof/>
          <w:u w:color="000000"/>
        </w:rPr>
        <w:t>PARTIE 2: SOUTIEN FINANCIER</w:t>
      </w:r>
    </w:p>
    <w:p w14:paraId="5A8AEBD1" w14:textId="77777777" w:rsidR="00740F0F" w:rsidRPr="0029070D" w:rsidRDefault="00100B64">
      <w:pPr>
        <w:widowControl w:val="0"/>
        <w:numPr>
          <w:ilvl w:val="1"/>
          <w:numId w:val="58"/>
        </w:numPr>
        <w:tabs>
          <w:tab w:val="left" w:pos="1197"/>
          <w:tab w:val="left" w:pos="1198"/>
        </w:tabs>
        <w:autoSpaceDE w:val="0"/>
        <w:autoSpaceDN w:val="0"/>
        <w:spacing w:before="247" w:after="0" w:line="240" w:lineRule="auto"/>
        <w:ind w:hanging="858"/>
        <w:jc w:val="both"/>
        <w:rPr>
          <w:rFonts w:ascii="Times New Roman" w:eastAsia="Times New Roman" w:hAnsi="Times New Roman" w:cs="Times New Roman"/>
          <w:b/>
          <w:noProof/>
          <w:kern w:val="0"/>
          <w:szCs w:val="20"/>
          <w14:ligatures w14:val="none"/>
        </w:rPr>
      </w:pPr>
      <w:r>
        <w:rPr>
          <w:rFonts w:ascii="Times New Roman" w:hAnsi="Times New Roman"/>
          <w:b/>
          <w:noProof/>
        </w:rPr>
        <w:t>Contribution financière</w:t>
      </w:r>
    </w:p>
    <w:p w14:paraId="5A8AEBD2" w14:textId="77777777" w:rsidR="00740F0F" w:rsidRPr="0029070D" w:rsidRDefault="00100B64">
      <w:pPr>
        <w:widowControl w:val="0"/>
        <w:numPr>
          <w:ilvl w:val="2"/>
          <w:numId w:val="58"/>
        </w:numPr>
        <w:tabs>
          <w:tab w:val="left" w:pos="1197"/>
          <w:tab w:val="left" w:pos="1198"/>
        </w:tabs>
        <w:autoSpaceDE w:val="0"/>
        <w:autoSpaceDN w:val="0"/>
        <w:spacing w:before="108" w:after="0" w:line="240" w:lineRule="auto"/>
        <w:ind w:hanging="858"/>
        <w:jc w:val="both"/>
        <w:rPr>
          <w:rFonts w:ascii="Times New Roman" w:eastAsia="Times New Roman" w:hAnsi="Times New Roman" w:cs="Times New Roman"/>
          <w:noProof/>
          <w:kern w:val="0"/>
          <w:szCs w:val="20"/>
          <w14:ligatures w14:val="none"/>
        </w:rPr>
      </w:pPr>
      <w:r>
        <w:rPr>
          <w:rFonts w:ascii="Times New Roman" w:hAnsi="Times New Roman"/>
          <w:noProof/>
        </w:rPr>
        <w:t>Première tranche (soutien non remboursable):</w:t>
      </w:r>
    </w:p>
    <w:p w14:paraId="5A8AEBD3" w14:textId="77777777" w:rsidR="00740F0F" w:rsidRPr="0029070D" w:rsidRDefault="00740F0F">
      <w:pPr>
        <w:widowControl w:val="0"/>
        <w:autoSpaceDE w:val="0"/>
        <w:autoSpaceDN w:val="0"/>
        <w:spacing w:before="3" w:after="0" w:line="240" w:lineRule="auto"/>
        <w:rPr>
          <w:rFonts w:ascii="Times New Roman" w:eastAsia="Times New Roman" w:hAnsi="Times New Roman" w:cs="Times New Roman"/>
          <w:noProof/>
          <w:kern w:val="0"/>
          <w:sz w:val="13"/>
          <w:szCs w:val="20"/>
          <w14:ligatures w14:val="none"/>
        </w:rPr>
      </w:pPr>
    </w:p>
    <w:tbl>
      <w:tblPr>
        <w:tblStyle w:val="NormalTable0"/>
        <w:tblW w:w="1008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52"/>
        <w:gridCol w:w="2881"/>
        <w:gridCol w:w="1062"/>
        <w:gridCol w:w="4989"/>
      </w:tblGrid>
      <w:tr w:rsidR="00782477" w:rsidRPr="0029070D" w14:paraId="5A8AEBD8" w14:textId="77777777" w:rsidTr="00F84DDA">
        <w:trPr>
          <w:trHeight w:val="588"/>
          <w:tblHeader/>
          <w:jc w:val="center"/>
        </w:trPr>
        <w:tc>
          <w:tcPr>
            <w:tcW w:w="1152" w:type="dxa"/>
            <w:shd w:val="clear" w:color="auto" w:fill="BBD5EC"/>
          </w:tcPr>
          <w:p w14:paraId="5A8AEBD4" w14:textId="77777777" w:rsidR="00740F0F" w:rsidRPr="0029070D" w:rsidRDefault="00100B64">
            <w:pPr>
              <w:spacing w:line="285" w:lineRule="auto"/>
              <w:ind w:left="225" w:right="160" w:hanging="149"/>
              <w:rPr>
                <w:rFonts w:ascii="Times New Roman" w:eastAsia="Times New Roman" w:hAnsi="Times New Roman" w:cs="Times New Roman"/>
                <w:b/>
                <w:noProof/>
                <w:sz w:val="20"/>
              </w:rPr>
            </w:pPr>
            <w:r>
              <w:rPr>
                <w:rFonts w:ascii="Times New Roman" w:hAnsi="Times New Roman"/>
                <w:b/>
                <w:noProof/>
                <w:sz w:val="20"/>
              </w:rPr>
              <w:t>Numéro séquentiel</w:t>
            </w:r>
          </w:p>
        </w:tc>
        <w:tc>
          <w:tcPr>
            <w:tcW w:w="2881" w:type="dxa"/>
            <w:shd w:val="clear" w:color="auto" w:fill="BBD5EC"/>
          </w:tcPr>
          <w:p w14:paraId="5A8AEBD5" w14:textId="77777777" w:rsidR="00740F0F" w:rsidRPr="0029070D" w:rsidRDefault="00100B64">
            <w:pPr>
              <w:spacing w:line="285" w:lineRule="auto"/>
              <w:ind w:left="887" w:right="88" w:hanging="315"/>
              <w:rPr>
                <w:rFonts w:ascii="Times New Roman" w:eastAsia="Times New Roman" w:hAnsi="Times New Roman" w:cs="Times New Roman"/>
                <w:b/>
                <w:noProof/>
                <w:sz w:val="20"/>
              </w:rPr>
            </w:pPr>
            <w:r>
              <w:rPr>
                <w:rFonts w:ascii="Times New Roman" w:hAnsi="Times New Roman"/>
                <w:b/>
                <w:noProof/>
                <w:sz w:val="20"/>
              </w:rPr>
              <w:t>Mesure connexe (réforme ou investissement)</w:t>
            </w:r>
          </w:p>
        </w:tc>
        <w:tc>
          <w:tcPr>
            <w:tcW w:w="1062" w:type="dxa"/>
            <w:shd w:val="clear" w:color="auto" w:fill="BBD5EC"/>
          </w:tcPr>
          <w:p w14:paraId="5A8AEBD6" w14:textId="77777777" w:rsidR="00740F0F" w:rsidRPr="0029070D" w:rsidRDefault="00100B64">
            <w:pPr>
              <w:ind w:left="374"/>
              <w:rPr>
                <w:rFonts w:ascii="Times New Roman" w:eastAsia="Times New Roman" w:hAnsi="Times New Roman" w:cs="Times New Roman"/>
                <w:b/>
                <w:noProof/>
                <w:sz w:val="20"/>
              </w:rPr>
            </w:pPr>
            <w:r>
              <w:rPr>
                <w:rFonts w:ascii="Times New Roman" w:hAnsi="Times New Roman"/>
                <w:b/>
                <w:noProof/>
                <w:sz w:val="20"/>
              </w:rPr>
              <w:t>Jalon / Cible</w:t>
            </w:r>
          </w:p>
        </w:tc>
        <w:tc>
          <w:tcPr>
            <w:tcW w:w="4989" w:type="dxa"/>
            <w:shd w:val="clear" w:color="auto" w:fill="BBD5EC"/>
            <w:noWrap/>
            <w:vAlign w:val="center"/>
          </w:tcPr>
          <w:p w14:paraId="5A8AEBD7" w14:textId="77777777" w:rsidR="00740F0F" w:rsidRPr="0029070D" w:rsidRDefault="00100B64">
            <w:pPr>
              <w:ind w:left="2285" w:right="1770"/>
              <w:rPr>
                <w:rFonts w:ascii="Times New Roman" w:eastAsia="Times New Roman" w:hAnsi="Times New Roman" w:cs="Times New Roman"/>
                <w:b/>
                <w:noProof/>
                <w:sz w:val="20"/>
              </w:rPr>
            </w:pPr>
            <w:r>
              <w:rPr>
                <w:rFonts w:ascii="Times New Roman" w:hAnsi="Times New Roman"/>
                <w:b/>
                <w:noProof/>
                <w:sz w:val="20"/>
              </w:rPr>
              <w:t>Dénomination</w:t>
            </w:r>
          </w:p>
        </w:tc>
      </w:tr>
      <w:tr w:rsidR="00782477" w:rsidRPr="0029070D" w14:paraId="5A8AEBDD" w14:textId="77777777" w:rsidTr="00F84DDA">
        <w:trPr>
          <w:trHeight w:val="525"/>
          <w:jc w:val="center"/>
        </w:trPr>
        <w:tc>
          <w:tcPr>
            <w:tcW w:w="1152" w:type="dxa"/>
            <w:shd w:val="clear" w:color="auto" w:fill="C5EDCE"/>
          </w:tcPr>
          <w:p w14:paraId="5A8AEBD9" w14:textId="77777777" w:rsidR="00740F0F" w:rsidRPr="0029070D" w:rsidRDefault="00100B64">
            <w:pPr>
              <w:spacing w:line="216" w:lineRule="exact"/>
              <w:ind w:left="381" w:right="359"/>
              <w:jc w:val="center"/>
              <w:rPr>
                <w:rFonts w:ascii="Times New Roman" w:eastAsia="Times New Roman" w:hAnsi="Times New Roman" w:cs="Times New Roman"/>
                <w:noProof/>
                <w:sz w:val="19"/>
              </w:rPr>
            </w:pPr>
            <w:r>
              <w:rPr>
                <w:rFonts w:ascii="Times New Roman" w:hAnsi="Times New Roman"/>
                <w:noProof/>
                <w:color w:val="005F00"/>
                <w:sz w:val="19"/>
              </w:rPr>
              <w:t>1-1</w:t>
            </w:r>
          </w:p>
        </w:tc>
        <w:tc>
          <w:tcPr>
            <w:tcW w:w="2881" w:type="dxa"/>
            <w:shd w:val="clear" w:color="auto" w:fill="C5EDCE"/>
          </w:tcPr>
          <w:p w14:paraId="5A8AEBDA" w14:textId="77777777" w:rsidR="00740F0F" w:rsidRPr="0029070D" w:rsidRDefault="00100B64">
            <w:pPr>
              <w:spacing w:line="216" w:lineRule="exact"/>
              <w:ind w:left="119"/>
              <w:rPr>
                <w:rFonts w:ascii="Times New Roman" w:eastAsia="Times New Roman" w:hAnsi="Times New Roman" w:cs="Times New Roman"/>
                <w:noProof/>
                <w:sz w:val="19"/>
              </w:rPr>
            </w:pPr>
            <w:r>
              <w:rPr>
                <w:rFonts w:ascii="Times New Roman" w:hAnsi="Times New Roman"/>
                <w:noProof/>
                <w:color w:val="005F00"/>
                <w:sz w:val="19"/>
              </w:rPr>
              <w:t>C1.R1 Politique du logement</w:t>
            </w:r>
          </w:p>
        </w:tc>
        <w:tc>
          <w:tcPr>
            <w:tcW w:w="1062" w:type="dxa"/>
            <w:shd w:val="clear" w:color="auto" w:fill="C5EDCE"/>
          </w:tcPr>
          <w:p w14:paraId="5A8AEBDB" w14:textId="77777777" w:rsidR="00740F0F" w:rsidRPr="0029070D" w:rsidRDefault="00100B64">
            <w:pPr>
              <w:spacing w:line="216" w:lineRule="exact"/>
              <w:ind w:left="320" w:right="281"/>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989" w:type="dxa"/>
            <w:shd w:val="clear" w:color="auto" w:fill="C5EDCE"/>
          </w:tcPr>
          <w:p w14:paraId="5A8AEBDC" w14:textId="77777777" w:rsidR="00740F0F" w:rsidRPr="0029070D" w:rsidRDefault="00100B64">
            <w:pPr>
              <w:spacing w:line="216" w:lineRule="exact"/>
              <w:ind w:left="118"/>
              <w:rPr>
                <w:rFonts w:ascii="Times New Roman" w:eastAsia="Times New Roman" w:hAnsi="Times New Roman" w:cs="Times New Roman"/>
                <w:noProof/>
                <w:sz w:val="19"/>
              </w:rPr>
            </w:pPr>
            <w:r>
              <w:rPr>
                <w:rFonts w:ascii="Times New Roman" w:hAnsi="Times New Roman"/>
                <w:noProof/>
                <w:color w:val="005F00"/>
                <w:sz w:val="19"/>
              </w:rPr>
              <w:t>Réforme des APL (aides personnelles au logement)</w:t>
            </w:r>
          </w:p>
        </w:tc>
      </w:tr>
      <w:tr w:rsidR="00782477" w:rsidRPr="0029070D" w14:paraId="5A8AEBE2" w14:textId="77777777" w:rsidTr="00F84DDA">
        <w:trPr>
          <w:trHeight w:val="525"/>
          <w:jc w:val="center"/>
        </w:trPr>
        <w:tc>
          <w:tcPr>
            <w:tcW w:w="1152" w:type="dxa"/>
            <w:shd w:val="clear" w:color="auto" w:fill="C5EDCE"/>
          </w:tcPr>
          <w:p w14:paraId="5A8AEBDE" w14:textId="77777777" w:rsidR="00740F0F" w:rsidRPr="0029070D" w:rsidRDefault="00100B64">
            <w:pPr>
              <w:spacing w:line="216" w:lineRule="exact"/>
              <w:ind w:left="381" w:right="359"/>
              <w:jc w:val="center"/>
              <w:rPr>
                <w:rFonts w:ascii="Times New Roman" w:eastAsia="Times New Roman" w:hAnsi="Times New Roman" w:cs="Times New Roman"/>
                <w:noProof/>
                <w:sz w:val="19"/>
              </w:rPr>
            </w:pPr>
            <w:r>
              <w:rPr>
                <w:rFonts w:ascii="Times New Roman" w:hAnsi="Times New Roman"/>
                <w:noProof/>
                <w:color w:val="005F00"/>
                <w:sz w:val="19"/>
              </w:rPr>
              <w:t>1-4</w:t>
            </w:r>
          </w:p>
        </w:tc>
        <w:tc>
          <w:tcPr>
            <w:tcW w:w="2881" w:type="dxa"/>
            <w:shd w:val="clear" w:color="auto" w:fill="C5EDCE"/>
          </w:tcPr>
          <w:p w14:paraId="5A8AEBDF" w14:textId="77777777" w:rsidR="00740F0F" w:rsidRPr="0029070D" w:rsidRDefault="00100B64">
            <w:pPr>
              <w:ind w:left="119" w:right="5"/>
              <w:rPr>
                <w:rFonts w:ascii="Times New Roman" w:eastAsia="Times New Roman" w:hAnsi="Times New Roman" w:cs="Times New Roman"/>
                <w:noProof/>
                <w:sz w:val="19"/>
              </w:rPr>
            </w:pPr>
            <w:r>
              <w:rPr>
                <w:rFonts w:ascii="Times New Roman" w:hAnsi="Times New Roman"/>
                <w:noProof/>
                <w:color w:val="005F00"/>
                <w:sz w:val="19"/>
              </w:rPr>
              <w:t>C1.I1 Rénovation énergétique des bâtiments privés</w:t>
            </w:r>
          </w:p>
        </w:tc>
        <w:tc>
          <w:tcPr>
            <w:tcW w:w="1062" w:type="dxa"/>
            <w:shd w:val="clear" w:color="auto" w:fill="C5EDCE"/>
          </w:tcPr>
          <w:p w14:paraId="5A8AEBE0" w14:textId="77777777" w:rsidR="00740F0F" w:rsidRPr="0029070D" w:rsidRDefault="00100B64">
            <w:pPr>
              <w:spacing w:line="216" w:lineRule="exact"/>
              <w:ind w:left="309"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989" w:type="dxa"/>
            <w:shd w:val="clear" w:color="auto" w:fill="C5EDCE"/>
          </w:tcPr>
          <w:p w14:paraId="5A8AEBE1" w14:textId="77777777" w:rsidR="00740F0F" w:rsidRPr="0029070D" w:rsidRDefault="00100B64">
            <w:pPr>
              <w:spacing w:line="216" w:lineRule="exact"/>
              <w:ind w:left="118"/>
              <w:rPr>
                <w:rFonts w:ascii="Times New Roman" w:eastAsia="Times New Roman" w:hAnsi="Times New Roman" w:cs="Times New Roman"/>
                <w:noProof/>
                <w:sz w:val="19"/>
              </w:rPr>
            </w:pPr>
            <w:r>
              <w:rPr>
                <w:rFonts w:ascii="Times New Roman" w:hAnsi="Times New Roman"/>
                <w:noProof/>
                <w:color w:val="005F00"/>
                <w:sz w:val="19"/>
              </w:rPr>
              <w:t>Nombre de dossiers MaPrimeRénov’ validés</w:t>
            </w:r>
          </w:p>
        </w:tc>
      </w:tr>
      <w:tr w:rsidR="00782477" w:rsidRPr="0029070D" w14:paraId="5A8AEBE7" w14:textId="77777777" w:rsidTr="00F84DDA">
        <w:trPr>
          <w:trHeight w:val="524"/>
          <w:jc w:val="center"/>
        </w:trPr>
        <w:tc>
          <w:tcPr>
            <w:tcW w:w="1152" w:type="dxa"/>
            <w:shd w:val="clear" w:color="auto" w:fill="C5EDCE"/>
          </w:tcPr>
          <w:p w14:paraId="5A8AEBE3" w14:textId="77777777" w:rsidR="00740F0F" w:rsidRPr="0029070D" w:rsidRDefault="00100B64">
            <w:pPr>
              <w:spacing w:line="216" w:lineRule="exact"/>
              <w:ind w:left="381" w:right="359"/>
              <w:jc w:val="center"/>
              <w:rPr>
                <w:rFonts w:ascii="Times New Roman" w:eastAsia="Times New Roman" w:hAnsi="Times New Roman" w:cs="Times New Roman"/>
                <w:noProof/>
                <w:sz w:val="19"/>
              </w:rPr>
            </w:pPr>
            <w:r>
              <w:rPr>
                <w:rFonts w:ascii="Times New Roman" w:hAnsi="Times New Roman"/>
                <w:noProof/>
                <w:color w:val="005F00"/>
                <w:sz w:val="19"/>
              </w:rPr>
              <w:t>1-6</w:t>
            </w:r>
          </w:p>
        </w:tc>
        <w:tc>
          <w:tcPr>
            <w:tcW w:w="2881" w:type="dxa"/>
            <w:shd w:val="clear" w:color="auto" w:fill="C5EDCE"/>
          </w:tcPr>
          <w:p w14:paraId="5A8AEBE4" w14:textId="77777777" w:rsidR="00740F0F" w:rsidRPr="0029070D" w:rsidRDefault="00100B64">
            <w:pPr>
              <w:ind w:left="119" w:right="88"/>
              <w:rPr>
                <w:rFonts w:ascii="Times New Roman" w:eastAsia="Times New Roman" w:hAnsi="Times New Roman" w:cs="Times New Roman"/>
                <w:noProof/>
                <w:sz w:val="19"/>
              </w:rPr>
            </w:pPr>
            <w:r>
              <w:rPr>
                <w:rFonts w:ascii="Times New Roman" w:hAnsi="Times New Roman"/>
                <w:noProof/>
                <w:color w:val="005F00"/>
                <w:sz w:val="19"/>
              </w:rPr>
              <w:t>C1.I2 Rénovation énergétique des logements sociaux</w:t>
            </w:r>
          </w:p>
        </w:tc>
        <w:tc>
          <w:tcPr>
            <w:tcW w:w="1062" w:type="dxa"/>
            <w:shd w:val="clear" w:color="auto" w:fill="C5EDCE"/>
          </w:tcPr>
          <w:p w14:paraId="5A8AEBE5" w14:textId="77777777" w:rsidR="00740F0F" w:rsidRPr="0029070D" w:rsidRDefault="00100B64">
            <w:pPr>
              <w:spacing w:line="216" w:lineRule="exact"/>
              <w:ind w:left="309"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989" w:type="dxa"/>
            <w:shd w:val="clear" w:color="auto" w:fill="C5EDCE"/>
          </w:tcPr>
          <w:p w14:paraId="5A8AEBE6" w14:textId="77777777" w:rsidR="00740F0F" w:rsidRPr="0029070D" w:rsidRDefault="00100B64">
            <w:pPr>
              <w:ind w:left="118" w:right="57"/>
              <w:rPr>
                <w:rFonts w:ascii="Times New Roman" w:eastAsia="Times New Roman" w:hAnsi="Times New Roman" w:cs="Times New Roman"/>
                <w:noProof/>
                <w:sz w:val="19"/>
              </w:rPr>
            </w:pPr>
            <w:r>
              <w:rPr>
                <w:rFonts w:ascii="Times New Roman" w:hAnsi="Times New Roman"/>
                <w:noProof/>
                <w:color w:val="005F00"/>
                <w:sz w:val="19"/>
              </w:rPr>
              <w:t>Nombre de logements sociaux bénéficiant d’une subvention pour la rénovation</w:t>
            </w:r>
          </w:p>
        </w:tc>
      </w:tr>
      <w:tr w:rsidR="00782477" w:rsidRPr="0029070D" w14:paraId="5A8AEBEC" w14:textId="77777777" w:rsidTr="00F84DDA">
        <w:trPr>
          <w:trHeight w:val="793"/>
          <w:jc w:val="center"/>
        </w:trPr>
        <w:tc>
          <w:tcPr>
            <w:tcW w:w="1152" w:type="dxa"/>
            <w:shd w:val="clear" w:color="auto" w:fill="C5EDCE"/>
          </w:tcPr>
          <w:p w14:paraId="5A8AEBE8" w14:textId="77777777" w:rsidR="00740F0F" w:rsidRPr="0029070D" w:rsidRDefault="00100B64">
            <w:pPr>
              <w:spacing w:line="216" w:lineRule="exact"/>
              <w:ind w:left="381" w:right="359"/>
              <w:jc w:val="center"/>
              <w:rPr>
                <w:rFonts w:ascii="Times New Roman" w:eastAsia="Times New Roman" w:hAnsi="Times New Roman" w:cs="Times New Roman"/>
                <w:noProof/>
                <w:sz w:val="19"/>
              </w:rPr>
            </w:pPr>
            <w:r>
              <w:rPr>
                <w:rFonts w:ascii="Times New Roman" w:hAnsi="Times New Roman"/>
                <w:noProof/>
                <w:color w:val="005F00"/>
                <w:sz w:val="19"/>
              </w:rPr>
              <w:t>1-8</w:t>
            </w:r>
          </w:p>
        </w:tc>
        <w:tc>
          <w:tcPr>
            <w:tcW w:w="2881" w:type="dxa"/>
            <w:shd w:val="clear" w:color="auto" w:fill="C5EDCE"/>
          </w:tcPr>
          <w:p w14:paraId="5A8AEBE9" w14:textId="77777777" w:rsidR="00740F0F" w:rsidRPr="0029070D" w:rsidRDefault="00100B64">
            <w:pPr>
              <w:ind w:left="119" w:right="91"/>
              <w:rPr>
                <w:rFonts w:ascii="Times New Roman" w:eastAsia="Times New Roman" w:hAnsi="Times New Roman" w:cs="Times New Roman"/>
                <w:noProof/>
                <w:sz w:val="19"/>
              </w:rPr>
            </w:pPr>
            <w:r>
              <w:rPr>
                <w:rFonts w:ascii="Times New Roman" w:hAnsi="Times New Roman"/>
                <w:noProof/>
                <w:color w:val="005F00"/>
                <w:sz w:val="19"/>
              </w:rPr>
              <w:t>C1.I3 Rénovation énergétique des bâtiments publics</w:t>
            </w:r>
          </w:p>
        </w:tc>
        <w:tc>
          <w:tcPr>
            <w:tcW w:w="1062" w:type="dxa"/>
            <w:shd w:val="clear" w:color="auto" w:fill="C5EDCE"/>
          </w:tcPr>
          <w:p w14:paraId="5A8AEBEA" w14:textId="77777777" w:rsidR="00740F0F" w:rsidRPr="0029070D" w:rsidRDefault="00100B64">
            <w:pPr>
              <w:spacing w:line="216" w:lineRule="exact"/>
              <w:ind w:left="309"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989" w:type="dxa"/>
            <w:shd w:val="clear" w:color="auto" w:fill="C5EDCE"/>
          </w:tcPr>
          <w:p w14:paraId="5A8AEBEB" w14:textId="77777777" w:rsidR="00740F0F" w:rsidRPr="0029070D" w:rsidRDefault="00100B64">
            <w:pPr>
              <w:spacing w:line="280" w:lineRule="auto"/>
              <w:ind w:left="118" w:right="57"/>
              <w:rPr>
                <w:rFonts w:ascii="Times New Roman" w:eastAsia="Times New Roman" w:hAnsi="Times New Roman" w:cs="Times New Roman"/>
                <w:noProof/>
                <w:sz w:val="19"/>
              </w:rPr>
            </w:pPr>
            <w:r>
              <w:rPr>
                <w:rFonts w:ascii="Times New Roman" w:hAnsi="Times New Roman"/>
                <w:noProof/>
                <w:color w:val="005F00"/>
                <w:sz w:val="19"/>
              </w:rPr>
              <w:t>Nombre de projets de rénovation de sites publics appartenant à l’État pour lesquels le contrat de travaux de rénovation a été notifié</w:t>
            </w:r>
          </w:p>
        </w:tc>
      </w:tr>
      <w:tr w:rsidR="00782477" w:rsidRPr="0029070D" w14:paraId="5A8AEBF1" w14:textId="77777777" w:rsidTr="00F84DDA">
        <w:trPr>
          <w:trHeight w:val="525"/>
          <w:jc w:val="center"/>
        </w:trPr>
        <w:tc>
          <w:tcPr>
            <w:tcW w:w="1152" w:type="dxa"/>
            <w:shd w:val="clear" w:color="auto" w:fill="C5EDCE"/>
          </w:tcPr>
          <w:p w14:paraId="5A8AEBED" w14:textId="77777777" w:rsidR="00740F0F" w:rsidRPr="0029070D" w:rsidRDefault="00100B64">
            <w:pPr>
              <w:spacing w:line="206" w:lineRule="exact"/>
              <w:ind w:left="381" w:right="359"/>
              <w:jc w:val="center"/>
              <w:rPr>
                <w:rFonts w:ascii="Times New Roman" w:eastAsia="Times New Roman" w:hAnsi="Times New Roman" w:cs="Times New Roman"/>
                <w:noProof/>
                <w:sz w:val="19"/>
              </w:rPr>
            </w:pPr>
            <w:r>
              <w:rPr>
                <w:rFonts w:ascii="Times New Roman" w:hAnsi="Times New Roman"/>
                <w:noProof/>
                <w:color w:val="005F00"/>
                <w:sz w:val="19"/>
              </w:rPr>
              <w:t>2-4</w:t>
            </w:r>
          </w:p>
        </w:tc>
        <w:tc>
          <w:tcPr>
            <w:tcW w:w="2881" w:type="dxa"/>
            <w:shd w:val="clear" w:color="auto" w:fill="C5EDCE"/>
          </w:tcPr>
          <w:p w14:paraId="5A8AEBEE" w14:textId="77777777" w:rsidR="00740F0F" w:rsidRPr="0029070D" w:rsidRDefault="00100B64">
            <w:pPr>
              <w:spacing w:line="206" w:lineRule="exact"/>
              <w:ind w:left="119"/>
              <w:rPr>
                <w:rFonts w:ascii="Times New Roman" w:eastAsia="Times New Roman" w:hAnsi="Times New Roman" w:cs="Times New Roman"/>
                <w:noProof/>
                <w:sz w:val="19"/>
              </w:rPr>
            </w:pPr>
            <w:r>
              <w:rPr>
                <w:rFonts w:ascii="Times New Roman" w:hAnsi="Times New Roman"/>
                <w:noProof/>
                <w:color w:val="005F00"/>
                <w:sz w:val="19"/>
              </w:rPr>
              <w:t>C2.I1 Décarbonation de l’industrie</w:t>
            </w:r>
          </w:p>
        </w:tc>
        <w:tc>
          <w:tcPr>
            <w:tcW w:w="1062" w:type="dxa"/>
            <w:shd w:val="clear" w:color="auto" w:fill="C5EDCE"/>
          </w:tcPr>
          <w:p w14:paraId="5A8AEBEF" w14:textId="77777777" w:rsidR="00740F0F" w:rsidRPr="0029070D" w:rsidRDefault="00100B64">
            <w:pPr>
              <w:spacing w:line="206" w:lineRule="exact"/>
              <w:ind w:left="309"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989" w:type="dxa"/>
            <w:shd w:val="clear" w:color="auto" w:fill="C5EDCE"/>
          </w:tcPr>
          <w:p w14:paraId="5A8AEBF0" w14:textId="77777777" w:rsidR="00740F0F" w:rsidRPr="0029070D" w:rsidRDefault="00100B64">
            <w:pPr>
              <w:spacing w:line="206" w:lineRule="exact"/>
              <w:ind w:left="118"/>
              <w:rPr>
                <w:rFonts w:ascii="Times New Roman" w:eastAsia="Times New Roman" w:hAnsi="Times New Roman" w:cs="Times New Roman"/>
                <w:noProof/>
                <w:sz w:val="19"/>
              </w:rPr>
            </w:pPr>
            <w:r>
              <w:rPr>
                <w:rFonts w:ascii="Times New Roman" w:hAnsi="Times New Roman"/>
                <w:noProof/>
                <w:color w:val="005F00"/>
                <w:sz w:val="19"/>
              </w:rPr>
              <w:t>Émissions de gaz à effet de serre évitées</w:t>
            </w:r>
          </w:p>
        </w:tc>
      </w:tr>
      <w:tr w:rsidR="00782477" w:rsidRPr="0029070D" w14:paraId="5A8AEBF6" w14:textId="77777777" w:rsidTr="00F84DDA">
        <w:trPr>
          <w:trHeight w:val="525"/>
          <w:jc w:val="center"/>
        </w:trPr>
        <w:tc>
          <w:tcPr>
            <w:tcW w:w="1152" w:type="dxa"/>
            <w:tcBorders>
              <w:bottom w:val="single" w:sz="4" w:space="0" w:color="auto"/>
            </w:tcBorders>
            <w:shd w:val="clear" w:color="auto" w:fill="C5EDCE"/>
          </w:tcPr>
          <w:p w14:paraId="5A8AEBF2" w14:textId="77777777" w:rsidR="00740F0F" w:rsidRPr="0029070D" w:rsidRDefault="00100B64">
            <w:pPr>
              <w:spacing w:line="207" w:lineRule="exact"/>
              <w:ind w:left="381" w:right="359"/>
              <w:jc w:val="center"/>
              <w:rPr>
                <w:rFonts w:ascii="Times New Roman" w:eastAsia="Times New Roman" w:hAnsi="Times New Roman" w:cs="Times New Roman"/>
                <w:noProof/>
                <w:sz w:val="19"/>
              </w:rPr>
            </w:pPr>
            <w:r>
              <w:rPr>
                <w:rFonts w:ascii="Times New Roman" w:hAnsi="Times New Roman"/>
                <w:noProof/>
                <w:color w:val="005F00"/>
                <w:sz w:val="19"/>
              </w:rPr>
              <w:t>2-6</w:t>
            </w:r>
          </w:p>
        </w:tc>
        <w:tc>
          <w:tcPr>
            <w:tcW w:w="2881" w:type="dxa"/>
            <w:tcBorders>
              <w:bottom w:val="single" w:sz="4" w:space="0" w:color="auto"/>
            </w:tcBorders>
            <w:shd w:val="clear" w:color="auto" w:fill="C5EDCE"/>
          </w:tcPr>
          <w:p w14:paraId="5A8AEBF3" w14:textId="77777777" w:rsidR="00740F0F" w:rsidRPr="0029070D" w:rsidRDefault="00100B64">
            <w:pPr>
              <w:spacing w:line="225" w:lineRule="auto"/>
              <w:ind w:left="119" w:right="688"/>
              <w:rPr>
                <w:rFonts w:ascii="Times New Roman" w:eastAsia="Times New Roman" w:hAnsi="Times New Roman" w:cs="Times New Roman"/>
                <w:noProof/>
                <w:sz w:val="19"/>
              </w:rPr>
            </w:pPr>
            <w:r>
              <w:rPr>
                <w:rFonts w:ascii="Times New Roman" w:hAnsi="Times New Roman"/>
                <w:noProof/>
                <w:color w:val="005F00"/>
                <w:sz w:val="19"/>
              </w:rPr>
              <w:t>C2.I2 Densification urbaine: construction durable</w:t>
            </w:r>
          </w:p>
        </w:tc>
        <w:tc>
          <w:tcPr>
            <w:tcW w:w="1062" w:type="dxa"/>
            <w:tcBorders>
              <w:bottom w:val="single" w:sz="4" w:space="0" w:color="auto"/>
            </w:tcBorders>
            <w:shd w:val="clear" w:color="auto" w:fill="C5EDCE"/>
          </w:tcPr>
          <w:p w14:paraId="5A8AEBF4" w14:textId="77777777" w:rsidR="00740F0F" w:rsidRPr="0029070D" w:rsidRDefault="00100B64">
            <w:pPr>
              <w:spacing w:line="207" w:lineRule="exact"/>
              <w:ind w:left="309"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989" w:type="dxa"/>
            <w:tcBorders>
              <w:bottom w:val="single" w:sz="4" w:space="0" w:color="auto"/>
            </w:tcBorders>
            <w:shd w:val="clear" w:color="auto" w:fill="C5EDCE"/>
          </w:tcPr>
          <w:p w14:paraId="5A8AEBF5" w14:textId="77777777" w:rsidR="00740F0F" w:rsidRPr="0029070D" w:rsidRDefault="00100B64">
            <w:pPr>
              <w:spacing w:line="207" w:lineRule="exact"/>
              <w:ind w:left="118"/>
              <w:rPr>
                <w:rFonts w:ascii="Times New Roman" w:eastAsia="Times New Roman" w:hAnsi="Times New Roman" w:cs="Times New Roman"/>
                <w:noProof/>
                <w:sz w:val="19"/>
              </w:rPr>
            </w:pPr>
            <w:r>
              <w:rPr>
                <w:rFonts w:ascii="Times New Roman" w:hAnsi="Times New Roman"/>
                <w:noProof/>
                <w:color w:val="005F00"/>
                <w:sz w:val="19"/>
              </w:rPr>
              <w:t>Nombre de communes bénéficiant de l’aide</w:t>
            </w:r>
          </w:p>
        </w:tc>
      </w:tr>
      <w:tr w:rsidR="00782477" w:rsidRPr="0029070D" w14:paraId="5A8AEBFB" w14:textId="77777777" w:rsidTr="00F84DDA">
        <w:trPr>
          <w:trHeight w:val="508"/>
          <w:jc w:val="center"/>
        </w:trPr>
        <w:tc>
          <w:tcPr>
            <w:tcW w:w="1152" w:type="dxa"/>
            <w:tcBorders>
              <w:top w:val="single" w:sz="4" w:space="0" w:color="auto"/>
              <w:left w:val="single" w:sz="4" w:space="0" w:color="auto"/>
              <w:bottom w:val="single" w:sz="4" w:space="0" w:color="auto"/>
              <w:right w:val="single" w:sz="4" w:space="0" w:color="auto"/>
            </w:tcBorders>
            <w:shd w:val="clear" w:color="auto" w:fill="C5EDCE"/>
          </w:tcPr>
          <w:p w14:paraId="5A8AEBF7" w14:textId="77777777" w:rsidR="00740F0F" w:rsidRPr="0029070D" w:rsidRDefault="00100B64">
            <w:pPr>
              <w:spacing w:line="206" w:lineRule="exact"/>
              <w:ind w:left="381" w:right="359"/>
              <w:jc w:val="center"/>
              <w:rPr>
                <w:rFonts w:ascii="Times New Roman" w:eastAsia="Times New Roman" w:hAnsi="Times New Roman" w:cs="Times New Roman"/>
                <w:noProof/>
                <w:sz w:val="19"/>
              </w:rPr>
            </w:pPr>
            <w:r>
              <w:rPr>
                <w:rFonts w:ascii="Times New Roman" w:hAnsi="Times New Roman"/>
                <w:noProof/>
                <w:color w:val="005F00"/>
                <w:sz w:val="19"/>
              </w:rPr>
              <w:t>3-1</w:t>
            </w:r>
          </w:p>
        </w:tc>
        <w:tc>
          <w:tcPr>
            <w:tcW w:w="2881" w:type="dxa"/>
            <w:tcBorders>
              <w:top w:val="single" w:sz="4" w:space="0" w:color="auto"/>
              <w:left w:val="single" w:sz="4" w:space="0" w:color="auto"/>
              <w:bottom w:val="single" w:sz="4" w:space="0" w:color="auto"/>
              <w:right w:val="single" w:sz="4" w:space="0" w:color="auto"/>
            </w:tcBorders>
            <w:shd w:val="clear" w:color="auto" w:fill="C5EDCE"/>
          </w:tcPr>
          <w:p w14:paraId="5A8AEBF8" w14:textId="77777777" w:rsidR="00740F0F" w:rsidRPr="0029070D" w:rsidRDefault="00100B64">
            <w:pPr>
              <w:spacing w:line="206" w:lineRule="exact"/>
              <w:ind w:left="119"/>
              <w:rPr>
                <w:rFonts w:ascii="Times New Roman" w:eastAsia="Times New Roman" w:hAnsi="Times New Roman" w:cs="Times New Roman"/>
                <w:noProof/>
                <w:sz w:val="19"/>
              </w:rPr>
            </w:pPr>
            <w:r>
              <w:rPr>
                <w:rFonts w:ascii="Times New Roman" w:hAnsi="Times New Roman"/>
                <w:noProof/>
                <w:color w:val="005F00"/>
                <w:sz w:val="19"/>
              </w:rPr>
              <w:t>C3.R1 Loi d’orientation des mobilités</w:t>
            </w:r>
          </w:p>
        </w:tc>
        <w:tc>
          <w:tcPr>
            <w:tcW w:w="1062" w:type="dxa"/>
            <w:tcBorders>
              <w:top w:val="single" w:sz="4" w:space="0" w:color="auto"/>
              <w:left w:val="single" w:sz="4" w:space="0" w:color="auto"/>
              <w:bottom w:val="single" w:sz="4" w:space="0" w:color="auto"/>
              <w:right w:val="single" w:sz="4" w:space="0" w:color="auto"/>
            </w:tcBorders>
            <w:shd w:val="clear" w:color="auto" w:fill="C5EDCE"/>
          </w:tcPr>
          <w:p w14:paraId="5A8AEBF9" w14:textId="77777777" w:rsidR="00740F0F" w:rsidRPr="0029070D" w:rsidRDefault="00100B64">
            <w:pPr>
              <w:spacing w:line="206" w:lineRule="exact"/>
              <w:ind w:left="320" w:right="281"/>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989" w:type="dxa"/>
            <w:tcBorders>
              <w:top w:val="single" w:sz="4" w:space="0" w:color="auto"/>
              <w:left w:val="single" w:sz="4" w:space="0" w:color="auto"/>
              <w:bottom w:val="single" w:sz="4" w:space="0" w:color="auto"/>
              <w:right w:val="single" w:sz="4" w:space="0" w:color="auto"/>
            </w:tcBorders>
            <w:shd w:val="clear" w:color="auto" w:fill="C5EDCE"/>
          </w:tcPr>
          <w:p w14:paraId="5A8AEBFA" w14:textId="7F90F220" w:rsidR="00740F0F" w:rsidRPr="0029070D" w:rsidRDefault="00100B64">
            <w:pPr>
              <w:spacing w:line="200" w:lineRule="exact"/>
              <w:ind w:left="118"/>
              <w:rPr>
                <w:rFonts w:ascii="Times New Roman" w:eastAsia="Times New Roman" w:hAnsi="Times New Roman" w:cs="Times New Roman"/>
                <w:noProof/>
                <w:sz w:val="19"/>
              </w:rPr>
            </w:pPr>
            <w:r>
              <w:rPr>
                <w:rFonts w:ascii="Times New Roman" w:hAnsi="Times New Roman"/>
                <w:noProof/>
                <w:color w:val="005F00"/>
                <w:sz w:val="19"/>
              </w:rPr>
              <w:t>Article 35.2 de la loi nº 2019-1428 du 24</w:t>
            </w:r>
            <w:r>
              <w:rPr>
                <w:rFonts w:ascii="Times New Roman" w:hAnsi="Times New Roman"/>
                <w:noProof/>
                <w:sz w:val="20"/>
              </w:rPr>
              <w:t> </w:t>
            </w:r>
            <w:r>
              <w:rPr>
                <w:rFonts w:ascii="Times New Roman" w:hAnsi="Times New Roman"/>
                <w:noProof/>
                <w:color w:val="005F00"/>
                <w:sz w:val="19"/>
              </w:rPr>
              <w:t>décembre 2019 d’orientation des mobilités</w:t>
            </w:r>
          </w:p>
        </w:tc>
      </w:tr>
      <w:tr w:rsidR="00782477" w:rsidRPr="0029070D" w14:paraId="5A8AEC00" w14:textId="77777777" w:rsidTr="00F84DDA">
        <w:trPr>
          <w:trHeight w:val="522"/>
          <w:jc w:val="center"/>
        </w:trPr>
        <w:tc>
          <w:tcPr>
            <w:tcW w:w="1152" w:type="dxa"/>
            <w:tcBorders>
              <w:top w:val="single" w:sz="4" w:space="0" w:color="auto"/>
              <w:left w:val="single" w:sz="4" w:space="0" w:color="auto"/>
              <w:bottom w:val="single" w:sz="4" w:space="0" w:color="auto"/>
              <w:right w:val="single" w:sz="4" w:space="0" w:color="auto"/>
            </w:tcBorders>
            <w:shd w:val="clear" w:color="auto" w:fill="C5EDCE"/>
          </w:tcPr>
          <w:p w14:paraId="5A8AEBFC" w14:textId="77777777" w:rsidR="00740F0F" w:rsidRPr="0029070D" w:rsidRDefault="00100B64">
            <w:pPr>
              <w:spacing w:line="213" w:lineRule="exact"/>
              <w:ind w:left="381" w:right="359"/>
              <w:jc w:val="center"/>
              <w:rPr>
                <w:rFonts w:ascii="Times New Roman" w:eastAsia="Times New Roman" w:hAnsi="Times New Roman" w:cs="Times New Roman"/>
                <w:noProof/>
                <w:sz w:val="19"/>
              </w:rPr>
            </w:pPr>
            <w:r>
              <w:rPr>
                <w:rFonts w:ascii="Times New Roman" w:hAnsi="Times New Roman"/>
                <w:noProof/>
                <w:color w:val="005F00"/>
                <w:sz w:val="19"/>
              </w:rPr>
              <w:t>3-2</w:t>
            </w:r>
          </w:p>
        </w:tc>
        <w:tc>
          <w:tcPr>
            <w:tcW w:w="2881" w:type="dxa"/>
            <w:tcBorders>
              <w:top w:val="single" w:sz="4" w:space="0" w:color="auto"/>
              <w:left w:val="single" w:sz="4" w:space="0" w:color="auto"/>
              <w:bottom w:val="single" w:sz="4" w:space="0" w:color="auto"/>
              <w:right w:val="single" w:sz="4" w:space="0" w:color="auto"/>
            </w:tcBorders>
            <w:shd w:val="clear" w:color="auto" w:fill="C5EDCE"/>
          </w:tcPr>
          <w:p w14:paraId="5A8AEBFD" w14:textId="77777777" w:rsidR="00740F0F" w:rsidRPr="0029070D" w:rsidRDefault="00100B64">
            <w:pPr>
              <w:spacing w:line="213" w:lineRule="exact"/>
              <w:ind w:left="119"/>
              <w:rPr>
                <w:rFonts w:ascii="Times New Roman" w:eastAsia="Times New Roman" w:hAnsi="Times New Roman" w:cs="Times New Roman"/>
                <w:noProof/>
                <w:sz w:val="19"/>
              </w:rPr>
            </w:pPr>
            <w:r>
              <w:rPr>
                <w:rFonts w:ascii="Times New Roman" w:hAnsi="Times New Roman"/>
                <w:noProof/>
                <w:color w:val="005F00"/>
                <w:sz w:val="19"/>
              </w:rPr>
              <w:t>C3.R1 Loi d’orientation des mobilités</w:t>
            </w:r>
          </w:p>
        </w:tc>
        <w:tc>
          <w:tcPr>
            <w:tcW w:w="1062" w:type="dxa"/>
            <w:tcBorders>
              <w:top w:val="single" w:sz="4" w:space="0" w:color="auto"/>
              <w:left w:val="single" w:sz="4" w:space="0" w:color="auto"/>
              <w:bottom w:val="single" w:sz="4" w:space="0" w:color="auto"/>
              <w:right w:val="single" w:sz="4" w:space="0" w:color="auto"/>
            </w:tcBorders>
            <w:shd w:val="clear" w:color="auto" w:fill="C5EDCE"/>
          </w:tcPr>
          <w:p w14:paraId="5A8AEBFE" w14:textId="77777777" w:rsidR="00740F0F" w:rsidRPr="0029070D" w:rsidRDefault="00100B64">
            <w:pPr>
              <w:spacing w:line="213" w:lineRule="exact"/>
              <w:ind w:left="320" w:right="281"/>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989" w:type="dxa"/>
            <w:tcBorders>
              <w:top w:val="single" w:sz="4" w:space="0" w:color="auto"/>
              <w:left w:val="single" w:sz="4" w:space="0" w:color="auto"/>
              <w:bottom w:val="single" w:sz="4" w:space="0" w:color="auto"/>
              <w:right w:val="single" w:sz="4" w:space="0" w:color="auto"/>
            </w:tcBorders>
            <w:shd w:val="clear" w:color="auto" w:fill="C5EDCE"/>
          </w:tcPr>
          <w:p w14:paraId="5A8AEBFF" w14:textId="58A82D31" w:rsidR="00740F0F" w:rsidRPr="0029070D" w:rsidRDefault="00100B64">
            <w:pPr>
              <w:ind w:left="118"/>
              <w:rPr>
                <w:rFonts w:ascii="Times New Roman" w:eastAsia="Times New Roman" w:hAnsi="Times New Roman" w:cs="Times New Roman"/>
                <w:noProof/>
                <w:sz w:val="19"/>
              </w:rPr>
            </w:pPr>
            <w:r>
              <w:rPr>
                <w:rFonts w:ascii="Times New Roman" w:hAnsi="Times New Roman"/>
                <w:noProof/>
                <w:color w:val="005F00"/>
                <w:sz w:val="19"/>
              </w:rPr>
              <w:t>Article 172 de la loi nº 2019-1428 du 24</w:t>
            </w:r>
            <w:r>
              <w:rPr>
                <w:rFonts w:ascii="Times New Roman" w:hAnsi="Times New Roman"/>
                <w:noProof/>
                <w:sz w:val="20"/>
              </w:rPr>
              <w:t> </w:t>
            </w:r>
            <w:r>
              <w:rPr>
                <w:rFonts w:ascii="Times New Roman" w:hAnsi="Times New Roman"/>
                <w:noProof/>
                <w:color w:val="005F00"/>
                <w:sz w:val="19"/>
              </w:rPr>
              <w:t>décembre 2019 d’orientation des mobilités</w:t>
            </w:r>
          </w:p>
        </w:tc>
      </w:tr>
      <w:tr w:rsidR="00782477" w:rsidRPr="0029070D" w14:paraId="5A8AEC05" w14:textId="77777777" w:rsidTr="00F84DDA">
        <w:trPr>
          <w:trHeight w:val="508"/>
          <w:jc w:val="center"/>
        </w:trPr>
        <w:tc>
          <w:tcPr>
            <w:tcW w:w="1152" w:type="dxa"/>
            <w:tcBorders>
              <w:top w:val="single" w:sz="4" w:space="0" w:color="auto"/>
            </w:tcBorders>
            <w:shd w:val="clear" w:color="auto" w:fill="C5EDCE"/>
          </w:tcPr>
          <w:p w14:paraId="5A8AEC01" w14:textId="77777777" w:rsidR="00740F0F" w:rsidRPr="0029070D" w:rsidRDefault="00100B64">
            <w:pPr>
              <w:spacing w:line="216" w:lineRule="exact"/>
              <w:ind w:left="381" w:right="359"/>
              <w:jc w:val="center"/>
              <w:rPr>
                <w:rFonts w:ascii="Times New Roman" w:eastAsia="Times New Roman" w:hAnsi="Times New Roman" w:cs="Times New Roman"/>
                <w:noProof/>
                <w:sz w:val="19"/>
              </w:rPr>
            </w:pPr>
            <w:r>
              <w:rPr>
                <w:rFonts w:ascii="Times New Roman" w:hAnsi="Times New Roman"/>
                <w:noProof/>
                <w:color w:val="005F00"/>
                <w:sz w:val="19"/>
              </w:rPr>
              <w:t>3-4</w:t>
            </w:r>
          </w:p>
        </w:tc>
        <w:tc>
          <w:tcPr>
            <w:tcW w:w="2881" w:type="dxa"/>
            <w:tcBorders>
              <w:top w:val="single" w:sz="4" w:space="0" w:color="auto"/>
            </w:tcBorders>
            <w:shd w:val="clear" w:color="auto" w:fill="C5EDCE"/>
          </w:tcPr>
          <w:p w14:paraId="5A8AEC02" w14:textId="77777777" w:rsidR="00740F0F" w:rsidRPr="0029070D" w:rsidRDefault="00100B64">
            <w:pPr>
              <w:spacing w:line="216" w:lineRule="exact"/>
              <w:ind w:left="119"/>
              <w:rPr>
                <w:rFonts w:ascii="Times New Roman" w:eastAsia="Times New Roman" w:hAnsi="Times New Roman" w:cs="Times New Roman"/>
                <w:noProof/>
                <w:sz w:val="19"/>
              </w:rPr>
            </w:pPr>
            <w:r>
              <w:rPr>
                <w:rFonts w:ascii="Times New Roman" w:hAnsi="Times New Roman"/>
                <w:noProof/>
                <w:color w:val="005F00"/>
                <w:sz w:val="19"/>
              </w:rPr>
              <w:t>C3.R2 Budget vert</w:t>
            </w:r>
          </w:p>
        </w:tc>
        <w:tc>
          <w:tcPr>
            <w:tcW w:w="1062" w:type="dxa"/>
            <w:tcBorders>
              <w:top w:val="single" w:sz="4" w:space="0" w:color="auto"/>
            </w:tcBorders>
            <w:shd w:val="clear" w:color="auto" w:fill="C5EDCE"/>
          </w:tcPr>
          <w:p w14:paraId="5A8AEC03" w14:textId="77777777" w:rsidR="00740F0F" w:rsidRPr="0029070D" w:rsidRDefault="00100B64">
            <w:pPr>
              <w:spacing w:line="216" w:lineRule="exact"/>
              <w:ind w:left="320" w:right="281"/>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989" w:type="dxa"/>
            <w:tcBorders>
              <w:top w:val="single" w:sz="4" w:space="0" w:color="auto"/>
            </w:tcBorders>
            <w:shd w:val="clear" w:color="auto" w:fill="C5EDCE"/>
          </w:tcPr>
          <w:p w14:paraId="5A8AEC04" w14:textId="77777777" w:rsidR="00740F0F" w:rsidRPr="0029070D" w:rsidRDefault="00100B64">
            <w:pPr>
              <w:spacing w:line="216" w:lineRule="exact"/>
              <w:ind w:left="118"/>
              <w:rPr>
                <w:rFonts w:ascii="Times New Roman" w:eastAsia="Times New Roman" w:hAnsi="Times New Roman" w:cs="Times New Roman"/>
                <w:noProof/>
                <w:sz w:val="19"/>
              </w:rPr>
            </w:pPr>
            <w:r>
              <w:rPr>
                <w:rFonts w:ascii="Times New Roman" w:hAnsi="Times New Roman"/>
                <w:noProof/>
                <w:color w:val="005F00"/>
                <w:sz w:val="19"/>
              </w:rPr>
              <w:t>Budget vert annexé à la loi de finances</w:t>
            </w:r>
          </w:p>
        </w:tc>
      </w:tr>
      <w:tr w:rsidR="00782477" w:rsidRPr="0029070D" w14:paraId="5A8AEC0A" w14:textId="77777777" w:rsidTr="00F84DDA">
        <w:trPr>
          <w:trHeight w:val="510"/>
          <w:jc w:val="center"/>
        </w:trPr>
        <w:tc>
          <w:tcPr>
            <w:tcW w:w="1152" w:type="dxa"/>
            <w:shd w:val="clear" w:color="auto" w:fill="C5EDCE"/>
          </w:tcPr>
          <w:p w14:paraId="5A8AEC06" w14:textId="77777777" w:rsidR="00740F0F" w:rsidRPr="0029070D" w:rsidRDefault="00100B64">
            <w:pPr>
              <w:ind w:left="381" w:right="359"/>
              <w:jc w:val="center"/>
              <w:rPr>
                <w:rFonts w:ascii="Times New Roman" w:eastAsia="Times New Roman" w:hAnsi="Times New Roman" w:cs="Times New Roman"/>
                <w:noProof/>
                <w:sz w:val="19"/>
              </w:rPr>
            </w:pPr>
            <w:r>
              <w:rPr>
                <w:rFonts w:ascii="Times New Roman" w:hAnsi="Times New Roman"/>
                <w:noProof/>
                <w:color w:val="005F00"/>
                <w:sz w:val="19"/>
              </w:rPr>
              <w:t>3-5</w:t>
            </w:r>
          </w:p>
        </w:tc>
        <w:tc>
          <w:tcPr>
            <w:tcW w:w="2881" w:type="dxa"/>
            <w:shd w:val="clear" w:color="auto" w:fill="C5EDCE"/>
          </w:tcPr>
          <w:p w14:paraId="5A8AEC07" w14:textId="77777777" w:rsidR="00740F0F" w:rsidRPr="0029070D" w:rsidRDefault="00100B64">
            <w:pPr>
              <w:ind w:left="119"/>
              <w:rPr>
                <w:rFonts w:ascii="Times New Roman" w:eastAsia="Times New Roman" w:hAnsi="Times New Roman" w:cs="Times New Roman"/>
                <w:noProof/>
                <w:sz w:val="19"/>
              </w:rPr>
            </w:pPr>
            <w:r>
              <w:rPr>
                <w:rFonts w:ascii="Times New Roman" w:hAnsi="Times New Roman"/>
                <w:noProof/>
                <w:color w:val="005F00"/>
                <w:sz w:val="19"/>
              </w:rPr>
              <w:t>C3.I1 Soutien au secteur ferroviaire</w:t>
            </w:r>
          </w:p>
        </w:tc>
        <w:tc>
          <w:tcPr>
            <w:tcW w:w="1062" w:type="dxa"/>
            <w:shd w:val="clear" w:color="auto" w:fill="C5EDCE"/>
          </w:tcPr>
          <w:p w14:paraId="5A8AEC08" w14:textId="77777777" w:rsidR="00740F0F" w:rsidRPr="0029070D" w:rsidRDefault="00100B64">
            <w:pPr>
              <w:ind w:left="320" w:right="281"/>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989" w:type="dxa"/>
            <w:shd w:val="clear" w:color="auto" w:fill="C5EDCE"/>
          </w:tcPr>
          <w:p w14:paraId="5A8AEC09" w14:textId="77777777" w:rsidR="00740F0F" w:rsidRPr="0029070D" w:rsidRDefault="00100B64">
            <w:pPr>
              <w:ind w:left="118"/>
              <w:rPr>
                <w:rFonts w:ascii="Times New Roman" w:eastAsia="Times New Roman" w:hAnsi="Times New Roman" w:cs="Times New Roman"/>
                <w:noProof/>
                <w:sz w:val="19"/>
              </w:rPr>
            </w:pPr>
            <w:r>
              <w:rPr>
                <w:rFonts w:ascii="Times New Roman" w:hAnsi="Times New Roman"/>
                <w:noProof/>
                <w:color w:val="005F00"/>
                <w:sz w:val="19"/>
              </w:rPr>
              <w:t>Conclusion des conventions de financement</w:t>
            </w:r>
          </w:p>
        </w:tc>
      </w:tr>
      <w:tr w:rsidR="00782477" w:rsidRPr="0029070D" w14:paraId="5A8AEC0F" w14:textId="77777777" w:rsidTr="00F84DDA">
        <w:trPr>
          <w:trHeight w:val="525"/>
          <w:jc w:val="center"/>
        </w:trPr>
        <w:tc>
          <w:tcPr>
            <w:tcW w:w="1152" w:type="dxa"/>
            <w:shd w:val="clear" w:color="auto" w:fill="C5EDCE"/>
          </w:tcPr>
          <w:p w14:paraId="5A8AEC0B" w14:textId="77777777" w:rsidR="00740F0F" w:rsidRPr="0029070D" w:rsidRDefault="00100B64">
            <w:pPr>
              <w:spacing w:line="206" w:lineRule="exact"/>
              <w:ind w:left="381" w:right="367"/>
              <w:jc w:val="center"/>
              <w:rPr>
                <w:rFonts w:ascii="Times New Roman" w:eastAsia="Times New Roman" w:hAnsi="Times New Roman" w:cs="Times New Roman"/>
                <w:noProof/>
                <w:sz w:val="19"/>
              </w:rPr>
            </w:pPr>
            <w:r>
              <w:rPr>
                <w:rFonts w:ascii="Times New Roman" w:hAnsi="Times New Roman"/>
                <w:noProof/>
                <w:color w:val="005F00"/>
                <w:sz w:val="19"/>
              </w:rPr>
              <w:t>3-15</w:t>
            </w:r>
          </w:p>
        </w:tc>
        <w:tc>
          <w:tcPr>
            <w:tcW w:w="2881" w:type="dxa"/>
            <w:shd w:val="clear" w:color="auto" w:fill="C5EDCE"/>
          </w:tcPr>
          <w:p w14:paraId="5A8AEC0C" w14:textId="77777777" w:rsidR="00740F0F" w:rsidRPr="0029070D" w:rsidRDefault="00100B64">
            <w:pPr>
              <w:spacing w:line="230" w:lineRule="auto"/>
              <w:ind w:left="119" w:right="144"/>
              <w:rPr>
                <w:rFonts w:ascii="Times New Roman" w:eastAsia="Times New Roman" w:hAnsi="Times New Roman" w:cs="Times New Roman"/>
                <w:noProof/>
                <w:sz w:val="19"/>
                <w:szCs w:val="19"/>
              </w:rPr>
            </w:pPr>
            <w:r>
              <w:rPr>
                <w:rFonts w:ascii="Times New Roman" w:hAnsi="Times New Roman"/>
                <w:noProof/>
                <w:color w:val="005F00"/>
                <w:sz w:val="19"/>
              </w:rPr>
              <w:t>C3.I2 Aides à l’achat de véhicules propres</w:t>
            </w:r>
          </w:p>
        </w:tc>
        <w:tc>
          <w:tcPr>
            <w:tcW w:w="1062" w:type="dxa"/>
            <w:shd w:val="clear" w:color="auto" w:fill="C5EDCE"/>
          </w:tcPr>
          <w:p w14:paraId="5A8AEC0D" w14:textId="77777777" w:rsidR="00740F0F" w:rsidRPr="0029070D" w:rsidRDefault="00100B64">
            <w:pPr>
              <w:spacing w:line="206" w:lineRule="exact"/>
              <w:ind w:left="309"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989" w:type="dxa"/>
            <w:shd w:val="clear" w:color="auto" w:fill="C5EDCE"/>
          </w:tcPr>
          <w:p w14:paraId="5A8AEC0E" w14:textId="77777777" w:rsidR="00740F0F" w:rsidRPr="0029070D" w:rsidRDefault="00100B64">
            <w:pPr>
              <w:spacing w:line="206" w:lineRule="exact"/>
              <w:ind w:left="118"/>
              <w:rPr>
                <w:rFonts w:ascii="Times New Roman" w:eastAsia="Times New Roman" w:hAnsi="Times New Roman" w:cs="Times New Roman"/>
                <w:noProof/>
                <w:sz w:val="19"/>
              </w:rPr>
            </w:pPr>
            <w:r>
              <w:rPr>
                <w:rFonts w:ascii="Times New Roman" w:hAnsi="Times New Roman"/>
                <w:noProof/>
                <w:color w:val="005F00"/>
                <w:sz w:val="19"/>
              </w:rPr>
              <w:t>Bonus écologiques</w:t>
            </w:r>
          </w:p>
        </w:tc>
      </w:tr>
      <w:tr w:rsidR="00782477" w:rsidRPr="0029070D" w14:paraId="5A8AEC14" w14:textId="77777777" w:rsidTr="00F84DDA">
        <w:trPr>
          <w:trHeight w:val="496"/>
          <w:jc w:val="center"/>
        </w:trPr>
        <w:tc>
          <w:tcPr>
            <w:tcW w:w="1152" w:type="dxa"/>
            <w:shd w:val="clear" w:color="auto" w:fill="C5EDCE"/>
          </w:tcPr>
          <w:p w14:paraId="5A8AEC10" w14:textId="77777777" w:rsidR="00740F0F" w:rsidRPr="0029070D" w:rsidRDefault="00100B64">
            <w:pPr>
              <w:spacing w:line="206" w:lineRule="exact"/>
              <w:ind w:left="381" w:right="367"/>
              <w:jc w:val="center"/>
              <w:rPr>
                <w:rFonts w:ascii="Times New Roman" w:eastAsia="Times New Roman" w:hAnsi="Times New Roman" w:cs="Times New Roman"/>
                <w:noProof/>
                <w:sz w:val="19"/>
              </w:rPr>
            </w:pPr>
            <w:r>
              <w:rPr>
                <w:rFonts w:ascii="Times New Roman" w:hAnsi="Times New Roman"/>
                <w:noProof/>
                <w:color w:val="005F00"/>
                <w:sz w:val="19"/>
              </w:rPr>
              <w:t>3-18</w:t>
            </w:r>
          </w:p>
        </w:tc>
        <w:tc>
          <w:tcPr>
            <w:tcW w:w="2881" w:type="dxa"/>
            <w:shd w:val="clear" w:color="auto" w:fill="C5EDCE"/>
          </w:tcPr>
          <w:p w14:paraId="5A8AEC11" w14:textId="77777777" w:rsidR="00740F0F" w:rsidRPr="0029070D" w:rsidRDefault="00100B64">
            <w:pPr>
              <w:spacing w:line="206" w:lineRule="exact"/>
              <w:ind w:left="119"/>
              <w:rPr>
                <w:rFonts w:ascii="Times New Roman" w:eastAsia="Times New Roman" w:hAnsi="Times New Roman" w:cs="Times New Roman"/>
                <w:noProof/>
                <w:sz w:val="19"/>
              </w:rPr>
            </w:pPr>
            <w:r>
              <w:rPr>
                <w:rFonts w:ascii="Times New Roman" w:hAnsi="Times New Roman"/>
                <w:noProof/>
                <w:color w:val="005F00"/>
                <w:sz w:val="19"/>
              </w:rPr>
              <w:t>C3.I3 Mobilités du quotidien</w:t>
            </w:r>
          </w:p>
        </w:tc>
        <w:tc>
          <w:tcPr>
            <w:tcW w:w="1062" w:type="dxa"/>
            <w:shd w:val="clear" w:color="auto" w:fill="C5EDCE"/>
          </w:tcPr>
          <w:p w14:paraId="5A8AEC12" w14:textId="77777777" w:rsidR="00740F0F" w:rsidRPr="0029070D" w:rsidRDefault="00100B64">
            <w:pPr>
              <w:spacing w:line="206" w:lineRule="exact"/>
              <w:ind w:left="320" w:right="281"/>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989" w:type="dxa"/>
            <w:shd w:val="clear" w:color="auto" w:fill="C5EDCE"/>
          </w:tcPr>
          <w:p w14:paraId="5A8AEC13" w14:textId="77777777" w:rsidR="00740F0F" w:rsidRPr="0029070D" w:rsidRDefault="00100B64">
            <w:pPr>
              <w:spacing w:line="206" w:lineRule="exact"/>
              <w:ind w:left="118"/>
              <w:rPr>
                <w:rFonts w:ascii="Times New Roman" w:eastAsia="Times New Roman" w:hAnsi="Times New Roman" w:cs="Times New Roman"/>
                <w:noProof/>
                <w:sz w:val="19"/>
              </w:rPr>
            </w:pPr>
            <w:r>
              <w:rPr>
                <w:rFonts w:ascii="Times New Roman" w:hAnsi="Times New Roman"/>
                <w:noProof/>
                <w:color w:val="005F00"/>
                <w:sz w:val="19"/>
              </w:rPr>
              <w:t>Conventions de financement de l’AFITF</w:t>
            </w:r>
          </w:p>
        </w:tc>
      </w:tr>
      <w:tr w:rsidR="00782477" w:rsidRPr="0029070D" w14:paraId="5A8AEC19" w14:textId="77777777" w:rsidTr="00F84DDA">
        <w:trPr>
          <w:trHeight w:val="539"/>
          <w:jc w:val="center"/>
        </w:trPr>
        <w:tc>
          <w:tcPr>
            <w:tcW w:w="1152" w:type="dxa"/>
            <w:shd w:val="clear" w:color="auto" w:fill="C5EDCE"/>
          </w:tcPr>
          <w:p w14:paraId="5A8AEC15" w14:textId="77777777" w:rsidR="00740F0F" w:rsidRPr="0029070D" w:rsidRDefault="00100B64">
            <w:pPr>
              <w:spacing w:line="216" w:lineRule="exact"/>
              <w:ind w:left="381" w:right="367"/>
              <w:jc w:val="center"/>
              <w:rPr>
                <w:rFonts w:ascii="Times New Roman" w:eastAsia="Times New Roman" w:hAnsi="Times New Roman" w:cs="Times New Roman"/>
                <w:noProof/>
                <w:sz w:val="19"/>
              </w:rPr>
            </w:pPr>
            <w:r>
              <w:rPr>
                <w:rFonts w:ascii="Times New Roman" w:hAnsi="Times New Roman"/>
                <w:noProof/>
                <w:color w:val="005F00"/>
                <w:sz w:val="19"/>
              </w:rPr>
              <w:t>3-21</w:t>
            </w:r>
          </w:p>
        </w:tc>
        <w:tc>
          <w:tcPr>
            <w:tcW w:w="2881" w:type="dxa"/>
            <w:shd w:val="clear" w:color="auto" w:fill="C5EDCE"/>
          </w:tcPr>
          <w:p w14:paraId="5A8AEC16" w14:textId="77777777" w:rsidR="00740F0F" w:rsidRPr="0029070D" w:rsidRDefault="00100B64">
            <w:pPr>
              <w:ind w:left="119" w:right="313"/>
              <w:rPr>
                <w:rFonts w:ascii="Times New Roman" w:eastAsia="Times New Roman" w:hAnsi="Times New Roman" w:cs="Times New Roman"/>
                <w:noProof/>
                <w:sz w:val="19"/>
              </w:rPr>
            </w:pPr>
            <w:r>
              <w:rPr>
                <w:rFonts w:ascii="Times New Roman" w:hAnsi="Times New Roman"/>
                <w:noProof/>
                <w:color w:val="005F00"/>
                <w:sz w:val="19"/>
              </w:rPr>
              <w:t>C3.I4 Accélération des travaux sur les infrastructures de transports</w:t>
            </w:r>
          </w:p>
        </w:tc>
        <w:tc>
          <w:tcPr>
            <w:tcW w:w="1062" w:type="dxa"/>
            <w:shd w:val="clear" w:color="auto" w:fill="C5EDCE"/>
          </w:tcPr>
          <w:p w14:paraId="5A8AEC17" w14:textId="77777777" w:rsidR="00740F0F" w:rsidRPr="0029070D" w:rsidRDefault="00100B64">
            <w:pPr>
              <w:spacing w:line="216" w:lineRule="exact"/>
              <w:ind w:left="320" w:right="281"/>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989" w:type="dxa"/>
            <w:shd w:val="clear" w:color="auto" w:fill="C5EDCE"/>
          </w:tcPr>
          <w:p w14:paraId="5A8AEC18" w14:textId="77777777" w:rsidR="00740F0F" w:rsidRPr="0029070D" w:rsidRDefault="00100B64">
            <w:pPr>
              <w:spacing w:line="216" w:lineRule="exact"/>
              <w:ind w:left="118"/>
              <w:rPr>
                <w:rFonts w:ascii="Times New Roman" w:eastAsia="Times New Roman" w:hAnsi="Times New Roman" w:cs="Times New Roman"/>
                <w:noProof/>
                <w:sz w:val="19"/>
              </w:rPr>
            </w:pPr>
            <w:r>
              <w:rPr>
                <w:rFonts w:ascii="Times New Roman" w:hAnsi="Times New Roman"/>
                <w:noProof/>
                <w:color w:val="005F00"/>
                <w:sz w:val="19"/>
              </w:rPr>
              <w:t>Conventions de financement de l’AFITF</w:t>
            </w:r>
          </w:p>
        </w:tc>
      </w:tr>
      <w:tr w:rsidR="00782477" w:rsidRPr="0029070D" w14:paraId="5A8AEC1E" w14:textId="77777777" w:rsidTr="00F84DDA">
        <w:trPr>
          <w:trHeight w:val="779"/>
          <w:jc w:val="center"/>
        </w:trPr>
        <w:tc>
          <w:tcPr>
            <w:tcW w:w="1152" w:type="dxa"/>
            <w:shd w:val="clear" w:color="auto" w:fill="C5EDCE"/>
          </w:tcPr>
          <w:p w14:paraId="5A8AEC1A" w14:textId="77777777" w:rsidR="00740F0F" w:rsidRPr="0029070D" w:rsidRDefault="00100B64">
            <w:pPr>
              <w:spacing w:line="216" w:lineRule="exact"/>
              <w:ind w:left="381" w:right="367"/>
              <w:jc w:val="center"/>
              <w:rPr>
                <w:rFonts w:ascii="Times New Roman" w:eastAsia="Times New Roman" w:hAnsi="Times New Roman" w:cs="Times New Roman"/>
                <w:noProof/>
                <w:sz w:val="19"/>
              </w:rPr>
            </w:pPr>
            <w:r>
              <w:rPr>
                <w:rFonts w:ascii="Times New Roman" w:hAnsi="Times New Roman"/>
                <w:noProof/>
                <w:color w:val="005F00"/>
                <w:sz w:val="19"/>
              </w:rPr>
              <w:t>3-22</w:t>
            </w:r>
          </w:p>
        </w:tc>
        <w:tc>
          <w:tcPr>
            <w:tcW w:w="2881" w:type="dxa"/>
            <w:shd w:val="clear" w:color="auto" w:fill="C5EDCE"/>
          </w:tcPr>
          <w:p w14:paraId="5A8AEC1B" w14:textId="77777777" w:rsidR="00740F0F" w:rsidRPr="0029070D" w:rsidRDefault="00100B64">
            <w:pPr>
              <w:ind w:left="119" w:right="321"/>
              <w:rPr>
                <w:rFonts w:ascii="Times New Roman" w:eastAsia="Times New Roman" w:hAnsi="Times New Roman" w:cs="Times New Roman"/>
                <w:noProof/>
                <w:sz w:val="19"/>
              </w:rPr>
            </w:pPr>
            <w:r>
              <w:rPr>
                <w:rFonts w:ascii="Times New Roman" w:hAnsi="Times New Roman"/>
                <w:noProof/>
                <w:color w:val="005F00"/>
                <w:sz w:val="19"/>
              </w:rPr>
              <w:t>C3.I4 Accélération des travaux sur les infrastructures de transports</w:t>
            </w:r>
          </w:p>
        </w:tc>
        <w:tc>
          <w:tcPr>
            <w:tcW w:w="1062" w:type="dxa"/>
            <w:shd w:val="clear" w:color="auto" w:fill="C5EDCE"/>
          </w:tcPr>
          <w:p w14:paraId="5A8AEC1C" w14:textId="77777777" w:rsidR="00740F0F" w:rsidRPr="0029070D" w:rsidRDefault="00100B64">
            <w:pPr>
              <w:spacing w:line="216" w:lineRule="exact"/>
              <w:ind w:left="320" w:right="281"/>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989" w:type="dxa"/>
            <w:shd w:val="clear" w:color="auto" w:fill="C5EDCE"/>
          </w:tcPr>
          <w:p w14:paraId="5A8AEC1D" w14:textId="77777777" w:rsidR="00740F0F" w:rsidRPr="0029070D" w:rsidRDefault="00100B64">
            <w:pPr>
              <w:ind w:left="118"/>
              <w:rPr>
                <w:rFonts w:ascii="Times New Roman" w:eastAsia="Times New Roman" w:hAnsi="Times New Roman" w:cs="Times New Roman"/>
                <w:noProof/>
                <w:sz w:val="19"/>
              </w:rPr>
            </w:pPr>
            <w:r>
              <w:rPr>
                <w:rFonts w:ascii="Times New Roman" w:hAnsi="Times New Roman"/>
                <w:noProof/>
                <w:color w:val="005F00"/>
                <w:sz w:val="19"/>
              </w:rPr>
              <w:t>Signature par l’ASP (Agence de services et de paiement) de la convention de financement des nouvelles bornes de recharge</w:t>
            </w:r>
          </w:p>
        </w:tc>
      </w:tr>
      <w:tr w:rsidR="00782477" w:rsidRPr="0029070D" w14:paraId="5A8AEC23" w14:textId="77777777" w:rsidTr="00F84DDA">
        <w:trPr>
          <w:trHeight w:val="525"/>
          <w:jc w:val="center"/>
        </w:trPr>
        <w:tc>
          <w:tcPr>
            <w:tcW w:w="1152" w:type="dxa"/>
            <w:shd w:val="clear" w:color="auto" w:fill="C5EDCE"/>
          </w:tcPr>
          <w:p w14:paraId="5A8AEC1F" w14:textId="77777777" w:rsidR="00740F0F" w:rsidRPr="0029070D" w:rsidRDefault="00100B64">
            <w:pPr>
              <w:spacing w:line="216" w:lineRule="exact"/>
              <w:ind w:left="381" w:right="367"/>
              <w:jc w:val="center"/>
              <w:rPr>
                <w:rFonts w:ascii="Times New Roman" w:eastAsia="Times New Roman" w:hAnsi="Times New Roman" w:cs="Times New Roman"/>
                <w:noProof/>
                <w:sz w:val="19"/>
              </w:rPr>
            </w:pPr>
            <w:r>
              <w:rPr>
                <w:rFonts w:ascii="Times New Roman" w:hAnsi="Times New Roman"/>
                <w:noProof/>
                <w:color w:val="005F00"/>
                <w:sz w:val="19"/>
              </w:rPr>
              <w:t>3-27</w:t>
            </w:r>
          </w:p>
        </w:tc>
        <w:tc>
          <w:tcPr>
            <w:tcW w:w="2881" w:type="dxa"/>
            <w:shd w:val="clear" w:color="auto" w:fill="C5EDCE"/>
          </w:tcPr>
          <w:p w14:paraId="5A8AEC20" w14:textId="77777777" w:rsidR="00740F0F" w:rsidRPr="0029070D" w:rsidRDefault="00100B64">
            <w:pPr>
              <w:spacing w:line="242" w:lineRule="auto"/>
              <w:ind w:left="119" w:right="144"/>
              <w:rPr>
                <w:rFonts w:ascii="Times New Roman" w:eastAsia="Times New Roman" w:hAnsi="Times New Roman" w:cs="Times New Roman"/>
                <w:noProof/>
                <w:sz w:val="19"/>
              </w:rPr>
            </w:pPr>
            <w:r>
              <w:rPr>
                <w:rFonts w:ascii="Times New Roman" w:hAnsi="Times New Roman"/>
                <w:noProof/>
                <w:color w:val="005F00"/>
                <w:sz w:val="19"/>
              </w:rPr>
              <w:t>C3.I5 Verdissement du parc automobile de l’État</w:t>
            </w:r>
          </w:p>
        </w:tc>
        <w:tc>
          <w:tcPr>
            <w:tcW w:w="1062" w:type="dxa"/>
            <w:shd w:val="clear" w:color="auto" w:fill="C5EDCE"/>
          </w:tcPr>
          <w:p w14:paraId="5A8AEC21" w14:textId="77777777" w:rsidR="00740F0F" w:rsidRPr="0029070D" w:rsidRDefault="00100B64">
            <w:pPr>
              <w:spacing w:line="216" w:lineRule="exact"/>
              <w:ind w:left="309"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989" w:type="dxa"/>
            <w:shd w:val="clear" w:color="auto" w:fill="C5EDCE"/>
          </w:tcPr>
          <w:p w14:paraId="5A8AEC22" w14:textId="77777777" w:rsidR="00740F0F" w:rsidRPr="0029070D" w:rsidRDefault="00100B64">
            <w:pPr>
              <w:spacing w:line="242" w:lineRule="auto"/>
              <w:ind w:left="118" w:right="790"/>
              <w:rPr>
                <w:rFonts w:ascii="Times New Roman" w:eastAsia="Times New Roman" w:hAnsi="Times New Roman" w:cs="Times New Roman"/>
                <w:noProof/>
                <w:sz w:val="19"/>
              </w:rPr>
            </w:pPr>
            <w:r>
              <w:rPr>
                <w:rFonts w:ascii="Times New Roman" w:hAnsi="Times New Roman"/>
                <w:noProof/>
                <w:color w:val="005F00"/>
                <w:sz w:val="19"/>
              </w:rPr>
              <w:t>Nombre de véhicules électriques et hybrides rechargeables achetés par l’administration française</w:t>
            </w:r>
          </w:p>
        </w:tc>
      </w:tr>
      <w:tr w:rsidR="00782477" w:rsidRPr="0029070D" w14:paraId="5A8AEC28" w14:textId="77777777" w:rsidTr="00F84DDA">
        <w:trPr>
          <w:trHeight w:val="493"/>
          <w:jc w:val="center"/>
        </w:trPr>
        <w:tc>
          <w:tcPr>
            <w:tcW w:w="1152" w:type="dxa"/>
            <w:shd w:val="clear" w:color="auto" w:fill="C5EDCE"/>
          </w:tcPr>
          <w:p w14:paraId="5A8AEC24" w14:textId="77777777" w:rsidR="00740F0F" w:rsidRPr="0029070D" w:rsidRDefault="00100B64">
            <w:pPr>
              <w:spacing w:line="197" w:lineRule="exact"/>
              <w:ind w:left="381" w:right="367"/>
              <w:jc w:val="center"/>
              <w:rPr>
                <w:rFonts w:ascii="Times New Roman" w:eastAsia="Times New Roman" w:hAnsi="Times New Roman" w:cs="Times New Roman"/>
                <w:noProof/>
                <w:sz w:val="19"/>
              </w:rPr>
            </w:pPr>
            <w:r>
              <w:rPr>
                <w:rFonts w:ascii="Times New Roman" w:hAnsi="Times New Roman"/>
                <w:noProof/>
                <w:color w:val="005F00"/>
                <w:sz w:val="19"/>
              </w:rPr>
              <w:t>3-29</w:t>
            </w:r>
          </w:p>
        </w:tc>
        <w:tc>
          <w:tcPr>
            <w:tcW w:w="2881" w:type="dxa"/>
            <w:shd w:val="clear" w:color="auto" w:fill="C5EDCE"/>
          </w:tcPr>
          <w:p w14:paraId="5A8AEC25" w14:textId="77777777" w:rsidR="00740F0F" w:rsidRPr="0029070D" w:rsidRDefault="00100B64">
            <w:pPr>
              <w:spacing w:line="197" w:lineRule="exact"/>
              <w:ind w:left="119"/>
              <w:rPr>
                <w:rFonts w:ascii="Times New Roman" w:eastAsia="Times New Roman" w:hAnsi="Times New Roman" w:cs="Times New Roman"/>
                <w:noProof/>
                <w:sz w:val="19"/>
              </w:rPr>
            </w:pPr>
            <w:r>
              <w:rPr>
                <w:rFonts w:ascii="Times New Roman" w:hAnsi="Times New Roman"/>
                <w:noProof/>
                <w:color w:val="005F00"/>
                <w:sz w:val="19"/>
              </w:rPr>
              <w:t>C3.I6 Verdissement des ports</w:t>
            </w:r>
          </w:p>
        </w:tc>
        <w:tc>
          <w:tcPr>
            <w:tcW w:w="1062" w:type="dxa"/>
            <w:shd w:val="clear" w:color="auto" w:fill="C5EDCE"/>
          </w:tcPr>
          <w:p w14:paraId="5A8AEC26" w14:textId="77777777" w:rsidR="00740F0F" w:rsidRPr="0029070D" w:rsidRDefault="00100B64">
            <w:pPr>
              <w:spacing w:line="197" w:lineRule="exact"/>
              <w:ind w:left="320" w:right="281"/>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989" w:type="dxa"/>
            <w:shd w:val="clear" w:color="auto" w:fill="C5EDCE"/>
          </w:tcPr>
          <w:p w14:paraId="5A8AEC27" w14:textId="77777777" w:rsidR="00740F0F" w:rsidRPr="0029070D" w:rsidRDefault="00100B64">
            <w:pPr>
              <w:spacing w:line="197" w:lineRule="exact"/>
              <w:ind w:left="118"/>
              <w:rPr>
                <w:rFonts w:ascii="Times New Roman" w:eastAsia="Times New Roman" w:hAnsi="Times New Roman" w:cs="Times New Roman"/>
                <w:noProof/>
                <w:sz w:val="19"/>
              </w:rPr>
            </w:pPr>
            <w:r>
              <w:rPr>
                <w:rFonts w:ascii="Times New Roman" w:hAnsi="Times New Roman"/>
                <w:noProof/>
                <w:color w:val="005F00"/>
                <w:sz w:val="19"/>
              </w:rPr>
              <w:t>Conventions de financement de l’AFITF</w:t>
            </w:r>
          </w:p>
        </w:tc>
      </w:tr>
      <w:tr w:rsidR="00782477" w:rsidRPr="0029070D" w14:paraId="5A8AEC2E" w14:textId="77777777" w:rsidTr="00F84DDA">
        <w:trPr>
          <w:trHeight w:val="1067"/>
          <w:jc w:val="center"/>
        </w:trPr>
        <w:tc>
          <w:tcPr>
            <w:tcW w:w="1152" w:type="dxa"/>
            <w:shd w:val="clear" w:color="auto" w:fill="C5EDCE"/>
          </w:tcPr>
          <w:p w14:paraId="5A8AEC29" w14:textId="77777777" w:rsidR="00740F0F" w:rsidRPr="0029070D" w:rsidRDefault="00100B64">
            <w:pPr>
              <w:spacing w:line="206" w:lineRule="exact"/>
              <w:ind w:left="381" w:right="359"/>
              <w:jc w:val="center"/>
              <w:rPr>
                <w:rFonts w:ascii="Times New Roman" w:eastAsia="Times New Roman" w:hAnsi="Times New Roman" w:cs="Times New Roman"/>
                <w:noProof/>
                <w:sz w:val="19"/>
              </w:rPr>
            </w:pPr>
            <w:r>
              <w:rPr>
                <w:rFonts w:ascii="Times New Roman" w:hAnsi="Times New Roman"/>
                <w:noProof/>
                <w:color w:val="005F00"/>
                <w:sz w:val="19"/>
              </w:rPr>
              <w:t>4-1</w:t>
            </w:r>
          </w:p>
        </w:tc>
        <w:tc>
          <w:tcPr>
            <w:tcW w:w="2881" w:type="dxa"/>
            <w:shd w:val="clear" w:color="auto" w:fill="C5EDCE"/>
          </w:tcPr>
          <w:p w14:paraId="5A8AEC2A" w14:textId="77777777" w:rsidR="00740F0F" w:rsidRPr="0029070D" w:rsidRDefault="00100B64">
            <w:pPr>
              <w:spacing w:line="225" w:lineRule="auto"/>
              <w:ind w:left="119" w:right="118"/>
              <w:rPr>
                <w:rFonts w:ascii="Times New Roman" w:eastAsia="Times New Roman" w:hAnsi="Times New Roman" w:cs="Times New Roman"/>
                <w:noProof/>
                <w:sz w:val="19"/>
              </w:rPr>
            </w:pPr>
            <w:r>
              <w:rPr>
                <w:rFonts w:ascii="Times New Roman" w:hAnsi="Times New Roman"/>
                <w:noProof/>
                <w:color w:val="005F00"/>
                <w:sz w:val="19"/>
              </w:rPr>
              <w:t>C4.R1 Réforme de la gouvernance du Programme d’investissements d’avenir (PIA)</w:t>
            </w:r>
          </w:p>
        </w:tc>
        <w:tc>
          <w:tcPr>
            <w:tcW w:w="1062" w:type="dxa"/>
            <w:shd w:val="clear" w:color="auto" w:fill="C5EDCE"/>
          </w:tcPr>
          <w:p w14:paraId="5A8AEC2B" w14:textId="77777777" w:rsidR="00740F0F" w:rsidRPr="0029070D" w:rsidRDefault="00100B64">
            <w:pPr>
              <w:spacing w:line="206" w:lineRule="exact"/>
              <w:ind w:left="320" w:right="281"/>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989" w:type="dxa"/>
            <w:shd w:val="clear" w:color="auto" w:fill="C5EDCE"/>
          </w:tcPr>
          <w:p w14:paraId="5A8AEC2C" w14:textId="77777777" w:rsidR="00740F0F" w:rsidRPr="003A51C1" w:rsidRDefault="00100B64">
            <w:pPr>
              <w:spacing w:line="206" w:lineRule="exact"/>
              <w:ind w:left="118"/>
              <w:rPr>
                <w:rFonts w:ascii="Times New Roman" w:eastAsia="Times New Roman" w:hAnsi="Times New Roman" w:cs="Times New Roman"/>
                <w:iCs/>
                <w:noProof/>
                <w:sz w:val="19"/>
              </w:rPr>
            </w:pPr>
            <w:r>
              <w:rPr>
                <w:rFonts w:ascii="Times New Roman" w:hAnsi="Times New Roman"/>
                <w:noProof/>
                <w:color w:val="005F00"/>
                <w:sz w:val="19"/>
              </w:rPr>
              <w:t>Nouvelle gouvernance du programme d’investissements</w:t>
            </w:r>
          </w:p>
          <w:p w14:paraId="5A8AEC2D" w14:textId="77777777" w:rsidR="00740F0F" w:rsidRPr="0029070D" w:rsidRDefault="00100B64">
            <w:pPr>
              <w:ind w:left="118"/>
              <w:rPr>
                <w:rFonts w:ascii="Times New Roman" w:eastAsia="Times New Roman" w:hAnsi="Times New Roman" w:cs="Times New Roman"/>
                <w:i/>
                <w:noProof/>
                <w:sz w:val="19"/>
              </w:rPr>
            </w:pPr>
            <w:r>
              <w:rPr>
                <w:rFonts w:ascii="Times New Roman" w:hAnsi="Times New Roman"/>
                <w:noProof/>
                <w:color w:val="005F00"/>
                <w:sz w:val="19"/>
              </w:rPr>
              <w:t>d’avenir</w:t>
            </w:r>
          </w:p>
        </w:tc>
      </w:tr>
      <w:tr w:rsidR="00782477" w:rsidRPr="0029070D" w14:paraId="5A8AEC33" w14:textId="77777777" w:rsidTr="00F84DDA">
        <w:trPr>
          <w:trHeight w:val="525"/>
          <w:jc w:val="center"/>
        </w:trPr>
        <w:tc>
          <w:tcPr>
            <w:tcW w:w="1152" w:type="dxa"/>
            <w:shd w:val="clear" w:color="auto" w:fill="C5EDCE"/>
          </w:tcPr>
          <w:p w14:paraId="5A8AEC2F" w14:textId="77777777" w:rsidR="00740F0F" w:rsidRPr="0029070D" w:rsidRDefault="00100B64">
            <w:pPr>
              <w:spacing w:line="206" w:lineRule="exact"/>
              <w:ind w:left="381" w:right="359"/>
              <w:jc w:val="center"/>
              <w:rPr>
                <w:rFonts w:ascii="Times New Roman" w:eastAsia="Times New Roman" w:hAnsi="Times New Roman" w:cs="Times New Roman"/>
                <w:noProof/>
                <w:sz w:val="19"/>
              </w:rPr>
            </w:pPr>
            <w:r>
              <w:rPr>
                <w:rFonts w:ascii="Times New Roman" w:hAnsi="Times New Roman"/>
                <w:noProof/>
                <w:color w:val="005F00"/>
                <w:sz w:val="19"/>
              </w:rPr>
              <w:t>4-2</w:t>
            </w:r>
          </w:p>
        </w:tc>
        <w:tc>
          <w:tcPr>
            <w:tcW w:w="2881" w:type="dxa"/>
            <w:shd w:val="clear" w:color="auto" w:fill="C5EDCE"/>
          </w:tcPr>
          <w:p w14:paraId="5A8AEC30" w14:textId="77777777" w:rsidR="00740F0F" w:rsidRPr="0029070D" w:rsidRDefault="00100B64">
            <w:pPr>
              <w:spacing w:line="206" w:lineRule="exact"/>
              <w:ind w:left="119"/>
              <w:rPr>
                <w:rFonts w:ascii="Times New Roman" w:eastAsia="Times New Roman" w:hAnsi="Times New Roman" w:cs="Times New Roman"/>
                <w:noProof/>
                <w:sz w:val="19"/>
              </w:rPr>
            </w:pPr>
            <w:r>
              <w:rPr>
                <w:rFonts w:ascii="Times New Roman" w:hAnsi="Times New Roman"/>
                <w:noProof/>
                <w:color w:val="005F00"/>
                <w:sz w:val="19"/>
              </w:rPr>
              <w:t>C4.I1 Innover pour la transition écologique</w:t>
            </w:r>
          </w:p>
        </w:tc>
        <w:tc>
          <w:tcPr>
            <w:tcW w:w="1062" w:type="dxa"/>
            <w:shd w:val="clear" w:color="auto" w:fill="C5EDCE"/>
          </w:tcPr>
          <w:p w14:paraId="5A8AEC31" w14:textId="77777777" w:rsidR="00740F0F" w:rsidRPr="0029070D" w:rsidRDefault="00100B64">
            <w:pPr>
              <w:spacing w:line="206" w:lineRule="exact"/>
              <w:ind w:left="309"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989" w:type="dxa"/>
            <w:shd w:val="clear" w:color="auto" w:fill="C5EDCE"/>
          </w:tcPr>
          <w:p w14:paraId="5A8AEC32" w14:textId="77777777" w:rsidR="00740F0F" w:rsidRPr="0029070D" w:rsidRDefault="00100B64">
            <w:pPr>
              <w:spacing w:line="206" w:lineRule="exact"/>
              <w:ind w:left="118"/>
              <w:rPr>
                <w:rFonts w:ascii="Times New Roman" w:eastAsia="Times New Roman" w:hAnsi="Times New Roman" w:cs="Times New Roman"/>
                <w:noProof/>
                <w:sz w:val="19"/>
              </w:rPr>
            </w:pPr>
            <w:r>
              <w:rPr>
                <w:rFonts w:ascii="Times New Roman" w:hAnsi="Times New Roman"/>
                <w:noProof/>
                <w:color w:val="005F00"/>
                <w:sz w:val="19"/>
              </w:rPr>
              <w:t>Nombre de stratégies d’accélération validées</w:t>
            </w:r>
          </w:p>
        </w:tc>
      </w:tr>
      <w:tr w:rsidR="00782477" w:rsidRPr="0029070D" w14:paraId="5A8AEC38" w14:textId="77777777" w:rsidTr="00F84DDA">
        <w:trPr>
          <w:trHeight w:val="525"/>
          <w:jc w:val="center"/>
        </w:trPr>
        <w:tc>
          <w:tcPr>
            <w:tcW w:w="1152" w:type="dxa"/>
            <w:shd w:val="clear" w:color="auto" w:fill="C5EDCE"/>
          </w:tcPr>
          <w:p w14:paraId="5A8AEC34" w14:textId="77777777" w:rsidR="00740F0F" w:rsidRPr="0029070D" w:rsidRDefault="00100B64">
            <w:pPr>
              <w:spacing w:line="206" w:lineRule="exact"/>
              <w:ind w:left="381" w:right="359"/>
              <w:jc w:val="center"/>
              <w:rPr>
                <w:rFonts w:ascii="Times New Roman" w:eastAsia="Times New Roman" w:hAnsi="Times New Roman" w:cs="Times New Roman"/>
                <w:noProof/>
                <w:sz w:val="19"/>
              </w:rPr>
            </w:pPr>
            <w:r>
              <w:rPr>
                <w:rFonts w:ascii="Times New Roman" w:hAnsi="Times New Roman"/>
                <w:noProof/>
                <w:color w:val="005F00"/>
                <w:sz w:val="19"/>
              </w:rPr>
              <w:t>6-5</w:t>
            </w:r>
          </w:p>
        </w:tc>
        <w:tc>
          <w:tcPr>
            <w:tcW w:w="2881" w:type="dxa"/>
            <w:shd w:val="clear" w:color="auto" w:fill="C5EDCE"/>
          </w:tcPr>
          <w:p w14:paraId="5A8AEC35" w14:textId="77777777" w:rsidR="00740F0F" w:rsidRPr="0029070D" w:rsidRDefault="00100B64">
            <w:pPr>
              <w:spacing w:line="206" w:lineRule="exact"/>
              <w:ind w:left="119"/>
              <w:rPr>
                <w:rFonts w:ascii="Times New Roman" w:eastAsia="Times New Roman" w:hAnsi="Times New Roman" w:cs="Times New Roman"/>
                <w:noProof/>
                <w:sz w:val="19"/>
              </w:rPr>
            </w:pPr>
            <w:r>
              <w:rPr>
                <w:rFonts w:ascii="Times New Roman" w:hAnsi="Times New Roman"/>
                <w:noProof/>
                <w:color w:val="005F00"/>
                <w:sz w:val="19"/>
              </w:rPr>
              <w:t>C6.I2 PIA - Technologies numériques clés</w:t>
            </w:r>
          </w:p>
        </w:tc>
        <w:tc>
          <w:tcPr>
            <w:tcW w:w="1062" w:type="dxa"/>
            <w:shd w:val="clear" w:color="auto" w:fill="C5EDCE"/>
          </w:tcPr>
          <w:p w14:paraId="5A8AEC36" w14:textId="77777777" w:rsidR="00740F0F" w:rsidRPr="0029070D" w:rsidRDefault="00100B64">
            <w:pPr>
              <w:spacing w:line="206" w:lineRule="exact"/>
              <w:ind w:left="309"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989" w:type="dxa"/>
            <w:shd w:val="clear" w:color="auto" w:fill="C5EDCE"/>
          </w:tcPr>
          <w:p w14:paraId="5A8AEC37" w14:textId="77777777" w:rsidR="00740F0F" w:rsidRPr="0029070D" w:rsidRDefault="00100B64">
            <w:pPr>
              <w:spacing w:line="206" w:lineRule="exact"/>
              <w:ind w:left="118"/>
              <w:rPr>
                <w:rFonts w:ascii="Times New Roman" w:eastAsia="Times New Roman" w:hAnsi="Times New Roman" w:cs="Times New Roman"/>
                <w:noProof/>
                <w:sz w:val="19"/>
              </w:rPr>
            </w:pPr>
            <w:r>
              <w:rPr>
                <w:rFonts w:ascii="Times New Roman" w:hAnsi="Times New Roman"/>
                <w:noProof/>
                <w:color w:val="005F00"/>
                <w:sz w:val="19"/>
              </w:rPr>
              <w:t>Nombre de stratégies validées</w:t>
            </w:r>
          </w:p>
        </w:tc>
      </w:tr>
      <w:tr w:rsidR="00782477" w:rsidRPr="0029070D" w14:paraId="5A8AEC3E" w14:textId="77777777" w:rsidTr="00F84DDA">
        <w:trPr>
          <w:trHeight w:val="525"/>
          <w:jc w:val="center"/>
        </w:trPr>
        <w:tc>
          <w:tcPr>
            <w:tcW w:w="1152" w:type="dxa"/>
            <w:shd w:val="clear" w:color="auto" w:fill="C5EDCE"/>
          </w:tcPr>
          <w:p w14:paraId="5A8AEC39" w14:textId="77777777" w:rsidR="00740F0F" w:rsidRPr="0029070D" w:rsidRDefault="00100B64">
            <w:pPr>
              <w:spacing w:line="206" w:lineRule="exact"/>
              <w:ind w:left="381" w:right="359"/>
              <w:jc w:val="center"/>
              <w:rPr>
                <w:rFonts w:ascii="Times New Roman" w:eastAsia="Times New Roman" w:hAnsi="Times New Roman" w:cs="Times New Roman"/>
                <w:noProof/>
                <w:sz w:val="19"/>
              </w:rPr>
            </w:pPr>
            <w:r>
              <w:rPr>
                <w:rFonts w:ascii="Times New Roman" w:hAnsi="Times New Roman"/>
                <w:noProof/>
                <w:color w:val="005F00"/>
                <w:sz w:val="19"/>
              </w:rPr>
              <w:t>7-3</w:t>
            </w:r>
          </w:p>
        </w:tc>
        <w:tc>
          <w:tcPr>
            <w:tcW w:w="2881" w:type="dxa"/>
            <w:shd w:val="clear" w:color="auto" w:fill="C5EDCE"/>
          </w:tcPr>
          <w:p w14:paraId="5A8AEC3A" w14:textId="77777777" w:rsidR="00740F0F" w:rsidRPr="0029070D" w:rsidRDefault="00100B64">
            <w:pPr>
              <w:spacing w:line="206" w:lineRule="exact"/>
              <w:ind w:left="119"/>
              <w:rPr>
                <w:rFonts w:ascii="Times New Roman" w:eastAsia="Times New Roman" w:hAnsi="Times New Roman" w:cs="Times New Roman"/>
                <w:noProof/>
                <w:sz w:val="19"/>
              </w:rPr>
            </w:pPr>
            <w:r>
              <w:rPr>
                <w:rFonts w:ascii="Times New Roman" w:hAnsi="Times New Roman"/>
                <w:noProof/>
                <w:color w:val="005F00"/>
                <w:sz w:val="19"/>
              </w:rPr>
              <w:t>C7.R2 Loi organique Expérimentation</w:t>
            </w:r>
          </w:p>
        </w:tc>
        <w:tc>
          <w:tcPr>
            <w:tcW w:w="1062" w:type="dxa"/>
            <w:shd w:val="clear" w:color="auto" w:fill="C5EDCE"/>
          </w:tcPr>
          <w:p w14:paraId="5A8AEC3B" w14:textId="77777777" w:rsidR="00740F0F" w:rsidRPr="0029070D" w:rsidRDefault="00100B64">
            <w:pPr>
              <w:spacing w:line="206" w:lineRule="exact"/>
              <w:ind w:left="320" w:right="281"/>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989" w:type="dxa"/>
            <w:shd w:val="clear" w:color="auto" w:fill="C5EDCE"/>
          </w:tcPr>
          <w:p w14:paraId="5A8AEC3C" w14:textId="77777777" w:rsidR="00740F0F" w:rsidRPr="0029070D" w:rsidRDefault="00100B64">
            <w:pPr>
              <w:spacing w:line="206" w:lineRule="exact"/>
              <w:ind w:left="118" w:right="-15"/>
              <w:rPr>
                <w:rFonts w:ascii="Times New Roman" w:eastAsia="Times New Roman" w:hAnsi="Times New Roman" w:cs="Times New Roman"/>
                <w:noProof/>
                <w:sz w:val="19"/>
              </w:rPr>
            </w:pPr>
            <w:r>
              <w:rPr>
                <w:rFonts w:ascii="Times New Roman" w:hAnsi="Times New Roman"/>
                <w:noProof/>
                <w:color w:val="005F00"/>
                <w:sz w:val="19"/>
              </w:rPr>
              <w:t>Entrée en vigueur de la loi visant à consacrer le droit à la</w:t>
            </w:r>
          </w:p>
          <w:p w14:paraId="5A8AEC3D" w14:textId="77777777" w:rsidR="00740F0F" w:rsidRPr="0029070D" w:rsidRDefault="00100B64">
            <w:pPr>
              <w:ind w:left="118"/>
              <w:rPr>
                <w:rFonts w:ascii="Times New Roman" w:eastAsia="Times New Roman" w:hAnsi="Times New Roman" w:cs="Times New Roman"/>
                <w:noProof/>
                <w:sz w:val="19"/>
              </w:rPr>
            </w:pPr>
            <w:r>
              <w:rPr>
                <w:rFonts w:ascii="Times New Roman" w:hAnsi="Times New Roman"/>
                <w:noProof/>
                <w:color w:val="005F00"/>
                <w:sz w:val="19"/>
              </w:rPr>
              <w:t>différenciation</w:t>
            </w:r>
          </w:p>
        </w:tc>
      </w:tr>
      <w:tr w:rsidR="00782477" w:rsidRPr="009447E5" w14:paraId="5A8AEC43" w14:textId="77777777" w:rsidTr="00F84DDA">
        <w:trPr>
          <w:trHeight w:val="525"/>
          <w:jc w:val="center"/>
        </w:trPr>
        <w:tc>
          <w:tcPr>
            <w:tcW w:w="1152" w:type="dxa"/>
            <w:shd w:val="clear" w:color="auto" w:fill="C5EDCE"/>
          </w:tcPr>
          <w:p w14:paraId="5A8AEC3F" w14:textId="77777777" w:rsidR="00740F0F" w:rsidRPr="0029070D" w:rsidRDefault="00100B64">
            <w:pPr>
              <w:spacing w:line="206" w:lineRule="exact"/>
              <w:ind w:left="381" w:right="359"/>
              <w:jc w:val="center"/>
              <w:rPr>
                <w:rFonts w:ascii="Times New Roman" w:eastAsia="Times New Roman" w:hAnsi="Times New Roman" w:cs="Times New Roman"/>
                <w:noProof/>
                <w:sz w:val="19"/>
              </w:rPr>
            </w:pPr>
            <w:r>
              <w:rPr>
                <w:rFonts w:ascii="Times New Roman" w:hAnsi="Times New Roman"/>
                <w:noProof/>
                <w:color w:val="005F00"/>
                <w:sz w:val="19"/>
              </w:rPr>
              <w:t>7-6</w:t>
            </w:r>
          </w:p>
        </w:tc>
        <w:tc>
          <w:tcPr>
            <w:tcW w:w="2881" w:type="dxa"/>
            <w:shd w:val="clear" w:color="auto" w:fill="C5EDCE"/>
          </w:tcPr>
          <w:p w14:paraId="5A8AEC40" w14:textId="77777777" w:rsidR="00740F0F" w:rsidRPr="0029070D" w:rsidRDefault="00100B64">
            <w:pPr>
              <w:spacing w:line="206" w:lineRule="exact"/>
              <w:ind w:left="119"/>
              <w:rPr>
                <w:rFonts w:ascii="Times New Roman" w:eastAsia="Times New Roman" w:hAnsi="Times New Roman" w:cs="Times New Roman"/>
                <w:noProof/>
                <w:sz w:val="19"/>
              </w:rPr>
            </w:pPr>
            <w:r>
              <w:rPr>
                <w:rFonts w:ascii="Times New Roman" w:hAnsi="Times New Roman"/>
                <w:noProof/>
                <w:color w:val="005F00"/>
                <w:sz w:val="19"/>
              </w:rPr>
              <w:t>C7.R4 Gouvernance des finances publiques</w:t>
            </w:r>
          </w:p>
        </w:tc>
        <w:tc>
          <w:tcPr>
            <w:tcW w:w="1062" w:type="dxa"/>
            <w:shd w:val="clear" w:color="auto" w:fill="C5EDCE"/>
          </w:tcPr>
          <w:p w14:paraId="5A8AEC41" w14:textId="77777777" w:rsidR="00740F0F" w:rsidRPr="0029070D" w:rsidRDefault="00100B64">
            <w:pPr>
              <w:spacing w:line="206" w:lineRule="exact"/>
              <w:ind w:left="320" w:right="281"/>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989" w:type="dxa"/>
            <w:shd w:val="clear" w:color="auto" w:fill="C5EDCE"/>
          </w:tcPr>
          <w:p w14:paraId="5A8AEC42" w14:textId="77777777" w:rsidR="00740F0F" w:rsidRPr="009447E5" w:rsidRDefault="00100B64">
            <w:pPr>
              <w:spacing w:line="206" w:lineRule="exact"/>
              <w:ind w:left="118"/>
              <w:rPr>
                <w:rFonts w:ascii="Times New Roman" w:eastAsia="Times New Roman" w:hAnsi="Times New Roman" w:cs="Times New Roman"/>
                <w:noProof/>
                <w:sz w:val="19"/>
              </w:rPr>
            </w:pPr>
            <w:r>
              <w:rPr>
                <w:rFonts w:ascii="Times New Roman" w:hAnsi="Times New Roman"/>
                <w:noProof/>
                <w:color w:val="005F00"/>
                <w:sz w:val="19"/>
              </w:rPr>
              <w:t>Remise du rapport de la Commission sur l’avenir des finances publiques (CAFP)</w:t>
            </w:r>
          </w:p>
        </w:tc>
      </w:tr>
      <w:tr w:rsidR="00782477" w:rsidRPr="0029070D" w14:paraId="5A8AEC48" w14:textId="77777777" w:rsidTr="00F84DDA">
        <w:trPr>
          <w:trHeight w:val="525"/>
          <w:jc w:val="center"/>
        </w:trPr>
        <w:tc>
          <w:tcPr>
            <w:tcW w:w="1152" w:type="dxa"/>
            <w:shd w:val="clear" w:color="auto" w:fill="C5EDCE"/>
          </w:tcPr>
          <w:p w14:paraId="5A8AEC44" w14:textId="77777777" w:rsidR="00740F0F" w:rsidRPr="0029070D" w:rsidRDefault="00100B64">
            <w:pPr>
              <w:spacing w:line="197" w:lineRule="exact"/>
              <w:ind w:left="381" w:right="359"/>
              <w:jc w:val="center"/>
              <w:rPr>
                <w:rFonts w:ascii="Times New Roman" w:eastAsia="Times New Roman" w:hAnsi="Times New Roman" w:cs="Times New Roman"/>
                <w:noProof/>
                <w:sz w:val="19"/>
              </w:rPr>
            </w:pPr>
            <w:r>
              <w:rPr>
                <w:rFonts w:ascii="Times New Roman" w:hAnsi="Times New Roman"/>
                <w:noProof/>
                <w:color w:val="005F00"/>
                <w:sz w:val="19"/>
              </w:rPr>
              <w:t>7-7</w:t>
            </w:r>
          </w:p>
        </w:tc>
        <w:tc>
          <w:tcPr>
            <w:tcW w:w="2881" w:type="dxa"/>
            <w:shd w:val="clear" w:color="auto" w:fill="C5EDCE"/>
          </w:tcPr>
          <w:p w14:paraId="5A8AEC45" w14:textId="4B3EADA5" w:rsidR="00740F0F" w:rsidRPr="0029070D" w:rsidRDefault="00100B64">
            <w:pPr>
              <w:spacing w:line="225" w:lineRule="auto"/>
              <w:ind w:left="119" w:right="490"/>
              <w:rPr>
                <w:rFonts w:ascii="Times New Roman" w:eastAsia="Times New Roman" w:hAnsi="Times New Roman" w:cs="Times New Roman"/>
                <w:noProof/>
                <w:sz w:val="19"/>
              </w:rPr>
            </w:pPr>
            <w:r>
              <w:rPr>
                <w:rFonts w:ascii="Times New Roman" w:hAnsi="Times New Roman"/>
                <w:noProof/>
                <w:color w:val="005F00"/>
                <w:sz w:val="19"/>
              </w:rPr>
              <w:t>C7.R4 Gouvernance des finances publiques</w:t>
            </w:r>
          </w:p>
        </w:tc>
        <w:tc>
          <w:tcPr>
            <w:tcW w:w="1062" w:type="dxa"/>
            <w:shd w:val="clear" w:color="auto" w:fill="C5EDCE"/>
          </w:tcPr>
          <w:p w14:paraId="5A8AEC46" w14:textId="77777777" w:rsidR="00740F0F" w:rsidRPr="0029070D" w:rsidRDefault="00100B64">
            <w:pPr>
              <w:spacing w:line="197" w:lineRule="exact"/>
              <w:ind w:left="320" w:right="281"/>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989" w:type="dxa"/>
            <w:shd w:val="clear" w:color="auto" w:fill="C5EDCE"/>
          </w:tcPr>
          <w:p w14:paraId="5A8AEC47" w14:textId="77777777" w:rsidR="00740F0F" w:rsidRPr="0029070D" w:rsidRDefault="00100B64">
            <w:pPr>
              <w:spacing w:line="225" w:lineRule="auto"/>
              <w:ind w:left="118"/>
              <w:rPr>
                <w:rFonts w:ascii="Times New Roman" w:eastAsia="Times New Roman" w:hAnsi="Times New Roman" w:cs="Times New Roman"/>
                <w:noProof/>
                <w:sz w:val="19"/>
              </w:rPr>
            </w:pPr>
            <w:r>
              <w:rPr>
                <w:rFonts w:ascii="Times New Roman" w:hAnsi="Times New Roman"/>
                <w:noProof/>
                <w:color w:val="005F00"/>
                <w:sz w:val="19"/>
              </w:rPr>
              <w:t>Mise en œuvre de certaines recommandations du rapport de la CAFP</w:t>
            </w:r>
          </w:p>
        </w:tc>
      </w:tr>
      <w:tr w:rsidR="00782477" w:rsidRPr="0029070D" w14:paraId="5A8AEC4D" w14:textId="77777777" w:rsidTr="00F84DDA">
        <w:trPr>
          <w:trHeight w:val="524"/>
          <w:jc w:val="center"/>
        </w:trPr>
        <w:tc>
          <w:tcPr>
            <w:tcW w:w="1152" w:type="dxa"/>
            <w:shd w:val="clear" w:color="auto" w:fill="C5EDCE"/>
          </w:tcPr>
          <w:p w14:paraId="5A8AEC49" w14:textId="77777777" w:rsidR="00740F0F" w:rsidRPr="0029070D" w:rsidRDefault="00100B64">
            <w:pPr>
              <w:spacing w:line="197" w:lineRule="exact"/>
              <w:ind w:left="381" w:right="359"/>
              <w:jc w:val="center"/>
              <w:rPr>
                <w:rFonts w:ascii="Times New Roman" w:eastAsia="Times New Roman" w:hAnsi="Times New Roman" w:cs="Times New Roman"/>
                <w:noProof/>
                <w:sz w:val="19"/>
              </w:rPr>
            </w:pPr>
            <w:r>
              <w:rPr>
                <w:rFonts w:ascii="Times New Roman" w:hAnsi="Times New Roman"/>
                <w:noProof/>
                <w:color w:val="005F00"/>
                <w:sz w:val="19"/>
              </w:rPr>
              <w:t>7-8</w:t>
            </w:r>
          </w:p>
        </w:tc>
        <w:tc>
          <w:tcPr>
            <w:tcW w:w="2881" w:type="dxa"/>
            <w:shd w:val="clear" w:color="auto" w:fill="C5EDCE"/>
          </w:tcPr>
          <w:p w14:paraId="5A8AEC4A" w14:textId="77777777" w:rsidR="00740F0F" w:rsidRPr="0029070D" w:rsidRDefault="00100B64">
            <w:pPr>
              <w:spacing w:line="225" w:lineRule="auto"/>
              <w:ind w:left="119" w:right="490"/>
              <w:rPr>
                <w:rFonts w:ascii="Times New Roman" w:eastAsia="Times New Roman" w:hAnsi="Times New Roman" w:cs="Times New Roman"/>
                <w:noProof/>
                <w:sz w:val="19"/>
              </w:rPr>
            </w:pPr>
            <w:r>
              <w:rPr>
                <w:rFonts w:ascii="Times New Roman" w:hAnsi="Times New Roman"/>
                <w:noProof/>
                <w:color w:val="005F00"/>
                <w:sz w:val="19"/>
              </w:rPr>
              <w:t>C7.R4 Gouvernance des finances publiques</w:t>
            </w:r>
          </w:p>
        </w:tc>
        <w:tc>
          <w:tcPr>
            <w:tcW w:w="1062" w:type="dxa"/>
            <w:shd w:val="clear" w:color="auto" w:fill="C5EDCE"/>
          </w:tcPr>
          <w:p w14:paraId="5A8AEC4B" w14:textId="77777777" w:rsidR="00740F0F" w:rsidRPr="0029070D" w:rsidRDefault="00100B64">
            <w:pPr>
              <w:spacing w:line="197" w:lineRule="exact"/>
              <w:ind w:left="320" w:right="281"/>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989" w:type="dxa"/>
            <w:shd w:val="clear" w:color="auto" w:fill="C5EDCE"/>
          </w:tcPr>
          <w:p w14:paraId="5A8AEC4C" w14:textId="77777777" w:rsidR="00740F0F" w:rsidRPr="0029070D" w:rsidRDefault="00100B64">
            <w:pPr>
              <w:spacing w:line="225" w:lineRule="auto"/>
              <w:ind w:left="118"/>
              <w:rPr>
                <w:rFonts w:ascii="Times New Roman" w:eastAsia="Times New Roman" w:hAnsi="Times New Roman" w:cs="Times New Roman"/>
                <w:noProof/>
                <w:sz w:val="19"/>
              </w:rPr>
            </w:pPr>
            <w:r>
              <w:rPr>
                <w:rFonts w:ascii="Times New Roman" w:hAnsi="Times New Roman"/>
                <w:noProof/>
                <w:color w:val="005F00"/>
                <w:sz w:val="19"/>
              </w:rPr>
              <w:t>Mise en place d’un schéma de cantonnement de la dette COVID dans le projet de plan budgétaire</w:t>
            </w:r>
          </w:p>
        </w:tc>
      </w:tr>
      <w:tr w:rsidR="00782477" w:rsidRPr="0029070D" w14:paraId="5A8AEC52" w14:textId="77777777" w:rsidTr="00F84DDA">
        <w:trPr>
          <w:trHeight w:val="525"/>
          <w:jc w:val="center"/>
        </w:trPr>
        <w:tc>
          <w:tcPr>
            <w:tcW w:w="1152" w:type="dxa"/>
            <w:shd w:val="clear" w:color="auto" w:fill="C5EDCE"/>
          </w:tcPr>
          <w:p w14:paraId="5A8AEC4E" w14:textId="77777777" w:rsidR="00740F0F" w:rsidRPr="0029070D" w:rsidRDefault="00100B64">
            <w:pPr>
              <w:spacing w:line="197" w:lineRule="exact"/>
              <w:ind w:left="381" w:right="367"/>
              <w:jc w:val="center"/>
              <w:rPr>
                <w:rFonts w:ascii="Times New Roman" w:eastAsia="Times New Roman" w:hAnsi="Times New Roman" w:cs="Times New Roman"/>
                <w:noProof/>
                <w:sz w:val="19"/>
              </w:rPr>
            </w:pPr>
            <w:r>
              <w:rPr>
                <w:rFonts w:ascii="Times New Roman" w:hAnsi="Times New Roman"/>
                <w:noProof/>
                <w:color w:val="005F00"/>
                <w:sz w:val="19"/>
              </w:rPr>
              <w:t>7-10</w:t>
            </w:r>
          </w:p>
        </w:tc>
        <w:tc>
          <w:tcPr>
            <w:tcW w:w="2881" w:type="dxa"/>
            <w:shd w:val="clear" w:color="auto" w:fill="C5EDCE"/>
          </w:tcPr>
          <w:p w14:paraId="5A8AEC4F" w14:textId="77777777" w:rsidR="00740F0F" w:rsidRPr="0029070D" w:rsidRDefault="00100B64">
            <w:pPr>
              <w:spacing w:line="225" w:lineRule="auto"/>
              <w:ind w:left="119" w:right="144"/>
              <w:rPr>
                <w:rFonts w:ascii="Times New Roman" w:eastAsia="Times New Roman" w:hAnsi="Times New Roman" w:cs="Times New Roman"/>
                <w:noProof/>
                <w:sz w:val="19"/>
              </w:rPr>
            </w:pPr>
            <w:r>
              <w:rPr>
                <w:rFonts w:ascii="Times New Roman" w:hAnsi="Times New Roman"/>
                <w:noProof/>
                <w:color w:val="005F00"/>
                <w:sz w:val="19"/>
              </w:rPr>
              <w:t>C7.R5 Évaluation de la qualité des dépenses publiques</w:t>
            </w:r>
          </w:p>
        </w:tc>
        <w:tc>
          <w:tcPr>
            <w:tcW w:w="1062" w:type="dxa"/>
            <w:shd w:val="clear" w:color="auto" w:fill="C5EDCE"/>
          </w:tcPr>
          <w:p w14:paraId="5A8AEC50" w14:textId="77777777" w:rsidR="00740F0F" w:rsidRPr="0029070D" w:rsidRDefault="00100B64">
            <w:pPr>
              <w:spacing w:line="197" w:lineRule="exact"/>
              <w:ind w:left="320" w:right="281"/>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989" w:type="dxa"/>
            <w:shd w:val="clear" w:color="auto" w:fill="C5EDCE"/>
          </w:tcPr>
          <w:p w14:paraId="5A8AEC51" w14:textId="77777777" w:rsidR="00740F0F" w:rsidRPr="0029070D" w:rsidRDefault="00100B64">
            <w:pPr>
              <w:spacing w:line="197" w:lineRule="exact"/>
              <w:ind w:left="118"/>
              <w:rPr>
                <w:rFonts w:ascii="Times New Roman" w:eastAsia="Times New Roman" w:hAnsi="Times New Roman" w:cs="Times New Roman"/>
                <w:noProof/>
                <w:sz w:val="19"/>
              </w:rPr>
            </w:pPr>
            <w:r>
              <w:rPr>
                <w:rFonts w:ascii="Times New Roman" w:hAnsi="Times New Roman"/>
                <w:noProof/>
                <w:color w:val="005F00"/>
                <w:sz w:val="19"/>
              </w:rPr>
              <w:t>Publication du bilan des réformes de productivité</w:t>
            </w:r>
          </w:p>
        </w:tc>
      </w:tr>
      <w:tr w:rsidR="00782477" w:rsidRPr="0029070D" w14:paraId="5A8AEC57" w14:textId="77777777" w:rsidTr="00F84DDA">
        <w:trPr>
          <w:trHeight w:val="525"/>
          <w:jc w:val="center"/>
        </w:trPr>
        <w:tc>
          <w:tcPr>
            <w:tcW w:w="1152" w:type="dxa"/>
            <w:shd w:val="clear" w:color="auto" w:fill="C5EDCE"/>
          </w:tcPr>
          <w:p w14:paraId="5A8AEC53" w14:textId="77777777" w:rsidR="00740F0F" w:rsidRPr="0029070D" w:rsidRDefault="00100B64">
            <w:pPr>
              <w:spacing w:line="197" w:lineRule="exact"/>
              <w:ind w:left="381" w:right="367"/>
              <w:jc w:val="center"/>
              <w:rPr>
                <w:rFonts w:ascii="Times New Roman" w:eastAsia="Times New Roman" w:hAnsi="Times New Roman" w:cs="Times New Roman"/>
                <w:noProof/>
                <w:sz w:val="19"/>
              </w:rPr>
            </w:pPr>
            <w:r>
              <w:rPr>
                <w:rFonts w:ascii="Times New Roman" w:hAnsi="Times New Roman"/>
                <w:noProof/>
                <w:color w:val="005F00"/>
                <w:sz w:val="19"/>
              </w:rPr>
              <w:t>7-11</w:t>
            </w:r>
          </w:p>
        </w:tc>
        <w:tc>
          <w:tcPr>
            <w:tcW w:w="2881" w:type="dxa"/>
            <w:shd w:val="clear" w:color="auto" w:fill="C5EDCE"/>
          </w:tcPr>
          <w:p w14:paraId="5A8AEC54" w14:textId="77777777" w:rsidR="00740F0F" w:rsidRPr="0029070D" w:rsidRDefault="00100B64">
            <w:pPr>
              <w:spacing w:line="225" w:lineRule="auto"/>
              <w:ind w:left="119" w:right="144"/>
              <w:rPr>
                <w:rFonts w:ascii="Times New Roman" w:eastAsia="Times New Roman" w:hAnsi="Times New Roman" w:cs="Times New Roman"/>
                <w:noProof/>
                <w:sz w:val="19"/>
              </w:rPr>
            </w:pPr>
            <w:r>
              <w:rPr>
                <w:rFonts w:ascii="Times New Roman" w:hAnsi="Times New Roman"/>
                <w:noProof/>
                <w:color w:val="005F00"/>
                <w:sz w:val="19"/>
              </w:rPr>
              <w:t>C7.R5 Évaluation de la qualité des dépenses publiques</w:t>
            </w:r>
          </w:p>
        </w:tc>
        <w:tc>
          <w:tcPr>
            <w:tcW w:w="1062" w:type="dxa"/>
            <w:shd w:val="clear" w:color="auto" w:fill="C5EDCE"/>
          </w:tcPr>
          <w:p w14:paraId="5A8AEC55" w14:textId="77777777" w:rsidR="00740F0F" w:rsidRPr="0029070D" w:rsidRDefault="00100B64">
            <w:pPr>
              <w:spacing w:line="197" w:lineRule="exact"/>
              <w:ind w:left="320" w:right="281"/>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989" w:type="dxa"/>
            <w:shd w:val="clear" w:color="auto" w:fill="C5EDCE"/>
          </w:tcPr>
          <w:p w14:paraId="5A8AEC56" w14:textId="77777777" w:rsidR="00740F0F" w:rsidRPr="0029070D" w:rsidRDefault="00100B64">
            <w:pPr>
              <w:spacing w:line="225" w:lineRule="auto"/>
              <w:ind w:left="118"/>
              <w:rPr>
                <w:rFonts w:ascii="Times New Roman" w:eastAsia="Times New Roman" w:hAnsi="Times New Roman" w:cs="Times New Roman"/>
                <w:noProof/>
                <w:sz w:val="19"/>
              </w:rPr>
            </w:pPr>
            <w:r>
              <w:rPr>
                <w:rFonts w:ascii="Times New Roman" w:hAnsi="Times New Roman"/>
                <w:noProof/>
                <w:color w:val="005F00"/>
                <w:sz w:val="19"/>
              </w:rPr>
              <w:t>Rapport de la mission d’audit de la Cour des comptes sur les finances publiques</w:t>
            </w:r>
          </w:p>
        </w:tc>
      </w:tr>
      <w:tr w:rsidR="00782477" w:rsidRPr="0029070D" w14:paraId="5A8AEC5C" w14:textId="77777777" w:rsidTr="00F84DDA">
        <w:trPr>
          <w:trHeight w:val="491"/>
          <w:jc w:val="center"/>
        </w:trPr>
        <w:tc>
          <w:tcPr>
            <w:tcW w:w="1152" w:type="dxa"/>
            <w:shd w:val="clear" w:color="auto" w:fill="C5EDCE"/>
          </w:tcPr>
          <w:p w14:paraId="5A8AEC58" w14:textId="77777777" w:rsidR="00740F0F" w:rsidRPr="0029070D" w:rsidRDefault="00100B64">
            <w:pPr>
              <w:spacing w:line="197" w:lineRule="exact"/>
              <w:ind w:left="381" w:right="367"/>
              <w:jc w:val="center"/>
              <w:rPr>
                <w:rFonts w:ascii="Times New Roman" w:eastAsia="Times New Roman" w:hAnsi="Times New Roman" w:cs="Times New Roman"/>
                <w:noProof/>
                <w:sz w:val="19"/>
              </w:rPr>
            </w:pPr>
            <w:r>
              <w:rPr>
                <w:rFonts w:ascii="Times New Roman" w:hAnsi="Times New Roman"/>
                <w:noProof/>
                <w:color w:val="005F00"/>
                <w:sz w:val="19"/>
              </w:rPr>
              <w:t>7-35</w:t>
            </w:r>
          </w:p>
        </w:tc>
        <w:tc>
          <w:tcPr>
            <w:tcW w:w="2881" w:type="dxa"/>
            <w:shd w:val="clear" w:color="auto" w:fill="C5EDCE"/>
          </w:tcPr>
          <w:p w14:paraId="5A8AEC59" w14:textId="77777777" w:rsidR="00740F0F" w:rsidRPr="0029070D" w:rsidRDefault="00100B64">
            <w:pPr>
              <w:spacing w:line="225" w:lineRule="auto"/>
              <w:ind w:left="119" w:right="13"/>
              <w:rPr>
                <w:rFonts w:ascii="Times New Roman" w:eastAsia="Times New Roman" w:hAnsi="Times New Roman" w:cs="Times New Roman"/>
                <w:noProof/>
                <w:sz w:val="19"/>
              </w:rPr>
            </w:pPr>
            <w:r>
              <w:rPr>
                <w:rFonts w:ascii="Times New Roman" w:hAnsi="Times New Roman"/>
                <w:noProof/>
                <w:color w:val="005F00"/>
                <w:sz w:val="19"/>
              </w:rPr>
              <w:t>Procédures de contrôle et d’audit pour la mise en œuvre de la facilité pour la reprise et la résilience</w:t>
            </w:r>
          </w:p>
        </w:tc>
        <w:tc>
          <w:tcPr>
            <w:tcW w:w="1062" w:type="dxa"/>
            <w:shd w:val="clear" w:color="auto" w:fill="C5EDCE"/>
          </w:tcPr>
          <w:p w14:paraId="5A8AEC5A" w14:textId="77777777" w:rsidR="00740F0F" w:rsidRPr="0029070D" w:rsidRDefault="00100B64">
            <w:pPr>
              <w:spacing w:line="197" w:lineRule="exact"/>
              <w:ind w:left="320" w:right="281"/>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989" w:type="dxa"/>
            <w:shd w:val="clear" w:color="auto" w:fill="C5EDCE"/>
          </w:tcPr>
          <w:p w14:paraId="5A8AEC5B" w14:textId="77777777" w:rsidR="00740F0F" w:rsidRPr="0029070D" w:rsidRDefault="00100B64">
            <w:pPr>
              <w:spacing w:line="225" w:lineRule="auto"/>
              <w:ind w:left="118"/>
              <w:rPr>
                <w:rFonts w:ascii="Times New Roman" w:eastAsia="Times New Roman" w:hAnsi="Times New Roman" w:cs="Times New Roman"/>
                <w:noProof/>
                <w:sz w:val="19"/>
              </w:rPr>
            </w:pPr>
            <w:r>
              <w:rPr>
                <w:rFonts w:ascii="Times New Roman" w:hAnsi="Times New Roman"/>
                <w:noProof/>
                <w:color w:val="005F00"/>
                <w:sz w:val="19"/>
              </w:rPr>
              <w:t>Organisation du système et du traitement des données et organisation des audits</w:t>
            </w:r>
          </w:p>
        </w:tc>
      </w:tr>
      <w:tr w:rsidR="00782477" w:rsidRPr="0029070D" w14:paraId="5A8AEC61" w14:textId="77777777" w:rsidTr="00F84DDA">
        <w:trPr>
          <w:trHeight w:val="830"/>
          <w:jc w:val="center"/>
        </w:trPr>
        <w:tc>
          <w:tcPr>
            <w:tcW w:w="1152" w:type="dxa"/>
            <w:shd w:val="clear" w:color="auto" w:fill="C5EDCE"/>
          </w:tcPr>
          <w:p w14:paraId="5A8AEC5D" w14:textId="77777777" w:rsidR="00740F0F" w:rsidRPr="0029070D" w:rsidRDefault="00100B64">
            <w:pPr>
              <w:spacing w:line="207" w:lineRule="exact"/>
              <w:ind w:left="381" w:right="359"/>
              <w:jc w:val="center"/>
              <w:rPr>
                <w:rFonts w:ascii="Times New Roman" w:eastAsia="Times New Roman" w:hAnsi="Times New Roman" w:cs="Times New Roman"/>
                <w:noProof/>
                <w:sz w:val="19"/>
              </w:rPr>
            </w:pPr>
            <w:r>
              <w:rPr>
                <w:rFonts w:ascii="Times New Roman" w:hAnsi="Times New Roman"/>
                <w:noProof/>
                <w:color w:val="005F00"/>
                <w:sz w:val="19"/>
              </w:rPr>
              <w:t>8-3</w:t>
            </w:r>
          </w:p>
        </w:tc>
        <w:tc>
          <w:tcPr>
            <w:tcW w:w="2881" w:type="dxa"/>
            <w:shd w:val="clear" w:color="auto" w:fill="C5EDCE"/>
          </w:tcPr>
          <w:p w14:paraId="5A8AEC5E" w14:textId="77777777" w:rsidR="00740F0F" w:rsidRPr="0029070D" w:rsidRDefault="00100B64">
            <w:pPr>
              <w:spacing w:line="283" w:lineRule="auto"/>
              <w:ind w:left="119" w:right="88"/>
              <w:rPr>
                <w:rFonts w:ascii="Times New Roman" w:eastAsia="Times New Roman" w:hAnsi="Times New Roman" w:cs="Times New Roman"/>
                <w:noProof/>
                <w:sz w:val="19"/>
              </w:rPr>
            </w:pPr>
            <w:r>
              <w:rPr>
                <w:rFonts w:ascii="Times New Roman" w:hAnsi="Times New Roman"/>
                <w:noProof/>
                <w:color w:val="005F00"/>
                <w:sz w:val="19"/>
              </w:rPr>
              <w:t>C8.R2 Réforme du dispositif d’activité partielle</w:t>
            </w:r>
          </w:p>
        </w:tc>
        <w:tc>
          <w:tcPr>
            <w:tcW w:w="1062" w:type="dxa"/>
            <w:shd w:val="clear" w:color="auto" w:fill="C5EDCE"/>
          </w:tcPr>
          <w:p w14:paraId="5A8AEC5F" w14:textId="77777777" w:rsidR="00740F0F" w:rsidRPr="0029070D" w:rsidRDefault="00100B64">
            <w:pPr>
              <w:spacing w:line="207" w:lineRule="exact"/>
              <w:ind w:left="320" w:right="281"/>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989" w:type="dxa"/>
            <w:shd w:val="clear" w:color="auto" w:fill="C5EDCE"/>
          </w:tcPr>
          <w:p w14:paraId="5A8AEC60" w14:textId="77777777" w:rsidR="00740F0F" w:rsidRPr="0029070D" w:rsidRDefault="00100B64">
            <w:pPr>
              <w:spacing w:line="242" w:lineRule="auto"/>
              <w:ind w:left="118" w:right="54"/>
              <w:rPr>
                <w:rFonts w:ascii="Times New Roman" w:eastAsia="Times New Roman" w:hAnsi="Times New Roman" w:cs="Times New Roman"/>
                <w:noProof/>
                <w:sz w:val="19"/>
              </w:rPr>
            </w:pPr>
            <w:r>
              <w:rPr>
                <w:rFonts w:ascii="Times New Roman" w:hAnsi="Times New Roman"/>
                <w:noProof/>
                <w:color w:val="005F00"/>
                <w:sz w:val="19"/>
              </w:rPr>
              <w:t>Réforme du dispositif d’activité partielle afin d’inciter au redémarrage de l’activité au travers d’un resserrement progressif de la générosité et des conditions d’accès au dispositif</w:t>
            </w:r>
          </w:p>
        </w:tc>
      </w:tr>
      <w:tr w:rsidR="00782477" w:rsidRPr="0029070D" w14:paraId="5A8AEC66" w14:textId="77777777" w:rsidTr="00F84DDA">
        <w:trPr>
          <w:trHeight w:val="1170"/>
          <w:jc w:val="center"/>
        </w:trPr>
        <w:tc>
          <w:tcPr>
            <w:tcW w:w="1152" w:type="dxa"/>
            <w:shd w:val="clear" w:color="auto" w:fill="C5EDCE"/>
          </w:tcPr>
          <w:p w14:paraId="5A8AEC62" w14:textId="77777777" w:rsidR="00740F0F" w:rsidRPr="0029070D" w:rsidRDefault="00100B64">
            <w:pPr>
              <w:spacing w:line="206" w:lineRule="exact"/>
              <w:ind w:left="381" w:right="359"/>
              <w:jc w:val="center"/>
              <w:rPr>
                <w:rFonts w:ascii="Times New Roman" w:eastAsia="Times New Roman" w:hAnsi="Times New Roman" w:cs="Times New Roman"/>
                <w:noProof/>
                <w:sz w:val="19"/>
              </w:rPr>
            </w:pPr>
            <w:r>
              <w:rPr>
                <w:rFonts w:ascii="Times New Roman" w:hAnsi="Times New Roman"/>
                <w:noProof/>
                <w:color w:val="005F00"/>
                <w:sz w:val="19"/>
              </w:rPr>
              <w:t>8-4</w:t>
            </w:r>
          </w:p>
        </w:tc>
        <w:tc>
          <w:tcPr>
            <w:tcW w:w="2881" w:type="dxa"/>
            <w:shd w:val="clear" w:color="auto" w:fill="C5EDCE"/>
          </w:tcPr>
          <w:p w14:paraId="5A8AEC63" w14:textId="77777777" w:rsidR="00740F0F" w:rsidRPr="0029070D" w:rsidRDefault="00100B64">
            <w:pPr>
              <w:spacing w:before="55"/>
              <w:ind w:left="119"/>
              <w:rPr>
                <w:rFonts w:ascii="Times New Roman" w:eastAsia="Times New Roman" w:hAnsi="Times New Roman" w:cs="Times New Roman"/>
                <w:noProof/>
                <w:sz w:val="19"/>
              </w:rPr>
            </w:pPr>
            <w:r>
              <w:rPr>
                <w:rFonts w:ascii="Times New Roman" w:hAnsi="Times New Roman"/>
                <w:noProof/>
                <w:color w:val="005F00"/>
                <w:sz w:val="19"/>
              </w:rPr>
              <w:t>C8.R3 Réforme de la santé et de la sécurité au travail</w:t>
            </w:r>
          </w:p>
        </w:tc>
        <w:tc>
          <w:tcPr>
            <w:tcW w:w="1062" w:type="dxa"/>
            <w:shd w:val="clear" w:color="auto" w:fill="C5EDCE"/>
          </w:tcPr>
          <w:p w14:paraId="5A8AEC64" w14:textId="77777777" w:rsidR="00740F0F" w:rsidRPr="0029070D" w:rsidRDefault="00100B64">
            <w:pPr>
              <w:spacing w:line="206" w:lineRule="exact"/>
              <w:ind w:left="320" w:right="281"/>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989" w:type="dxa"/>
            <w:shd w:val="clear" w:color="auto" w:fill="C5EDCE"/>
          </w:tcPr>
          <w:p w14:paraId="5A8AEC65" w14:textId="77777777" w:rsidR="00740F0F" w:rsidRPr="0029070D" w:rsidRDefault="00100B64">
            <w:pPr>
              <w:spacing w:before="2"/>
              <w:ind w:left="118" w:right="-2"/>
              <w:rPr>
                <w:rFonts w:ascii="Times New Roman" w:eastAsia="Times New Roman" w:hAnsi="Times New Roman" w:cs="Times New Roman"/>
                <w:noProof/>
                <w:sz w:val="19"/>
                <w:szCs w:val="19"/>
              </w:rPr>
            </w:pPr>
            <w:r>
              <w:rPr>
                <w:rFonts w:ascii="Times New Roman" w:hAnsi="Times New Roman"/>
                <w:noProof/>
                <w:color w:val="005F00"/>
                <w:sz w:val="19"/>
              </w:rPr>
              <w:t>Adoption des amendements à la loi visant à doter la France d’un système d’acteurs de santé au travail plus efficace et tourné vers la prévention d’une part, et d’autre part à réorganiser la gouvernance et le fonctionnement des institutions en charge de la santé au travail.</w:t>
            </w:r>
          </w:p>
        </w:tc>
      </w:tr>
      <w:tr w:rsidR="00782477" w:rsidRPr="0029070D" w14:paraId="5A8AEC6B" w14:textId="77777777" w:rsidTr="00F84DDA">
        <w:trPr>
          <w:trHeight w:val="525"/>
          <w:jc w:val="center"/>
        </w:trPr>
        <w:tc>
          <w:tcPr>
            <w:tcW w:w="1152" w:type="dxa"/>
            <w:shd w:val="clear" w:color="auto" w:fill="C5EDCE"/>
          </w:tcPr>
          <w:p w14:paraId="5A8AEC67" w14:textId="77777777" w:rsidR="00740F0F" w:rsidRPr="0029070D" w:rsidRDefault="00100B64">
            <w:pPr>
              <w:spacing w:line="209" w:lineRule="exact"/>
              <w:ind w:left="381" w:right="359"/>
              <w:jc w:val="center"/>
              <w:rPr>
                <w:rFonts w:ascii="Times New Roman" w:eastAsia="Times New Roman" w:hAnsi="Times New Roman" w:cs="Times New Roman"/>
                <w:noProof/>
                <w:sz w:val="19"/>
              </w:rPr>
            </w:pPr>
            <w:r>
              <w:rPr>
                <w:rFonts w:ascii="Times New Roman" w:hAnsi="Times New Roman"/>
                <w:noProof/>
                <w:color w:val="005F00"/>
                <w:sz w:val="19"/>
              </w:rPr>
              <w:t>8-6</w:t>
            </w:r>
          </w:p>
        </w:tc>
        <w:tc>
          <w:tcPr>
            <w:tcW w:w="2881" w:type="dxa"/>
            <w:shd w:val="clear" w:color="auto" w:fill="C5EDCE"/>
          </w:tcPr>
          <w:p w14:paraId="5A8AEC68" w14:textId="77777777" w:rsidR="00740F0F" w:rsidRPr="0029070D" w:rsidRDefault="00100B64">
            <w:pPr>
              <w:ind w:left="119" w:right="792"/>
              <w:rPr>
                <w:rFonts w:ascii="Times New Roman" w:eastAsia="Times New Roman" w:hAnsi="Times New Roman" w:cs="Times New Roman"/>
                <w:noProof/>
                <w:sz w:val="19"/>
              </w:rPr>
            </w:pPr>
            <w:r>
              <w:rPr>
                <w:rFonts w:ascii="Times New Roman" w:hAnsi="Times New Roman"/>
                <w:noProof/>
                <w:color w:val="005F00"/>
                <w:sz w:val="19"/>
              </w:rPr>
              <w:t>C8.R4 Réforme de l’assurance chômage</w:t>
            </w:r>
          </w:p>
        </w:tc>
        <w:tc>
          <w:tcPr>
            <w:tcW w:w="1062" w:type="dxa"/>
            <w:shd w:val="clear" w:color="auto" w:fill="C5EDCE"/>
          </w:tcPr>
          <w:p w14:paraId="5A8AEC69" w14:textId="77777777" w:rsidR="00740F0F" w:rsidRPr="0029070D" w:rsidRDefault="00100B64">
            <w:pPr>
              <w:spacing w:line="209" w:lineRule="exact"/>
              <w:ind w:left="320" w:right="276"/>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989" w:type="dxa"/>
            <w:shd w:val="clear" w:color="auto" w:fill="C5EDCE"/>
          </w:tcPr>
          <w:p w14:paraId="5A8AEC6A" w14:textId="77777777" w:rsidR="00740F0F" w:rsidRPr="0029070D" w:rsidRDefault="00100B64">
            <w:pPr>
              <w:ind w:left="118"/>
              <w:rPr>
                <w:rFonts w:ascii="Times New Roman" w:eastAsia="Times New Roman" w:hAnsi="Times New Roman" w:cs="Times New Roman"/>
                <w:noProof/>
                <w:sz w:val="19"/>
              </w:rPr>
            </w:pPr>
            <w:r>
              <w:rPr>
                <w:rFonts w:ascii="Times New Roman" w:hAnsi="Times New Roman"/>
                <w:noProof/>
                <w:color w:val="005F00"/>
                <w:sz w:val="19"/>
              </w:rPr>
              <w:t>Entrée en vigueur de plusieurs mesures de la réforme de l’assurance chômage</w:t>
            </w:r>
          </w:p>
        </w:tc>
      </w:tr>
      <w:tr w:rsidR="00782477" w:rsidRPr="0029070D" w14:paraId="5A8AEC70" w14:textId="77777777" w:rsidTr="00F84DDA">
        <w:trPr>
          <w:trHeight w:val="525"/>
          <w:jc w:val="center"/>
        </w:trPr>
        <w:tc>
          <w:tcPr>
            <w:tcW w:w="1152" w:type="dxa"/>
            <w:shd w:val="clear" w:color="auto" w:fill="C5EDCE"/>
          </w:tcPr>
          <w:p w14:paraId="5A8AEC6C" w14:textId="77777777" w:rsidR="00740F0F" w:rsidRPr="0029070D" w:rsidRDefault="00100B64">
            <w:pPr>
              <w:spacing w:line="209" w:lineRule="exact"/>
              <w:ind w:left="381" w:right="367"/>
              <w:jc w:val="center"/>
              <w:rPr>
                <w:rFonts w:ascii="Times New Roman" w:eastAsia="Times New Roman" w:hAnsi="Times New Roman" w:cs="Times New Roman"/>
                <w:noProof/>
                <w:sz w:val="19"/>
              </w:rPr>
            </w:pPr>
            <w:r>
              <w:rPr>
                <w:rFonts w:ascii="Times New Roman" w:hAnsi="Times New Roman"/>
                <w:noProof/>
                <w:color w:val="005F00"/>
                <w:sz w:val="19"/>
              </w:rPr>
              <w:t>8-10</w:t>
            </w:r>
          </w:p>
        </w:tc>
        <w:tc>
          <w:tcPr>
            <w:tcW w:w="2881" w:type="dxa"/>
            <w:shd w:val="clear" w:color="auto" w:fill="C5EDCE"/>
          </w:tcPr>
          <w:p w14:paraId="5A8AEC6D" w14:textId="77777777" w:rsidR="00740F0F" w:rsidRPr="0029070D" w:rsidRDefault="00100B64">
            <w:pPr>
              <w:ind w:left="119" w:right="88"/>
              <w:rPr>
                <w:rFonts w:ascii="Times New Roman" w:eastAsia="Times New Roman" w:hAnsi="Times New Roman" w:cs="Times New Roman"/>
                <w:noProof/>
                <w:sz w:val="19"/>
              </w:rPr>
            </w:pPr>
            <w:r>
              <w:rPr>
                <w:rFonts w:ascii="Times New Roman" w:hAnsi="Times New Roman"/>
                <w:noProof/>
                <w:color w:val="005F00"/>
                <w:sz w:val="19"/>
              </w:rPr>
              <w:t>C8.I3 Aide à l’embauche pour les contrats d’apprentissage</w:t>
            </w:r>
          </w:p>
        </w:tc>
        <w:tc>
          <w:tcPr>
            <w:tcW w:w="1062" w:type="dxa"/>
            <w:shd w:val="clear" w:color="auto" w:fill="C5EDCE"/>
          </w:tcPr>
          <w:p w14:paraId="5A8AEC6E" w14:textId="77777777" w:rsidR="00740F0F" w:rsidRPr="0029070D" w:rsidRDefault="00100B64">
            <w:pPr>
              <w:spacing w:line="209" w:lineRule="exact"/>
              <w:ind w:left="309"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989" w:type="dxa"/>
            <w:shd w:val="clear" w:color="auto" w:fill="C5EDCE"/>
          </w:tcPr>
          <w:p w14:paraId="5A8AEC6F" w14:textId="77777777" w:rsidR="00740F0F" w:rsidRPr="0029070D" w:rsidRDefault="00100B64">
            <w:pPr>
              <w:spacing w:line="209" w:lineRule="exact"/>
              <w:ind w:left="118"/>
              <w:rPr>
                <w:rFonts w:ascii="Times New Roman" w:eastAsia="Times New Roman" w:hAnsi="Times New Roman" w:cs="Times New Roman"/>
                <w:noProof/>
                <w:sz w:val="19"/>
              </w:rPr>
            </w:pPr>
            <w:r>
              <w:rPr>
                <w:rFonts w:ascii="Times New Roman" w:hAnsi="Times New Roman"/>
                <w:noProof/>
                <w:color w:val="005F00"/>
                <w:sz w:val="19"/>
              </w:rPr>
              <w:t>Aides à l’embauche versées pour les contrats d’apprentissage</w:t>
            </w:r>
          </w:p>
        </w:tc>
      </w:tr>
      <w:tr w:rsidR="00782477" w:rsidRPr="0029070D" w14:paraId="5A8AEC75" w14:textId="77777777" w:rsidTr="00F84DDA">
        <w:trPr>
          <w:trHeight w:val="525"/>
          <w:jc w:val="center"/>
        </w:trPr>
        <w:tc>
          <w:tcPr>
            <w:tcW w:w="1152" w:type="dxa"/>
            <w:shd w:val="clear" w:color="auto" w:fill="C5EDCE"/>
          </w:tcPr>
          <w:p w14:paraId="5A8AEC71" w14:textId="77777777" w:rsidR="00740F0F" w:rsidRPr="0029070D" w:rsidRDefault="00100B64">
            <w:pPr>
              <w:spacing w:line="209" w:lineRule="exact"/>
              <w:ind w:left="381" w:right="367"/>
              <w:jc w:val="center"/>
              <w:rPr>
                <w:rFonts w:ascii="Times New Roman" w:eastAsia="Times New Roman" w:hAnsi="Times New Roman" w:cs="Times New Roman"/>
                <w:noProof/>
                <w:sz w:val="19"/>
              </w:rPr>
            </w:pPr>
            <w:r>
              <w:rPr>
                <w:rFonts w:ascii="Times New Roman" w:hAnsi="Times New Roman"/>
                <w:noProof/>
                <w:color w:val="005F00"/>
                <w:sz w:val="19"/>
              </w:rPr>
              <w:t>8-12</w:t>
            </w:r>
          </w:p>
        </w:tc>
        <w:tc>
          <w:tcPr>
            <w:tcW w:w="2881" w:type="dxa"/>
            <w:shd w:val="clear" w:color="auto" w:fill="C5EDCE"/>
          </w:tcPr>
          <w:p w14:paraId="5A8AEC72" w14:textId="77777777" w:rsidR="00740F0F" w:rsidRPr="0029070D" w:rsidRDefault="00100B64">
            <w:pPr>
              <w:ind w:left="119" w:right="88"/>
              <w:rPr>
                <w:rFonts w:ascii="Times New Roman" w:eastAsia="Times New Roman" w:hAnsi="Times New Roman" w:cs="Times New Roman"/>
                <w:noProof/>
                <w:sz w:val="19"/>
              </w:rPr>
            </w:pPr>
            <w:r>
              <w:rPr>
                <w:rFonts w:ascii="Times New Roman" w:hAnsi="Times New Roman"/>
                <w:noProof/>
                <w:color w:val="005F00"/>
                <w:sz w:val="19"/>
              </w:rPr>
              <w:t>C8.I5 Aide à l’embauche des jeunes de moins de 26 ans</w:t>
            </w:r>
          </w:p>
        </w:tc>
        <w:tc>
          <w:tcPr>
            <w:tcW w:w="1062" w:type="dxa"/>
            <w:shd w:val="clear" w:color="auto" w:fill="C5EDCE"/>
          </w:tcPr>
          <w:p w14:paraId="5A8AEC73" w14:textId="77777777" w:rsidR="00740F0F" w:rsidRPr="0029070D" w:rsidRDefault="00100B64">
            <w:pPr>
              <w:spacing w:line="209" w:lineRule="exact"/>
              <w:ind w:left="309"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989" w:type="dxa"/>
            <w:shd w:val="clear" w:color="auto" w:fill="C5EDCE"/>
          </w:tcPr>
          <w:p w14:paraId="5A8AEC74" w14:textId="77777777" w:rsidR="00740F0F" w:rsidRPr="0029070D" w:rsidRDefault="00100B64">
            <w:pPr>
              <w:spacing w:line="209" w:lineRule="exact"/>
              <w:ind w:left="118"/>
              <w:rPr>
                <w:rFonts w:ascii="Times New Roman" w:eastAsia="Times New Roman" w:hAnsi="Times New Roman" w:cs="Times New Roman"/>
                <w:noProof/>
                <w:sz w:val="19"/>
              </w:rPr>
            </w:pPr>
            <w:r>
              <w:rPr>
                <w:rFonts w:ascii="Times New Roman" w:hAnsi="Times New Roman"/>
                <w:noProof/>
                <w:color w:val="005F00"/>
                <w:sz w:val="19"/>
              </w:rPr>
              <w:t>Aides à l’embauche versées pour les contrats d’embauche de jeunes de moins de 26 ans</w:t>
            </w:r>
          </w:p>
        </w:tc>
      </w:tr>
      <w:tr w:rsidR="00782477" w:rsidRPr="009447E5" w14:paraId="5A8AEC7A" w14:textId="77777777" w:rsidTr="00F84DDA">
        <w:trPr>
          <w:trHeight w:val="525"/>
          <w:jc w:val="center"/>
        </w:trPr>
        <w:tc>
          <w:tcPr>
            <w:tcW w:w="1152" w:type="dxa"/>
            <w:shd w:val="clear" w:color="auto" w:fill="C5EDCE"/>
          </w:tcPr>
          <w:p w14:paraId="5A8AEC76" w14:textId="77777777" w:rsidR="00740F0F" w:rsidRPr="0029070D" w:rsidRDefault="00100B64">
            <w:pPr>
              <w:spacing w:line="209" w:lineRule="exact"/>
              <w:ind w:left="381" w:right="367"/>
              <w:jc w:val="center"/>
              <w:rPr>
                <w:rFonts w:ascii="Times New Roman" w:eastAsia="Times New Roman" w:hAnsi="Times New Roman" w:cs="Times New Roman"/>
                <w:noProof/>
                <w:sz w:val="19"/>
              </w:rPr>
            </w:pPr>
            <w:r>
              <w:rPr>
                <w:rFonts w:ascii="Times New Roman" w:hAnsi="Times New Roman"/>
                <w:noProof/>
                <w:color w:val="005F00"/>
                <w:sz w:val="19"/>
              </w:rPr>
              <w:t>8-15</w:t>
            </w:r>
          </w:p>
        </w:tc>
        <w:tc>
          <w:tcPr>
            <w:tcW w:w="2881" w:type="dxa"/>
            <w:shd w:val="clear" w:color="auto" w:fill="C5EDCE"/>
          </w:tcPr>
          <w:p w14:paraId="5A8AEC77" w14:textId="77777777" w:rsidR="00740F0F" w:rsidRPr="0029070D" w:rsidRDefault="00100B64">
            <w:pPr>
              <w:spacing w:line="209" w:lineRule="exact"/>
              <w:ind w:left="119"/>
              <w:rPr>
                <w:rFonts w:ascii="Times New Roman" w:eastAsia="Times New Roman" w:hAnsi="Times New Roman" w:cs="Times New Roman"/>
                <w:noProof/>
                <w:sz w:val="19"/>
              </w:rPr>
            </w:pPr>
            <w:r>
              <w:rPr>
                <w:rFonts w:ascii="Times New Roman" w:hAnsi="Times New Roman"/>
                <w:noProof/>
                <w:color w:val="005F00"/>
                <w:sz w:val="19"/>
              </w:rPr>
              <w:t>C8.I8 Cordées de la réussite</w:t>
            </w:r>
          </w:p>
        </w:tc>
        <w:tc>
          <w:tcPr>
            <w:tcW w:w="1062" w:type="dxa"/>
            <w:shd w:val="clear" w:color="auto" w:fill="C5EDCE"/>
          </w:tcPr>
          <w:p w14:paraId="5A8AEC78" w14:textId="77777777" w:rsidR="00740F0F" w:rsidRPr="0029070D" w:rsidRDefault="00100B64">
            <w:pPr>
              <w:spacing w:line="209" w:lineRule="exact"/>
              <w:ind w:left="309"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989" w:type="dxa"/>
            <w:shd w:val="clear" w:color="auto" w:fill="C5EDCE"/>
          </w:tcPr>
          <w:p w14:paraId="5A8AEC79" w14:textId="77777777" w:rsidR="00740F0F" w:rsidRPr="009447E5" w:rsidRDefault="00100B64">
            <w:pPr>
              <w:ind w:left="118" w:right="269"/>
              <w:rPr>
                <w:rFonts w:ascii="Times New Roman" w:eastAsia="Times New Roman" w:hAnsi="Times New Roman" w:cs="Times New Roman"/>
                <w:noProof/>
                <w:sz w:val="19"/>
              </w:rPr>
            </w:pPr>
            <w:r>
              <w:rPr>
                <w:rFonts w:ascii="Times New Roman" w:hAnsi="Times New Roman"/>
                <w:noProof/>
                <w:color w:val="005F00"/>
                <w:sz w:val="19"/>
              </w:rPr>
              <w:t>Élèves participant au programme «Cordées de la réussite»</w:t>
            </w:r>
          </w:p>
        </w:tc>
      </w:tr>
      <w:tr w:rsidR="00782477" w:rsidRPr="0029070D" w14:paraId="5A8AEC7F" w14:textId="77777777" w:rsidTr="00F84DDA">
        <w:trPr>
          <w:trHeight w:val="525"/>
          <w:jc w:val="center"/>
        </w:trPr>
        <w:tc>
          <w:tcPr>
            <w:tcW w:w="1152" w:type="dxa"/>
            <w:tcBorders>
              <w:bottom w:val="single" w:sz="4" w:space="0" w:color="auto"/>
            </w:tcBorders>
            <w:shd w:val="clear" w:color="auto" w:fill="C5EDCE"/>
          </w:tcPr>
          <w:p w14:paraId="5A8AEC7B" w14:textId="77777777" w:rsidR="00740F0F" w:rsidRPr="0029070D" w:rsidRDefault="00100B64">
            <w:pPr>
              <w:spacing w:line="206" w:lineRule="exact"/>
              <w:ind w:left="381" w:right="367"/>
              <w:jc w:val="center"/>
              <w:rPr>
                <w:rFonts w:ascii="Times New Roman" w:eastAsia="Times New Roman" w:hAnsi="Times New Roman" w:cs="Times New Roman"/>
                <w:noProof/>
                <w:sz w:val="19"/>
              </w:rPr>
            </w:pPr>
            <w:r>
              <w:rPr>
                <w:rFonts w:ascii="Times New Roman" w:hAnsi="Times New Roman"/>
                <w:noProof/>
                <w:color w:val="005F00"/>
                <w:sz w:val="19"/>
              </w:rPr>
              <w:t>8-19</w:t>
            </w:r>
          </w:p>
        </w:tc>
        <w:tc>
          <w:tcPr>
            <w:tcW w:w="2881" w:type="dxa"/>
            <w:tcBorders>
              <w:bottom w:val="single" w:sz="4" w:space="0" w:color="auto"/>
            </w:tcBorders>
            <w:shd w:val="clear" w:color="auto" w:fill="C5EDCE"/>
          </w:tcPr>
          <w:p w14:paraId="5A8AEC7C" w14:textId="77777777" w:rsidR="00740F0F" w:rsidRPr="0029070D" w:rsidRDefault="00100B64">
            <w:pPr>
              <w:spacing w:line="206" w:lineRule="exact"/>
              <w:ind w:left="119"/>
              <w:rPr>
                <w:rFonts w:ascii="Times New Roman" w:eastAsia="Times New Roman" w:hAnsi="Times New Roman" w:cs="Times New Roman"/>
                <w:noProof/>
                <w:sz w:val="19"/>
              </w:rPr>
            </w:pPr>
            <w:r>
              <w:rPr>
                <w:rFonts w:ascii="Times New Roman" w:hAnsi="Times New Roman"/>
                <w:noProof/>
                <w:color w:val="005F00"/>
                <w:sz w:val="19"/>
              </w:rPr>
              <w:t>C8.I12 Plan jeunes: poursuite d’études des néo-bacheliers</w:t>
            </w:r>
          </w:p>
        </w:tc>
        <w:tc>
          <w:tcPr>
            <w:tcW w:w="1062" w:type="dxa"/>
            <w:tcBorders>
              <w:bottom w:val="single" w:sz="4" w:space="0" w:color="auto"/>
            </w:tcBorders>
            <w:shd w:val="clear" w:color="auto" w:fill="C5EDCE"/>
          </w:tcPr>
          <w:p w14:paraId="5A8AEC7D" w14:textId="77777777" w:rsidR="00740F0F" w:rsidRPr="0029070D" w:rsidRDefault="00100B64">
            <w:pPr>
              <w:spacing w:line="206" w:lineRule="exact"/>
              <w:ind w:left="309"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989" w:type="dxa"/>
            <w:tcBorders>
              <w:bottom w:val="single" w:sz="4" w:space="0" w:color="auto"/>
            </w:tcBorders>
            <w:shd w:val="clear" w:color="auto" w:fill="C5EDCE"/>
          </w:tcPr>
          <w:p w14:paraId="5A8AEC7E" w14:textId="77777777" w:rsidR="00740F0F" w:rsidRPr="0029070D" w:rsidRDefault="00100B64">
            <w:pPr>
              <w:spacing w:line="206" w:lineRule="exact"/>
              <w:ind w:left="118"/>
              <w:rPr>
                <w:rFonts w:ascii="Times New Roman" w:eastAsia="Times New Roman" w:hAnsi="Times New Roman" w:cs="Times New Roman"/>
                <w:noProof/>
                <w:sz w:val="19"/>
              </w:rPr>
            </w:pPr>
            <w:r>
              <w:rPr>
                <w:rFonts w:ascii="Times New Roman" w:hAnsi="Times New Roman"/>
                <w:noProof/>
                <w:color w:val="005F00"/>
                <w:sz w:val="19"/>
              </w:rPr>
              <w:t>Places créées dans l’enseignement supérieur</w:t>
            </w:r>
          </w:p>
        </w:tc>
      </w:tr>
      <w:tr w:rsidR="00782477" w:rsidRPr="0029070D" w14:paraId="5A8AEC84" w14:textId="77777777" w:rsidTr="00F84DDA">
        <w:trPr>
          <w:trHeight w:val="793"/>
          <w:jc w:val="center"/>
        </w:trPr>
        <w:tc>
          <w:tcPr>
            <w:tcW w:w="1152" w:type="dxa"/>
            <w:tcBorders>
              <w:top w:val="single" w:sz="4" w:space="0" w:color="auto"/>
              <w:left w:val="single" w:sz="4" w:space="0" w:color="auto"/>
              <w:bottom w:val="single" w:sz="4" w:space="0" w:color="auto"/>
              <w:right w:val="single" w:sz="4" w:space="0" w:color="auto"/>
            </w:tcBorders>
            <w:shd w:val="clear" w:color="auto" w:fill="C5EDCE"/>
          </w:tcPr>
          <w:p w14:paraId="5A8AEC80" w14:textId="77777777" w:rsidR="00740F0F" w:rsidRPr="0029070D" w:rsidRDefault="00100B64">
            <w:pPr>
              <w:spacing w:line="206" w:lineRule="exact"/>
              <w:ind w:left="381" w:right="367"/>
              <w:jc w:val="center"/>
              <w:rPr>
                <w:rFonts w:ascii="Times New Roman" w:eastAsia="Times New Roman" w:hAnsi="Times New Roman" w:cs="Times New Roman"/>
                <w:noProof/>
                <w:sz w:val="19"/>
              </w:rPr>
            </w:pPr>
            <w:r>
              <w:rPr>
                <w:rFonts w:ascii="Times New Roman" w:hAnsi="Times New Roman"/>
                <w:noProof/>
                <w:color w:val="005F00"/>
                <w:sz w:val="19"/>
              </w:rPr>
              <w:t>8-22</w:t>
            </w:r>
          </w:p>
        </w:tc>
        <w:tc>
          <w:tcPr>
            <w:tcW w:w="2881" w:type="dxa"/>
            <w:tcBorders>
              <w:top w:val="single" w:sz="4" w:space="0" w:color="auto"/>
              <w:left w:val="single" w:sz="4" w:space="0" w:color="auto"/>
              <w:bottom w:val="single" w:sz="4" w:space="0" w:color="auto"/>
              <w:right w:val="single" w:sz="4" w:space="0" w:color="auto"/>
            </w:tcBorders>
            <w:shd w:val="clear" w:color="auto" w:fill="C5EDCE"/>
          </w:tcPr>
          <w:p w14:paraId="5A8AEC81" w14:textId="77777777" w:rsidR="00740F0F" w:rsidRPr="0029070D" w:rsidRDefault="00100B64">
            <w:pPr>
              <w:ind w:left="119" w:right="200"/>
              <w:jc w:val="both"/>
              <w:rPr>
                <w:rFonts w:ascii="Times New Roman" w:eastAsia="Times New Roman" w:hAnsi="Times New Roman" w:cs="Times New Roman"/>
                <w:noProof/>
                <w:sz w:val="19"/>
              </w:rPr>
            </w:pPr>
            <w:r>
              <w:rPr>
                <w:rFonts w:ascii="Times New Roman" w:hAnsi="Times New Roman"/>
                <w:noProof/>
                <w:color w:val="005F00"/>
                <w:sz w:val="19"/>
              </w:rPr>
              <w:t>C8.I15 Aide à la mobilisation des employeurs pour l’embauche des travailleurs handicapés (AMEETH)</w:t>
            </w:r>
          </w:p>
        </w:tc>
        <w:tc>
          <w:tcPr>
            <w:tcW w:w="1062" w:type="dxa"/>
            <w:tcBorders>
              <w:top w:val="single" w:sz="4" w:space="0" w:color="auto"/>
              <w:left w:val="single" w:sz="4" w:space="0" w:color="auto"/>
              <w:bottom w:val="single" w:sz="4" w:space="0" w:color="auto"/>
              <w:right w:val="single" w:sz="4" w:space="0" w:color="auto"/>
            </w:tcBorders>
            <w:shd w:val="clear" w:color="auto" w:fill="C5EDCE"/>
          </w:tcPr>
          <w:p w14:paraId="5A8AEC82" w14:textId="77777777" w:rsidR="00740F0F" w:rsidRPr="0029070D" w:rsidRDefault="00100B64">
            <w:pPr>
              <w:spacing w:line="206" w:lineRule="exact"/>
              <w:ind w:left="309"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989" w:type="dxa"/>
            <w:tcBorders>
              <w:top w:val="single" w:sz="4" w:space="0" w:color="auto"/>
              <w:left w:val="single" w:sz="4" w:space="0" w:color="auto"/>
              <w:bottom w:val="single" w:sz="4" w:space="0" w:color="auto"/>
              <w:right w:val="single" w:sz="4" w:space="0" w:color="auto"/>
            </w:tcBorders>
            <w:shd w:val="clear" w:color="auto" w:fill="C5EDCE"/>
          </w:tcPr>
          <w:p w14:paraId="5A8AEC83" w14:textId="77777777" w:rsidR="00740F0F" w:rsidRPr="0029070D" w:rsidRDefault="00100B64">
            <w:pPr>
              <w:spacing w:line="206" w:lineRule="exact"/>
              <w:ind w:left="118"/>
              <w:rPr>
                <w:rFonts w:ascii="Times New Roman" w:eastAsia="Times New Roman" w:hAnsi="Times New Roman" w:cs="Times New Roman"/>
                <w:noProof/>
                <w:sz w:val="19"/>
              </w:rPr>
            </w:pPr>
            <w:r>
              <w:rPr>
                <w:rFonts w:ascii="Times New Roman" w:hAnsi="Times New Roman"/>
                <w:noProof/>
                <w:color w:val="005F00"/>
                <w:sz w:val="19"/>
              </w:rPr>
              <w:t>Aides versées</w:t>
            </w:r>
          </w:p>
        </w:tc>
      </w:tr>
      <w:tr w:rsidR="00782477" w:rsidRPr="0029070D" w14:paraId="5A8AEC89" w14:textId="77777777" w:rsidTr="00F84DDA">
        <w:trPr>
          <w:trHeight w:val="505"/>
          <w:jc w:val="center"/>
        </w:trPr>
        <w:tc>
          <w:tcPr>
            <w:tcW w:w="1152" w:type="dxa"/>
            <w:tcBorders>
              <w:top w:val="single" w:sz="4" w:space="0" w:color="auto"/>
              <w:left w:val="single" w:sz="4" w:space="0" w:color="auto"/>
              <w:bottom w:val="single" w:sz="4" w:space="0" w:color="auto"/>
              <w:right w:val="single" w:sz="4" w:space="0" w:color="auto"/>
            </w:tcBorders>
            <w:shd w:val="clear" w:color="auto" w:fill="C5EDCE"/>
          </w:tcPr>
          <w:p w14:paraId="5A8AEC85" w14:textId="77777777" w:rsidR="00740F0F" w:rsidRPr="0029070D" w:rsidRDefault="00100B64">
            <w:pPr>
              <w:spacing w:line="194" w:lineRule="exact"/>
              <w:ind w:left="381" w:right="367"/>
              <w:jc w:val="center"/>
              <w:rPr>
                <w:rFonts w:ascii="Times New Roman" w:eastAsia="Times New Roman" w:hAnsi="Times New Roman" w:cs="Times New Roman"/>
                <w:noProof/>
                <w:sz w:val="19"/>
              </w:rPr>
            </w:pPr>
            <w:r>
              <w:rPr>
                <w:rFonts w:ascii="Times New Roman" w:hAnsi="Times New Roman"/>
                <w:noProof/>
                <w:color w:val="005F00"/>
                <w:sz w:val="19"/>
              </w:rPr>
              <w:t>8-29</w:t>
            </w:r>
          </w:p>
        </w:tc>
        <w:tc>
          <w:tcPr>
            <w:tcW w:w="2881" w:type="dxa"/>
            <w:tcBorders>
              <w:top w:val="single" w:sz="4" w:space="0" w:color="auto"/>
              <w:left w:val="single" w:sz="4" w:space="0" w:color="auto"/>
              <w:bottom w:val="single" w:sz="4" w:space="0" w:color="auto"/>
              <w:right w:val="single" w:sz="4" w:space="0" w:color="auto"/>
            </w:tcBorders>
            <w:shd w:val="clear" w:color="auto" w:fill="C5EDCE"/>
          </w:tcPr>
          <w:p w14:paraId="5A8AEC86" w14:textId="77777777" w:rsidR="00740F0F" w:rsidRPr="0029070D" w:rsidRDefault="00100B64">
            <w:pPr>
              <w:spacing w:line="187" w:lineRule="exact"/>
              <w:ind w:left="119"/>
              <w:rPr>
                <w:rFonts w:ascii="Times New Roman" w:eastAsia="Times New Roman" w:hAnsi="Times New Roman" w:cs="Times New Roman"/>
                <w:noProof/>
                <w:sz w:val="19"/>
              </w:rPr>
            </w:pPr>
            <w:r>
              <w:rPr>
                <w:rFonts w:ascii="Times New Roman" w:hAnsi="Times New Roman"/>
                <w:noProof/>
                <w:color w:val="005F00"/>
                <w:sz w:val="19"/>
              </w:rPr>
              <w:t>C8.I21 Renforcement des moyens de France compétences</w:t>
            </w:r>
          </w:p>
        </w:tc>
        <w:tc>
          <w:tcPr>
            <w:tcW w:w="1062" w:type="dxa"/>
            <w:tcBorders>
              <w:top w:val="single" w:sz="4" w:space="0" w:color="auto"/>
              <w:left w:val="single" w:sz="4" w:space="0" w:color="auto"/>
              <w:bottom w:val="single" w:sz="4" w:space="0" w:color="auto"/>
              <w:right w:val="single" w:sz="4" w:space="0" w:color="auto"/>
            </w:tcBorders>
            <w:shd w:val="clear" w:color="auto" w:fill="C5EDCE"/>
          </w:tcPr>
          <w:p w14:paraId="5A8AEC87" w14:textId="77777777" w:rsidR="00740F0F" w:rsidRPr="0029070D" w:rsidRDefault="00100B64">
            <w:pPr>
              <w:spacing w:line="194" w:lineRule="exact"/>
              <w:ind w:left="217"/>
              <w:rPr>
                <w:rFonts w:ascii="Times New Roman" w:eastAsia="Times New Roman" w:hAnsi="Times New Roman" w:cs="Times New Roman"/>
                <w:noProof/>
                <w:sz w:val="19"/>
              </w:rPr>
            </w:pPr>
            <w:r>
              <w:rPr>
                <w:rFonts w:ascii="Times New Roman" w:hAnsi="Times New Roman"/>
                <w:noProof/>
                <w:color w:val="005F00"/>
                <w:sz w:val="19"/>
              </w:rPr>
              <w:t>Jalon</w:t>
            </w:r>
          </w:p>
        </w:tc>
        <w:tc>
          <w:tcPr>
            <w:tcW w:w="4989" w:type="dxa"/>
            <w:tcBorders>
              <w:top w:val="single" w:sz="4" w:space="0" w:color="auto"/>
              <w:left w:val="single" w:sz="4" w:space="0" w:color="auto"/>
              <w:bottom w:val="single" w:sz="4" w:space="0" w:color="auto"/>
              <w:right w:val="single" w:sz="4" w:space="0" w:color="auto"/>
            </w:tcBorders>
            <w:shd w:val="clear" w:color="auto" w:fill="C5EDCE"/>
          </w:tcPr>
          <w:p w14:paraId="5A8AEC88" w14:textId="77777777" w:rsidR="00740F0F" w:rsidRPr="0029070D" w:rsidRDefault="00100B64">
            <w:pPr>
              <w:spacing w:line="194" w:lineRule="exact"/>
              <w:ind w:left="118"/>
              <w:rPr>
                <w:rFonts w:ascii="Times New Roman" w:eastAsia="Times New Roman" w:hAnsi="Times New Roman" w:cs="Times New Roman"/>
                <w:noProof/>
                <w:sz w:val="19"/>
              </w:rPr>
            </w:pPr>
            <w:r>
              <w:rPr>
                <w:rFonts w:ascii="Times New Roman" w:hAnsi="Times New Roman"/>
                <w:noProof/>
                <w:color w:val="005F00"/>
                <w:sz w:val="19"/>
              </w:rPr>
              <w:t>Signature de la convention avec France compétences</w:t>
            </w:r>
          </w:p>
        </w:tc>
      </w:tr>
      <w:tr w:rsidR="00782477" w:rsidRPr="0029070D" w14:paraId="5A8AEC8E" w14:textId="77777777" w:rsidTr="00F84DDA">
        <w:trPr>
          <w:trHeight w:val="796"/>
          <w:jc w:val="center"/>
        </w:trPr>
        <w:tc>
          <w:tcPr>
            <w:tcW w:w="1152" w:type="dxa"/>
            <w:tcBorders>
              <w:top w:val="single" w:sz="4" w:space="0" w:color="auto"/>
            </w:tcBorders>
            <w:shd w:val="clear" w:color="auto" w:fill="C5EDCE"/>
          </w:tcPr>
          <w:p w14:paraId="5A8AEC8A" w14:textId="77777777" w:rsidR="00740F0F" w:rsidRPr="0029070D" w:rsidRDefault="00100B64">
            <w:pPr>
              <w:spacing w:line="209" w:lineRule="exact"/>
              <w:ind w:left="381" w:right="359"/>
              <w:jc w:val="center"/>
              <w:rPr>
                <w:rFonts w:ascii="Times New Roman" w:eastAsia="Times New Roman" w:hAnsi="Times New Roman" w:cs="Times New Roman"/>
                <w:noProof/>
                <w:sz w:val="19"/>
              </w:rPr>
            </w:pPr>
            <w:r>
              <w:rPr>
                <w:rFonts w:ascii="Times New Roman" w:hAnsi="Times New Roman"/>
                <w:noProof/>
                <w:color w:val="005F00"/>
                <w:sz w:val="19"/>
              </w:rPr>
              <w:t>9-1</w:t>
            </w:r>
          </w:p>
        </w:tc>
        <w:tc>
          <w:tcPr>
            <w:tcW w:w="2881" w:type="dxa"/>
            <w:tcBorders>
              <w:top w:val="single" w:sz="4" w:space="0" w:color="auto"/>
            </w:tcBorders>
            <w:shd w:val="clear" w:color="auto" w:fill="C5EDCE"/>
          </w:tcPr>
          <w:p w14:paraId="5A8AEC8B" w14:textId="77777777" w:rsidR="00740F0F" w:rsidRPr="0029070D" w:rsidRDefault="00100B64">
            <w:pPr>
              <w:ind w:left="119" w:right="88"/>
              <w:rPr>
                <w:rFonts w:ascii="Times New Roman" w:eastAsia="Times New Roman" w:hAnsi="Times New Roman" w:cs="Times New Roman"/>
                <w:noProof/>
                <w:sz w:val="19"/>
              </w:rPr>
            </w:pPr>
            <w:r>
              <w:rPr>
                <w:rFonts w:ascii="Times New Roman" w:hAnsi="Times New Roman"/>
                <w:noProof/>
                <w:color w:val="005F00"/>
                <w:sz w:val="19"/>
              </w:rPr>
              <w:t>C9.R1 Stratégie nationale de transformation du système de santé</w:t>
            </w:r>
          </w:p>
        </w:tc>
        <w:tc>
          <w:tcPr>
            <w:tcW w:w="1062" w:type="dxa"/>
            <w:tcBorders>
              <w:top w:val="single" w:sz="4" w:space="0" w:color="auto"/>
            </w:tcBorders>
            <w:shd w:val="clear" w:color="auto" w:fill="C5EDCE"/>
          </w:tcPr>
          <w:p w14:paraId="5A8AEC8C" w14:textId="77777777" w:rsidR="00740F0F" w:rsidRPr="0029070D" w:rsidRDefault="00100B64">
            <w:pPr>
              <w:spacing w:line="209" w:lineRule="exact"/>
              <w:ind w:left="260"/>
              <w:rPr>
                <w:rFonts w:ascii="Times New Roman" w:eastAsia="Times New Roman" w:hAnsi="Times New Roman" w:cs="Times New Roman"/>
                <w:noProof/>
                <w:sz w:val="19"/>
              </w:rPr>
            </w:pPr>
            <w:r>
              <w:rPr>
                <w:rFonts w:ascii="Times New Roman" w:hAnsi="Times New Roman"/>
                <w:noProof/>
                <w:color w:val="005F00"/>
                <w:sz w:val="19"/>
              </w:rPr>
              <w:t>Jalon</w:t>
            </w:r>
          </w:p>
        </w:tc>
        <w:tc>
          <w:tcPr>
            <w:tcW w:w="4989" w:type="dxa"/>
            <w:tcBorders>
              <w:top w:val="single" w:sz="4" w:space="0" w:color="auto"/>
            </w:tcBorders>
            <w:shd w:val="clear" w:color="auto" w:fill="C5EDCE"/>
          </w:tcPr>
          <w:p w14:paraId="5A8AEC8D" w14:textId="77777777" w:rsidR="00740F0F" w:rsidRPr="0029070D" w:rsidRDefault="00100B64">
            <w:pPr>
              <w:ind w:left="118"/>
              <w:rPr>
                <w:rFonts w:ascii="Times New Roman" w:eastAsia="Times New Roman" w:hAnsi="Times New Roman" w:cs="Times New Roman"/>
                <w:noProof/>
                <w:sz w:val="19"/>
              </w:rPr>
            </w:pPr>
            <w:r>
              <w:rPr>
                <w:rFonts w:ascii="Times New Roman" w:hAnsi="Times New Roman"/>
                <w:noProof/>
                <w:color w:val="005F00"/>
                <w:sz w:val="19"/>
              </w:rPr>
              <w:t>Vote et publication de la proposition de loi visant à améliorer le système de santé (simplification de la gouvernance des hôpitaux).</w:t>
            </w:r>
          </w:p>
        </w:tc>
      </w:tr>
      <w:tr w:rsidR="00782477" w:rsidRPr="0029070D" w14:paraId="5A8AEC93" w14:textId="77777777" w:rsidTr="00F84DDA">
        <w:trPr>
          <w:trHeight w:val="1050"/>
          <w:jc w:val="center"/>
        </w:trPr>
        <w:tc>
          <w:tcPr>
            <w:tcW w:w="1152" w:type="dxa"/>
            <w:shd w:val="clear" w:color="auto" w:fill="C5EDCE"/>
          </w:tcPr>
          <w:p w14:paraId="5A8AEC8F" w14:textId="77777777" w:rsidR="00740F0F" w:rsidRPr="0029070D" w:rsidRDefault="00100B64">
            <w:pPr>
              <w:spacing w:line="197" w:lineRule="exact"/>
              <w:ind w:left="381" w:right="359"/>
              <w:jc w:val="center"/>
              <w:rPr>
                <w:rFonts w:ascii="Times New Roman" w:eastAsia="Times New Roman" w:hAnsi="Times New Roman" w:cs="Times New Roman"/>
                <w:noProof/>
                <w:sz w:val="19"/>
              </w:rPr>
            </w:pPr>
            <w:r>
              <w:rPr>
                <w:rFonts w:ascii="Times New Roman" w:hAnsi="Times New Roman"/>
                <w:noProof/>
                <w:color w:val="005F00"/>
                <w:sz w:val="19"/>
              </w:rPr>
              <w:t>9-3</w:t>
            </w:r>
          </w:p>
        </w:tc>
        <w:tc>
          <w:tcPr>
            <w:tcW w:w="2881" w:type="dxa"/>
            <w:shd w:val="clear" w:color="auto" w:fill="C5EDCE"/>
          </w:tcPr>
          <w:p w14:paraId="5A8AEC90" w14:textId="77777777" w:rsidR="00740F0F" w:rsidRPr="0029070D" w:rsidRDefault="00100B64">
            <w:pPr>
              <w:spacing w:line="206" w:lineRule="exact"/>
              <w:ind w:left="119"/>
              <w:rPr>
                <w:rFonts w:ascii="Times New Roman" w:eastAsia="Times New Roman" w:hAnsi="Times New Roman" w:cs="Times New Roman"/>
                <w:noProof/>
                <w:sz w:val="19"/>
              </w:rPr>
            </w:pPr>
            <w:r>
              <w:rPr>
                <w:rFonts w:ascii="Times New Roman" w:hAnsi="Times New Roman"/>
                <w:noProof/>
                <w:color w:val="005F00"/>
                <w:sz w:val="19"/>
              </w:rPr>
              <w:t>C9.R2 Création d’une nouvelle branche de la sécurité sociale couvrant le risque de perte d’autonomie</w:t>
            </w:r>
          </w:p>
        </w:tc>
        <w:tc>
          <w:tcPr>
            <w:tcW w:w="1062" w:type="dxa"/>
            <w:shd w:val="clear" w:color="auto" w:fill="C5EDCE"/>
          </w:tcPr>
          <w:p w14:paraId="5A8AEC91" w14:textId="77777777" w:rsidR="00740F0F" w:rsidRPr="0029070D" w:rsidRDefault="00100B64">
            <w:pPr>
              <w:spacing w:line="197" w:lineRule="exact"/>
              <w:ind w:left="260"/>
              <w:rPr>
                <w:rFonts w:ascii="Times New Roman" w:eastAsia="Times New Roman" w:hAnsi="Times New Roman" w:cs="Times New Roman"/>
                <w:noProof/>
                <w:sz w:val="19"/>
              </w:rPr>
            </w:pPr>
            <w:r>
              <w:rPr>
                <w:rFonts w:ascii="Times New Roman" w:hAnsi="Times New Roman"/>
                <w:noProof/>
                <w:color w:val="005F00"/>
                <w:sz w:val="19"/>
              </w:rPr>
              <w:t>Jalon</w:t>
            </w:r>
          </w:p>
        </w:tc>
        <w:tc>
          <w:tcPr>
            <w:tcW w:w="4989" w:type="dxa"/>
            <w:shd w:val="clear" w:color="auto" w:fill="C5EDCE"/>
          </w:tcPr>
          <w:p w14:paraId="5A8AEC92" w14:textId="77777777" w:rsidR="00740F0F" w:rsidRPr="0029070D" w:rsidRDefault="00100B64">
            <w:pPr>
              <w:spacing w:line="204" w:lineRule="exact"/>
              <w:ind w:left="118"/>
              <w:rPr>
                <w:rFonts w:ascii="Times New Roman" w:eastAsia="Times New Roman" w:hAnsi="Times New Roman" w:cs="Times New Roman"/>
                <w:noProof/>
                <w:sz w:val="19"/>
              </w:rPr>
            </w:pPr>
            <w:r>
              <w:rPr>
                <w:rFonts w:ascii="Times New Roman" w:hAnsi="Times New Roman"/>
                <w:noProof/>
                <w:color w:val="005F00"/>
                <w:sz w:val="19"/>
              </w:rPr>
              <w:t>Loi portant création d’une nouvelle branche de la sécurité sociale consacrée au soutien à l’autonomie des personnes âgées et des personnes handicapées</w:t>
            </w:r>
          </w:p>
        </w:tc>
      </w:tr>
      <w:tr w:rsidR="00782477" w:rsidRPr="0029070D" w14:paraId="5A8AEC98" w14:textId="77777777" w:rsidTr="00F84DDA">
        <w:trPr>
          <w:trHeight w:val="1276"/>
          <w:jc w:val="center"/>
        </w:trPr>
        <w:tc>
          <w:tcPr>
            <w:tcW w:w="1152" w:type="dxa"/>
            <w:shd w:val="clear" w:color="auto" w:fill="C5EDCE"/>
          </w:tcPr>
          <w:p w14:paraId="5A8AEC94" w14:textId="77777777" w:rsidR="00740F0F" w:rsidRPr="0029070D" w:rsidRDefault="00100B64">
            <w:pPr>
              <w:spacing w:line="206" w:lineRule="exact"/>
              <w:ind w:left="381" w:right="367"/>
              <w:jc w:val="center"/>
              <w:rPr>
                <w:rFonts w:ascii="Times New Roman" w:eastAsia="Times New Roman" w:hAnsi="Times New Roman" w:cs="Times New Roman"/>
                <w:noProof/>
                <w:sz w:val="19"/>
              </w:rPr>
            </w:pPr>
            <w:r>
              <w:rPr>
                <w:rFonts w:ascii="Times New Roman" w:hAnsi="Times New Roman"/>
                <w:noProof/>
                <w:color w:val="005F00"/>
                <w:sz w:val="19"/>
              </w:rPr>
              <w:t>9-18</w:t>
            </w:r>
          </w:p>
        </w:tc>
        <w:tc>
          <w:tcPr>
            <w:tcW w:w="2881" w:type="dxa"/>
            <w:shd w:val="clear" w:color="auto" w:fill="C5EDCE"/>
          </w:tcPr>
          <w:p w14:paraId="5A8AEC95" w14:textId="77777777" w:rsidR="00740F0F" w:rsidRPr="0029070D" w:rsidRDefault="00100B64">
            <w:pPr>
              <w:spacing w:line="206" w:lineRule="exact"/>
              <w:ind w:left="119"/>
              <w:rPr>
                <w:rFonts w:ascii="Times New Roman" w:eastAsia="Times New Roman" w:hAnsi="Times New Roman" w:cs="Times New Roman"/>
                <w:noProof/>
                <w:sz w:val="19"/>
              </w:rPr>
            </w:pPr>
            <w:r>
              <w:rPr>
                <w:rFonts w:ascii="Times New Roman" w:hAnsi="Times New Roman"/>
                <w:noProof/>
                <w:color w:val="005F00"/>
                <w:sz w:val="19"/>
              </w:rPr>
              <w:t>C9.I8 PIA4 — Soutien aux écosystèmes d’enseignement, de recherche, de valorisation et d’innovation</w:t>
            </w:r>
          </w:p>
        </w:tc>
        <w:tc>
          <w:tcPr>
            <w:tcW w:w="1062" w:type="dxa"/>
            <w:shd w:val="clear" w:color="auto" w:fill="C5EDCE"/>
          </w:tcPr>
          <w:p w14:paraId="5A8AEC96" w14:textId="77777777" w:rsidR="00740F0F" w:rsidRPr="0029070D" w:rsidRDefault="00100B64">
            <w:pPr>
              <w:spacing w:line="206" w:lineRule="exact"/>
              <w:ind w:left="260"/>
              <w:rPr>
                <w:rFonts w:ascii="Times New Roman" w:eastAsia="Times New Roman" w:hAnsi="Times New Roman" w:cs="Times New Roman"/>
                <w:noProof/>
                <w:sz w:val="19"/>
              </w:rPr>
            </w:pPr>
            <w:r>
              <w:rPr>
                <w:rFonts w:ascii="Times New Roman" w:hAnsi="Times New Roman"/>
                <w:noProof/>
                <w:color w:val="005F00"/>
                <w:sz w:val="19"/>
              </w:rPr>
              <w:t>Jalon</w:t>
            </w:r>
          </w:p>
        </w:tc>
        <w:tc>
          <w:tcPr>
            <w:tcW w:w="4989" w:type="dxa"/>
            <w:shd w:val="clear" w:color="auto" w:fill="C5EDCE"/>
          </w:tcPr>
          <w:p w14:paraId="5A8AEC97" w14:textId="77777777" w:rsidR="00740F0F" w:rsidRPr="0029070D" w:rsidRDefault="00100B64">
            <w:pPr>
              <w:spacing w:line="223" w:lineRule="exact"/>
              <w:ind w:left="118"/>
              <w:rPr>
                <w:rFonts w:ascii="Times New Roman" w:eastAsia="Times New Roman" w:hAnsi="Times New Roman" w:cs="Times New Roman"/>
                <w:noProof/>
                <w:sz w:val="19"/>
              </w:rPr>
            </w:pPr>
            <w:r>
              <w:rPr>
                <w:rFonts w:ascii="Times New Roman" w:hAnsi="Times New Roman"/>
                <w:noProof/>
                <w:color w:val="005F00"/>
                <w:sz w:val="19"/>
              </w:rPr>
              <w:t>Les trois appels à projets sont lancés («ExcellencES», «Diversification des ressources des établissements supérieur et de recherche» et «Transformation de l’enseignement scolaire en y promouvant l’innovation et de nouvelles formes d’organisation et de gestion»)</w:t>
            </w:r>
          </w:p>
        </w:tc>
      </w:tr>
      <w:tr w:rsidR="00782477" w:rsidRPr="0029070D" w14:paraId="5A8AEC9D" w14:textId="77777777" w:rsidTr="00F84DDA">
        <w:trPr>
          <w:trHeight w:val="510"/>
          <w:jc w:val="center"/>
        </w:trPr>
        <w:tc>
          <w:tcPr>
            <w:tcW w:w="1152" w:type="dxa"/>
            <w:shd w:val="clear" w:color="auto" w:fill="C5EDCE"/>
          </w:tcPr>
          <w:p w14:paraId="5A8AEC99" w14:textId="77777777" w:rsidR="00740F0F" w:rsidRPr="0029070D" w:rsidRDefault="00740F0F">
            <w:pPr>
              <w:rPr>
                <w:rFonts w:ascii="Times New Roman" w:eastAsia="Times New Roman" w:hAnsi="Times New Roman" w:cs="Times New Roman"/>
                <w:noProof/>
                <w:sz w:val="18"/>
              </w:rPr>
            </w:pPr>
          </w:p>
        </w:tc>
        <w:tc>
          <w:tcPr>
            <w:tcW w:w="2881" w:type="dxa"/>
            <w:shd w:val="clear" w:color="auto" w:fill="C5EDCE"/>
          </w:tcPr>
          <w:p w14:paraId="5A8AEC9A" w14:textId="77777777" w:rsidR="00740F0F" w:rsidRPr="0029070D" w:rsidRDefault="00740F0F">
            <w:pPr>
              <w:rPr>
                <w:rFonts w:ascii="Times New Roman" w:eastAsia="Times New Roman" w:hAnsi="Times New Roman" w:cs="Times New Roman"/>
                <w:noProof/>
                <w:sz w:val="18"/>
              </w:rPr>
            </w:pPr>
          </w:p>
        </w:tc>
        <w:tc>
          <w:tcPr>
            <w:tcW w:w="1062" w:type="dxa"/>
            <w:shd w:val="clear" w:color="auto" w:fill="C5EDCE"/>
          </w:tcPr>
          <w:p w14:paraId="5A8AEC9B" w14:textId="77777777" w:rsidR="00740F0F" w:rsidRPr="0029070D" w:rsidRDefault="00100B64">
            <w:pPr>
              <w:spacing w:line="223" w:lineRule="auto"/>
              <w:ind w:left="102" w:right="437"/>
              <w:rPr>
                <w:rFonts w:ascii="Times New Roman" w:eastAsia="Times New Roman" w:hAnsi="Times New Roman" w:cs="Times New Roman"/>
                <w:b/>
                <w:noProof/>
                <w:sz w:val="19"/>
              </w:rPr>
            </w:pPr>
            <w:r>
              <w:rPr>
                <w:rFonts w:ascii="Times New Roman" w:hAnsi="Times New Roman"/>
                <w:b/>
                <w:noProof/>
                <w:color w:val="005F00"/>
                <w:sz w:val="19"/>
              </w:rPr>
              <w:t>Montant de la tranche</w:t>
            </w:r>
          </w:p>
        </w:tc>
        <w:tc>
          <w:tcPr>
            <w:tcW w:w="4989" w:type="dxa"/>
            <w:shd w:val="clear" w:color="auto" w:fill="C5EDCE"/>
          </w:tcPr>
          <w:p w14:paraId="5A8AEC9C" w14:textId="77777777" w:rsidR="00740F0F" w:rsidRPr="0029070D" w:rsidRDefault="00100B64">
            <w:pPr>
              <w:spacing w:line="199" w:lineRule="exact"/>
              <w:ind w:left="101"/>
              <w:rPr>
                <w:rFonts w:ascii="Times New Roman" w:eastAsia="Times New Roman" w:hAnsi="Times New Roman" w:cs="Times New Roman"/>
                <w:b/>
                <w:noProof/>
                <w:sz w:val="19"/>
              </w:rPr>
            </w:pPr>
            <w:r>
              <w:rPr>
                <w:rFonts w:ascii="Times New Roman" w:hAnsi="Times New Roman"/>
                <w:b/>
                <w:noProof/>
                <w:color w:val="005F00"/>
                <w:sz w:val="19"/>
              </w:rPr>
              <w:t>8</w:t>
            </w:r>
            <w:r>
              <w:rPr>
                <w:rFonts w:ascii="Times New Roman" w:hAnsi="Times New Roman"/>
                <w:noProof/>
                <w:sz w:val="18"/>
              </w:rPr>
              <w:t> </w:t>
            </w:r>
            <w:r>
              <w:rPr>
                <w:rFonts w:ascii="Times New Roman" w:hAnsi="Times New Roman"/>
                <w:b/>
                <w:noProof/>
                <w:color w:val="005F00"/>
                <w:sz w:val="19"/>
              </w:rPr>
              <w:t>505</w:t>
            </w:r>
            <w:r>
              <w:rPr>
                <w:rFonts w:ascii="Times New Roman" w:hAnsi="Times New Roman"/>
                <w:noProof/>
                <w:sz w:val="18"/>
              </w:rPr>
              <w:t> </w:t>
            </w:r>
            <w:r>
              <w:rPr>
                <w:rFonts w:ascii="Times New Roman" w:hAnsi="Times New Roman"/>
                <w:b/>
                <w:noProof/>
                <w:color w:val="005F00"/>
                <w:sz w:val="19"/>
              </w:rPr>
              <w:t>747</w:t>
            </w:r>
            <w:r>
              <w:rPr>
                <w:rFonts w:ascii="Times New Roman" w:hAnsi="Times New Roman"/>
                <w:noProof/>
                <w:sz w:val="18"/>
              </w:rPr>
              <w:t> </w:t>
            </w:r>
            <w:r>
              <w:rPr>
                <w:rFonts w:ascii="Times New Roman" w:hAnsi="Times New Roman"/>
                <w:b/>
                <w:noProof/>
                <w:color w:val="005F00"/>
                <w:sz w:val="19"/>
              </w:rPr>
              <w:t>126</w:t>
            </w:r>
            <w:r>
              <w:rPr>
                <w:rFonts w:ascii="Times New Roman" w:hAnsi="Times New Roman"/>
                <w:noProof/>
              </w:rPr>
              <w:t> </w:t>
            </w:r>
            <w:r>
              <w:rPr>
                <w:rFonts w:ascii="Times New Roman" w:hAnsi="Times New Roman"/>
                <w:b/>
                <w:noProof/>
                <w:color w:val="005F00"/>
                <w:sz w:val="19"/>
              </w:rPr>
              <w:t>EUR</w:t>
            </w:r>
          </w:p>
        </w:tc>
      </w:tr>
    </w:tbl>
    <w:p w14:paraId="5A8AEC9E" w14:textId="77777777" w:rsidR="00740F0F" w:rsidRPr="0029070D" w:rsidRDefault="00740F0F">
      <w:pPr>
        <w:widowControl w:val="0"/>
        <w:autoSpaceDE w:val="0"/>
        <w:autoSpaceDN w:val="0"/>
        <w:spacing w:after="0" w:line="240" w:lineRule="auto"/>
        <w:rPr>
          <w:rFonts w:ascii="Times New Roman" w:eastAsia="Times New Roman" w:hAnsi="Times New Roman" w:cs="Times New Roman"/>
          <w:noProof/>
          <w:kern w:val="0"/>
          <w:sz w:val="20"/>
          <w:szCs w:val="20"/>
          <w14:ligatures w14:val="none"/>
        </w:rPr>
      </w:pPr>
    </w:p>
    <w:p w14:paraId="5A8AEC9F" w14:textId="77777777" w:rsidR="00740F0F" w:rsidRPr="009447E5" w:rsidRDefault="00100B64">
      <w:pPr>
        <w:widowControl w:val="0"/>
        <w:numPr>
          <w:ilvl w:val="2"/>
          <w:numId w:val="58"/>
        </w:numPr>
        <w:tabs>
          <w:tab w:val="left" w:pos="1197"/>
          <w:tab w:val="left" w:pos="1198"/>
        </w:tabs>
        <w:autoSpaceDE w:val="0"/>
        <w:autoSpaceDN w:val="0"/>
        <w:spacing w:before="282" w:after="0" w:line="240" w:lineRule="auto"/>
        <w:ind w:hanging="858"/>
        <w:jc w:val="both"/>
        <w:rPr>
          <w:rFonts w:ascii="Times New Roman" w:eastAsia="Times New Roman" w:hAnsi="Times New Roman" w:cs="Times New Roman"/>
          <w:noProof/>
          <w:kern w:val="0"/>
          <w:szCs w:val="20"/>
          <w14:ligatures w14:val="none"/>
        </w:rPr>
      </w:pPr>
      <w:r>
        <w:rPr>
          <w:rFonts w:ascii="Times New Roman" w:hAnsi="Times New Roman"/>
          <w:noProof/>
        </w:rPr>
        <w:t>Deuxième tranche (soutien non remboursable):</w:t>
      </w:r>
    </w:p>
    <w:p w14:paraId="5A8AECA0" w14:textId="77777777" w:rsidR="00740F0F" w:rsidRPr="009447E5" w:rsidRDefault="00740F0F">
      <w:pPr>
        <w:widowControl w:val="0"/>
        <w:autoSpaceDE w:val="0"/>
        <w:autoSpaceDN w:val="0"/>
        <w:spacing w:before="9" w:after="0" w:line="240" w:lineRule="auto"/>
        <w:rPr>
          <w:rFonts w:ascii="Times New Roman" w:eastAsia="Times New Roman" w:hAnsi="Times New Roman" w:cs="Times New Roman"/>
          <w:noProof/>
          <w:kern w:val="0"/>
          <w:sz w:val="11"/>
          <w:szCs w:val="20"/>
          <w14:ligatures w14:val="none"/>
        </w:rPr>
      </w:pPr>
    </w:p>
    <w:tbl>
      <w:tblPr>
        <w:tblStyle w:val="NormalTable0"/>
        <w:tblW w:w="1006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8"/>
        <w:gridCol w:w="2758"/>
        <w:gridCol w:w="1353"/>
        <w:gridCol w:w="4688"/>
      </w:tblGrid>
      <w:tr w:rsidR="00782477" w:rsidRPr="0029070D" w14:paraId="5A8AECA5" w14:textId="77777777" w:rsidTr="00F84DDA">
        <w:trPr>
          <w:trHeight w:val="588"/>
          <w:tblHeader/>
          <w:jc w:val="center"/>
        </w:trPr>
        <w:tc>
          <w:tcPr>
            <w:tcW w:w="1268" w:type="dxa"/>
            <w:shd w:val="clear" w:color="auto" w:fill="BBD5EC"/>
          </w:tcPr>
          <w:p w14:paraId="5A8AECA1" w14:textId="77777777" w:rsidR="00740F0F" w:rsidRPr="0029070D" w:rsidRDefault="00100B64">
            <w:pPr>
              <w:spacing w:line="271" w:lineRule="auto"/>
              <w:ind w:left="326" w:right="43" w:hanging="135"/>
              <w:rPr>
                <w:rFonts w:ascii="Times New Roman" w:eastAsia="Times New Roman" w:hAnsi="Times New Roman" w:cs="Times New Roman"/>
                <w:b/>
                <w:noProof/>
                <w:sz w:val="20"/>
              </w:rPr>
            </w:pPr>
            <w:r>
              <w:rPr>
                <w:rFonts w:ascii="Times New Roman" w:hAnsi="Times New Roman"/>
                <w:b/>
                <w:noProof/>
                <w:sz w:val="20"/>
              </w:rPr>
              <w:t>Numéro séquentiel</w:t>
            </w:r>
          </w:p>
        </w:tc>
        <w:tc>
          <w:tcPr>
            <w:tcW w:w="2758" w:type="dxa"/>
            <w:shd w:val="clear" w:color="auto" w:fill="BBD5EC"/>
          </w:tcPr>
          <w:p w14:paraId="5A8AECA2" w14:textId="77777777" w:rsidR="00740F0F" w:rsidRPr="0029070D" w:rsidRDefault="00100B64">
            <w:pPr>
              <w:ind w:left="282"/>
              <w:jc w:val="center"/>
              <w:rPr>
                <w:rFonts w:ascii="Times New Roman" w:eastAsia="Times New Roman" w:hAnsi="Times New Roman" w:cs="Times New Roman"/>
                <w:b/>
                <w:noProof/>
                <w:sz w:val="20"/>
              </w:rPr>
            </w:pPr>
            <w:r>
              <w:rPr>
                <w:rFonts w:ascii="Times New Roman" w:hAnsi="Times New Roman"/>
                <w:b/>
                <w:noProof/>
                <w:sz w:val="20"/>
              </w:rPr>
              <w:t xml:space="preserve">Mesure connexe (réforme </w:t>
            </w:r>
            <w:r>
              <w:rPr>
                <w:rFonts w:ascii="Times New Roman" w:hAnsi="Times New Roman"/>
                <w:b/>
                <w:noProof/>
                <w:sz w:val="20"/>
              </w:rPr>
              <w:br/>
              <w:t>ou investissement)</w:t>
            </w:r>
          </w:p>
        </w:tc>
        <w:tc>
          <w:tcPr>
            <w:tcW w:w="1353" w:type="dxa"/>
            <w:shd w:val="clear" w:color="auto" w:fill="BBD5EC"/>
          </w:tcPr>
          <w:p w14:paraId="5A8AECA3" w14:textId="77777777" w:rsidR="00740F0F" w:rsidRPr="0029070D" w:rsidRDefault="00100B64">
            <w:pPr>
              <w:ind w:left="376"/>
              <w:rPr>
                <w:rFonts w:ascii="Times New Roman" w:eastAsia="Times New Roman" w:hAnsi="Times New Roman" w:cs="Times New Roman"/>
                <w:b/>
                <w:noProof/>
                <w:sz w:val="20"/>
              </w:rPr>
            </w:pPr>
            <w:r>
              <w:rPr>
                <w:rFonts w:ascii="Times New Roman" w:hAnsi="Times New Roman"/>
                <w:b/>
                <w:noProof/>
                <w:sz w:val="20"/>
              </w:rPr>
              <w:t>Jalon / Cible</w:t>
            </w:r>
          </w:p>
        </w:tc>
        <w:tc>
          <w:tcPr>
            <w:tcW w:w="4688" w:type="dxa"/>
            <w:shd w:val="clear" w:color="auto" w:fill="BBD5EC"/>
          </w:tcPr>
          <w:p w14:paraId="5A8AECA4" w14:textId="77777777" w:rsidR="00740F0F" w:rsidRPr="0029070D" w:rsidRDefault="00100B64">
            <w:pPr>
              <w:spacing w:before="1"/>
              <w:ind w:left="1651" w:right="1753"/>
              <w:jc w:val="center"/>
              <w:rPr>
                <w:rFonts w:ascii="Times New Roman" w:eastAsia="Times New Roman" w:hAnsi="Times New Roman" w:cs="Times New Roman"/>
                <w:b/>
                <w:noProof/>
                <w:sz w:val="20"/>
              </w:rPr>
            </w:pPr>
            <w:r>
              <w:rPr>
                <w:rFonts w:ascii="Times New Roman" w:hAnsi="Times New Roman"/>
                <w:b/>
                <w:noProof/>
                <w:sz w:val="20"/>
              </w:rPr>
              <w:t>Dénomination</w:t>
            </w:r>
          </w:p>
        </w:tc>
      </w:tr>
      <w:tr w:rsidR="00782477" w:rsidRPr="0029070D" w14:paraId="5A8AECAA" w14:textId="77777777" w:rsidTr="00F84DDA">
        <w:trPr>
          <w:trHeight w:val="525"/>
          <w:jc w:val="center"/>
        </w:trPr>
        <w:tc>
          <w:tcPr>
            <w:tcW w:w="1268" w:type="dxa"/>
            <w:shd w:val="clear" w:color="auto" w:fill="C5EDCE"/>
          </w:tcPr>
          <w:p w14:paraId="5A8AECA6" w14:textId="77777777" w:rsidR="00740F0F" w:rsidRPr="0029070D" w:rsidRDefault="00100B64">
            <w:pPr>
              <w:spacing w:line="206" w:lineRule="exact"/>
              <w:ind w:left="386" w:right="256"/>
              <w:jc w:val="center"/>
              <w:rPr>
                <w:rFonts w:ascii="Times New Roman" w:eastAsia="Times New Roman" w:hAnsi="Times New Roman" w:cs="Times New Roman"/>
                <w:noProof/>
                <w:sz w:val="19"/>
              </w:rPr>
            </w:pPr>
            <w:r>
              <w:rPr>
                <w:rFonts w:ascii="Times New Roman" w:hAnsi="Times New Roman"/>
                <w:noProof/>
                <w:color w:val="005F00"/>
                <w:sz w:val="19"/>
              </w:rPr>
              <w:t>1-3a</w:t>
            </w:r>
          </w:p>
        </w:tc>
        <w:tc>
          <w:tcPr>
            <w:tcW w:w="2758" w:type="dxa"/>
            <w:shd w:val="clear" w:color="auto" w:fill="C5EDCE"/>
          </w:tcPr>
          <w:p w14:paraId="5A8AECA7" w14:textId="77777777" w:rsidR="00740F0F" w:rsidRPr="0029070D" w:rsidRDefault="00100B64">
            <w:pPr>
              <w:spacing w:line="228" w:lineRule="auto"/>
              <w:ind w:left="121" w:right="101"/>
              <w:rPr>
                <w:rFonts w:ascii="Times New Roman" w:eastAsia="Times New Roman" w:hAnsi="Times New Roman" w:cs="Times New Roman"/>
                <w:noProof/>
                <w:sz w:val="19"/>
              </w:rPr>
            </w:pPr>
            <w:r>
              <w:rPr>
                <w:rFonts w:ascii="Times New Roman" w:hAnsi="Times New Roman"/>
                <w:noProof/>
                <w:color w:val="005F00"/>
                <w:sz w:val="19"/>
              </w:rPr>
              <w:t>C1.R2 Révision de la réglementation thermique avec la RE2020</w:t>
            </w:r>
          </w:p>
        </w:tc>
        <w:tc>
          <w:tcPr>
            <w:tcW w:w="1353" w:type="dxa"/>
            <w:shd w:val="clear" w:color="auto" w:fill="C5EDCE"/>
          </w:tcPr>
          <w:p w14:paraId="5A8AECA8" w14:textId="77777777" w:rsidR="00740F0F" w:rsidRPr="0029070D" w:rsidRDefault="00100B64">
            <w:pPr>
              <w:spacing w:line="206" w:lineRule="exact"/>
              <w:ind w:left="311" w:right="291"/>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688" w:type="dxa"/>
            <w:shd w:val="clear" w:color="auto" w:fill="C5EDCE"/>
          </w:tcPr>
          <w:p w14:paraId="5A8AECA9" w14:textId="77777777" w:rsidR="00740F0F" w:rsidRPr="0029070D" w:rsidRDefault="00100B64">
            <w:pPr>
              <w:spacing w:line="206" w:lineRule="exact"/>
              <w:ind w:left="101"/>
              <w:rPr>
                <w:rFonts w:ascii="Times New Roman" w:eastAsia="Times New Roman" w:hAnsi="Times New Roman" w:cs="Times New Roman"/>
                <w:noProof/>
                <w:sz w:val="19"/>
              </w:rPr>
            </w:pPr>
            <w:r>
              <w:rPr>
                <w:rFonts w:ascii="Times New Roman" w:hAnsi="Times New Roman"/>
                <w:noProof/>
                <w:color w:val="005F00"/>
                <w:sz w:val="19"/>
              </w:rPr>
              <w:t>Révision de la réglementation thermique avec la RE2020</w:t>
            </w:r>
          </w:p>
        </w:tc>
      </w:tr>
      <w:tr w:rsidR="00782477" w:rsidRPr="0029070D" w14:paraId="5A8AECAF" w14:textId="77777777" w:rsidTr="00F84DDA">
        <w:trPr>
          <w:trHeight w:val="525"/>
          <w:jc w:val="center"/>
        </w:trPr>
        <w:tc>
          <w:tcPr>
            <w:tcW w:w="1268" w:type="dxa"/>
            <w:shd w:val="clear" w:color="auto" w:fill="C5EDCE"/>
          </w:tcPr>
          <w:p w14:paraId="5A8AECAB" w14:textId="77777777" w:rsidR="00740F0F" w:rsidRPr="0029070D" w:rsidRDefault="00100B64">
            <w:pPr>
              <w:spacing w:line="206" w:lineRule="exact"/>
              <w:ind w:left="376" w:right="313"/>
              <w:jc w:val="center"/>
              <w:rPr>
                <w:rFonts w:ascii="Times New Roman" w:eastAsia="Times New Roman" w:hAnsi="Times New Roman" w:cs="Times New Roman"/>
                <w:noProof/>
                <w:sz w:val="19"/>
              </w:rPr>
            </w:pPr>
            <w:r>
              <w:rPr>
                <w:rFonts w:ascii="Times New Roman" w:hAnsi="Times New Roman"/>
                <w:noProof/>
                <w:color w:val="005F00"/>
                <w:sz w:val="19"/>
              </w:rPr>
              <w:t>1-5</w:t>
            </w:r>
          </w:p>
        </w:tc>
        <w:tc>
          <w:tcPr>
            <w:tcW w:w="2758" w:type="dxa"/>
            <w:shd w:val="clear" w:color="auto" w:fill="C5EDCE"/>
          </w:tcPr>
          <w:p w14:paraId="5A8AECAC" w14:textId="77777777" w:rsidR="00740F0F" w:rsidRPr="0029070D" w:rsidRDefault="00100B64">
            <w:pPr>
              <w:spacing w:line="225" w:lineRule="auto"/>
              <w:ind w:left="121" w:right="-2"/>
              <w:rPr>
                <w:rFonts w:ascii="Times New Roman" w:eastAsia="Times New Roman" w:hAnsi="Times New Roman" w:cs="Times New Roman"/>
                <w:noProof/>
                <w:sz w:val="19"/>
              </w:rPr>
            </w:pPr>
            <w:r>
              <w:rPr>
                <w:rFonts w:ascii="Times New Roman" w:hAnsi="Times New Roman"/>
                <w:noProof/>
                <w:color w:val="005F00"/>
                <w:sz w:val="19"/>
              </w:rPr>
              <w:t>C1.I1 Rénovation énergétique des bâtiments privés</w:t>
            </w:r>
          </w:p>
        </w:tc>
        <w:tc>
          <w:tcPr>
            <w:tcW w:w="1353" w:type="dxa"/>
            <w:shd w:val="clear" w:color="auto" w:fill="C5EDCE"/>
          </w:tcPr>
          <w:p w14:paraId="5A8AECAD" w14:textId="77777777" w:rsidR="00740F0F" w:rsidRPr="0029070D" w:rsidRDefault="00100B64">
            <w:pPr>
              <w:spacing w:line="206" w:lineRule="exact"/>
              <w:ind w:left="299"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CAE" w14:textId="77777777" w:rsidR="00740F0F" w:rsidRPr="0029070D" w:rsidRDefault="00100B64">
            <w:pPr>
              <w:spacing w:line="206" w:lineRule="exact"/>
              <w:ind w:left="101"/>
              <w:rPr>
                <w:rFonts w:ascii="Times New Roman" w:eastAsia="Times New Roman" w:hAnsi="Times New Roman" w:cs="Times New Roman"/>
                <w:noProof/>
                <w:sz w:val="19"/>
              </w:rPr>
            </w:pPr>
            <w:r>
              <w:rPr>
                <w:rFonts w:ascii="Times New Roman" w:hAnsi="Times New Roman"/>
                <w:noProof/>
                <w:color w:val="005F00"/>
                <w:sz w:val="19"/>
              </w:rPr>
              <w:t>Nombre de dossiers MaPrimeRénov’ validés</w:t>
            </w:r>
          </w:p>
        </w:tc>
      </w:tr>
      <w:tr w:rsidR="00782477" w:rsidRPr="0029070D" w14:paraId="5A8AECB4" w14:textId="77777777" w:rsidTr="00F84DDA">
        <w:trPr>
          <w:trHeight w:val="508"/>
          <w:jc w:val="center"/>
        </w:trPr>
        <w:tc>
          <w:tcPr>
            <w:tcW w:w="1268" w:type="dxa"/>
            <w:shd w:val="clear" w:color="auto" w:fill="C5EDCE"/>
          </w:tcPr>
          <w:p w14:paraId="5A8AECB0" w14:textId="77777777" w:rsidR="00740F0F" w:rsidRPr="0029070D" w:rsidRDefault="00100B64">
            <w:pPr>
              <w:spacing w:line="206" w:lineRule="exact"/>
              <w:ind w:left="386" w:right="309"/>
              <w:jc w:val="center"/>
              <w:rPr>
                <w:rFonts w:ascii="Times New Roman" w:eastAsia="Times New Roman" w:hAnsi="Times New Roman" w:cs="Times New Roman"/>
                <w:noProof/>
                <w:sz w:val="19"/>
              </w:rPr>
            </w:pPr>
            <w:r>
              <w:rPr>
                <w:rFonts w:ascii="Times New Roman" w:hAnsi="Times New Roman"/>
                <w:noProof/>
                <w:color w:val="005F00"/>
                <w:sz w:val="19"/>
              </w:rPr>
              <w:t>1-7</w:t>
            </w:r>
          </w:p>
        </w:tc>
        <w:tc>
          <w:tcPr>
            <w:tcW w:w="2758" w:type="dxa"/>
            <w:shd w:val="clear" w:color="auto" w:fill="C5EDCE"/>
          </w:tcPr>
          <w:p w14:paraId="5A8AECB1" w14:textId="77777777" w:rsidR="00740F0F" w:rsidRPr="0029070D" w:rsidRDefault="00100B64">
            <w:pPr>
              <w:spacing w:line="225" w:lineRule="auto"/>
              <w:ind w:left="121" w:right="139"/>
              <w:rPr>
                <w:rFonts w:ascii="Times New Roman" w:eastAsia="Times New Roman" w:hAnsi="Times New Roman" w:cs="Times New Roman"/>
                <w:noProof/>
                <w:sz w:val="19"/>
              </w:rPr>
            </w:pPr>
            <w:r>
              <w:rPr>
                <w:rFonts w:ascii="Times New Roman" w:hAnsi="Times New Roman"/>
                <w:noProof/>
                <w:color w:val="005F00"/>
                <w:sz w:val="19"/>
              </w:rPr>
              <w:t>C1.I2 Rénovation énergétique des logements sociaux</w:t>
            </w:r>
          </w:p>
        </w:tc>
        <w:tc>
          <w:tcPr>
            <w:tcW w:w="1353" w:type="dxa"/>
            <w:shd w:val="clear" w:color="auto" w:fill="C5EDCE"/>
          </w:tcPr>
          <w:p w14:paraId="5A8AECB2" w14:textId="77777777" w:rsidR="00740F0F" w:rsidRPr="0029070D" w:rsidRDefault="00100B64">
            <w:pPr>
              <w:spacing w:line="206" w:lineRule="exact"/>
              <w:ind w:left="294"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CB3" w14:textId="77777777" w:rsidR="00740F0F" w:rsidRPr="0029070D" w:rsidRDefault="00100B64">
            <w:pPr>
              <w:spacing w:line="225" w:lineRule="auto"/>
              <w:ind w:left="101" w:right="-11"/>
              <w:rPr>
                <w:rFonts w:ascii="Times New Roman" w:eastAsia="Times New Roman" w:hAnsi="Times New Roman" w:cs="Times New Roman"/>
                <w:noProof/>
                <w:sz w:val="19"/>
              </w:rPr>
            </w:pPr>
            <w:r>
              <w:rPr>
                <w:rFonts w:ascii="Times New Roman" w:hAnsi="Times New Roman"/>
                <w:noProof/>
                <w:color w:val="005F00"/>
                <w:sz w:val="19"/>
              </w:rPr>
              <w:t>Nombre de logements sociaux bénéficiant d’une subvention pour la rénovation</w:t>
            </w:r>
          </w:p>
        </w:tc>
      </w:tr>
      <w:tr w:rsidR="00782477" w:rsidRPr="0029070D" w14:paraId="5A8AECB9" w14:textId="77777777" w:rsidTr="00F84DDA">
        <w:trPr>
          <w:trHeight w:val="1057"/>
          <w:jc w:val="center"/>
        </w:trPr>
        <w:tc>
          <w:tcPr>
            <w:tcW w:w="1268" w:type="dxa"/>
            <w:shd w:val="clear" w:color="auto" w:fill="C5EDCE"/>
          </w:tcPr>
          <w:p w14:paraId="5A8AECB5" w14:textId="77777777" w:rsidR="00740F0F" w:rsidRPr="0029070D" w:rsidRDefault="00100B64">
            <w:pPr>
              <w:spacing w:line="216" w:lineRule="exact"/>
              <w:ind w:left="376" w:right="313"/>
              <w:jc w:val="center"/>
              <w:rPr>
                <w:rFonts w:ascii="Times New Roman" w:eastAsia="Times New Roman" w:hAnsi="Times New Roman" w:cs="Times New Roman"/>
                <w:noProof/>
                <w:sz w:val="19"/>
              </w:rPr>
            </w:pPr>
            <w:r>
              <w:rPr>
                <w:rFonts w:ascii="Times New Roman" w:hAnsi="Times New Roman"/>
                <w:noProof/>
                <w:color w:val="005F00"/>
                <w:sz w:val="19"/>
              </w:rPr>
              <w:t>1-9</w:t>
            </w:r>
          </w:p>
        </w:tc>
        <w:tc>
          <w:tcPr>
            <w:tcW w:w="2758" w:type="dxa"/>
            <w:shd w:val="clear" w:color="auto" w:fill="C5EDCE"/>
          </w:tcPr>
          <w:p w14:paraId="5A8AECB6" w14:textId="77777777" w:rsidR="00740F0F" w:rsidRPr="0029070D" w:rsidRDefault="00100B64">
            <w:pPr>
              <w:spacing w:line="297" w:lineRule="auto"/>
              <w:ind w:left="121" w:right="603"/>
              <w:rPr>
                <w:rFonts w:ascii="Times New Roman" w:eastAsia="Times New Roman" w:hAnsi="Times New Roman" w:cs="Times New Roman"/>
                <w:noProof/>
                <w:sz w:val="19"/>
              </w:rPr>
            </w:pPr>
            <w:r>
              <w:rPr>
                <w:rFonts w:ascii="Times New Roman" w:hAnsi="Times New Roman"/>
                <w:noProof/>
                <w:color w:val="005F00"/>
                <w:sz w:val="19"/>
              </w:rPr>
              <w:t>C1.I3 Rénovation énergétique des bâtiments publics</w:t>
            </w:r>
          </w:p>
        </w:tc>
        <w:tc>
          <w:tcPr>
            <w:tcW w:w="1353" w:type="dxa"/>
            <w:shd w:val="clear" w:color="auto" w:fill="C5EDCE"/>
          </w:tcPr>
          <w:p w14:paraId="5A8AECB7" w14:textId="77777777" w:rsidR="00740F0F" w:rsidRPr="0029070D" w:rsidRDefault="00100B64">
            <w:pPr>
              <w:spacing w:line="216" w:lineRule="exact"/>
              <w:ind w:left="299"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CB8" w14:textId="77777777" w:rsidR="00740F0F" w:rsidRPr="0029070D" w:rsidRDefault="00100B64">
            <w:pPr>
              <w:spacing w:line="288" w:lineRule="auto"/>
              <w:ind w:left="101" w:right="416"/>
              <w:rPr>
                <w:rFonts w:ascii="Times New Roman" w:eastAsia="Times New Roman" w:hAnsi="Times New Roman" w:cs="Times New Roman"/>
                <w:noProof/>
                <w:sz w:val="19"/>
              </w:rPr>
            </w:pPr>
            <w:r>
              <w:rPr>
                <w:rFonts w:ascii="Times New Roman" w:hAnsi="Times New Roman"/>
                <w:noProof/>
                <w:color w:val="005F00"/>
                <w:sz w:val="19"/>
              </w:rPr>
              <w:t>Nombre de bâtiments publics appartenant à des collectivités locales et territoriales ayant fait l’objet d’une notification de subvention de l’État ou du Conseil régional pour des travaux de rénovation énergétique</w:t>
            </w:r>
          </w:p>
        </w:tc>
      </w:tr>
      <w:tr w:rsidR="00782477" w:rsidRPr="0029070D" w14:paraId="5A8AECBE" w14:textId="77777777" w:rsidTr="00F84DDA">
        <w:trPr>
          <w:trHeight w:val="525"/>
          <w:jc w:val="center"/>
        </w:trPr>
        <w:tc>
          <w:tcPr>
            <w:tcW w:w="1268" w:type="dxa"/>
            <w:shd w:val="clear" w:color="auto" w:fill="C5EDCE"/>
          </w:tcPr>
          <w:p w14:paraId="5A8AECBA" w14:textId="77777777" w:rsidR="00740F0F" w:rsidRPr="0029070D" w:rsidRDefault="00100B64">
            <w:pPr>
              <w:ind w:left="376" w:right="313"/>
              <w:jc w:val="center"/>
              <w:rPr>
                <w:rFonts w:ascii="Times New Roman" w:eastAsia="Times New Roman" w:hAnsi="Times New Roman" w:cs="Times New Roman"/>
                <w:noProof/>
                <w:sz w:val="19"/>
              </w:rPr>
            </w:pPr>
            <w:r>
              <w:rPr>
                <w:rFonts w:ascii="Times New Roman" w:hAnsi="Times New Roman"/>
                <w:noProof/>
                <w:color w:val="005F00"/>
                <w:sz w:val="19"/>
              </w:rPr>
              <w:t>2-1</w:t>
            </w:r>
          </w:p>
        </w:tc>
        <w:tc>
          <w:tcPr>
            <w:tcW w:w="2758" w:type="dxa"/>
            <w:shd w:val="clear" w:color="auto" w:fill="C5EDCE"/>
          </w:tcPr>
          <w:p w14:paraId="5A8AECBB" w14:textId="77777777" w:rsidR="00740F0F" w:rsidRPr="0029070D" w:rsidRDefault="00100B64">
            <w:pPr>
              <w:spacing w:line="216" w:lineRule="exact"/>
              <w:ind w:left="121"/>
              <w:rPr>
                <w:rFonts w:ascii="Times New Roman" w:eastAsia="Times New Roman" w:hAnsi="Times New Roman" w:cs="Times New Roman"/>
                <w:noProof/>
                <w:sz w:val="19"/>
              </w:rPr>
            </w:pPr>
            <w:r>
              <w:rPr>
                <w:rFonts w:ascii="Times New Roman" w:hAnsi="Times New Roman"/>
                <w:noProof/>
                <w:color w:val="005F00"/>
                <w:sz w:val="19"/>
              </w:rPr>
              <w:t>C2.R1 Loi Climat et Résilience</w:t>
            </w:r>
          </w:p>
        </w:tc>
        <w:tc>
          <w:tcPr>
            <w:tcW w:w="1353" w:type="dxa"/>
            <w:shd w:val="clear" w:color="auto" w:fill="C5EDCE"/>
          </w:tcPr>
          <w:p w14:paraId="5A8AECBC" w14:textId="77777777" w:rsidR="00740F0F" w:rsidRPr="0029070D" w:rsidRDefault="00100B64">
            <w:pPr>
              <w:ind w:left="311" w:right="291"/>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688" w:type="dxa"/>
            <w:shd w:val="clear" w:color="auto" w:fill="C5EDCE"/>
          </w:tcPr>
          <w:p w14:paraId="5A8AECBD" w14:textId="77777777" w:rsidR="00740F0F" w:rsidRPr="0029070D" w:rsidRDefault="00100B64">
            <w:pPr>
              <w:ind w:left="101"/>
              <w:rPr>
                <w:rFonts w:ascii="Times New Roman" w:eastAsia="Times New Roman" w:hAnsi="Times New Roman" w:cs="Times New Roman"/>
                <w:noProof/>
                <w:sz w:val="19"/>
              </w:rPr>
            </w:pPr>
            <w:r>
              <w:rPr>
                <w:rFonts w:ascii="Times New Roman" w:hAnsi="Times New Roman"/>
                <w:noProof/>
                <w:color w:val="005F00"/>
                <w:sz w:val="19"/>
              </w:rPr>
              <w:t>Loi Climat et Résilience</w:t>
            </w:r>
          </w:p>
        </w:tc>
      </w:tr>
      <w:tr w:rsidR="00782477" w:rsidRPr="0029070D" w14:paraId="5A8AECC3" w14:textId="77777777" w:rsidTr="00F84DDA">
        <w:trPr>
          <w:trHeight w:val="525"/>
          <w:jc w:val="center"/>
        </w:trPr>
        <w:tc>
          <w:tcPr>
            <w:tcW w:w="1268" w:type="dxa"/>
            <w:shd w:val="clear" w:color="auto" w:fill="C5EDCE"/>
          </w:tcPr>
          <w:p w14:paraId="5A8AECBF" w14:textId="77777777" w:rsidR="00740F0F" w:rsidRPr="0029070D" w:rsidRDefault="00100B64">
            <w:pPr>
              <w:ind w:left="376" w:right="313"/>
              <w:jc w:val="center"/>
              <w:rPr>
                <w:rFonts w:ascii="Times New Roman" w:eastAsia="Times New Roman" w:hAnsi="Times New Roman" w:cs="Times New Roman"/>
                <w:noProof/>
                <w:sz w:val="19"/>
              </w:rPr>
            </w:pPr>
            <w:r>
              <w:rPr>
                <w:rFonts w:ascii="Times New Roman" w:hAnsi="Times New Roman"/>
                <w:noProof/>
                <w:color w:val="005F00"/>
                <w:sz w:val="19"/>
              </w:rPr>
              <w:t>2-3</w:t>
            </w:r>
          </w:p>
        </w:tc>
        <w:tc>
          <w:tcPr>
            <w:tcW w:w="2758" w:type="dxa"/>
            <w:shd w:val="clear" w:color="auto" w:fill="C5EDCE"/>
          </w:tcPr>
          <w:p w14:paraId="5A8AECC0" w14:textId="77777777" w:rsidR="00740F0F" w:rsidRPr="0029070D" w:rsidRDefault="00100B64">
            <w:pPr>
              <w:ind w:left="121"/>
              <w:rPr>
                <w:rFonts w:ascii="Times New Roman" w:eastAsia="Times New Roman" w:hAnsi="Times New Roman" w:cs="Times New Roman"/>
                <w:noProof/>
                <w:sz w:val="19"/>
              </w:rPr>
            </w:pPr>
            <w:r>
              <w:rPr>
                <w:rFonts w:ascii="Times New Roman" w:hAnsi="Times New Roman"/>
                <w:noProof/>
                <w:color w:val="005F00"/>
                <w:sz w:val="19"/>
              </w:rPr>
              <w:t>C2.R2 Loi relative à l’économie circulaire</w:t>
            </w:r>
          </w:p>
        </w:tc>
        <w:tc>
          <w:tcPr>
            <w:tcW w:w="1353" w:type="dxa"/>
            <w:shd w:val="clear" w:color="auto" w:fill="C5EDCE"/>
          </w:tcPr>
          <w:p w14:paraId="5A8AECC1" w14:textId="77777777" w:rsidR="00740F0F" w:rsidRPr="0029070D" w:rsidRDefault="00100B64">
            <w:pPr>
              <w:ind w:left="311" w:right="291"/>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688" w:type="dxa"/>
            <w:shd w:val="clear" w:color="auto" w:fill="C5EDCE"/>
          </w:tcPr>
          <w:p w14:paraId="5A8AECC2" w14:textId="77777777" w:rsidR="00740F0F" w:rsidRPr="0029070D" w:rsidRDefault="00100B64">
            <w:pPr>
              <w:ind w:left="101"/>
              <w:rPr>
                <w:rFonts w:ascii="Times New Roman" w:eastAsia="Times New Roman" w:hAnsi="Times New Roman" w:cs="Times New Roman"/>
                <w:noProof/>
                <w:sz w:val="19"/>
              </w:rPr>
            </w:pPr>
            <w:r>
              <w:rPr>
                <w:rFonts w:ascii="Times New Roman" w:hAnsi="Times New Roman"/>
                <w:noProof/>
                <w:color w:val="005F00"/>
                <w:sz w:val="19"/>
              </w:rPr>
              <w:t>Décrets d’application de la loi anti-gaspillage pour une économie circulaire</w:t>
            </w:r>
          </w:p>
        </w:tc>
      </w:tr>
      <w:tr w:rsidR="00782477" w:rsidRPr="0029070D" w14:paraId="5A8AECC8" w14:textId="77777777" w:rsidTr="00F84DDA">
        <w:trPr>
          <w:trHeight w:val="525"/>
          <w:jc w:val="center"/>
        </w:trPr>
        <w:tc>
          <w:tcPr>
            <w:tcW w:w="1268" w:type="dxa"/>
            <w:shd w:val="clear" w:color="auto" w:fill="C5EDCE"/>
          </w:tcPr>
          <w:p w14:paraId="5A8AECC4" w14:textId="77777777" w:rsidR="00740F0F" w:rsidRPr="0029070D" w:rsidRDefault="00100B64">
            <w:pPr>
              <w:ind w:left="376" w:right="313"/>
              <w:jc w:val="center"/>
              <w:rPr>
                <w:rFonts w:ascii="Times New Roman" w:eastAsia="Times New Roman" w:hAnsi="Times New Roman" w:cs="Times New Roman"/>
                <w:noProof/>
                <w:sz w:val="19"/>
              </w:rPr>
            </w:pPr>
            <w:r>
              <w:rPr>
                <w:rFonts w:ascii="Times New Roman" w:hAnsi="Times New Roman"/>
                <w:noProof/>
                <w:color w:val="005F00"/>
                <w:sz w:val="19"/>
              </w:rPr>
              <w:t>2-5</w:t>
            </w:r>
          </w:p>
        </w:tc>
        <w:tc>
          <w:tcPr>
            <w:tcW w:w="2758" w:type="dxa"/>
            <w:shd w:val="clear" w:color="auto" w:fill="C5EDCE"/>
          </w:tcPr>
          <w:p w14:paraId="5A8AECC5" w14:textId="77777777" w:rsidR="00740F0F" w:rsidRPr="0029070D" w:rsidRDefault="00100B64">
            <w:pPr>
              <w:ind w:left="121"/>
              <w:rPr>
                <w:rFonts w:ascii="Times New Roman" w:eastAsia="Times New Roman" w:hAnsi="Times New Roman" w:cs="Times New Roman"/>
                <w:noProof/>
                <w:sz w:val="19"/>
              </w:rPr>
            </w:pPr>
            <w:r>
              <w:rPr>
                <w:rFonts w:ascii="Times New Roman" w:hAnsi="Times New Roman"/>
                <w:noProof/>
                <w:color w:val="005F00"/>
                <w:sz w:val="19"/>
              </w:rPr>
              <w:t>C2.I1 Décarbonation de l’industrie</w:t>
            </w:r>
          </w:p>
        </w:tc>
        <w:tc>
          <w:tcPr>
            <w:tcW w:w="1353" w:type="dxa"/>
            <w:shd w:val="clear" w:color="auto" w:fill="C5EDCE"/>
          </w:tcPr>
          <w:p w14:paraId="5A8AECC6" w14:textId="77777777" w:rsidR="00740F0F" w:rsidRPr="0029070D" w:rsidRDefault="00100B64">
            <w:pPr>
              <w:ind w:left="299"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CC7" w14:textId="77777777" w:rsidR="00740F0F" w:rsidRPr="0029070D" w:rsidRDefault="00100B64">
            <w:pPr>
              <w:ind w:left="101"/>
              <w:rPr>
                <w:rFonts w:ascii="Times New Roman" w:eastAsia="Times New Roman" w:hAnsi="Times New Roman" w:cs="Times New Roman"/>
                <w:noProof/>
                <w:sz w:val="19"/>
              </w:rPr>
            </w:pPr>
            <w:r>
              <w:rPr>
                <w:rFonts w:ascii="Times New Roman" w:hAnsi="Times New Roman"/>
                <w:noProof/>
                <w:color w:val="005F00"/>
                <w:sz w:val="19"/>
              </w:rPr>
              <w:t>Émissions de gaz à effet de serre évitées</w:t>
            </w:r>
          </w:p>
        </w:tc>
      </w:tr>
      <w:tr w:rsidR="00782477" w:rsidRPr="0029070D" w14:paraId="5A8AECCD" w14:textId="77777777" w:rsidTr="00F84DDA">
        <w:trPr>
          <w:trHeight w:val="796"/>
          <w:jc w:val="center"/>
        </w:trPr>
        <w:tc>
          <w:tcPr>
            <w:tcW w:w="1268" w:type="dxa"/>
            <w:shd w:val="clear" w:color="auto" w:fill="C5EDCE"/>
          </w:tcPr>
          <w:p w14:paraId="5A8AECC9" w14:textId="77777777" w:rsidR="00740F0F" w:rsidRPr="0029070D" w:rsidRDefault="00100B64">
            <w:pPr>
              <w:ind w:left="376" w:right="313"/>
              <w:jc w:val="center"/>
              <w:rPr>
                <w:rFonts w:ascii="Times New Roman" w:eastAsia="Times New Roman" w:hAnsi="Times New Roman" w:cs="Times New Roman"/>
                <w:noProof/>
                <w:sz w:val="19"/>
              </w:rPr>
            </w:pPr>
            <w:r>
              <w:rPr>
                <w:rFonts w:ascii="Times New Roman" w:hAnsi="Times New Roman"/>
                <w:noProof/>
                <w:color w:val="005F00"/>
                <w:sz w:val="19"/>
              </w:rPr>
              <w:t>2-7</w:t>
            </w:r>
          </w:p>
        </w:tc>
        <w:tc>
          <w:tcPr>
            <w:tcW w:w="2758" w:type="dxa"/>
            <w:shd w:val="clear" w:color="auto" w:fill="C5EDCE"/>
          </w:tcPr>
          <w:p w14:paraId="5A8AECCA" w14:textId="77777777" w:rsidR="00740F0F" w:rsidRPr="0029070D" w:rsidRDefault="00100B64">
            <w:pPr>
              <w:ind w:left="121" w:right="656"/>
              <w:rPr>
                <w:rFonts w:ascii="Times New Roman" w:eastAsia="Times New Roman" w:hAnsi="Times New Roman" w:cs="Times New Roman"/>
                <w:noProof/>
                <w:sz w:val="19"/>
              </w:rPr>
            </w:pPr>
            <w:r>
              <w:rPr>
                <w:rFonts w:ascii="Times New Roman" w:hAnsi="Times New Roman"/>
                <w:noProof/>
                <w:color w:val="005F00"/>
                <w:sz w:val="19"/>
              </w:rPr>
              <w:t>C2.I3 Densification urbaine: friches</w:t>
            </w:r>
          </w:p>
        </w:tc>
        <w:tc>
          <w:tcPr>
            <w:tcW w:w="1353" w:type="dxa"/>
            <w:shd w:val="clear" w:color="auto" w:fill="C5EDCE"/>
          </w:tcPr>
          <w:p w14:paraId="5A8AECCB" w14:textId="77777777" w:rsidR="00740F0F" w:rsidRPr="0029070D" w:rsidRDefault="00100B64">
            <w:pPr>
              <w:ind w:left="299"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CCC" w14:textId="77777777" w:rsidR="00740F0F" w:rsidRPr="0029070D" w:rsidRDefault="00100B64">
            <w:pPr>
              <w:ind w:left="101"/>
              <w:rPr>
                <w:rFonts w:ascii="Times New Roman" w:eastAsia="Times New Roman" w:hAnsi="Times New Roman" w:cs="Times New Roman"/>
                <w:noProof/>
                <w:sz w:val="19"/>
              </w:rPr>
            </w:pPr>
            <w:r>
              <w:rPr>
                <w:rFonts w:ascii="Times New Roman" w:hAnsi="Times New Roman"/>
                <w:noProof/>
                <w:color w:val="005F00"/>
                <w:sz w:val="19"/>
              </w:rPr>
              <w:t>Nombre de projets pour lesquels une subvention a été signée pour une opération de recyclage d’une friche ou d’une zone urbanisée</w:t>
            </w:r>
          </w:p>
        </w:tc>
      </w:tr>
      <w:tr w:rsidR="00782477" w:rsidRPr="0029070D" w14:paraId="5A8AECD2" w14:textId="77777777" w:rsidTr="00F84DDA">
        <w:trPr>
          <w:trHeight w:val="525"/>
          <w:jc w:val="center"/>
        </w:trPr>
        <w:tc>
          <w:tcPr>
            <w:tcW w:w="1268" w:type="dxa"/>
            <w:shd w:val="clear" w:color="auto" w:fill="C5EDCE"/>
          </w:tcPr>
          <w:p w14:paraId="5A8AECCE" w14:textId="77777777" w:rsidR="00740F0F" w:rsidRPr="0029070D" w:rsidRDefault="00100B64">
            <w:pPr>
              <w:spacing w:line="206" w:lineRule="exact"/>
              <w:ind w:left="376" w:right="313"/>
              <w:jc w:val="center"/>
              <w:rPr>
                <w:rFonts w:ascii="Times New Roman" w:eastAsia="Times New Roman" w:hAnsi="Times New Roman" w:cs="Times New Roman"/>
                <w:noProof/>
                <w:sz w:val="19"/>
              </w:rPr>
            </w:pPr>
            <w:r>
              <w:rPr>
                <w:rFonts w:ascii="Times New Roman" w:hAnsi="Times New Roman"/>
                <w:noProof/>
                <w:color w:val="005F00"/>
                <w:sz w:val="19"/>
              </w:rPr>
              <w:t>2-9</w:t>
            </w:r>
          </w:p>
        </w:tc>
        <w:tc>
          <w:tcPr>
            <w:tcW w:w="2758" w:type="dxa"/>
            <w:shd w:val="clear" w:color="auto" w:fill="C5EDCE"/>
          </w:tcPr>
          <w:p w14:paraId="5A8AECCF"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C2.I4 Biodiversité</w:t>
            </w:r>
          </w:p>
        </w:tc>
        <w:tc>
          <w:tcPr>
            <w:tcW w:w="1353" w:type="dxa"/>
            <w:shd w:val="clear" w:color="auto" w:fill="C5EDCE"/>
          </w:tcPr>
          <w:p w14:paraId="5A8AECD0" w14:textId="77777777" w:rsidR="00740F0F" w:rsidRPr="0029070D" w:rsidRDefault="00100B64">
            <w:pPr>
              <w:spacing w:line="206" w:lineRule="exact"/>
              <w:ind w:left="299"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CD1" w14:textId="77777777" w:rsidR="00740F0F" w:rsidRPr="0029070D" w:rsidRDefault="00100B64">
            <w:pPr>
              <w:spacing w:line="225" w:lineRule="auto"/>
              <w:ind w:left="101"/>
              <w:rPr>
                <w:rFonts w:ascii="Times New Roman" w:eastAsia="Times New Roman" w:hAnsi="Times New Roman" w:cs="Times New Roman"/>
                <w:noProof/>
                <w:sz w:val="19"/>
              </w:rPr>
            </w:pPr>
            <w:r>
              <w:rPr>
                <w:rFonts w:ascii="Times New Roman" w:hAnsi="Times New Roman"/>
                <w:noProof/>
                <w:color w:val="005F00"/>
                <w:sz w:val="19"/>
              </w:rPr>
              <w:t>Nombre de projets soutenus dans les domaines de la restauration écologique et des aires protégées</w:t>
            </w:r>
          </w:p>
        </w:tc>
      </w:tr>
      <w:tr w:rsidR="00782477" w:rsidRPr="0029070D" w14:paraId="5A8AECD7" w14:textId="77777777" w:rsidTr="00F84DDA">
        <w:trPr>
          <w:trHeight w:val="510"/>
          <w:jc w:val="center"/>
        </w:trPr>
        <w:tc>
          <w:tcPr>
            <w:tcW w:w="1268" w:type="dxa"/>
            <w:shd w:val="clear" w:color="auto" w:fill="C5EDCE"/>
          </w:tcPr>
          <w:p w14:paraId="5A8AECD3" w14:textId="77777777" w:rsidR="00740F0F" w:rsidRPr="0029070D" w:rsidRDefault="00100B64">
            <w:pPr>
              <w:spacing w:line="216" w:lineRule="exact"/>
              <w:ind w:left="386" w:right="274"/>
              <w:jc w:val="center"/>
              <w:rPr>
                <w:rFonts w:ascii="Times New Roman" w:eastAsia="Times New Roman" w:hAnsi="Times New Roman" w:cs="Times New Roman"/>
                <w:noProof/>
                <w:sz w:val="19"/>
              </w:rPr>
            </w:pPr>
            <w:r>
              <w:rPr>
                <w:rFonts w:ascii="Times New Roman" w:hAnsi="Times New Roman"/>
                <w:noProof/>
                <w:color w:val="005F00"/>
                <w:sz w:val="19"/>
              </w:rPr>
              <w:t>2-11</w:t>
            </w:r>
          </w:p>
        </w:tc>
        <w:tc>
          <w:tcPr>
            <w:tcW w:w="2758" w:type="dxa"/>
            <w:shd w:val="clear" w:color="auto" w:fill="C5EDCE"/>
          </w:tcPr>
          <w:p w14:paraId="5A8AECD4" w14:textId="77777777" w:rsidR="00740F0F" w:rsidRPr="0029070D" w:rsidRDefault="00100B64">
            <w:pPr>
              <w:spacing w:line="216" w:lineRule="exact"/>
              <w:ind w:left="104"/>
              <w:rPr>
                <w:rFonts w:ascii="Times New Roman" w:eastAsia="Times New Roman" w:hAnsi="Times New Roman" w:cs="Times New Roman"/>
                <w:noProof/>
                <w:sz w:val="19"/>
              </w:rPr>
            </w:pPr>
            <w:r>
              <w:rPr>
                <w:rFonts w:ascii="Times New Roman" w:hAnsi="Times New Roman"/>
                <w:noProof/>
                <w:color w:val="005F00"/>
                <w:sz w:val="19"/>
              </w:rPr>
              <w:t>C2.I6 Sécurisation des réseaux d’eau</w:t>
            </w:r>
          </w:p>
        </w:tc>
        <w:tc>
          <w:tcPr>
            <w:tcW w:w="1353" w:type="dxa"/>
            <w:shd w:val="clear" w:color="auto" w:fill="C5EDCE"/>
          </w:tcPr>
          <w:p w14:paraId="5A8AECD5" w14:textId="77777777" w:rsidR="00740F0F" w:rsidRPr="0029070D" w:rsidRDefault="00100B64">
            <w:pPr>
              <w:spacing w:line="216" w:lineRule="exact"/>
              <w:ind w:left="196"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CD6" w14:textId="77777777" w:rsidR="00740F0F" w:rsidRPr="0029070D" w:rsidRDefault="00100B64">
            <w:pPr>
              <w:ind w:left="101" w:right="451"/>
              <w:rPr>
                <w:rFonts w:ascii="Times New Roman" w:eastAsia="Times New Roman" w:hAnsi="Times New Roman" w:cs="Times New Roman"/>
                <w:noProof/>
                <w:sz w:val="19"/>
              </w:rPr>
            </w:pPr>
            <w:r>
              <w:rPr>
                <w:rFonts w:ascii="Times New Roman" w:hAnsi="Times New Roman"/>
                <w:noProof/>
                <w:color w:val="005F00"/>
                <w:sz w:val="19"/>
              </w:rPr>
              <w:t>Nombre de km linéaires de réseaux d’eau potable et d’assainissement soutenus</w:t>
            </w:r>
          </w:p>
        </w:tc>
      </w:tr>
      <w:tr w:rsidR="00782477" w:rsidRPr="0029070D" w14:paraId="5A8AECDC" w14:textId="77777777" w:rsidTr="00F84DDA">
        <w:trPr>
          <w:trHeight w:val="510"/>
          <w:jc w:val="center"/>
        </w:trPr>
        <w:tc>
          <w:tcPr>
            <w:tcW w:w="1268" w:type="dxa"/>
            <w:shd w:val="clear" w:color="auto" w:fill="C5EDCE"/>
          </w:tcPr>
          <w:p w14:paraId="5A8AECD8" w14:textId="77777777" w:rsidR="00740F0F" w:rsidRPr="0029070D" w:rsidRDefault="00100B64">
            <w:pPr>
              <w:spacing w:line="206" w:lineRule="exact"/>
              <w:ind w:left="386" w:right="279"/>
              <w:jc w:val="center"/>
              <w:rPr>
                <w:rFonts w:ascii="Times New Roman" w:eastAsia="Times New Roman" w:hAnsi="Times New Roman" w:cs="Times New Roman"/>
                <w:noProof/>
                <w:sz w:val="19"/>
              </w:rPr>
            </w:pPr>
            <w:r>
              <w:rPr>
                <w:rFonts w:ascii="Times New Roman" w:hAnsi="Times New Roman"/>
                <w:noProof/>
                <w:color w:val="005F00"/>
                <w:sz w:val="19"/>
              </w:rPr>
              <w:t>2-12</w:t>
            </w:r>
          </w:p>
        </w:tc>
        <w:tc>
          <w:tcPr>
            <w:tcW w:w="2758" w:type="dxa"/>
            <w:shd w:val="clear" w:color="auto" w:fill="C5EDCE"/>
          </w:tcPr>
          <w:p w14:paraId="5A8AECD9" w14:textId="77777777" w:rsidR="00740F0F" w:rsidRPr="0029070D" w:rsidRDefault="00100B64">
            <w:pPr>
              <w:ind w:left="121"/>
              <w:rPr>
                <w:rFonts w:ascii="Times New Roman" w:eastAsia="Times New Roman" w:hAnsi="Times New Roman" w:cs="Times New Roman"/>
                <w:noProof/>
                <w:sz w:val="19"/>
              </w:rPr>
            </w:pPr>
            <w:r>
              <w:rPr>
                <w:rFonts w:ascii="Times New Roman" w:hAnsi="Times New Roman"/>
                <w:noProof/>
                <w:color w:val="005F00"/>
                <w:sz w:val="19"/>
              </w:rPr>
              <w:t>C2.I7 Modernisation des centres de tri, des systèmes de recyclage et des systèmes de gestion des déchets</w:t>
            </w:r>
          </w:p>
        </w:tc>
        <w:tc>
          <w:tcPr>
            <w:tcW w:w="1353" w:type="dxa"/>
            <w:shd w:val="clear" w:color="auto" w:fill="C5EDCE"/>
          </w:tcPr>
          <w:p w14:paraId="5A8AECDA" w14:textId="77777777" w:rsidR="00740F0F" w:rsidRPr="0029070D" w:rsidRDefault="00100B64">
            <w:pPr>
              <w:spacing w:line="206" w:lineRule="exact"/>
              <w:ind w:left="421"/>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CDB" w14:textId="77777777" w:rsidR="00740F0F" w:rsidRPr="0029070D" w:rsidRDefault="00100B64">
            <w:pPr>
              <w:spacing w:line="206" w:lineRule="exact"/>
              <w:ind w:left="101"/>
              <w:rPr>
                <w:rFonts w:ascii="Times New Roman" w:eastAsia="Times New Roman" w:hAnsi="Times New Roman" w:cs="Times New Roman"/>
                <w:noProof/>
                <w:sz w:val="19"/>
              </w:rPr>
            </w:pPr>
            <w:r>
              <w:rPr>
                <w:rFonts w:ascii="Times New Roman" w:hAnsi="Times New Roman"/>
                <w:noProof/>
                <w:color w:val="005F00"/>
                <w:sz w:val="19"/>
              </w:rPr>
              <w:t>Nombre de contrats signés pour la modernisation des centres de tri</w:t>
            </w:r>
          </w:p>
        </w:tc>
      </w:tr>
      <w:tr w:rsidR="00782477" w:rsidRPr="0029070D" w14:paraId="5A8AECE1" w14:textId="77777777" w:rsidTr="00F84DDA">
        <w:trPr>
          <w:trHeight w:val="508"/>
          <w:jc w:val="center"/>
        </w:trPr>
        <w:tc>
          <w:tcPr>
            <w:tcW w:w="1268" w:type="dxa"/>
            <w:shd w:val="clear" w:color="auto" w:fill="C5EDCE"/>
          </w:tcPr>
          <w:p w14:paraId="5A8AECDD" w14:textId="77777777" w:rsidR="00740F0F" w:rsidRPr="0029070D" w:rsidRDefault="00100B64">
            <w:pPr>
              <w:spacing w:line="206" w:lineRule="exact"/>
              <w:ind w:left="386" w:right="279"/>
              <w:jc w:val="center"/>
              <w:rPr>
                <w:rFonts w:ascii="Times New Roman" w:eastAsia="Times New Roman" w:hAnsi="Times New Roman" w:cs="Times New Roman"/>
                <w:noProof/>
                <w:sz w:val="19"/>
              </w:rPr>
            </w:pPr>
            <w:r>
              <w:rPr>
                <w:rFonts w:ascii="Times New Roman" w:hAnsi="Times New Roman"/>
                <w:noProof/>
                <w:color w:val="005F00"/>
                <w:sz w:val="19"/>
              </w:rPr>
              <w:t>2-13</w:t>
            </w:r>
          </w:p>
        </w:tc>
        <w:tc>
          <w:tcPr>
            <w:tcW w:w="2758" w:type="dxa"/>
            <w:shd w:val="clear" w:color="auto" w:fill="C5EDCE"/>
          </w:tcPr>
          <w:p w14:paraId="5A8AECDE" w14:textId="77777777" w:rsidR="00740F0F" w:rsidRPr="0029070D" w:rsidRDefault="00100B64">
            <w:pPr>
              <w:ind w:left="121"/>
              <w:rPr>
                <w:rFonts w:ascii="Times New Roman" w:eastAsia="Times New Roman" w:hAnsi="Times New Roman" w:cs="Times New Roman"/>
                <w:noProof/>
                <w:sz w:val="19"/>
              </w:rPr>
            </w:pPr>
            <w:r>
              <w:rPr>
                <w:rFonts w:ascii="Times New Roman" w:hAnsi="Times New Roman"/>
                <w:noProof/>
                <w:color w:val="005F00"/>
                <w:sz w:val="19"/>
              </w:rPr>
              <w:t>C2.I7 Modernisation des centres de tri, des systèmes de recyclage et des systèmes de gestion des déchets</w:t>
            </w:r>
          </w:p>
        </w:tc>
        <w:tc>
          <w:tcPr>
            <w:tcW w:w="1353" w:type="dxa"/>
            <w:shd w:val="clear" w:color="auto" w:fill="C5EDCE"/>
          </w:tcPr>
          <w:p w14:paraId="5A8AECDF" w14:textId="77777777" w:rsidR="00740F0F" w:rsidRPr="0029070D" w:rsidRDefault="00100B64">
            <w:pPr>
              <w:spacing w:line="206" w:lineRule="exact"/>
              <w:ind w:left="294"/>
              <w:rPr>
                <w:rFonts w:ascii="Times New Roman" w:eastAsia="Times New Roman" w:hAnsi="Times New Roman" w:cs="Times New Roman"/>
                <w:noProof/>
                <w:sz w:val="19"/>
              </w:rPr>
            </w:pPr>
            <w:r>
              <w:rPr>
                <w:rFonts w:ascii="Times New Roman" w:hAnsi="Times New Roman"/>
                <w:noProof/>
                <w:color w:val="005F00"/>
                <w:sz w:val="19"/>
              </w:rPr>
              <w:t>Jalon</w:t>
            </w:r>
          </w:p>
        </w:tc>
        <w:tc>
          <w:tcPr>
            <w:tcW w:w="4688" w:type="dxa"/>
            <w:shd w:val="clear" w:color="auto" w:fill="C5EDCE"/>
          </w:tcPr>
          <w:p w14:paraId="5A8AECE0" w14:textId="77777777" w:rsidR="00740F0F" w:rsidRPr="0029070D" w:rsidRDefault="00100B64">
            <w:pPr>
              <w:spacing w:line="206" w:lineRule="exact"/>
              <w:ind w:left="101"/>
              <w:rPr>
                <w:rFonts w:ascii="Times New Roman" w:eastAsia="Times New Roman" w:hAnsi="Times New Roman" w:cs="Times New Roman"/>
                <w:noProof/>
                <w:sz w:val="19"/>
              </w:rPr>
            </w:pPr>
            <w:r>
              <w:rPr>
                <w:rFonts w:ascii="Times New Roman" w:hAnsi="Times New Roman"/>
                <w:noProof/>
                <w:color w:val="005F00"/>
                <w:sz w:val="19"/>
              </w:rPr>
              <w:t>Investissement dans le tri et la collecte des déchets, et dans le traitement des déchets médicaux</w:t>
            </w:r>
          </w:p>
        </w:tc>
      </w:tr>
      <w:tr w:rsidR="00782477" w:rsidRPr="0029070D" w14:paraId="5A8AECE6" w14:textId="77777777" w:rsidTr="00F84DDA">
        <w:trPr>
          <w:trHeight w:val="645"/>
          <w:jc w:val="center"/>
        </w:trPr>
        <w:tc>
          <w:tcPr>
            <w:tcW w:w="1268" w:type="dxa"/>
            <w:shd w:val="clear" w:color="auto" w:fill="C5EDCE"/>
          </w:tcPr>
          <w:p w14:paraId="5A8AECE2" w14:textId="77777777" w:rsidR="00740F0F" w:rsidRPr="0029070D" w:rsidRDefault="00100B64">
            <w:pPr>
              <w:spacing w:line="209" w:lineRule="exact"/>
              <w:ind w:left="386" w:right="279"/>
              <w:jc w:val="center"/>
              <w:rPr>
                <w:rFonts w:ascii="Times New Roman" w:eastAsia="Times New Roman" w:hAnsi="Times New Roman" w:cs="Times New Roman"/>
                <w:noProof/>
                <w:sz w:val="19"/>
              </w:rPr>
            </w:pPr>
            <w:r>
              <w:rPr>
                <w:rFonts w:ascii="Times New Roman" w:hAnsi="Times New Roman"/>
                <w:noProof/>
                <w:color w:val="005F00"/>
                <w:sz w:val="19"/>
              </w:rPr>
              <w:t>2-16</w:t>
            </w:r>
          </w:p>
        </w:tc>
        <w:tc>
          <w:tcPr>
            <w:tcW w:w="2758" w:type="dxa"/>
            <w:shd w:val="clear" w:color="auto" w:fill="C5EDCE"/>
          </w:tcPr>
          <w:p w14:paraId="5A8AECE3" w14:textId="77777777" w:rsidR="00740F0F" w:rsidRPr="0029070D" w:rsidRDefault="00100B64">
            <w:pPr>
              <w:spacing w:line="209" w:lineRule="exact"/>
              <w:ind w:left="121"/>
              <w:rPr>
                <w:rFonts w:ascii="Times New Roman" w:eastAsia="Times New Roman" w:hAnsi="Times New Roman" w:cs="Times New Roman"/>
                <w:noProof/>
                <w:sz w:val="19"/>
              </w:rPr>
            </w:pPr>
            <w:r>
              <w:rPr>
                <w:rFonts w:ascii="Times New Roman" w:hAnsi="Times New Roman"/>
                <w:noProof/>
                <w:color w:val="005F00"/>
                <w:sz w:val="19"/>
              </w:rPr>
              <w:t>C2.I9 Plan en faveur des protéines végétales</w:t>
            </w:r>
          </w:p>
        </w:tc>
        <w:tc>
          <w:tcPr>
            <w:tcW w:w="1353" w:type="dxa"/>
            <w:shd w:val="clear" w:color="auto" w:fill="C5EDCE"/>
          </w:tcPr>
          <w:p w14:paraId="5A8AECE4" w14:textId="77777777" w:rsidR="00740F0F" w:rsidRPr="0029070D" w:rsidRDefault="00100B64">
            <w:pPr>
              <w:spacing w:line="209" w:lineRule="exact"/>
              <w:ind w:left="424"/>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CE5" w14:textId="77777777" w:rsidR="00740F0F" w:rsidRPr="0029070D" w:rsidRDefault="00100B64">
            <w:pPr>
              <w:spacing w:line="197" w:lineRule="exact"/>
              <w:ind w:left="118"/>
              <w:rPr>
                <w:rFonts w:ascii="Times New Roman" w:eastAsia="Times New Roman" w:hAnsi="Times New Roman" w:cs="Times New Roman"/>
                <w:noProof/>
                <w:sz w:val="19"/>
              </w:rPr>
            </w:pPr>
            <w:r>
              <w:rPr>
                <w:rFonts w:ascii="Times New Roman" w:hAnsi="Times New Roman"/>
                <w:noProof/>
                <w:color w:val="005F00"/>
                <w:sz w:val="19"/>
              </w:rPr>
              <w:t>Nombre de projets bénéficiaires des fonds du «plan protéines» afin d’investir dans la production de protéagineux</w:t>
            </w:r>
          </w:p>
        </w:tc>
      </w:tr>
      <w:tr w:rsidR="00782477" w:rsidRPr="0029070D" w14:paraId="5A8AECEB" w14:textId="77777777" w:rsidTr="00F84DDA">
        <w:trPr>
          <w:trHeight w:val="510"/>
          <w:jc w:val="center"/>
        </w:trPr>
        <w:tc>
          <w:tcPr>
            <w:tcW w:w="1268" w:type="dxa"/>
            <w:shd w:val="clear" w:color="auto" w:fill="C5EDCE"/>
          </w:tcPr>
          <w:p w14:paraId="5A8AECE7" w14:textId="77777777" w:rsidR="00740F0F" w:rsidRPr="0029070D" w:rsidRDefault="00100B64">
            <w:pPr>
              <w:spacing w:line="209" w:lineRule="exact"/>
              <w:ind w:left="386" w:right="270"/>
              <w:jc w:val="center"/>
              <w:rPr>
                <w:rFonts w:ascii="Times New Roman" w:eastAsia="Times New Roman" w:hAnsi="Times New Roman" w:cs="Times New Roman"/>
                <w:noProof/>
                <w:sz w:val="19"/>
              </w:rPr>
            </w:pPr>
            <w:r>
              <w:rPr>
                <w:rFonts w:ascii="Times New Roman" w:hAnsi="Times New Roman"/>
                <w:noProof/>
                <w:color w:val="005F00"/>
                <w:sz w:val="19"/>
              </w:rPr>
              <w:t>3-6</w:t>
            </w:r>
          </w:p>
        </w:tc>
        <w:tc>
          <w:tcPr>
            <w:tcW w:w="2758" w:type="dxa"/>
            <w:shd w:val="clear" w:color="auto" w:fill="C5EDCE"/>
          </w:tcPr>
          <w:p w14:paraId="5A8AECE8" w14:textId="77777777" w:rsidR="00740F0F" w:rsidRPr="0029070D" w:rsidRDefault="00100B64">
            <w:pPr>
              <w:spacing w:line="209" w:lineRule="exact"/>
              <w:ind w:left="121"/>
              <w:rPr>
                <w:rFonts w:ascii="Times New Roman" w:eastAsia="Times New Roman" w:hAnsi="Times New Roman" w:cs="Times New Roman"/>
                <w:noProof/>
                <w:sz w:val="19"/>
              </w:rPr>
            </w:pPr>
            <w:r>
              <w:rPr>
                <w:rFonts w:ascii="Times New Roman" w:hAnsi="Times New Roman"/>
                <w:noProof/>
                <w:color w:val="005F00"/>
                <w:sz w:val="19"/>
              </w:rPr>
              <w:t>C3.I1 Soutien au secteur ferroviaire</w:t>
            </w:r>
          </w:p>
        </w:tc>
        <w:tc>
          <w:tcPr>
            <w:tcW w:w="1353" w:type="dxa"/>
            <w:shd w:val="clear" w:color="auto" w:fill="C5EDCE"/>
          </w:tcPr>
          <w:p w14:paraId="5A8AECE9" w14:textId="77777777" w:rsidR="00740F0F" w:rsidRPr="0029070D" w:rsidRDefault="00100B64">
            <w:pPr>
              <w:spacing w:line="209" w:lineRule="exact"/>
              <w:ind w:left="424"/>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CEA" w14:textId="77777777" w:rsidR="00740F0F" w:rsidRPr="0029070D" w:rsidRDefault="00100B64">
            <w:pPr>
              <w:spacing w:line="209" w:lineRule="exact"/>
              <w:ind w:left="118"/>
              <w:rPr>
                <w:rFonts w:ascii="Times New Roman" w:eastAsia="Times New Roman" w:hAnsi="Times New Roman" w:cs="Times New Roman"/>
                <w:noProof/>
                <w:sz w:val="19"/>
              </w:rPr>
            </w:pPr>
            <w:r>
              <w:rPr>
                <w:rFonts w:ascii="Times New Roman" w:hAnsi="Times New Roman"/>
                <w:noProof/>
                <w:color w:val="005F00"/>
                <w:sz w:val="19"/>
              </w:rPr>
              <w:t>Aiguillages</w:t>
            </w:r>
          </w:p>
        </w:tc>
      </w:tr>
      <w:tr w:rsidR="00782477" w:rsidRPr="0029070D" w14:paraId="5A8AECF0" w14:textId="77777777" w:rsidTr="00F84DDA">
        <w:trPr>
          <w:trHeight w:val="510"/>
          <w:jc w:val="center"/>
        </w:trPr>
        <w:tc>
          <w:tcPr>
            <w:tcW w:w="1268" w:type="dxa"/>
            <w:shd w:val="clear" w:color="auto" w:fill="C5EDCE"/>
          </w:tcPr>
          <w:p w14:paraId="5A8AECEC" w14:textId="77777777" w:rsidR="00740F0F" w:rsidRPr="0029070D" w:rsidRDefault="00100B64">
            <w:pPr>
              <w:spacing w:line="206" w:lineRule="exact"/>
              <w:ind w:left="386" w:right="270"/>
              <w:jc w:val="center"/>
              <w:rPr>
                <w:rFonts w:ascii="Times New Roman" w:eastAsia="Times New Roman" w:hAnsi="Times New Roman" w:cs="Times New Roman"/>
                <w:noProof/>
                <w:sz w:val="19"/>
              </w:rPr>
            </w:pPr>
            <w:r>
              <w:rPr>
                <w:rFonts w:ascii="Times New Roman" w:hAnsi="Times New Roman"/>
                <w:noProof/>
                <w:color w:val="005F00"/>
                <w:sz w:val="19"/>
              </w:rPr>
              <w:t>3-7</w:t>
            </w:r>
          </w:p>
        </w:tc>
        <w:tc>
          <w:tcPr>
            <w:tcW w:w="2758" w:type="dxa"/>
            <w:shd w:val="clear" w:color="auto" w:fill="C5EDCE"/>
          </w:tcPr>
          <w:p w14:paraId="5A8AECED"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C3.I1 Soutien au secteur ferroviaire</w:t>
            </w:r>
          </w:p>
        </w:tc>
        <w:tc>
          <w:tcPr>
            <w:tcW w:w="1353" w:type="dxa"/>
            <w:shd w:val="clear" w:color="auto" w:fill="C5EDCE"/>
          </w:tcPr>
          <w:p w14:paraId="5A8AECEE" w14:textId="77777777" w:rsidR="00740F0F" w:rsidRPr="0029070D" w:rsidRDefault="00100B64">
            <w:pPr>
              <w:spacing w:line="206" w:lineRule="exact"/>
              <w:ind w:left="424"/>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CEF" w14:textId="77777777" w:rsidR="00740F0F" w:rsidRPr="0029070D" w:rsidRDefault="00100B64">
            <w:pPr>
              <w:spacing w:line="206" w:lineRule="exact"/>
              <w:ind w:left="118"/>
              <w:rPr>
                <w:rFonts w:ascii="Times New Roman" w:eastAsia="Times New Roman" w:hAnsi="Times New Roman" w:cs="Times New Roman"/>
                <w:noProof/>
                <w:sz w:val="19"/>
              </w:rPr>
            </w:pPr>
            <w:r>
              <w:rPr>
                <w:rFonts w:ascii="Times New Roman" w:hAnsi="Times New Roman"/>
                <w:noProof/>
                <w:color w:val="005F00"/>
                <w:sz w:val="19"/>
              </w:rPr>
              <w:t>Caténaires</w:t>
            </w:r>
          </w:p>
        </w:tc>
      </w:tr>
      <w:tr w:rsidR="00782477" w:rsidRPr="0029070D" w14:paraId="5A8AECF5" w14:textId="77777777" w:rsidTr="00F84DDA">
        <w:trPr>
          <w:trHeight w:val="511"/>
          <w:jc w:val="center"/>
        </w:trPr>
        <w:tc>
          <w:tcPr>
            <w:tcW w:w="1268" w:type="dxa"/>
            <w:shd w:val="clear" w:color="auto" w:fill="C5EDCE"/>
          </w:tcPr>
          <w:p w14:paraId="5A8AECF1" w14:textId="77777777" w:rsidR="00740F0F" w:rsidRPr="0029070D" w:rsidRDefault="00100B64">
            <w:pPr>
              <w:spacing w:line="206" w:lineRule="exact"/>
              <w:ind w:left="386" w:right="270"/>
              <w:jc w:val="center"/>
              <w:rPr>
                <w:rFonts w:ascii="Times New Roman" w:eastAsia="Times New Roman" w:hAnsi="Times New Roman" w:cs="Times New Roman"/>
                <w:noProof/>
                <w:sz w:val="19"/>
              </w:rPr>
            </w:pPr>
            <w:r>
              <w:rPr>
                <w:rFonts w:ascii="Times New Roman" w:hAnsi="Times New Roman"/>
                <w:noProof/>
                <w:color w:val="005F00"/>
                <w:sz w:val="19"/>
              </w:rPr>
              <w:t>3-8</w:t>
            </w:r>
          </w:p>
        </w:tc>
        <w:tc>
          <w:tcPr>
            <w:tcW w:w="2758" w:type="dxa"/>
            <w:shd w:val="clear" w:color="auto" w:fill="C5EDCE"/>
          </w:tcPr>
          <w:p w14:paraId="5A8AECF2"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C3.I1 Soutien au secteur ferroviaire</w:t>
            </w:r>
          </w:p>
        </w:tc>
        <w:tc>
          <w:tcPr>
            <w:tcW w:w="1353" w:type="dxa"/>
            <w:shd w:val="clear" w:color="auto" w:fill="C5EDCE"/>
          </w:tcPr>
          <w:p w14:paraId="5A8AECF3" w14:textId="77777777" w:rsidR="00740F0F" w:rsidRPr="0029070D" w:rsidRDefault="00100B64">
            <w:pPr>
              <w:spacing w:line="206" w:lineRule="exact"/>
              <w:ind w:left="424"/>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CF4" w14:textId="77777777" w:rsidR="00740F0F" w:rsidRPr="0029070D" w:rsidRDefault="00100B64">
            <w:pPr>
              <w:spacing w:line="206" w:lineRule="exact"/>
              <w:ind w:left="118"/>
              <w:rPr>
                <w:rFonts w:ascii="Times New Roman" w:eastAsia="Times New Roman" w:hAnsi="Times New Roman" w:cs="Times New Roman"/>
                <w:noProof/>
                <w:sz w:val="19"/>
              </w:rPr>
            </w:pPr>
            <w:r>
              <w:rPr>
                <w:rFonts w:ascii="Times New Roman" w:hAnsi="Times New Roman"/>
                <w:noProof/>
                <w:color w:val="005F00"/>
                <w:sz w:val="19"/>
              </w:rPr>
              <w:t>Lignes ferroviaires régénérées</w:t>
            </w:r>
          </w:p>
        </w:tc>
      </w:tr>
      <w:tr w:rsidR="00782477" w:rsidRPr="0029070D" w14:paraId="5A8AECFA" w14:textId="77777777" w:rsidTr="00F84DDA">
        <w:trPr>
          <w:trHeight w:val="508"/>
          <w:jc w:val="center"/>
        </w:trPr>
        <w:tc>
          <w:tcPr>
            <w:tcW w:w="1268" w:type="dxa"/>
            <w:shd w:val="clear" w:color="auto" w:fill="C5EDCE"/>
          </w:tcPr>
          <w:p w14:paraId="5A8AECF6" w14:textId="77777777" w:rsidR="00740F0F" w:rsidRPr="0029070D" w:rsidRDefault="00100B64">
            <w:pPr>
              <w:spacing w:line="206" w:lineRule="exact"/>
              <w:ind w:left="386" w:right="270"/>
              <w:jc w:val="center"/>
              <w:rPr>
                <w:rFonts w:ascii="Times New Roman" w:eastAsia="Times New Roman" w:hAnsi="Times New Roman" w:cs="Times New Roman"/>
                <w:noProof/>
                <w:sz w:val="19"/>
              </w:rPr>
            </w:pPr>
            <w:r>
              <w:rPr>
                <w:rFonts w:ascii="Times New Roman" w:hAnsi="Times New Roman"/>
                <w:noProof/>
                <w:color w:val="005F00"/>
                <w:sz w:val="19"/>
              </w:rPr>
              <w:t>3-9</w:t>
            </w:r>
          </w:p>
        </w:tc>
        <w:tc>
          <w:tcPr>
            <w:tcW w:w="2758" w:type="dxa"/>
            <w:shd w:val="clear" w:color="auto" w:fill="C5EDCE"/>
          </w:tcPr>
          <w:p w14:paraId="5A8AECF7"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C3.I1 Soutien au secteur ferroviaire</w:t>
            </w:r>
          </w:p>
        </w:tc>
        <w:tc>
          <w:tcPr>
            <w:tcW w:w="1353" w:type="dxa"/>
            <w:shd w:val="clear" w:color="auto" w:fill="C5EDCE"/>
          </w:tcPr>
          <w:p w14:paraId="5A8AECF8" w14:textId="77777777" w:rsidR="00740F0F" w:rsidRPr="0029070D" w:rsidRDefault="00100B64">
            <w:pPr>
              <w:spacing w:line="206" w:lineRule="exact"/>
              <w:ind w:left="424"/>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CF9" w14:textId="77777777" w:rsidR="00740F0F" w:rsidRPr="0029070D" w:rsidRDefault="00100B64">
            <w:pPr>
              <w:spacing w:line="206" w:lineRule="exact"/>
              <w:ind w:left="118"/>
              <w:rPr>
                <w:rFonts w:ascii="Times New Roman" w:eastAsia="Times New Roman" w:hAnsi="Times New Roman" w:cs="Times New Roman"/>
                <w:noProof/>
                <w:sz w:val="19"/>
              </w:rPr>
            </w:pPr>
            <w:r>
              <w:rPr>
                <w:rFonts w:ascii="Times New Roman" w:hAnsi="Times New Roman"/>
                <w:noProof/>
                <w:color w:val="005F00"/>
                <w:sz w:val="19"/>
              </w:rPr>
              <w:t>Tunnels</w:t>
            </w:r>
          </w:p>
        </w:tc>
      </w:tr>
      <w:tr w:rsidR="00782477" w:rsidRPr="0029070D" w14:paraId="5A8AECFF" w14:textId="77777777" w:rsidTr="00F84DDA">
        <w:trPr>
          <w:trHeight w:val="510"/>
          <w:jc w:val="center"/>
        </w:trPr>
        <w:tc>
          <w:tcPr>
            <w:tcW w:w="1268" w:type="dxa"/>
            <w:shd w:val="clear" w:color="auto" w:fill="C5EDCE"/>
          </w:tcPr>
          <w:p w14:paraId="5A8AECFB" w14:textId="77777777" w:rsidR="00740F0F" w:rsidRPr="0029070D" w:rsidRDefault="00100B64">
            <w:pPr>
              <w:spacing w:line="209" w:lineRule="exact"/>
              <w:ind w:left="386" w:right="279"/>
              <w:jc w:val="center"/>
              <w:rPr>
                <w:rFonts w:ascii="Times New Roman" w:eastAsia="Times New Roman" w:hAnsi="Times New Roman" w:cs="Times New Roman"/>
                <w:noProof/>
                <w:sz w:val="19"/>
              </w:rPr>
            </w:pPr>
            <w:r>
              <w:rPr>
                <w:rFonts w:ascii="Times New Roman" w:hAnsi="Times New Roman"/>
                <w:noProof/>
                <w:color w:val="005F00"/>
                <w:sz w:val="19"/>
              </w:rPr>
              <w:t>3-10</w:t>
            </w:r>
          </w:p>
        </w:tc>
        <w:tc>
          <w:tcPr>
            <w:tcW w:w="2758" w:type="dxa"/>
            <w:shd w:val="clear" w:color="auto" w:fill="C5EDCE"/>
          </w:tcPr>
          <w:p w14:paraId="5A8AECFC" w14:textId="77777777" w:rsidR="00740F0F" w:rsidRPr="0029070D" w:rsidRDefault="00100B64">
            <w:pPr>
              <w:spacing w:line="209" w:lineRule="exact"/>
              <w:ind w:left="121"/>
              <w:rPr>
                <w:rFonts w:ascii="Times New Roman" w:eastAsia="Times New Roman" w:hAnsi="Times New Roman" w:cs="Times New Roman"/>
                <w:noProof/>
                <w:sz w:val="19"/>
              </w:rPr>
            </w:pPr>
            <w:r>
              <w:rPr>
                <w:rFonts w:ascii="Times New Roman" w:hAnsi="Times New Roman"/>
                <w:noProof/>
                <w:color w:val="005F00"/>
                <w:sz w:val="19"/>
              </w:rPr>
              <w:t>C3.I1 Soutien au secteur ferroviaire</w:t>
            </w:r>
          </w:p>
        </w:tc>
        <w:tc>
          <w:tcPr>
            <w:tcW w:w="1353" w:type="dxa"/>
            <w:shd w:val="clear" w:color="auto" w:fill="C5EDCE"/>
          </w:tcPr>
          <w:p w14:paraId="5A8AECFD" w14:textId="77777777" w:rsidR="00740F0F" w:rsidRPr="0029070D" w:rsidRDefault="00100B64">
            <w:pPr>
              <w:spacing w:line="209" w:lineRule="exact"/>
              <w:ind w:left="292"/>
              <w:rPr>
                <w:rFonts w:ascii="Times New Roman" w:eastAsia="Times New Roman" w:hAnsi="Times New Roman" w:cs="Times New Roman"/>
                <w:noProof/>
                <w:sz w:val="19"/>
              </w:rPr>
            </w:pPr>
            <w:r>
              <w:rPr>
                <w:rFonts w:ascii="Times New Roman" w:hAnsi="Times New Roman"/>
                <w:noProof/>
                <w:color w:val="005F00"/>
                <w:sz w:val="19"/>
              </w:rPr>
              <w:t>Jalon</w:t>
            </w:r>
          </w:p>
        </w:tc>
        <w:tc>
          <w:tcPr>
            <w:tcW w:w="4688" w:type="dxa"/>
            <w:shd w:val="clear" w:color="auto" w:fill="C5EDCE"/>
          </w:tcPr>
          <w:p w14:paraId="5A8AECFE" w14:textId="77777777" w:rsidR="00740F0F" w:rsidRPr="0029070D" w:rsidRDefault="00100B64">
            <w:pPr>
              <w:spacing w:line="209" w:lineRule="exact"/>
              <w:ind w:left="118"/>
              <w:rPr>
                <w:rFonts w:ascii="Times New Roman" w:eastAsia="Times New Roman" w:hAnsi="Times New Roman" w:cs="Times New Roman"/>
                <w:noProof/>
                <w:sz w:val="19"/>
              </w:rPr>
            </w:pPr>
            <w:r>
              <w:rPr>
                <w:rFonts w:ascii="Times New Roman" w:hAnsi="Times New Roman"/>
                <w:noProof/>
                <w:color w:val="005F00"/>
                <w:sz w:val="19"/>
              </w:rPr>
              <w:t>Entretien des voies respectueux de l’environnement</w:t>
            </w:r>
          </w:p>
        </w:tc>
      </w:tr>
      <w:tr w:rsidR="00782477" w:rsidRPr="0029070D" w14:paraId="5A8AED04" w14:textId="77777777" w:rsidTr="00F84DDA">
        <w:trPr>
          <w:trHeight w:val="510"/>
          <w:jc w:val="center"/>
        </w:trPr>
        <w:tc>
          <w:tcPr>
            <w:tcW w:w="1268" w:type="dxa"/>
            <w:shd w:val="clear" w:color="auto" w:fill="C5EDCE"/>
          </w:tcPr>
          <w:p w14:paraId="5A8AED00" w14:textId="77777777" w:rsidR="00740F0F" w:rsidRPr="0029070D" w:rsidRDefault="00100B64">
            <w:pPr>
              <w:spacing w:line="206" w:lineRule="exact"/>
              <w:ind w:left="386" w:right="279"/>
              <w:jc w:val="center"/>
              <w:rPr>
                <w:rFonts w:ascii="Times New Roman" w:eastAsia="Times New Roman" w:hAnsi="Times New Roman" w:cs="Times New Roman"/>
                <w:noProof/>
                <w:sz w:val="19"/>
              </w:rPr>
            </w:pPr>
            <w:r>
              <w:rPr>
                <w:rFonts w:ascii="Times New Roman" w:hAnsi="Times New Roman"/>
                <w:noProof/>
                <w:color w:val="005F00"/>
                <w:sz w:val="19"/>
              </w:rPr>
              <w:t>3-16</w:t>
            </w:r>
          </w:p>
        </w:tc>
        <w:tc>
          <w:tcPr>
            <w:tcW w:w="2758" w:type="dxa"/>
            <w:shd w:val="clear" w:color="auto" w:fill="C5EDCE"/>
          </w:tcPr>
          <w:p w14:paraId="5A8AED01" w14:textId="77777777" w:rsidR="00740F0F" w:rsidRPr="0029070D" w:rsidRDefault="00100B64">
            <w:pPr>
              <w:spacing w:line="206" w:lineRule="exact"/>
              <w:ind w:left="121"/>
              <w:rPr>
                <w:rFonts w:ascii="Times New Roman" w:eastAsia="Times New Roman" w:hAnsi="Times New Roman" w:cs="Times New Roman"/>
                <w:noProof/>
                <w:sz w:val="19"/>
                <w:szCs w:val="19"/>
              </w:rPr>
            </w:pPr>
            <w:r>
              <w:rPr>
                <w:rFonts w:ascii="Times New Roman" w:hAnsi="Times New Roman"/>
                <w:noProof/>
                <w:color w:val="005F00"/>
                <w:sz w:val="19"/>
              </w:rPr>
              <w:t>C3.I2 Aides à l’achat de véhicules propres</w:t>
            </w:r>
          </w:p>
        </w:tc>
        <w:tc>
          <w:tcPr>
            <w:tcW w:w="1353" w:type="dxa"/>
            <w:shd w:val="clear" w:color="auto" w:fill="C5EDCE"/>
          </w:tcPr>
          <w:p w14:paraId="5A8AED02" w14:textId="77777777" w:rsidR="00740F0F" w:rsidRPr="0029070D" w:rsidRDefault="00100B64">
            <w:pPr>
              <w:spacing w:line="206" w:lineRule="exact"/>
              <w:ind w:left="417"/>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D03" w14:textId="77777777" w:rsidR="00740F0F" w:rsidRPr="0029070D" w:rsidRDefault="00100B64">
            <w:pPr>
              <w:spacing w:line="206" w:lineRule="exact"/>
              <w:ind w:left="101"/>
              <w:rPr>
                <w:rFonts w:ascii="Times New Roman" w:eastAsia="Times New Roman" w:hAnsi="Times New Roman" w:cs="Times New Roman"/>
                <w:noProof/>
                <w:sz w:val="19"/>
              </w:rPr>
            </w:pPr>
            <w:r>
              <w:rPr>
                <w:rFonts w:ascii="Times New Roman" w:hAnsi="Times New Roman"/>
                <w:noProof/>
                <w:color w:val="005F00"/>
                <w:sz w:val="19"/>
              </w:rPr>
              <w:t>Bonus écologiques</w:t>
            </w:r>
          </w:p>
        </w:tc>
      </w:tr>
      <w:tr w:rsidR="00782477" w:rsidRPr="0029070D" w14:paraId="5A8AED09" w14:textId="77777777" w:rsidTr="00F84DDA">
        <w:trPr>
          <w:trHeight w:val="510"/>
          <w:jc w:val="center"/>
        </w:trPr>
        <w:tc>
          <w:tcPr>
            <w:tcW w:w="1268" w:type="dxa"/>
            <w:shd w:val="clear" w:color="auto" w:fill="C5EDCE"/>
          </w:tcPr>
          <w:p w14:paraId="5A8AED05" w14:textId="77777777" w:rsidR="00740F0F" w:rsidRPr="0029070D" w:rsidRDefault="00100B64">
            <w:pPr>
              <w:spacing w:line="206" w:lineRule="exact"/>
              <w:ind w:left="386" w:right="270"/>
              <w:jc w:val="center"/>
              <w:rPr>
                <w:rFonts w:ascii="Times New Roman" w:eastAsia="Times New Roman" w:hAnsi="Times New Roman" w:cs="Times New Roman"/>
                <w:noProof/>
                <w:sz w:val="19"/>
              </w:rPr>
            </w:pPr>
            <w:r>
              <w:rPr>
                <w:rFonts w:ascii="Times New Roman" w:hAnsi="Times New Roman"/>
                <w:noProof/>
                <w:color w:val="005F00"/>
                <w:sz w:val="19"/>
              </w:rPr>
              <w:t>4-3</w:t>
            </w:r>
          </w:p>
        </w:tc>
        <w:tc>
          <w:tcPr>
            <w:tcW w:w="2758" w:type="dxa"/>
            <w:shd w:val="clear" w:color="auto" w:fill="C5EDCE"/>
          </w:tcPr>
          <w:p w14:paraId="5A8AED06"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C4.I1 Innover pour la transition écologique</w:t>
            </w:r>
          </w:p>
        </w:tc>
        <w:tc>
          <w:tcPr>
            <w:tcW w:w="1353" w:type="dxa"/>
            <w:shd w:val="clear" w:color="auto" w:fill="C5EDCE"/>
          </w:tcPr>
          <w:p w14:paraId="5A8AED07" w14:textId="77777777" w:rsidR="00740F0F" w:rsidRPr="0029070D" w:rsidRDefault="00100B64">
            <w:pPr>
              <w:spacing w:line="206" w:lineRule="exact"/>
              <w:ind w:left="284"/>
              <w:rPr>
                <w:rFonts w:ascii="Times New Roman" w:eastAsia="Times New Roman" w:hAnsi="Times New Roman" w:cs="Times New Roman"/>
                <w:noProof/>
                <w:sz w:val="19"/>
              </w:rPr>
            </w:pPr>
            <w:r>
              <w:rPr>
                <w:rFonts w:ascii="Times New Roman" w:hAnsi="Times New Roman"/>
                <w:noProof/>
                <w:color w:val="005F00"/>
                <w:sz w:val="19"/>
              </w:rPr>
              <w:t>Jalon</w:t>
            </w:r>
          </w:p>
        </w:tc>
        <w:tc>
          <w:tcPr>
            <w:tcW w:w="4688" w:type="dxa"/>
            <w:shd w:val="clear" w:color="auto" w:fill="C5EDCE"/>
          </w:tcPr>
          <w:p w14:paraId="5A8AED08" w14:textId="77777777" w:rsidR="00740F0F" w:rsidRPr="0029070D" w:rsidRDefault="00100B64">
            <w:pPr>
              <w:spacing w:line="206" w:lineRule="exact"/>
              <w:ind w:left="101"/>
              <w:rPr>
                <w:rFonts w:ascii="Times New Roman" w:eastAsia="Times New Roman" w:hAnsi="Times New Roman" w:cs="Times New Roman"/>
                <w:noProof/>
                <w:sz w:val="19"/>
              </w:rPr>
            </w:pPr>
            <w:r>
              <w:rPr>
                <w:rFonts w:ascii="Times New Roman" w:hAnsi="Times New Roman"/>
                <w:noProof/>
                <w:color w:val="005F00"/>
                <w:sz w:val="19"/>
              </w:rPr>
              <w:t>Lancement d’appels à propositions ou à manifestation d’intérêt</w:t>
            </w:r>
          </w:p>
        </w:tc>
      </w:tr>
      <w:tr w:rsidR="00782477" w:rsidRPr="0029070D" w14:paraId="5A8AED0E" w14:textId="77777777" w:rsidTr="00F84DDA">
        <w:trPr>
          <w:trHeight w:val="508"/>
          <w:jc w:val="center"/>
        </w:trPr>
        <w:tc>
          <w:tcPr>
            <w:tcW w:w="1268" w:type="dxa"/>
            <w:shd w:val="clear" w:color="auto" w:fill="C5EDCE"/>
          </w:tcPr>
          <w:p w14:paraId="5A8AED0A" w14:textId="77777777" w:rsidR="00740F0F" w:rsidRPr="0029070D" w:rsidRDefault="00100B64">
            <w:pPr>
              <w:spacing w:line="206" w:lineRule="exact"/>
              <w:ind w:left="386" w:right="270"/>
              <w:jc w:val="center"/>
              <w:rPr>
                <w:rFonts w:ascii="Times New Roman" w:eastAsia="Times New Roman" w:hAnsi="Times New Roman" w:cs="Times New Roman"/>
                <w:noProof/>
                <w:sz w:val="19"/>
              </w:rPr>
            </w:pPr>
            <w:r>
              <w:rPr>
                <w:rFonts w:ascii="Times New Roman" w:hAnsi="Times New Roman"/>
                <w:noProof/>
                <w:color w:val="005F00"/>
                <w:sz w:val="19"/>
              </w:rPr>
              <w:t>4-8</w:t>
            </w:r>
          </w:p>
        </w:tc>
        <w:tc>
          <w:tcPr>
            <w:tcW w:w="2758" w:type="dxa"/>
            <w:shd w:val="clear" w:color="auto" w:fill="C5EDCE"/>
          </w:tcPr>
          <w:p w14:paraId="5A8AED0B"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C4.I2 Développer l’hydrogène décarboné</w:t>
            </w:r>
          </w:p>
        </w:tc>
        <w:tc>
          <w:tcPr>
            <w:tcW w:w="1353" w:type="dxa"/>
            <w:shd w:val="clear" w:color="auto" w:fill="C5EDCE"/>
          </w:tcPr>
          <w:p w14:paraId="5A8AED0C" w14:textId="77777777" w:rsidR="00740F0F" w:rsidRPr="0029070D" w:rsidRDefault="00100B64">
            <w:pPr>
              <w:spacing w:line="206" w:lineRule="exact"/>
              <w:ind w:left="292"/>
              <w:rPr>
                <w:rFonts w:ascii="Times New Roman" w:eastAsia="Times New Roman" w:hAnsi="Times New Roman" w:cs="Times New Roman"/>
                <w:noProof/>
                <w:sz w:val="19"/>
              </w:rPr>
            </w:pPr>
            <w:r>
              <w:rPr>
                <w:rFonts w:ascii="Times New Roman" w:hAnsi="Times New Roman"/>
                <w:noProof/>
                <w:color w:val="005F00"/>
                <w:sz w:val="19"/>
              </w:rPr>
              <w:t>Jalon</w:t>
            </w:r>
          </w:p>
        </w:tc>
        <w:tc>
          <w:tcPr>
            <w:tcW w:w="4688" w:type="dxa"/>
            <w:shd w:val="clear" w:color="auto" w:fill="C5EDCE"/>
          </w:tcPr>
          <w:p w14:paraId="5A8AED0D" w14:textId="77777777" w:rsidR="00740F0F" w:rsidRPr="0029070D" w:rsidRDefault="00100B64">
            <w:pPr>
              <w:spacing w:line="206" w:lineRule="exact"/>
              <w:ind w:left="118"/>
              <w:rPr>
                <w:rFonts w:ascii="Times New Roman" w:eastAsia="Times New Roman" w:hAnsi="Times New Roman" w:cs="Times New Roman"/>
                <w:noProof/>
                <w:sz w:val="19"/>
              </w:rPr>
            </w:pPr>
            <w:r>
              <w:rPr>
                <w:rFonts w:ascii="Times New Roman" w:hAnsi="Times New Roman"/>
                <w:noProof/>
                <w:color w:val="005F00"/>
                <w:sz w:val="19"/>
              </w:rPr>
              <w:t>Signature de la décision d’attribuer un soutien financier aux promoteurs privés dans le cadre du PIIEC sur l’hydrogène</w:t>
            </w:r>
          </w:p>
        </w:tc>
      </w:tr>
      <w:tr w:rsidR="00782477" w:rsidRPr="0029070D" w14:paraId="5A8AED13" w14:textId="77777777" w:rsidTr="00F84DDA">
        <w:trPr>
          <w:trHeight w:val="510"/>
          <w:jc w:val="center"/>
        </w:trPr>
        <w:tc>
          <w:tcPr>
            <w:tcW w:w="1268" w:type="dxa"/>
            <w:shd w:val="clear" w:color="auto" w:fill="C5EDCE"/>
          </w:tcPr>
          <w:p w14:paraId="5A8AED0F" w14:textId="77777777" w:rsidR="00740F0F" w:rsidRPr="0029070D" w:rsidRDefault="00100B64">
            <w:pPr>
              <w:spacing w:line="209" w:lineRule="exact"/>
              <w:ind w:left="386" w:right="279"/>
              <w:jc w:val="center"/>
              <w:rPr>
                <w:rFonts w:ascii="Times New Roman" w:eastAsia="Times New Roman" w:hAnsi="Times New Roman" w:cs="Times New Roman"/>
                <w:noProof/>
                <w:sz w:val="19"/>
              </w:rPr>
            </w:pPr>
            <w:r>
              <w:rPr>
                <w:rFonts w:ascii="Times New Roman" w:hAnsi="Times New Roman"/>
                <w:noProof/>
                <w:color w:val="005F00"/>
                <w:sz w:val="19"/>
              </w:rPr>
              <w:t>4-10</w:t>
            </w:r>
          </w:p>
        </w:tc>
        <w:tc>
          <w:tcPr>
            <w:tcW w:w="2758" w:type="dxa"/>
            <w:shd w:val="clear" w:color="auto" w:fill="C5EDCE"/>
          </w:tcPr>
          <w:p w14:paraId="5A8AED10" w14:textId="77777777" w:rsidR="00740F0F" w:rsidRPr="0029070D" w:rsidRDefault="00100B64">
            <w:pPr>
              <w:ind w:left="121" w:right="740"/>
              <w:rPr>
                <w:rFonts w:ascii="Times New Roman" w:eastAsia="Times New Roman" w:hAnsi="Times New Roman" w:cs="Times New Roman"/>
                <w:noProof/>
                <w:sz w:val="19"/>
              </w:rPr>
            </w:pPr>
            <w:r>
              <w:rPr>
                <w:rFonts w:ascii="Times New Roman" w:hAnsi="Times New Roman"/>
                <w:noProof/>
                <w:color w:val="005F00"/>
                <w:sz w:val="19"/>
              </w:rPr>
              <w:t>C4.I3 Plan de soutien au secteur de l’aéronautique</w:t>
            </w:r>
          </w:p>
        </w:tc>
        <w:tc>
          <w:tcPr>
            <w:tcW w:w="1353" w:type="dxa"/>
            <w:shd w:val="clear" w:color="auto" w:fill="C5EDCE"/>
          </w:tcPr>
          <w:p w14:paraId="5A8AED11" w14:textId="77777777" w:rsidR="00740F0F" w:rsidRPr="0029070D" w:rsidRDefault="00100B64">
            <w:pPr>
              <w:spacing w:line="209" w:lineRule="exact"/>
              <w:ind w:left="424"/>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D12" w14:textId="77777777" w:rsidR="00740F0F" w:rsidRPr="0029070D" w:rsidRDefault="00100B64">
            <w:pPr>
              <w:ind w:left="118" w:right="664"/>
              <w:rPr>
                <w:rFonts w:ascii="Times New Roman" w:eastAsia="Times New Roman" w:hAnsi="Times New Roman" w:cs="Times New Roman"/>
                <w:noProof/>
                <w:sz w:val="19"/>
              </w:rPr>
            </w:pPr>
            <w:r>
              <w:rPr>
                <w:rFonts w:ascii="Times New Roman" w:hAnsi="Times New Roman"/>
                <w:noProof/>
                <w:color w:val="005F00"/>
                <w:sz w:val="19"/>
              </w:rPr>
              <w:t>Nombre de projets sélectionnés pour bénéficier d’un soutien au titre du fonds de soutien aux investissements</w:t>
            </w:r>
          </w:p>
        </w:tc>
      </w:tr>
      <w:tr w:rsidR="00782477" w:rsidRPr="0029070D" w14:paraId="5A8AED18" w14:textId="77777777" w:rsidTr="00F84DDA">
        <w:trPr>
          <w:trHeight w:val="511"/>
          <w:jc w:val="center"/>
        </w:trPr>
        <w:tc>
          <w:tcPr>
            <w:tcW w:w="1268" w:type="dxa"/>
            <w:shd w:val="clear" w:color="auto" w:fill="C5EDCE"/>
          </w:tcPr>
          <w:p w14:paraId="5A8AED14" w14:textId="77777777" w:rsidR="00740F0F" w:rsidRPr="0029070D" w:rsidRDefault="00100B64">
            <w:pPr>
              <w:spacing w:line="207" w:lineRule="exact"/>
              <w:ind w:left="386" w:right="279"/>
              <w:jc w:val="center"/>
              <w:rPr>
                <w:rFonts w:ascii="Times New Roman" w:eastAsia="Times New Roman" w:hAnsi="Times New Roman" w:cs="Times New Roman"/>
                <w:noProof/>
                <w:sz w:val="19"/>
              </w:rPr>
            </w:pPr>
            <w:r>
              <w:rPr>
                <w:rFonts w:ascii="Times New Roman" w:hAnsi="Times New Roman"/>
                <w:noProof/>
                <w:color w:val="005F00"/>
                <w:sz w:val="19"/>
              </w:rPr>
              <w:t>4-11</w:t>
            </w:r>
          </w:p>
        </w:tc>
        <w:tc>
          <w:tcPr>
            <w:tcW w:w="2758" w:type="dxa"/>
            <w:shd w:val="clear" w:color="auto" w:fill="C5EDCE"/>
          </w:tcPr>
          <w:p w14:paraId="5A8AED15" w14:textId="77777777" w:rsidR="00740F0F" w:rsidRPr="0029070D" w:rsidRDefault="00100B64">
            <w:pPr>
              <w:ind w:left="121" w:right="740"/>
              <w:rPr>
                <w:rFonts w:ascii="Times New Roman" w:eastAsia="Times New Roman" w:hAnsi="Times New Roman" w:cs="Times New Roman"/>
                <w:noProof/>
                <w:sz w:val="19"/>
              </w:rPr>
            </w:pPr>
            <w:r>
              <w:rPr>
                <w:rFonts w:ascii="Times New Roman" w:hAnsi="Times New Roman"/>
                <w:noProof/>
                <w:color w:val="005F00"/>
                <w:sz w:val="19"/>
              </w:rPr>
              <w:t>C4.I3 Plan de soutien au secteur de l’aéronautique</w:t>
            </w:r>
          </w:p>
        </w:tc>
        <w:tc>
          <w:tcPr>
            <w:tcW w:w="1353" w:type="dxa"/>
            <w:shd w:val="clear" w:color="auto" w:fill="C5EDCE"/>
          </w:tcPr>
          <w:p w14:paraId="5A8AED16" w14:textId="77777777" w:rsidR="00740F0F" w:rsidRPr="0029070D" w:rsidRDefault="00100B64">
            <w:pPr>
              <w:spacing w:line="207" w:lineRule="exact"/>
              <w:ind w:left="417"/>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D17" w14:textId="77777777" w:rsidR="00740F0F" w:rsidRPr="0029070D" w:rsidRDefault="00100B64">
            <w:pPr>
              <w:ind w:left="101" w:right="416"/>
              <w:rPr>
                <w:rFonts w:ascii="Times New Roman" w:eastAsia="Times New Roman" w:hAnsi="Times New Roman" w:cs="Times New Roman"/>
                <w:noProof/>
                <w:sz w:val="19"/>
              </w:rPr>
            </w:pPr>
            <w:r>
              <w:rPr>
                <w:rFonts w:ascii="Times New Roman" w:hAnsi="Times New Roman"/>
                <w:noProof/>
                <w:color w:val="005F00"/>
                <w:sz w:val="19"/>
              </w:rPr>
              <w:t>Nombre de projets de R&amp;D sélectionnés visant à promouvoir les aéronefs bas carbone et économes en énergie</w:t>
            </w:r>
          </w:p>
        </w:tc>
      </w:tr>
      <w:tr w:rsidR="00782477" w:rsidRPr="0029070D" w14:paraId="5A8AED1D" w14:textId="77777777" w:rsidTr="00F84DDA">
        <w:trPr>
          <w:trHeight w:val="510"/>
          <w:jc w:val="center"/>
        </w:trPr>
        <w:tc>
          <w:tcPr>
            <w:tcW w:w="1268" w:type="dxa"/>
            <w:shd w:val="clear" w:color="auto" w:fill="C5EDCE"/>
          </w:tcPr>
          <w:p w14:paraId="5A8AED19" w14:textId="77777777" w:rsidR="00740F0F" w:rsidRPr="0029070D" w:rsidRDefault="00100B64">
            <w:pPr>
              <w:spacing w:line="206" w:lineRule="exact"/>
              <w:ind w:left="386" w:right="270"/>
              <w:jc w:val="center"/>
              <w:rPr>
                <w:rFonts w:ascii="Times New Roman" w:eastAsia="Times New Roman" w:hAnsi="Times New Roman" w:cs="Times New Roman"/>
                <w:noProof/>
                <w:sz w:val="19"/>
              </w:rPr>
            </w:pPr>
            <w:r>
              <w:rPr>
                <w:rFonts w:ascii="Times New Roman" w:hAnsi="Times New Roman"/>
                <w:noProof/>
                <w:color w:val="005F00"/>
                <w:sz w:val="19"/>
              </w:rPr>
              <w:t>5-1</w:t>
            </w:r>
          </w:p>
        </w:tc>
        <w:tc>
          <w:tcPr>
            <w:tcW w:w="2758" w:type="dxa"/>
            <w:shd w:val="clear" w:color="auto" w:fill="C5EDCE"/>
          </w:tcPr>
          <w:p w14:paraId="5A8AED1A"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C5.R1 Mise en œuvre de la loi ASAP</w:t>
            </w:r>
          </w:p>
        </w:tc>
        <w:tc>
          <w:tcPr>
            <w:tcW w:w="1353" w:type="dxa"/>
            <w:shd w:val="clear" w:color="auto" w:fill="C5EDCE"/>
          </w:tcPr>
          <w:p w14:paraId="5A8AED1B" w14:textId="77777777" w:rsidR="00740F0F" w:rsidRPr="0029070D" w:rsidRDefault="00100B64">
            <w:pPr>
              <w:spacing w:line="206" w:lineRule="exact"/>
              <w:ind w:left="395"/>
              <w:rPr>
                <w:rFonts w:ascii="Times New Roman" w:eastAsia="Times New Roman" w:hAnsi="Times New Roman" w:cs="Times New Roman"/>
                <w:noProof/>
                <w:sz w:val="19"/>
              </w:rPr>
            </w:pPr>
            <w:r>
              <w:rPr>
                <w:rFonts w:ascii="Times New Roman" w:hAnsi="Times New Roman"/>
                <w:noProof/>
                <w:color w:val="005F00"/>
                <w:sz w:val="19"/>
              </w:rPr>
              <w:t>Jalon</w:t>
            </w:r>
          </w:p>
        </w:tc>
        <w:tc>
          <w:tcPr>
            <w:tcW w:w="4688" w:type="dxa"/>
            <w:shd w:val="clear" w:color="auto" w:fill="C5EDCE"/>
          </w:tcPr>
          <w:p w14:paraId="5A8AED1C" w14:textId="77777777" w:rsidR="00740F0F" w:rsidRPr="0029070D" w:rsidRDefault="00100B64">
            <w:pPr>
              <w:spacing w:line="206" w:lineRule="exact"/>
              <w:ind w:left="118"/>
              <w:rPr>
                <w:rFonts w:ascii="Times New Roman" w:eastAsia="Times New Roman" w:hAnsi="Times New Roman" w:cs="Times New Roman"/>
                <w:noProof/>
                <w:sz w:val="19"/>
              </w:rPr>
            </w:pPr>
            <w:r>
              <w:rPr>
                <w:rFonts w:ascii="Times New Roman" w:hAnsi="Times New Roman"/>
                <w:noProof/>
                <w:color w:val="005F00"/>
                <w:sz w:val="19"/>
              </w:rPr>
              <w:t>Loi nº 2020-1525 (loi ASAP)</w:t>
            </w:r>
          </w:p>
        </w:tc>
      </w:tr>
      <w:tr w:rsidR="00782477" w:rsidRPr="009447E5" w14:paraId="5A8AED22" w14:textId="77777777" w:rsidTr="00F84DDA">
        <w:trPr>
          <w:trHeight w:val="508"/>
          <w:jc w:val="center"/>
        </w:trPr>
        <w:tc>
          <w:tcPr>
            <w:tcW w:w="1268" w:type="dxa"/>
            <w:shd w:val="clear" w:color="auto" w:fill="C5EDCE"/>
          </w:tcPr>
          <w:p w14:paraId="5A8AED1E" w14:textId="77777777" w:rsidR="00740F0F" w:rsidRPr="0029070D" w:rsidRDefault="00100B64">
            <w:pPr>
              <w:spacing w:line="206" w:lineRule="exact"/>
              <w:ind w:left="386" w:right="270"/>
              <w:jc w:val="center"/>
              <w:rPr>
                <w:rFonts w:ascii="Times New Roman" w:eastAsia="Times New Roman" w:hAnsi="Times New Roman" w:cs="Times New Roman"/>
                <w:noProof/>
                <w:sz w:val="19"/>
              </w:rPr>
            </w:pPr>
            <w:r>
              <w:rPr>
                <w:rFonts w:ascii="Times New Roman" w:hAnsi="Times New Roman"/>
                <w:noProof/>
                <w:color w:val="005F00"/>
                <w:sz w:val="19"/>
              </w:rPr>
              <w:t>6-2</w:t>
            </w:r>
          </w:p>
        </w:tc>
        <w:tc>
          <w:tcPr>
            <w:tcW w:w="2758" w:type="dxa"/>
            <w:shd w:val="clear" w:color="auto" w:fill="C5EDCE"/>
          </w:tcPr>
          <w:p w14:paraId="5A8AED1F"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C6.R1 Loi sur la programmation de la recherche</w:t>
            </w:r>
          </w:p>
        </w:tc>
        <w:tc>
          <w:tcPr>
            <w:tcW w:w="1353" w:type="dxa"/>
            <w:shd w:val="clear" w:color="auto" w:fill="C5EDCE"/>
          </w:tcPr>
          <w:p w14:paraId="5A8AED20" w14:textId="77777777" w:rsidR="00740F0F" w:rsidRPr="0029070D" w:rsidRDefault="00100B64">
            <w:pPr>
              <w:spacing w:line="206" w:lineRule="exact"/>
              <w:ind w:left="527"/>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D21" w14:textId="520E7E62" w:rsidR="00740F0F" w:rsidRPr="009447E5" w:rsidRDefault="00100B64">
            <w:pPr>
              <w:spacing w:line="206" w:lineRule="exact"/>
              <w:ind w:left="118"/>
              <w:rPr>
                <w:rFonts w:ascii="Times New Roman" w:eastAsia="Times New Roman" w:hAnsi="Times New Roman" w:cs="Times New Roman"/>
                <w:noProof/>
                <w:sz w:val="19"/>
              </w:rPr>
            </w:pPr>
            <w:r>
              <w:rPr>
                <w:rFonts w:ascii="Times New Roman" w:hAnsi="Times New Roman"/>
                <w:noProof/>
                <w:color w:val="005F00"/>
                <w:sz w:val="19"/>
              </w:rPr>
              <w:t>Loi nº 2020-1674 du 24</w:t>
            </w:r>
            <w:r>
              <w:rPr>
                <w:rFonts w:ascii="Times New Roman" w:hAnsi="Times New Roman"/>
                <w:noProof/>
                <w:sz w:val="20"/>
              </w:rPr>
              <w:t> </w:t>
            </w:r>
            <w:r>
              <w:rPr>
                <w:rFonts w:ascii="Times New Roman" w:hAnsi="Times New Roman"/>
                <w:noProof/>
                <w:color w:val="005F00"/>
                <w:sz w:val="19"/>
              </w:rPr>
              <w:t>décembre 2020 – recrutements réalisés en tenure track</w:t>
            </w:r>
          </w:p>
        </w:tc>
      </w:tr>
      <w:tr w:rsidR="00782477" w:rsidRPr="0029070D" w14:paraId="5A8AED27" w14:textId="77777777" w:rsidTr="00F84DDA">
        <w:trPr>
          <w:trHeight w:val="510"/>
          <w:jc w:val="center"/>
        </w:trPr>
        <w:tc>
          <w:tcPr>
            <w:tcW w:w="1268" w:type="dxa"/>
            <w:shd w:val="clear" w:color="auto" w:fill="C5EDCE"/>
          </w:tcPr>
          <w:p w14:paraId="5A8AED23" w14:textId="77777777" w:rsidR="00740F0F" w:rsidRPr="0029070D" w:rsidRDefault="00100B64">
            <w:pPr>
              <w:spacing w:line="209" w:lineRule="exact"/>
              <w:ind w:left="386" w:right="275"/>
              <w:jc w:val="center"/>
              <w:rPr>
                <w:rFonts w:ascii="Times New Roman" w:eastAsia="Times New Roman" w:hAnsi="Times New Roman" w:cs="Times New Roman"/>
                <w:noProof/>
                <w:sz w:val="19"/>
              </w:rPr>
            </w:pPr>
            <w:r>
              <w:rPr>
                <w:rFonts w:ascii="Times New Roman" w:hAnsi="Times New Roman"/>
                <w:noProof/>
                <w:color w:val="005F00"/>
                <w:sz w:val="19"/>
              </w:rPr>
              <w:t>6-4</w:t>
            </w:r>
          </w:p>
        </w:tc>
        <w:tc>
          <w:tcPr>
            <w:tcW w:w="2758" w:type="dxa"/>
            <w:shd w:val="clear" w:color="auto" w:fill="C5EDCE"/>
          </w:tcPr>
          <w:p w14:paraId="5A8AED24" w14:textId="77777777" w:rsidR="00740F0F" w:rsidRPr="0029070D" w:rsidRDefault="00100B64">
            <w:pPr>
              <w:spacing w:line="209" w:lineRule="exact"/>
              <w:ind w:left="121" w:right="-15"/>
              <w:rPr>
                <w:rFonts w:ascii="Times New Roman" w:eastAsia="Times New Roman" w:hAnsi="Times New Roman" w:cs="Times New Roman"/>
                <w:noProof/>
                <w:sz w:val="19"/>
              </w:rPr>
            </w:pPr>
            <w:r>
              <w:rPr>
                <w:rFonts w:ascii="Times New Roman" w:hAnsi="Times New Roman"/>
                <w:noProof/>
                <w:color w:val="005F00"/>
                <w:sz w:val="19"/>
              </w:rPr>
              <w:t>C6.I1 Préservation de l’emploi R&amp;D</w:t>
            </w:r>
          </w:p>
        </w:tc>
        <w:tc>
          <w:tcPr>
            <w:tcW w:w="1353" w:type="dxa"/>
            <w:shd w:val="clear" w:color="auto" w:fill="C5EDCE"/>
          </w:tcPr>
          <w:p w14:paraId="5A8AED25" w14:textId="77777777" w:rsidR="00740F0F" w:rsidRPr="0029070D" w:rsidRDefault="00100B64">
            <w:pPr>
              <w:spacing w:line="209" w:lineRule="exact"/>
              <w:ind w:left="424"/>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D26" w14:textId="77777777" w:rsidR="00740F0F" w:rsidRPr="0029070D" w:rsidRDefault="00100B64">
            <w:pPr>
              <w:spacing w:line="209" w:lineRule="exact"/>
              <w:ind w:left="118"/>
              <w:rPr>
                <w:rFonts w:ascii="Times New Roman" w:eastAsia="Times New Roman" w:hAnsi="Times New Roman" w:cs="Times New Roman"/>
                <w:noProof/>
                <w:sz w:val="19"/>
              </w:rPr>
            </w:pPr>
            <w:r>
              <w:rPr>
                <w:rFonts w:ascii="Times New Roman" w:hAnsi="Times New Roman"/>
                <w:noProof/>
                <w:color w:val="005F00"/>
                <w:sz w:val="19"/>
              </w:rPr>
              <w:t>Nombre de personnels de R&amp;D bénéficiaires de la mesure</w:t>
            </w:r>
          </w:p>
        </w:tc>
      </w:tr>
      <w:tr w:rsidR="00782477" w:rsidRPr="0029070D" w14:paraId="5A8AED2C" w14:textId="77777777" w:rsidTr="00F84DDA">
        <w:trPr>
          <w:trHeight w:val="510"/>
          <w:jc w:val="center"/>
        </w:trPr>
        <w:tc>
          <w:tcPr>
            <w:tcW w:w="1268" w:type="dxa"/>
            <w:shd w:val="clear" w:color="auto" w:fill="C5EDCE"/>
          </w:tcPr>
          <w:p w14:paraId="5A8AED28" w14:textId="77777777" w:rsidR="00740F0F" w:rsidRPr="0029070D" w:rsidRDefault="00100B64">
            <w:pPr>
              <w:spacing w:line="206" w:lineRule="exact"/>
              <w:ind w:left="386" w:right="270"/>
              <w:jc w:val="center"/>
              <w:rPr>
                <w:rFonts w:ascii="Times New Roman" w:eastAsia="Times New Roman" w:hAnsi="Times New Roman" w:cs="Times New Roman"/>
                <w:noProof/>
                <w:sz w:val="19"/>
              </w:rPr>
            </w:pPr>
            <w:r>
              <w:rPr>
                <w:rFonts w:ascii="Times New Roman" w:hAnsi="Times New Roman"/>
                <w:noProof/>
                <w:color w:val="005F00"/>
                <w:sz w:val="19"/>
              </w:rPr>
              <w:t>6-8</w:t>
            </w:r>
          </w:p>
        </w:tc>
        <w:tc>
          <w:tcPr>
            <w:tcW w:w="2758" w:type="dxa"/>
            <w:shd w:val="clear" w:color="auto" w:fill="C5EDCE"/>
          </w:tcPr>
          <w:p w14:paraId="5A8AED29" w14:textId="77777777" w:rsidR="00740F0F" w:rsidRPr="009447E5"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C6.I3 PIA entreprises innovantes</w:t>
            </w:r>
          </w:p>
        </w:tc>
        <w:tc>
          <w:tcPr>
            <w:tcW w:w="1353" w:type="dxa"/>
            <w:shd w:val="clear" w:color="auto" w:fill="C5EDCE"/>
          </w:tcPr>
          <w:p w14:paraId="5A8AED2A" w14:textId="77777777" w:rsidR="00740F0F" w:rsidRPr="0029070D" w:rsidRDefault="00100B64">
            <w:pPr>
              <w:spacing w:line="206" w:lineRule="exact"/>
              <w:ind w:left="284"/>
              <w:rPr>
                <w:rFonts w:ascii="Times New Roman" w:eastAsia="Times New Roman" w:hAnsi="Times New Roman" w:cs="Times New Roman"/>
                <w:noProof/>
                <w:sz w:val="19"/>
              </w:rPr>
            </w:pPr>
            <w:r>
              <w:rPr>
                <w:rFonts w:ascii="Times New Roman" w:hAnsi="Times New Roman"/>
                <w:noProof/>
                <w:color w:val="005F00"/>
                <w:sz w:val="19"/>
              </w:rPr>
              <w:t>Jalon</w:t>
            </w:r>
          </w:p>
        </w:tc>
        <w:tc>
          <w:tcPr>
            <w:tcW w:w="4688" w:type="dxa"/>
            <w:shd w:val="clear" w:color="auto" w:fill="C5EDCE"/>
          </w:tcPr>
          <w:p w14:paraId="5A8AED2B" w14:textId="77777777" w:rsidR="00740F0F" w:rsidRPr="0029070D" w:rsidRDefault="00100B64">
            <w:pPr>
              <w:spacing w:line="206" w:lineRule="exact"/>
              <w:ind w:left="118"/>
              <w:rPr>
                <w:rFonts w:ascii="Times New Roman" w:eastAsia="Times New Roman" w:hAnsi="Times New Roman" w:cs="Times New Roman"/>
                <w:noProof/>
                <w:sz w:val="19"/>
              </w:rPr>
            </w:pPr>
            <w:r>
              <w:rPr>
                <w:rFonts w:ascii="Times New Roman" w:hAnsi="Times New Roman"/>
                <w:noProof/>
                <w:color w:val="005F00"/>
                <w:sz w:val="19"/>
              </w:rPr>
              <w:t>Lancement de l’appel à propositions ou à manifestation d’intérêt</w:t>
            </w:r>
          </w:p>
        </w:tc>
      </w:tr>
      <w:tr w:rsidR="00782477" w:rsidRPr="0029070D" w14:paraId="5A8AED31" w14:textId="77777777" w:rsidTr="00F84DDA">
        <w:trPr>
          <w:trHeight w:val="510"/>
          <w:jc w:val="center"/>
        </w:trPr>
        <w:tc>
          <w:tcPr>
            <w:tcW w:w="1268" w:type="dxa"/>
            <w:shd w:val="clear" w:color="auto" w:fill="C5EDCE"/>
          </w:tcPr>
          <w:p w14:paraId="5A8AED2D" w14:textId="77777777" w:rsidR="00740F0F" w:rsidRPr="0029070D" w:rsidRDefault="00100B64">
            <w:pPr>
              <w:spacing w:line="206" w:lineRule="exact"/>
              <w:ind w:left="386" w:right="279"/>
              <w:jc w:val="center"/>
              <w:rPr>
                <w:rFonts w:ascii="Times New Roman" w:eastAsia="Times New Roman" w:hAnsi="Times New Roman" w:cs="Times New Roman"/>
                <w:noProof/>
                <w:sz w:val="19"/>
              </w:rPr>
            </w:pPr>
            <w:r>
              <w:rPr>
                <w:rFonts w:ascii="Times New Roman" w:hAnsi="Times New Roman"/>
                <w:noProof/>
                <w:color w:val="005F00"/>
                <w:sz w:val="19"/>
              </w:rPr>
              <w:t>6-10</w:t>
            </w:r>
          </w:p>
        </w:tc>
        <w:tc>
          <w:tcPr>
            <w:tcW w:w="2758" w:type="dxa"/>
            <w:shd w:val="clear" w:color="auto" w:fill="C5EDCE"/>
          </w:tcPr>
          <w:p w14:paraId="5A8AED2E"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C6.I4 Spatial</w:t>
            </w:r>
          </w:p>
        </w:tc>
        <w:tc>
          <w:tcPr>
            <w:tcW w:w="1353" w:type="dxa"/>
            <w:shd w:val="clear" w:color="auto" w:fill="C5EDCE"/>
          </w:tcPr>
          <w:p w14:paraId="5A8AED2F" w14:textId="77777777" w:rsidR="00740F0F" w:rsidRPr="0029070D" w:rsidRDefault="00100B64">
            <w:pPr>
              <w:spacing w:line="206" w:lineRule="exact"/>
              <w:ind w:left="424"/>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D30" w14:textId="77777777" w:rsidR="00740F0F" w:rsidRPr="0029070D" w:rsidRDefault="00100B64">
            <w:pPr>
              <w:spacing w:line="206" w:lineRule="exact"/>
              <w:ind w:left="118"/>
              <w:rPr>
                <w:rFonts w:ascii="Times New Roman" w:eastAsia="Times New Roman" w:hAnsi="Times New Roman" w:cs="Times New Roman"/>
                <w:noProof/>
                <w:sz w:val="19"/>
              </w:rPr>
            </w:pPr>
            <w:r>
              <w:rPr>
                <w:rFonts w:ascii="Times New Roman" w:hAnsi="Times New Roman"/>
                <w:noProof/>
                <w:color w:val="005F00"/>
                <w:sz w:val="19"/>
              </w:rPr>
              <w:t>Attribution des marchés aux bénéficiaires</w:t>
            </w:r>
          </w:p>
        </w:tc>
      </w:tr>
      <w:tr w:rsidR="00782477" w:rsidRPr="0029070D" w14:paraId="5A8AED36" w14:textId="77777777" w:rsidTr="00F84DDA">
        <w:trPr>
          <w:trHeight w:val="508"/>
          <w:jc w:val="center"/>
        </w:trPr>
        <w:tc>
          <w:tcPr>
            <w:tcW w:w="1268" w:type="dxa"/>
            <w:shd w:val="clear" w:color="auto" w:fill="C5EDCE"/>
          </w:tcPr>
          <w:p w14:paraId="5A8AED32" w14:textId="77777777" w:rsidR="00740F0F" w:rsidRPr="0029070D" w:rsidRDefault="00100B64">
            <w:pPr>
              <w:spacing w:line="206" w:lineRule="exact"/>
              <w:ind w:left="386" w:right="279"/>
              <w:jc w:val="center"/>
              <w:rPr>
                <w:rFonts w:ascii="Times New Roman" w:eastAsia="Times New Roman" w:hAnsi="Times New Roman" w:cs="Times New Roman"/>
                <w:noProof/>
                <w:sz w:val="19"/>
              </w:rPr>
            </w:pPr>
            <w:r>
              <w:rPr>
                <w:rFonts w:ascii="Times New Roman" w:hAnsi="Times New Roman"/>
                <w:noProof/>
                <w:color w:val="005F00"/>
                <w:sz w:val="19"/>
              </w:rPr>
              <w:t>6-11</w:t>
            </w:r>
          </w:p>
        </w:tc>
        <w:tc>
          <w:tcPr>
            <w:tcW w:w="2758" w:type="dxa"/>
            <w:shd w:val="clear" w:color="auto" w:fill="C5EDCE"/>
          </w:tcPr>
          <w:p w14:paraId="5A8AED33"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C6.I4 Spatial</w:t>
            </w:r>
          </w:p>
        </w:tc>
        <w:tc>
          <w:tcPr>
            <w:tcW w:w="1353" w:type="dxa"/>
            <w:shd w:val="clear" w:color="auto" w:fill="C5EDCE"/>
          </w:tcPr>
          <w:p w14:paraId="5A8AED34" w14:textId="77777777" w:rsidR="00740F0F" w:rsidRPr="0029070D" w:rsidRDefault="00100B64">
            <w:pPr>
              <w:spacing w:line="206" w:lineRule="exact"/>
              <w:ind w:left="424"/>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D35" w14:textId="77777777" w:rsidR="00740F0F" w:rsidRPr="0029070D" w:rsidRDefault="00100B64">
            <w:pPr>
              <w:spacing w:line="206" w:lineRule="exact"/>
              <w:ind w:left="118"/>
              <w:rPr>
                <w:rFonts w:ascii="Times New Roman" w:eastAsia="Times New Roman" w:hAnsi="Times New Roman" w:cs="Times New Roman"/>
                <w:noProof/>
                <w:sz w:val="19"/>
              </w:rPr>
            </w:pPr>
            <w:r>
              <w:rPr>
                <w:rFonts w:ascii="Times New Roman" w:hAnsi="Times New Roman"/>
                <w:noProof/>
                <w:color w:val="005F00"/>
                <w:sz w:val="19"/>
              </w:rPr>
              <w:t>Nombre de bénéficiaires</w:t>
            </w:r>
          </w:p>
        </w:tc>
      </w:tr>
      <w:tr w:rsidR="00782477" w:rsidRPr="0029070D" w14:paraId="5A8AED3B" w14:textId="77777777" w:rsidTr="00F84DDA">
        <w:trPr>
          <w:trHeight w:val="510"/>
          <w:jc w:val="center"/>
        </w:trPr>
        <w:tc>
          <w:tcPr>
            <w:tcW w:w="1268" w:type="dxa"/>
            <w:shd w:val="clear" w:color="auto" w:fill="C5EDCE"/>
          </w:tcPr>
          <w:p w14:paraId="5A8AED37" w14:textId="77777777" w:rsidR="00740F0F" w:rsidRPr="0029070D" w:rsidRDefault="00100B64">
            <w:pPr>
              <w:spacing w:line="209" w:lineRule="exact"/>
              <w:ind w:left="386" w:right="270"/>
              <w:jc w:val="center"/>
              <w:rPr>
                <w:rFonts w:ascii="Times New Roman" w:eastAsia="Times New Roman" w:hAnsi="Times New Roman" w:cs="Times New Roman"/>
                <w:noProof/>
                <w:sz w:val="19"/>
              </w:rPr>
            </w:pPr>
            <w:r>
              <w:rPr>
                <w:rFonts w:ascii="Times New Roman" w:hAnsi="Times New Roman"/>
                <w:noProof/>
                <w:color w:val="005F00"/>
                <w:sz w:val="19"/>
              </w:rPr>
              <w:t>7-1</w:t>
            </w:r>
          </w:p>
        </w:tc>
        <w:tc>
          <w:tcPr>
            <w:tcW w:w="2758" w:type="dxa"/>
            <w:shd w:val="clear" w:color="auto" w:fill="C5EDCE"/>
          </w:tcPr>
          <w:p w14:paraId="5A8AED38" w14:textId="77777777" w:rsidR="00740F0F" w:rsidRPr="0029070D" w:rsidRDefault="00100B64">
            <w:pPr>
              <w:spacing w:line="209" w:lineRule="exact"/>
              <w:ind w:left="121"/>
              <w:rPr>
                <w:rFonts w:ascii="Times New Roman" w:eastAsia="Times New Roman" w:hAnsi="Times New Roman" w:cs="Times New Roman"/>
                <w:noProof/>
                <w:sz w:val="19"/>
              </w:rPr>
            </w:pPr>
            <w:r>
              <w:rPr>
                <w:rFonts w:ascii="Times New Roman" w:hAnsi="Times New Roman"/>
                <w:noProof/>
                <w:color w:val="005F00"/>
                <w:sz w:val="19"/>
              </w:rPr>
              <w:t>C7.R1 Loi 3DS</w:t>
            </w:r>
          </w:p>
        </w:tc>
        <w:tc>
          <w:tcPr>
            <w:tcW w:w="1353" w:type="dxa"/>
            <w:shd w:val="clear" w:color="auto" w:fill="C5EDCE"/>
          </w:tcPr>
          <w:p w14:paraId="5A8AED39" w14:textId="77777777" w:rsidR="00740F0F" w:rsidRPr="0029070D" w:rsidRDefault="00100B64">
            <w:pPr>
              <w:spacing w:line="209" w:lineRule="exact"/>
              <w:ind w:left="292"/>
              <w:rPr>
                <w:rFonts w:ascii="Times New Roman" w:eastAsia="Times New Roman" w:hAnsi="Times New Roman" w:cs="Times New Roman"/>
                <w:noProof/>
                <w:sz w:val="19"/>
              </w:rPr>
            </w:pPr>
            <w:r>
              <w:rPr>
                <w:rFonts w:ascii="Times New Roman" w:hAnsi="Times New Roman"/>
                <w:noProof/>
                <w:color w:val="005F00"/>
                <w:sz w:val="19"/>
              </w:rPr>
              <w:t>Jalon</w:t>
            </w:r>
          </w:p>
        </w:tc>
        <w:tc>
          <w:tcPr>
            <w:tcW w:w="4688" w:type="dxa"/>
            <w:shd w:val="clear" w:color="auto" w:fill="C5EDCE"/>
          </w:tcPr>
          <w:p w14:paraId="5A8AED3A" w14:textId="77777777" w:rsidR="00740F0F" w:rsidRPr="0029070D" w:rsidRDefault="00100B64">
            <w:pPr>
              <w:spacing w:line="209" w:lineRule="exact"/>
              <w:ind w:left="118"/>
              <w:rPr>
                <w:rFonts w:ascii="Times New Roman" w:eastAsia="Times New Roman" w:hAnsi="Times New Roman" w:cs="Times New Roman"/>
                <w:noProof/>
                <w:sz w:val="19"/>
              </w:rPr>
            </w:pPr>
            <w:r>
              <w:rPr>
                <w:rFonts w:ascii="Times New Roman" w:hAnsi="Times New Roman"/>
                <w:noProof/>
                <w:color w:val="005F00"/>
                <w:sz w:val="19"/>
              </w:rPr>
              <w:t>Entrée en vigueur de la loi 3DS</w:t>
            </w:r>
          </w:p>
        </w:tc>
      </w:tr>
      <w:tr w:rsidR="00782477" w:rsidRPr="0029070D" w14:paraId="5A8AED41" w14:textId="77777777" w:rsidTr="00F84DDA">
        <w:trPr>
          <w:trHeight w:val="510"/>
          <w:jc w:val="center"/>
        </w:trPr>
        <w:tc>
          <w:tcPr>
            <w:tcW w:w="1268" w:type="dxa"/>
            <w:shd w:val="clear" w:color="auto" w:fill="C5EDCE"/>
          </w:tcPr>
          <w:p w14:paraId="5A8AED3C" w14:textId="77777777" w:rsidR="00740F0F" w:rsidRPr="0029070D" w:rsidRDefault="00100B64">
            <w:pPr>
              <w:spacing w:line="206" w:lineRule="exact"/>
              <w:ind w:left="386" w:right="270"/>
              <w:jc w:val="center"/>
              <w:rPr>
                <w:rFonts w:ascii="Times New Roman" w:eastAsia="Times New Roman" w:hAnsi="Times New Roman" w:cs="Times New Roman"/>
                <w:noProof/>
                <w:sz w:val="19"/>
              </w:rPr>
            </w:pPr>
            <w:r>
              <w:rPr>
                <w:rFonts w:ascii="Times New Roman" w:hAnsi="Times New Roman"/>
                <w:noProof/>
                <w:color w:val="005F00"/>
                <w:sz w:val="19"/>
              </w:rPr>
              <w:t>7-5</w:t>
            </w:r>
          </w:p>
        </w:tc>
        <w:tc>
          <w:tcPr>
            <w:tcW w:w="2758" w:type="dxa"/>
            <w:shd w:val="clear" w:color="auto" w:fill="C5EDCE"/>
          </w:tcPr>
          <w:p w14:paraId="5A8AED3D" w14:textId="77777777" w:rsidR="00740F0F" w:rsidRPr="009447E5"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C7.R3 Transformation de la fonction publique</w:t>
            </w:r>
          </w:p>
        </w:tc>
        <w:tc>
          <w:tcPr>
            <w:tcW w:w="1353" w:type="dxa"/>
            <w:shd w:val="clear" w:color="auto" w:fill="C5EDCE"/>
          </w:tcPr>
          <w:p w14:paraId="5A8AED3E" w14:textId="77777777" w:rsidR="00740F0F" w:rsidRPr="0029070D" w:rsidRDefault="00100B64">
            <w:pPr>
              <w:spacing w:line="206" w:lineRule="exact"/>
              <w:ind w:left="292"/>
              <w:rPr>
                <w:rFonts w:ascii="Times New Roman" w:eastAsia="Times New Roman" w:hAnsi="Times New Roman" w:cs="Times New Roman"/>
                <w:noProof/>
                <w:sz w:val="19"/>
              </w:rPr>
            </w:pPr>
            <w:r>
              <w:rPr>
                <w:rFonts w:ascii="Times New Roman" w:hAnsi="Times New Roman"/>
                <w:noProof/>
                <w:color w:val="005F00"/>
                <w:sz w:val="19"/>
              </w:rPr>
              <w:t>Jalon</w:t>
            </w:r>
          </w:p>
        </w:tc>
        <w:tc>
          <w:tcPr>
            <w:tcW w:w="4688" w:type="dxa"/>
            <w:shd w:val="clear" w:color="auto" w:fill="C5EDCE"/>
          </w:tcPr>
          <w:p w14:paraId="5A8AED3F" w14:textId="77777777" w:rsidR="00740F0F" w:rsidRPr="0029070D" w:rsidRDefault="00100B64">
            <w:pPr>
              <w:spacing w:line="206" w:lineRule="exact"/>
              <w:ind w:left="118"/>
              <w:rPr>
                <w:rFonts w:ascii="Times New Roman" w:eastAsia="Times New Roman" w:hAnsi="Times New Roman" w:cs="Times New Roman"/>
                <w:noProof/>
                <w:sz w:val="19"/>
              </w:rPr>
            </w:pPr>
            <w:r>
              <w:rPr>
                <w:rFonts w:ascii="Times New Roman" w:hAnsi="Times New Roman"/>
                <w:noProof/>
                <w:color w:val="005F00"/>
                <w:sz w:val="19"/>
              </w:rPr>
              <w:t>Mise en œuvre des actions identifiées dans le cadre des chantiers</w:t>
            </w:r>
          </w:p>
          <w:p w14:paraId="5A8AED40" w14:textId="77777777" w:rsidR="00740F0F" w:rsidRPr="0029070D" w:rsidRDefault="00100B64">
            <w:pPr>
              <w:ind w:left="118"/>
              <w:rPr>
                <w:rFonts w:ascii="Times New Roman" w:eastAsia="Times New Roman" w:hAnsi="Times New Roman" w:cs="Times New Roman"/>
                <w:noProof/>
                <w:sz w:val="19"/>
              </w:rPr>
            </w:pPr>
            <w:r>
              <w:rPr>
                <w:rFonts w:ascii="Times New Roman" w:hAnsi="Times New Roman"/>
                <w:noProof/>
                <w:color w:val="005F00"/>
                <w:sz w:val="19"/>
              </w:rPr>
              <w:t>lancés sur le recrutement et l’égalité des chances</w:t>
            </w:r>
          </w:p>
        </w:tc>
      </w:tr>
      <w:tr w:rsidR="00782477" w:rsidRPr="0029070D" w14:paraId="5A8AED46" w14:textId="77777777" w:rsidTr="00F84DDA">
        <w:trPr>
          <w:trHeight w:val="510"/>
          <w:jc w:val="center"/>
        </w:trPr>
        <w:tc>
          <w:tcPr>
            <w:tcW w:w="1268" w:type="dxa"/>
            <w:shd w:val="clear" w:color="auto" w:fill="C5EDCE"/>
          </w:tcPr>
          <w:p w14:paraId="5A8AED42" w14:textId="77777777" w:rsidR="00740F0F" w:rsidRPr="0029070D" w:rsidRDefault="00100B64">
            <w:pPr>
              <w:spacing w:line="206" w:lineRule="exact"/>
              <w:ind w:left="386" w:right="279"/>
              <w:jc w:val="center"/>
              <w:rPr>
                <w:rFonts w:ascii="Times New Roman" w:eastAsia="Times New Roman" w:hAnsi="Times New Roman" w:cs="Times New Roman"/>
                <w:noProof/>
                <w:sz w:val="19"/>
              </w:rPr>
            </w:pPr>
            <w:r>
              <w:rPr>
                <w:rFonts w:ascii="Times New Roman" w:hAnsi="Times New Roman"/>
                <w:noProof/>
                <w:color w:val="005F00"/>
                <w:sz w:val="19"/>
              </w:rPr>
              <w:t>7-12</w:t>
            </w:r>
          </w:p>
        </w:tc>
        <w:tc>
          <w:tcPr>
            <w:tcW w:w="2758" w:type="dxa"/>
            <w:shd w:val="clear" w:color="auto" w:fill="C5EDCE"/>
          </w:tcPr>
          <w:p w14:paraId="5A8AED43"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C7.R5 Évaluation de la qualité des dépenses publiques</w:t>
            </w:r>
          </w:p>
        </w:tc>
        <w:tc>
          <w:tcPr>
            <w:tcW w:w="1353" w:type="dxa"/>
            <w:shd w:val="clear" w:color="auto" w:fill="C5EDCE"/>
          </w:tcPr>
          <w:p w14:paraId="5A8AED44" w14:textId="77777777" w:rsidR="00740F0F" w:rsidRPr="0029070D" w:rsidRDefault="00100B64">
            <w:pPr>
              <w:spacing w:line="206" w:lineRule="exact"/>
              <w:ind w:left="284"/>
              <w:rPr>
                <w:rFonts w:ascii="Times New Roman" w:eastAsia="Times New Roman" w:hAnsi="Times New Roman" w:cs="Times New Roman"/>
                <w:noProof/>
                <w:sz w:val="19"/>
              </w:rPr>
            </w:pPr>
            <w:r>
              <w:rPr>
                <w:rFonts w:ascii="Times New Roman" w:hAnsi="Times New Roman"/>
                <w:noProof/>
                <w:color w:val="005F00"/>
                <w:sz w:val="19"/>
              </w:rPr>
              <w:t>Jalon</w:t>
            </w:r>
          </w:p>
        </w:tc>
        <w:tc>
          <w:tcPr>
            <w:tcW w:w="4688" w:type="dxa"/>
            <w:shd w:val="clear" w:color="auto" w:fill="C5EDCE"/>
          </w:tcPr>
          <w:p w14:paraId="5A8AED45" w14:textId="77777777" w:rsidR="00740F0F" w:rsidRPr="0029070D" w:rsidRDefault="00100B64">
            <w:pPr>
              <w:spacing w:line="206" w:lineRule="exact"/>
              <w:ind w:left="101"/>
              <w:rPr>
                <w:rFonts w:ascii="Times New Roman" w:eastAsia="Times New Roman" w:hAnsi="Times New Roman" w:cs="Times New Roman"/>
                <w:noProof/>
                <w:sz w:val="19"/>
              </w:rPr>
            </w:pPr>
            <w:r>
              <w:rPr>
                <w:rFonts w:ascii="Times New Roman" w:hAnsi="Times New Roman"/>
                <w:noProof/>
                <w:color w:val="005F00"/>
                <w:sz w:val="19"/>
              </w:rPr>
              <w:t>Sortie des dispositifs d’urgence sous condition sanitaire</w:t>
            </w:r>
          </w:p>
        </w:tc>
      </w:tr>
      <w:tr w:rsidR="00782477" w:rsidRPr="0029070D" w14:paraId="5A8AED4B" w14:textId="77777777" w:rsidTr="00F84DDA">
        <w:trPr>
          <w:trHeight w:val="875"/>
          <w:jc w:val="center"/>
        </w:trPr>
        <w:tc>
          <w:tcPr>
            <w:tcW w:w="1268" w:type="dxa"/>
            <w:shd w:val="clear" w:color="auto" w:fill="C5EDCE"/>
          </w:tcPr>
          <w:p w14:paraId="5A8AED47" w14:textId="77777777" w:rsidR="00740F0F" w:rsidRPr="0029070D" w:rsidRDefault="00100B64">
            <w:pPr>
              <w:spacing w:line="206" w:lineRule="exact"/>
              <w:ind w:left="386" w:right="279"/>
              <w:jc w:val="center"/>
              <w:rPr>
                <w:rFonts w:ascii="Times New Roman" w:eastAsia="Times New Roman" w:hAnsi="Times New Roman" w:cs="Times New Roman"/>
                <w:noProof/>
                <w:sz w:val="19"/>
              </w:rPr>
            </w:pPr>
            <w:r>
              <w:rPr>
                <w:rFonts w:ascii="Times New Roman" w:hAnsi="Times New Roman"/>
                <w:noProof/>
                <w:color w:val="005F00"/>
                <w:sz w:val="19"/>
              </w:rPr>
              <w:t>7-13</w:t>
            </w:r>
          </w:p>
        </w:tc>
        <w:tc>
          <w:tcPr>
            <w:tcW w:w="2758" w:type="dxa"/>
            <w:shd w:val="clear" w:color="auto" w:fill="C5EDCE"/>
          </w:tcPr>
          <w:p w14:paraId="5A8AED48"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C7.R5 Évaluation de la qualité des dépenses publiques</w:t>
            </w:r>
          </w:p>
        </w:tc>
        <w:tc>
          <w:tcPr>
            <w:tcW w:w="1353" w:type="dxa"/>
            <w:shd w:val="clear" w:color="auto" w:fill="C5EDCE"/>
          </w:tcPr>
          <w:p w14:paraId="5A8AED49" w14:textId="77777777" w:rsidR="00740F0F" w:rsidRPr="0029070D" w:rsidRDefault="00100B64">
            <w:pPr>
              <w:spacing w:line="206" w:lineRule="exact"/>
              <w:ind w:left="292"/>
              <w:rPr>
                <w:rFonts w:ascii="Times New Roman" w:eastAsia="Times New Roman" w:hAnsi="Times New Roman" w:cs="Times New Roman"/>
                <w:noProof/>
                <w:sz w:val="19"/>
              </w:rPr>
            </w:pPr>
            <w:r>
              <w:rPr>
                <w:rFonts w:ascii="Times New Roman" w:hAnsi="Times New Roman"/>
                <w:noProof/>
                <w:color w:val="005F00"/>
                <w:sz w:val="19"/>
              </w:rPr>
              <w:t>Jalon</w:t>
            </w:r>
          </w:p>
        </w:tc>
        <w:tc>
          <w:tcPr>
            <w:tcW w:w="4688" w:type="dxa"/>
            <w:shd w:val="clear" w:color="auto" w:fill="C5EDCE"/>
          </w:tcPr>
          <w:p w14:paraId="5A8AED4A" w14:textId="77777777" w:rsidR="00740F0F" w:rsidRPr="0029070D" w:rsidRDefault="00100B64">
            <w:pPr>
              <w:spacing w:line="206" w:lineRule="exact"/>
              <w:ind w:left="118"/>
              <w:rPr>
                <w:rFonts w:ascii="Times New Roman" w:eastAsia="Times New Roman" w:hAnsi="Times New Roman" w:cs="Times New Roman"/>
                <w:noProof/>
                <w:sz w:val="19"/>
              </w:rPr>
            </w:pPr>
            <w:r>
              <w:rPr>
                <w:rFonts w:ascii="Times New Roman" w:hAnsi="Times New Roman"/>
                <w:noProof/>
                <w:color w:val="005F00"/>
                <w:sz w:val="19"/>
              </w:rPr>
              <w:t>Construction des lois de finances articulée avec les évaluations de la dépense publique couvrant le champ des administrations publiques (APU) dans le respect de la trajectoire de dépenses de la loi de programmation des finances publiques</w:t>
            </w:r>
          </w:p>
        </w:tc>
      </w:tr>
      <w:tr w:rsidR="00782477" w:rsidRPr="0029070D" w14:paraId="5A8AED50" w14:textId="77777777" w:rsidTr="00F84DDA">
        <w:trPr>
          <w:trHeight w:val="510"/>
          <w:jc w:val="center"/>
        </w:trPr>
        <w:tc>
          <w:tcPr>
            <w:tcW w:w="1268" w:type="dxa"/>
            <w:shd w:val="clear" w:color="auto" w:fill="C5EDCE"/>
          </w:tcPr>
          <w:p w14:paraId="5A8AED4C" w14:textId="77777777" w:rsidR="00740F0F" w:rsidRPr="0029070D" w:rsidRDefault="00100B64">
            <w:pPr>
              <w:spacing w:line="206" w:lineRule="exact"/>
              <w:ind w:left="386" w:right="279"/>
              <w:jc w:val="center"/>
              <w:rPr>
                <w:rFonts w:ascii="Times New Roman" w:eastAsia="Times New Roman" w:hAnsi="Times New Roman" w:cs="Times New Roman"/>
                <w:noProof/>
                <w:sz w:val="19"/>
              </w:rPr>
            </w:pPr>
            <w:r>
              <w:rPr>
                <w:rFonts w:ascii="Times New Roman" w:hAnsi="Times New Roman"/>
                <w:noProof/>
                <w:color w:val="005F00"/>
                <w:sz w:val="19"/>
              </w:rPr>
              <w:t>7-15</w:t>
            </w:r>
          </w:p>
        </w:tc>
        <w:tc>
          <w:tcPr>
            <w:tcW w:w="2758" w:type="dxa"/>
            <w:shd w:val="clear" w:color="auto" w:fill="C5EDCE"/>
          </w:tcPr>
          <w:p w14:paraId="5A8AED4D"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C7.I1 Mise à niveau numérique des entreprises</w:t>
            </w:r>
          </w:p>
        </w:tc>
        <w:tc>
          <w:tcPr>
            <w:tcW w:w="1353" w:type="dxa"/>
            <w:shd w:val="clear" w:color="auto" w:fill="C5EDCE"/>
          </w:tcPr>
          <w:p w14:paraId="5A8AED4E" w14:textId="77777777" w:rsidR="00740F0F" w:rsidRPr="0029070D" w:rsidRDefault="00100B64">
            <w:pPr>
              <w:spacing w:line="206" w:lineRule="exact"/>
              <w:ind w:left="417"/>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D4F" w14:textId="77777777" w:rsidR="00740F0F" w:rsidRPr="0029070D" w:rsidRDefault="00100B64">
            <w:pPr>
              <w:spacing w:line="206" w:lineRule="exact"/>
              <w:ind w:left="101"/>
              <w:rPr>
                <w:rFonts w:ascii="Times New Roman" w:eastAsia="Times New Roman" w:hAnsi="Times New Roman" w:cs="Times New Roman"/>
                <w:noProof/>
                <w:sz w:val="19"/>
              </w:rPr>
            </w:pPr>
            <w:r>
              <w:rPr>
                <w:rFonts w:ascii="Times New Roman" w:hAnsi="Times New Roman"/>
                <w:noProof/>
                <w:color w:val="005F00"/>
                <w:sz w:val="19"/>
              </w:rPr>
              <w:t>Nombre d’entreprises ayant reçu une subvention en faveur des investissements numériques</w:t>
            </w:r>
          </w:p>
        </w:tc>
      </w:tr>
      <w:tr w:rsidR="00782477" w:rsidRPr="0029070D" w14:paraId="5A8AED55" w14:textId="77777777" w:rsidTr="00F84DDA">
        <w:trPr>
          <w:trHeight w:val="510"/>
          <w:jc w:val="center"/>
        </w:trPr>
        <w:tc>
          <w:tcPr>
            <w:tcW w:w="1268" w:type="dxa"/>
            <w:shd w:val="clear" w:color="auto" w:fill="C5EDCE"/>
          </w:tcPr>
          <w:p w14:paraId="5A8AED51" w14:textId="77777777" w:rsidR="00740F0F" w:rsidRPr="0029070D" w:rsidRDefault="00100B64">
            <w:pPr>
              <w:spacing w:line="206" w:lineRule="exact"/>
              <w:ind w:left="386" w:right="279"/>
              <w:jc w:val="center"/>
              <w:rPr>
                <w:rFonts w:ascii="Times New Roman" w:eastAsia="Times New Roman" w:hAnsi="Times New Roman" w:cs="Times New Roman"/>
                <w:noProof/>
                <w:sz w:val="19"/>
              </w:rPr>
            </w:pPr>
            <w:r>
              <w:rPr>
                <w:rFonts w:ascii="Times New Roman" w:hAnsi="Times New Roman"/>
                <w:noProof/>
                <w:color w:val="005F00"/>
                <w:sz w:val="19"/>
              </w:rPr>
              <w:t>7-20</w:t>
            </w:r>
          </w:p>
        </w:tc>
        <w:tc>
          <w:tcPr>
            <w:tcW w:w="2758" w:type="dxa"/>
            <w:shd w:val="clear" w:color="auto" w:fill="C5EDCE"/>
          </w:tcPr>
          <w:p w14:paraId="5A8AED52"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C7.I4 Mise à niveau numérique de l’État – identité numérique</w:t>
            </w:r>
          </w:p>
        </w:tc>
        <w:tc>
          <w:tcPr>
            <w:tcW w:w="1353" w:type="dxa"/>
            <w:shd w:val="clear" w:color="auto" w:fill="C5EDCE"/>
          </w:tcPr>
          <w:p w14:paraId="5A8AED53" w14:textId="77777777" w:rsidR="00740F0F" w:rsidRPr="0029070D" w:rsidRDefault="00100B64">
            <w:pPr>
              <w:spacing w:line="206" w:lineRule="exact"/>
              <w:ind w:left="417"/>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D54" w14:textId="77777777" w:rsidR="00740F0F" w:rsidRPr="0029070D" w:rsidRDefault="00100B64">
            <w:pPr>
              <w:spacing w:line="206" w:lineRule="exact"/>
              <w:ind w:left="101"/>
              <w:rPr>
                <w:rFonts w:ascii="Times New Roman" w:eastAsia="Times New Roman" w:hAnsi="Times New Roman" w:cs="Times New Roman"/>
                <w:noProof/>
                <w:sz w:val="19"/>
              </w:rPr>
            </w:pPr>
            <w:r>
              <w:rPr>
                <w:rFonts w:ascii="Times New Roman" w:hAnsi="Times New Roman"/>
                <w:noProof/>
                <w:color w:val="005F00"/>
                <w:sz w:val="19"/>
              </w:rPr>
              <w:t>Nombre de cartes nationales d’identité électroniques produites</w:t>
            </w:r>
          </w:p>
        </w:tc>
      </w:tr>
      <w:tr w:rsidR="00782477" w:rsidRPr="0029070D" w14:paraId="5A8AED5A" w14:textId="77777777" w:rsidTr="00F84DDA">
        <w:trPr>
          <w:trHeight w:val="508"/>
          <w:jc w:val="center"/>
        </w:trPr>
        <w:tc>
          <w:tcPr>
            <w:tcW w:w="1268" w:type="dxa"/>
            <w:shd w:val="clear" w:color="auto" w:fill="C5EDCE"/>
          </w:tcPr>
          <w:p w14:paraId="5A8AED56" w14:textId="77777777" w:rsidR="00740F0F" w:rsidRPr="0029070D" w:rsidRDefault="00100B64">
            <w:pPr>
              <w:spacing w:line="206" w:lineRule="exact"/>
              <w:ind w:left="386" w:right="279"/>
              <w:jc w:val="center"/>
              <w:rPr>
                <w:rFonts w:ascii="Times New Roman" w:eastAsia="Times New Roman" w:hAnsi="Times New Roman" w:cs="Times New Roman"/>
                <w:noProof/>
                <w:sz w:val="19"/>
              </w:rPr>
            </w:pPr>
            <w:r>
              <w:rPr>
                <w:rFonts w:ascii="Times New Roman" w:hAnsi="Times New Roman"/>
                <w:noProof/>
                <w:color w:val="005F00"/>
                <w:sz w:val="19"/>
              </w:rPr>
              <w:t>7-26</w:t>
            </w:r>
          </w:p>
        </w:tc>
        <w:tc>
          <w:tcPr>
            <w:tcW w:w="2758" w:type="dxa"/>
            <w:shd w:val="clear" w:color="auto" w:fill="C5EDCE"/>
          </w:tcPr>
          <w:p w14:paraId="5A8AED57"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C7.I9 Transformation numérique de l’école</w:t>
            </w:r>
          </w:p>
        </w:tc>
        <w:tc>
          <w:tcPr>
            <w:tcW w:w="1353" w:type="dxa"/>
            <w:shd w:val="clear" w:color="auto" w:fill="C5EDCE"/>
          </w:tcPr>
          <w:p w14:paraId="5A8AED58" w14:textId="77777777" w:rsidR="00740F0F" w:rsidRPr="0029070D" w:rsidRDefault="00100B64">
            <w:pPr>
              <w:spacing w:line="206" w:lineRule="exact"/>
              <w:ind w:left="417"/>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D59" w14:textId="77777777" w:rsidR="00740F0F" w:rsidRPr="0029070D" w:rsidRDefault="00100B64">
            <w:pPr>
              <w:spacing w:line="204" w:lineRule="exact"/>
              <w:ind w:left="101"/>
              <w:rPr>
                <w:rFonts w:ascii="Times New Roman" w:eastAsia="Times New Roman" w:hAnsi="Times New Roman" w:cs="Times New Roman"/>
                <w:noProof/>
                <w:sz w:val="19"/>
              </w:rPr>
            </w:pPr>
            <w:r>
              <w:rPr>
                <w:rFonts w:ascii="Times New Roman" w:hAnsi="Times New Roman"/>
                <w:noProof/>
                <w:color w:val="005F00"/>
                <w:sz w:val="19"/>
              </w:rPr>
              <w:t>Nombre de classes d’école équipées numériquement</w:t>
            </w:r>
          </w:p>
        </w:tc>
      </w:tr>
      <w:tr w:rsidR="00782477" w:rsidRPr="0029070D" w14:paraId="5A8AED5F" w14:textId="77777777" w:rsidTr="00F84DDA">
        <w:trPr>
          <w:trHeight w:val="660"/>
          <w:jc w:val="center"/>
        </w:trPr>
        <w:tc>
          <w:tcPr>
            <w:tcW w:w="1268" w:type="dxa"/>
            <w:shd w:val="clear" w:color="auto" w:fill="C5EDCE"/>
          </w:tcPr>
          <w:p w14:paraId="5A8AED5B" w14:textId="77777777" w:rsidR="00740F0F" w:rsidRPr="0029070D" w:rsidRDefault="00100B64">
            <w:pPr>
              <w:spacing w:line="209" w:lineRule="exact"/>
              <w:ind w:left="386" w:right="270"/>
              <w:jc w:val="center"/>
              <w:rPr>
                <w:rFonts w:ascii="Times New Roman" w:eastAsia="Times New Roman" w:hAnsi="Times New Roman" w:cs="Times New Roman"/>
                <w:noProof/>
                <w:sz w:val="19"/>
              </w:rPr>
            </w:pPr>
            <w:r>
              <w:rPr>
                <w:rFonts w:ascii="Times New Roman" w:hAnsi="Times New Roman"/>
                <w:noProof/>
                <w:color w:val="005F00"/>
                <w:sz w:val="19"/>
              </w:rPr>
              <w:t>8-1</w:t>
            </w:r>
          </w:p>
        </w:tc>
        <w:tc>
          <w:tcPr>
            <w:tcW w:w="2758" w:type="dxa"/>
            <w:shd w:val="clear" w:color="auto" w:fill="C5EDCE"/>
          </w:tcPr>
          <w:p w14:paraId="5A8AED5C" w14:textId="77777777" w:rsidR="00740F0F" w:rsidRPr="0029070D" w:rsidRDefault="00100B64">
            <w:pPr>
              <w:ind w:left="121" w:right="144"/>
              <w:rPr>
                <w:rFonts w:ascii="Times New Roman" w:eastAsia="Times New Roman" w:hAnsi="Times New Roman" w:cs="Times New Roman"/>
                <w:noProof/>
                <w:sz w:val="19"/>
              </w:rPr>
            </w:pPr>
            <w:r>
              <w:rPr>
                <w:rFonts w:ascii="Times New Roman" w:hAnsi="Times New Roman"/>
                <w:noProof/>
                <w:color w:val="005F00"/>
                <w:sz w:val="19"/>
              </w:rPr>
              <w:t>C8.R1 Réforme de l’offre de services de Pôle emploi</w:t>
            </w:r>
          </w:p>
        </w:tc>
        <w:tc>
          <w:tcPr>
            <w:tcW w:w="1353" w:type="dxa"/>
            <w:shd w:val="clear" w:color="auto" w:fill="C5EDCE"/>
          </w:tcPr>
          <w:p w14:paraId="5A8AED5D" w14:textId="77777777" w:rsidR="00740F0F" w:rsidRPr="0029070D" w:rsidRDefault="00100B64">
            <w:pPr>
              <w:spacing w:line="209" w:lineRule="exact"/>
              <w:ind w:left="417"/>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D5E" w14:textId="77777777" w:rsidR="00740F0F" w:rsidRPr="0029070D" w:rsidRDefault="00100B64">
            <w:pPr>
              <w:spacing w:line="209" w:lineRule="exact"/>
              <w:ind w:left="101"/>
              <w:rPr>
                <w:rFonts w:ascii="Times New Roman" w:eastAsia="Times New Roman" w:hAnsi="Times New Roman" w:cs="Times New Roman"/>
                <w:noProof/>
                <w:sz w:val="19"/>
              </w:rPr>
            </w:pPr>
            <w:r>
              <w:rPr>
                <w:rFonts w:ascii="Times New Roman" w:hAnsi="Times New Roman"/>
                <w:noProof/>
                <w:color w:val="005F00"/>
                <w:sz w:val="19"/>
              </w:rPr>
              <w:t>Agences ayant des services Cap’Emploi intégrés</w:t>
            </w:r>
          </w:p>
        </w:tc>
      </w:tr>
      <w:tr w:rsidR="00782477" w:rsidRPr="0029070D" w14:paraId="5A8AED64" w14:textId="77777777" w:rsidTr="00F84DDA">
        <w:trPr>
          <w:trHeight w:val="656"/>
          <w:jc w:val="center"/>
        </w:trPr>
        <w:tc>
          <w:tcPr>
            <w:tcW w:w="1268" w:type="dxa"/>
            <w:shd w:val="clear" w:color="auto" w:fill="C5EDCE"/>
          </w:tcPr>
          <w:p w14:paraId="5A8AED60" w14:textId="77777777" w:rsidR="00740F0F" w:rsidRPr="0029070D" w:rsidRDefault="00100B64">
            <w:pPr>
              <w:spacing w:line="206" w:lineRule="exact"/>
              <w:ind w:left="386" w:right="270"/>
              <w:jc w:val="center"/>
              <w:rPr>
                <w:rFonts w:ascii="Times New Roman" w:eastAsia="Times New Roman" w:hAnsi="Times New Roman" w:cs="Times New Roman"/>
                <w:noProof/>
                <w:sz w:val="19"/>
              </w:rPr>
            </w:pPr>
            <w:r>
              <w:rPr>
                <w:rFonts w:ascii="Times New Roman" w:hAnsi="Times New Roman"/>
                <w:noProof/>
                <w:color w:val="005F00"/>
                <w:sz w:val="19"/>
              </w:rPr>
              <w:t>8-2</w:t>
            </w:r>
          </w:p>
        </w:tc>
        <w:tc>
          <w:tcPr>
            <w:tcW w:w="2758" w:type="dxa"/>
            <w:shd w:val="clear" w:color="auto" w:fill="C5EDCE"/>
          </w:tcPr>
          <w:p w14:paraId="5A8AED61"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C8.R1 Réforme de l’offre de services de Pôle emploi</w:t>
            </w:r>
          </w:p>
        </w:tc>
        <w:tc>
          <w:tcPr>
            <w:tcW w:w="1353" w:type="dxa"/>
            <w:shd w:val="clear" w:color="auto" w:fill="C5EDCE"/>
          </w:tcPr>
          <w:p w14:paraId="5A8AED62" w14:textId="77777777" w:rsidR="00740F0F" w:rsidRPr="0029070D" w:rsidRDefault="00100B64">
            <w:pPr>
              <w:spacing w:line="206" w:lineRule="exact"/>
              <w:ind w:left="520"/>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D63" w14:textId="77777777" w:rsidR="00740F0F" w:rsidRPr="0029070D" w:rsidRDefault="00100B64">
            <w:pPr>
              <w:spacing w:line="206" w:lineRule="exact"/>
              <w:ind w:left="101"/>
              <w:rPr>
                <w:rFonts w:ascii="Times New Roman" w:eastAsia="Times New Roman" w:hAnsi="Times New Roman" w:cs="Times New Roman"/>
                <w:noProof/>
                <w:sz w:val="19"/>
              </w:rPr>
            </w:pPr>
            <w:r>
              <w:rPr>
                <w:rFonts w:ascii="Times New Roman" w:hAnsi="Times New Roman"/>
                <w:noProof/>
                <w:color w:val="005F00"/>
                <w:sz w:val="19"/>
              </w:rPr>
              <w:t>Agences disposant d’un conseiller indemnisation</w:t>
            </w:r>
          </w:p>
        </w:tc>
      </w:tr>
      <w:tr w:rsidR="00782477" w:rsidRPr="0029070D" w14:paraId="5A8AED6A" w14:textId="77777777" w:rsidTr="00F84DDA">
        <w:trPr>
          <w:trHeight w:val="510"/>
          <w:jc w:val="center"/>
        </w:trPr>
        <w:tc>
          <w:tcPr>
            <w:tcW w:w="1268" w:type="dxa"/>
            <w:shd w:val="clear" w:color="auto" w:fill="C5EDCE"/>
          </w:tcPr>
          <w:p w14:paraId="5A8AED65" w14:textId="77777777" w:rsidR="00740F0F" w:rsidRPr="0029070D" w:rsidRDefault="00100B64">
            <w:pPr>
              <w:spacing w:line="206" w:lineRule="exact"/>
              <w:ind w:left="386" w:right="270"/>
              <w:jc w:val="center"/>
              <w:rPr>
                <w:rFonts w:ascii="Times New Roman" w:eastAsia="Times New Roman" w:hAnsi="Times New Roman" w:cs="Times New Roman"/>
                <w:noProof/>
                <w:sz w:val="19"/>
              </w:rPr>
            </w:pPr>
            <w:r>
              <w:rPr>
                <w:rFonts w:ascii="Times New Roman" w:hAnsi="Times New Roman"/>
                <w:noProof/>
                <w:color w:val="005F00"/>
                <w:sz w:val="19"/>
              </w:rPr>
              <w:t>8-7</w:t>
            </w:r>
          </w:p>
        </w:tc>
        <w:tc>
          <w:tcPr>
            <w:tcW w:w="2758" w:type="dxa"/>
            <w:shd w:val="clear" w:color="auto" w:fill="C5EDCE"/>
          </w:tcPr>
          <w:p w14:paraId="5A8AED66"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C8.R4 Réforme de l’assurance chômage</w:t>
            </w:r>
          </w:p>
        </w:tc>
        <w:tc>
          <w:tcPr>
            <w:tcW w:w="1353" w:type="dxa"/>
            <w:shd w:val="clear" w:color="auto" w:fill="C5EDCE"/>
          </w:tcPr>
          <w:p w14:paraId="5A8AED67" w14:textId="77777777" w:rsidR="00740F0F" w:rsidRPr="0029070D" w:rsidRDefault="00100B64">
            <w:pPr>
              <w:spacing w:line="206" w:lineRule="exact"/>
              <w:ind w:left="284"/>
              <w:rPr>
                <w:rFonts w:ascii="Times New Roman" w:eastAsia="Times New Roman" w:hAnsi="Times New Roman" w:cs="Times New Roman"/>
                <w:noProof/>
                <w:sz w:val="19"/>
              </w:rPr>
            </w:pPr>
            <w:r>
              <w:rPr>
                <w:rFonts w:ascii="Times New Roman" w:hAnsi="Times New Roman"/>
                <w:noProof/>
                <w:color w:val="005F00"/>
                <w:sz w:val="19"/>
              </w:rPr>
              <w:t>Jalon</w:t>
            </w:r>
          </w:p>
        </w:tc>
        <w:tc>
          <w:tcPr>
            <w:tcW w:w="4688" w:type="dxa"/>
            <w:shd w:val="clear" w:color="auto" w:fill="C5EDCE"/>
          </w:tcPr>
          <w:p w14:paraId="5A8AED68" w14:textId="77777777" w:rsidR="00740F0F" w:rsidRPr="0029070D" w:rsidRDefault="00100B64">
            <w:pPr>
              <w:spacing w:line="206" w:lineRule="exact"/>
              <w:ind w:left="101" w:right="-15"/>
              <w:rPr>
                <w:rFonts w:ascii="Times New Roman" w:eastAsia="Times New Roman" w:hAnsi="Times New Roman" w:cs="Times New Roman"/>
                <w:noProof/>
                <w:sz w:val="19"/>
              </w:rPr>
            </w:pPr>
            <w:r>
              <w:rPr>
                <w:rFonts w:ascii="Times New Roman" w:hAnsi="Times New Roman"/>
                <w:noProof/>
                <w:color w:val="005F00"/>
                <w:sz w:val="19"/>
              </w:rPr>
              <w:t>Entrée en vigueur automatique des mesures restantes</w:t>
            </w:r>
          </w:p>
          <w:p w14:paraId="5A8AED69" w14:textId="77777777" w:rsidR="00740F0F" w:rsidRPr="0029070D" w:rsidRDefault="00100B64">
            <w:pPr>
              <w:ind w:left="101"/>
              <w:rPr>
                <w:rFonts w:ascii="Times New Roman" w:eastAsia="Times New Roman" w:hAnsi="Times New Roman" w:cs="Times New Roman"/>
                <w:noProof/>
                <w:sz w:val="19"/>
              </w:rPr>
            </w:pPr>
            <w:r>
              <w:rPr>
                <w:rFonts w:ascii="Times New Roman" w:hAnsi="Times New Roman"/>
                <w:noProof/>
                <w:color w:val="005F00"/>
                <w:sz w:val="19"/>
              </w:rPr>
              <w:t>sous condition de retour à meilleure fortune économique</w:t>
            </w:r>
          </w:p>
        </w:tc>
      </w:tr>
      <w:tr w:rsidR="00782477" w:rsidRPr="0029070D" w14:paraId="5A8AED6F" w14:textId="77777777" w:rsidTr="00F84DDA">
        <w:trPr>
          <w:trHeight w:val="508"/>
          <w:jc w:val="center"/>
        </w:trPr>
        <w:tc>
          <w:tcPr>
            <w:tcW w:w="1268" w:type="dxa"/>
            <w:shd w:val="clear" w:color="auto" w:fill="C5EDCE"/>
          </w:tcPr>
          <w:p w14:paraId="5A8AED6B" w14:textId="77777777" w:rsidR="00740F0F" w:rsidRPr="0029070D" w:rsidRDefault="00100B64">
            <w:pPr>
              <w:spacing w:line="206" w:lineRule="exact"/>
              <w:ind w:left="386" w:right="270"/>
              <w:jc w:val="center"/>
              <w:rPr>
                <w:rFonts w:ascii="Times New Roman" w:eastAsia="Times New Roman" w:hAnsi="Times New Roman" w:cs="Times New Roman"/>
                <w:noProof/>
                <w:sz w:val="19"/>
              </w:rPr>
            </w:pPr>
            <w:r>
              <w:rPr>
                <w:rFonts w:ascii="Times New Roman" w:hAnsi="Times New Roman"/>
                <w:noProof/>
                <w:color w:val="005F00"/>
                <w:sz w:val="19"/>
              </w:rPr>
              <w:t>8-8</w:t>
            </w:r>
          </w:p>
        </w:tc>
        <w:tc>
          <w:tcPr>
            <w:tcW w:w="2758" w:type="dxa"/>
            <w:shd w:val="clear" w:color="auto" w:fill="C5EDCE"/>
          </w:tcPr>
          <w:p w14:paraId="5A8AED6C"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C8.I1 FNE-Formation</w:t>
            </w:r>
          </w:p>
        </w:tc>
        <w:tc>
          <w:tcPr>
            <w:tcW w:w="1353" w:type="dxa"/>
            <w:shd w:val="clear" w:color="auto" w:fill="C5EDCE"/>
          </w:tcPr>
          <w:p w14:paraId="5A8AED6D" w14:textId="77777777" w:rsidR="00740F0F" w:rsidRPr="0029070D" w:rsidRDefault="00100B64">
            <w:pPr>
              <w:spacing w:line="206" w:lineRule="exact"/>
              <w:ind w:left="520"/>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D6E" w14:textId="77777777" w:rsidR="00740F0F" w:rsidRPr="0029070D" w:rsidRDefault="00100B64">
            <w:pPr>
              <w:spacing w:line="206" w:lineRule="exact"/>
              <w:ind w:left="101"/>
              <w:rPr>
                <w:rFonts w:ascii="Times New Roman" w:eastAsia="Times New Roman" w:hAnsi="Times New Roman" w:cs="Times New Roman"/>
                <w:noProof/>
                <w:sz w:val="19"/>
              </w:rPr>
            </w:pPr>
            <w:r>
              <w:rPr>
                <w:rFonts w:ascii="Times New Roman" w:hAnsi="Times New Roman"/>
                <w:noProof/>
                <w:color w:val="005F00"/>
                <w:sz w:val="19"/>
              </w:rPr>
              <w:t>Formations données dans le cadre des parcours de formation FNE-Formation</w:t>
            </w:r>
          </w:p>
        </w:tc>
      </w:tr>
      <w:tr w:rsidR="00782477" w:rsidRPr="0029070D" w14:paraId="5A8AED74" w14:textId="77777777" w:rsidTr="00F84DDA">
        <w:trPr>
          <w:trHeight w:val="510"/>
          <w:jc w:val="center"/>
        </w:trPr>
        <w:tc>
          <w:tcPr>
            <w:tcW w:w="1268" w:type="dxa"/>
            <w:shd w:val="clear" w:color="auto" w:fill="C5EDCE"/>
          </w:tcPr>
          <w:p w14:paraId="5A8AED70" w14:textId="77777777" w:rsidR="00740F0F" w:rsidRPr="0029070D" w:rsidRDefault="00100B64">
            <w:pPr>
              <w:spacing w:line="206" w:lineRule="exact"/>
              <w:ind w:left="386" w:right="279"/>
              <w:jc w:val="center"/>
              <w:rPr>
                <w:rFonts w:ascii="Times New Roman" w:eastAsia="Times New Roman" w:hAnsi="Times New Roman" w:cs="Times New Roman"/>
                <w:noProof/>
                <w:sz w:val="19"/>
              </w:rPr>
            </w:pPr>
            <w:r>
              <w:rPr>
                <w:rFonts w:ascii="Times New Roman" w:hAnsi="Times New Roman"/>
                <w:noProof/>
                <w:color w:val="005F00"/>
                <w:sz w:val="19"/>
              </w:rPr>
              <w:t>8-11</w:t>
            </w:r>
          </w:p>
        </w:tc>
        <w:tc>
          <w:tcPr>
            <w:tcW w:w="2758" w:type="dxa"/>
            <w:shd w:val="clear" w:color="auto" w:fill="C5EDCE"/>
          </w:tcPr>
          <w:p w14:paraId="5A8AED71"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C8.I4 Aide à l’embauche pour les contrats d’apprentissage</w:t>
            </w:r>
          </w:p>
        </w:tc>
        <w:tc>
          <w:tcPr>
            <w:tcW w:w="1353" w:type="dxa"/>
            <w:shd w:val="clear" w:color="auto" w:fill="C5EDCE"/>
          </w:tcPr>
          <w:p w14:paraId="5A8AED72" w14:textId="77777777" w:rsidR="00740F0F" w:rsidRPr="0029070D" w:rsidRDefault="00100B64">
            <w:pPr>
              <w:spacing w:line="206" w:lineRule="exact"/>
              <w:ind w:left="417"/>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D73" w14:textId="77777777" w:rsidR="00740F0F" w:rsidRPr="0029070D" w:rsidRDefault="00100B64">
            <w:pPr>
              <w:spacing w:line="206" w:lineRule="exact"/>
              <w:ind w:left="101"/>
              <w:rPr>
                <w:rFonts w:ascii="Times New Roman" w:eastAsia="Times New Roman" w:hAnsi="Times New Roman" w:cs="Times New Roman"/>
                <w:noProof/>
                <w:sz w:val="19"/>
              </w:rPr>
            </w:pPr>
            <w:r>
              <w:rPr>
                <w:rFonts w:ascii="Times New Roman" w:hAnsi="Times New Roman"/>
                <w:noProof/>
                <w:color w:val="005F00"/>
                <w:sz w:val="19"/>
              </w:rPr>
              <w:t>Aides à l’embauche versées pour les contrats de professionnalisation</w:t>
            </w:r>
          </w:p>
        </w:tc>
      </w:tr>
      <w:tr w:rsidR="00782477" w:rsidRPr="0029070D" w14:paraId="5A8AED79" w14:textId="77777777" w:rsidTr="00F84DDA">
        <w:trPr>
          <w:trHeight w:val="510"/>
          <w:jc w:val="center"/>
        </w:trPr>
        <w:tc>
          <w:tcPr>
            <w:tcW w:w="1268" w:type="dxa"/>
            <w:shd w:val="clear" w:color="auto" w:fill="C5EDCE"/>
          </w:tcPr>
          <w:p w14:paraId="5A8AED75" w14:textId="77777777" w:rsidR="00740F0F" w:rsidRPr="0029070D" w:rsidRDefault="00100B64">
            <w:pPr>
              <w:spacing w:line="206" w:lineRule="exact"/>
              <w:ind w:left="386" w:right="279"/>
              <w:jc w:val="center"/>
              <w:rPr>
                <w:rFonts w:ascii="Times New Roman" w:eastAsia="Times New Roman" w:hAnsi="Times New Roman" w:cs="Times New Roman"/>
                <w:noProof/>
                <w:sz w:val="19"/>
              </w:rPr>
            </w:pPr>
            <w:r>
              <w:rPr>
                <w:rFonts w:ascii="Times New Roman" w:hAnsi="Times New Roman"/>
                <w:noProof/>
                <w:color w:val="005F00"/>
                <w:sz w:val="19"/>
              </w:rPr>
              <w:t>8-16</w:t>
            </w:r>
          </w:p>
        </w:tc>
        <w:tc>
          <w:tcPr>
            <w:tcW w:w="2758" w:type="dxa"/>
            <w:shd w:val="clear" w:color="auto" w:fill="C5EDCE"/>
          </w:tcPr>
          <w:p w14:paraId="5A8AED76"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C8.I9 Garanties par l’État des prêts étudiants</w:t>
            </w:r>
          </w:p>
        </w:tc>
        <w:tc>
          <w:tcPr>
            <w:tcW w:w="1353" w:type="dxa"/>
            <w:shd w:val="clear" w:color="auto" w:fill="C5EDCE"/>
          </w:tcPr>
          <w:p w14:paraId="5A8AED77" w14:textId="77777777" w:rsidR="00740F0F" w:rsidRPr="0029070D" w:rsidRDefault="00100B64">
            <w:pPr>
              <w:spacing w:line="206" w:lineRule="exact"/>
              <w:ind w:left="520"/>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D78" w14:textId="77777777" w:rsidR="00740F0F" w:rsidRPr="0029070D" w:rsidRDefault="00100B64">
            <w:pPr>
              <w:spacing w:line="204" w:lineRule="exact"/>
              <w:ind w:left="101"/>
              <w:rPr>
                <w:rFonts w:ascii="Times New Roman" w:eastAsia="Times New Roman" w:hAnsi="Times New Roman" w:cs="Times New Roman"/>
                <w:noProof/>
                <w:sz w:val="19"/>
              </w:rPr>
            </w:pPr>
            <w:r>
              <w:rPr>
                <w:rFonts w:ascii="Times New Roman" w:hAnsi="Times New Roman"/>
                <w:noProof/>
                <w:color w:val="005F00"/>
                <w:sz w:val="19"/>
              </w:rPr>
              <w:t>Bénéficiaires d’un prêt étudiant garanti par l’État</w:t>
            </w:r>
          </w:p>
        </w:tc>
      </w:tr>
      <w:tr w:rsidR="00782477" w:rsidRPr="0029070D" w14:paraId="5A8AED7E" w14:textId="77777777" w:rsidTr="00F84DDA">
        <w:trPr>
          <w:trHeight w:val="510"/>
          <w:jc w:val="center"/>
        </w:trPr>
        <w:tc>
          <w:tcPr>
            <w:tcW w:w="1268" w:type="dxa"/>
            <w:shd w:val="clear" w:color="auto" w:fill="C5EDCE"/>
          </w:tcPr>
          <w:p w14:paraId="5A8AED7A" w14:textId="77777777" w:rsidR="00740F0F" w:rsidRPr="0029070D" w:rsidRDefault="00100B64">
            <w:pPr>
              <w:spacing w:line="206" w:lineRule="exact"/>
              <w:ind w:left="386" w:right="279"/>
              <w:jc w:val="center"/>
              <w:rPr>
                <w:rFonts w:ascii="Times New Roman" w:eastAsia="Times New Roman" w:hAnsi="Times New Roman" w:cs="Times New Roman"/>
                <w:noProof/>
                <w:sz w:val="19"/>
              </w:rPr>
            </w:pPr>
            <w:r>
              <w:rPr>
                <w:rFonts w:ascii="Times New Roman" w:hAnsi="Times New Roman"/>
                <w:noProof/>
                <w:color w:val="005F00"/>
                <w:sz w:val="19"/>
              </w:rPr>
              <w:t>8-17</w:t>
            </w:r>
          </w:p>
        </w:tc>
        <w:tc>
          <w:tcPr>
            <w:tcW w:w="2758" w:type="dxa"/>
            <w:shd w:val="clear" w:color="auto" w:fill="C5EDCE"/>
          </w:tcPr>
          <w:p w14:paraId="5A8AED7B"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C8.I10 Parcours personnalisés pour les jeunes de 16 à 18 ans</w:t>
            </w:r>
          </w:p>
        </w:tc>
        <w:tc>
          <w:tcPr>
            <w:tcW w:w="1353" w:type="dxa"/>
            <w:shd w:val="clear" w:color="auto" w:fill="C5EDCE"/>
          </w:tcPr>
          <w:p w14:paraId="5A8AED7C" w14:textId="77777777" w:rsidR="00740F0F" w:rsidRPr="0029070D" w:rsidRDefault="00100B64">
            <w:pPr>
              <w:spacing w:line="206" w:lineRule="exact"/>
              <w:ind w:left="520"/>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D7D" w14:textId="77777777" w:rsidR="00740F0F" w:rsidRPr="0029070D" w:rsidRDefault="00100B64">
            <w:pPr>
              <w:spacing w:line="204" w:lineRule="exact"/>
              <w:ind w:left="101"/>
              <w:rPr>
                <w:rFonts w:ascii="Times New Roman" w:eastAsia="Times New Roman" w:hAnsi="Times New Roman" w:cs="Times New Roman"/>
                <w:noProof/>
                <w:sz w:val="19"/>
              </w:rPr>
            </w:pPr>
            <w:r>
              <w:rPr>
                <w:rFonts w:ascii="Times New Roman" w:hAnsi="Times New Roman"/>
                <w:noProof/>
                <w:color w:val="005F00"/>
                <w:sz w:val="19"/>
              </w:rPr>
              <w:t>Jeunes participant aux activités de l’AFPA</w:t>
            </w:r>
          </w:p>
        </w:tc>
      </w:tr>
      <w:tr w:rsidR="00782477" w:rsidRPr="0029070D" w14:paraId="5A8AED83" w14:textId="77777777" w:rsidTr="00F84DDA">
        <w:trPr>
          <w:trHeight w:val="508"/>
          <w:jc w:val="center"/>
        </w:trPr>
        <w:tc>
          <w:tcPr>
            <w:tcW w:w="1268" w:type="dxa"/>
            <w:shd w:val="clear" w:color="auto" w:fill="C5EDCE"/>
          </w:tcPr>
          <w:p w14:paraId="5A8AED7F" w14:textId="77777777" w:rsidR="00740F0F" w:rsidRPr="0029070D" w:rsidRDefault="00100B64">
            <w:pPr>
              <w:spacing w:line="207" w:lineRule="exact"/>
              <w:ind w:left="386" w:right="279"/>
              <w:jc w:val="center"/>
              <w:rPr>
                <w:rFonts w:ascii="Times New Roman" w:eastAsia="Times New Roman" w:hAnsi="Times New Roman" w:cs="Times New Roman"/>
                <w:noProof/>
                <w:sz w:val="19"/>
              </w:rPr>
            </w:pPr>
            <w:r>
              <w:rPr>
                <w:rFonts w:ascii="Times New Roman" w:hAnsi="Times New Roman"/>
                <w:noProof/>
                <w:color w:val="005F00"/>
                <w:sz w:val="19"/>
              </w:rPr>
              <w:t>8-18</w:t>
            </w:r>
          </w:p>
        </w:tc>
        <w:tc>
          <w:tcPr>
            <w:tcW w:w="2758" w:type="dxa"/>
            <w:shd w:val="clear" w:color="auto" w:fill="C5EDCE"/>
          </w:tcPr>
          <w:p w14:paraId="5A8AED80" w14:textId="77777777" w:rsidR="00740F0F" w:rsidRPr="0029070D" w:rsidRDefault="00100B64">
            <w:pPr>
              <w:ind w:left="121" w:right="39"/>
              <w:rPr>
                <w:rFonts w:ascii="Times New Roman" w:eastAsia="Times New Roman" w:hAnsi="Times New Roman" w:cs="Times New Roman"/>
                <w:noProof/>
                <w:sz w:val="19"/>
              </w:rPr>
            </w:pPr>
            <w:r>
              <w:rPr>
                <w:rFonts w:ascii="Times New Roman" w:hAnsi="Times New Roman"/>
                <w:noProof/>
                <w:color w:val="005F00"/>
                <w:sz w:val="19"/>
              </w:rPr>
              <w:t>C8.I11 Création de places dans l’enseignement supérieur</w:t>
            </w:r>
          </w:p>
        </w:tc>
        <w:tc>
          <w:tcPr>
            <w:tcW w:w="1353" w:type="dxa"/>
            <w:shd w:val="clear" w:color="auto" w:fill="C5EDCE"/>
          </w:tcPr>
          <w:p w14:paraId="5A8AED81" w14:textId="77777777" w:rsidR="00740F0F" w:rsidRPr="0029070D" w:rsidRDefault="00100B64">
            <w:pPr>
              <w:spacing w:line="207" w:lineRule="exact"/>
              <w:ind w:left="520"/>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D82" w14:textId="77777777" w:rsidR="00740F0F" w:rsidRPr="0029070D" w:rsidRDefault="00100B64">
            <w:pPr>
              <w:spacing w:line="204" w:lineRule="exact"/>
              <w:ind w:left="101"/>
              <w:rPr>
                <w:rFonts w:ascii="Times New Roman" w:eastAsia="Times New Roman" w:hAnsi="Times New Roman" w:cs="Times New Roman"/>
                <w:noProof/>
                <w:sz w:val="19"/>
              </w:rPr>
            </w:pPr>
            <w:r>
              <w:rPr>
                <w:rFonts w:ascii="Times New Roman" w:hAnsi="Times New Roman"/>
                <w:noProof/>
                <w:color w:val="005F00"/>
                <w:sz w:val="19"/>
              </w:rPr>
              <w:t>Places créées dans l’enseignement supérieur</w:t>
            </w:r>
          </w:p>
        </w:tc>
      </w:tr>
      <w:tr w:rsidR="00782477" w:rsidRPr="0029070D" w14:paraId="5A8AED88" w14:textId="77777777" w:rsidTr="00F84DDA">
        <w:trPr>
          <w:trHeight w:val="510"/>
          <w:jc w:val="center"/>
        </w:trPr>
        <w:tc>
          <w:tcPr>
            <w:tcW w:w="1268" w:type="dxa"/>
            <w:shd w:val="clear" w:color="auto" w:fill="C5EDCE"/>
          </w:tcPr>
          <w:p w14:paraId="5A8AED84" w14:textId="77777777" w:rsidR="00740F0F" w:rsidRPr="0029070D" w:rsidRDefault="00100B64">
            <w:pPr>
              <w:spacing w:line="206" w:lineRule="exact"/>
              <w:ind w:left="386" w:right="279"/>
              <w:jc w:val="center"/>
              <w:rPr>
                <w:rFonts w:ascii="Times New Roman" w:eastAsia="Times New Roman" w:hAnsi="Times New Roman" w:cs="Times New Roman"/>
                <w:noProof/>
                <w:sz w:val="19"/>
              </w:rPr>
            </w:pPr>
            <w:r>
              <w:rPr>
                <w:rFonts w:ascii="Times New Roman" w:hAnsi="Times New Roman"/>
                <w:noProof/>
                <w:color w:val="005F00"/>
                <w:sz w:val="19"/>
              </w:rPr>
              <w:t>8-20</w:t>
            </w:r>
          </w:p>
        </w:tc>
        <w:tc>
          <w:tcPr>
            <w:tcW w:w="2758" w:type="dxa"/>
            <w:shd w:val="clear" w:color="auto" w:fill="C5EDCE"/>
          </w:tcPr>
          <w:p w14:paraId="5A8AED85"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C8.I13 PACEA et Garantie jeunes</w:t>
            </w:r>
          </w:p>
        </w:tc>
        <w:tc>
          <w:tcPr>
            <w:tcW w:w="1353" w:type="dxa"/>
            <w:shd w:val="clear" w:color="auto" w:fill="C5EDCE"/>
          </w:tcPr>
          <w:p w14:paraId="5A8AED86" w14:textId="77777777" w:rsidR="00740F0F" w:rsidRPr="0029070D" w:rsidRDefault="00100B64">
            <w:pPr>
              <w:spacing w:line="206" w:lineRule="exact"/>
              <w:ind w:left="520"/>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D87" w14:textId="77777777" w:rsidR="00740F0F" w:rsidRPr="0029070D" w:rsidRDefault="00100B64">
            <w:pPr>
              <w:spacing w:line="206" w:lineRule="exact"/>
              <w:ind w:left="101"/>
              <w:rPr>
                <w:rFonts w:ascii="Times New Roman" w:eastAsia="Times New Roman" w:hAnsi="Times New Roman" w:cs="Times New Roman"/>
                <w:noProof/>
                <w:sz w:val="19"/>
              </w:rPr>
            </w:pPr>
            <w:r>
              <w:rPr>
                <w:rFonts w:ascii="Times New Roman" w:hAnsi="Times New Roman"/>
                <w:noProof/>
                <w:color w:val="005F00"/>
                <w:sz w:val="19"/>
              </w:rPr>
              <w:t>Bénéficiaires du PACEA et de la Garantie jeunes à partir de 2021</w:t>
            </w:r>
          </w:p>
        </w:tc>
      </w:tr>
      <w:tr w:rsidR="00782477" w:rsidRPr="0029070D" w14:paraId="5A8AED8D" w14:textId="77777777" w:rsidTr="00F84DDA">
        <w:trPr>
          <w:trHeight w:val="510"/>
          <w:jc w:val="center"/>
        </w:trPr>
        <w:tc>
          <w:tcPr>
            <w:tcW w:w="1268" w:type="dxa"/>
            <w:shd w:val="clear" w:color="auto" w:fill="C5EDCE"/>
          </w:tcPr>
          <w:p w14:paraId="5A8AED89" w14:textId="77777777" w:rsidR="00740F0F" w:rsidRPr="0029070D" w:rsidRDefault="00100B64">
            <w:pPr>
              <w:spacing w:line="206" w:lineRule="exact"/>
              <w:ind w:left="386" w:right="279"/>
              <w:jc w:val="center"/>
              <w:rPr>
                <w:rFonts w:ascii="Times New Roman" w:eastAsia="Times New Roman" w:hAnsi="Times New Roman" w:cs="Times New Roman"/>
                <w:noProof/>
                <w:sz w:val="19"/>
              </w:rPr>
            </w:pPr>
            <w:r>
              <w:rPr>
                <w:rFonts w:ascii="Times New Roman" w:hAnsi="Times New Roman"/>
                <w:noProof/>
                <w:color w:val="005F00"/>
                <w:sz w:val="19"/>
              </w:rPr>
              <w:t>8-21</w:t>
            </w:r>
          </w:p>
        </w:tc>
        <w:tc>
          <w:tcPr>
            <w:tcW w:w="2758" w:type="dxa"/>
            <w:shd w:val="clear" w:color="auto" w:fill="C5EDCE"/>
          </w:tcPr>
          <w:p w14:paraId="5A8AED8A"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C8.I14 Contrats aidés pour les jeunes (PEC et CIE)</w:t>
            </w:r>
          </w:p>
        </w:tc>
        <w:tc>
          <w:tcPr>
            <w:tcW w:w="1353" w:type="dxa"/>
            <w:shd w:val="clear" w:color="auto" w:fill="C5EDCE"/>
          </w:tcPr>
          <w:p w14:paraId="5A8AED8B" w14:textId="77777777" w:rsidR="00740F0F" w:rsidRPr="0029070D" w:rsidRDefault="00100B64">
            <w:pPr>
              <w:spacing w:line="206" w:lineRule="exact"/>
              <w:ind w:left="520"/>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D8C" w14:textId="77777777" w:rsidR="00740F0F" w:rsidRPr="0029070D" w:rsidRDefault="00100B64">
            <w:pPr>
              <w:spacing w:line="204" w:lineRule="exact"/>
              <w:ind w:left="101"/>
              <w:rPr>
                <w:rFonts w:ascii="Times New Roman" w:eastAsia="Times New Roman" w:hAnsi="Times New Roman" w:cs="Times New Roman"/>
                <w:noProof/>
                <w:sz w:val="19"/>
              </w:rPr>
            </w:pPr>
            <w:r>
              <w:rPr>
                <w:rFonts w:ascii="Times New Roman" w:hAnsi="Times New Roman"/>
                <w:noProof/>
                <w:color w:val="005F00"/>
                <w:sz w:val="19"/>
              </w:rPr>
              <w:t>Contrats aidés supplémentaires</w:t>
            </w:r>
          </w:p>
        </w:tc>
      </w:tr>
      <w:tr w:rsidR="00782477" w:rsidRPr="0029070D" w14:paraId="5A8AED92" w14:textId="77777777" w:rsidTr="00F84DDA">
        <w:trPr>
          <w:trHeight w:val="510"/>
          <w:jc w:val="center"/>
        </w:trPr>
        <w:tc>
          <w:tcPr>
            <w:tcW w:w="1268" w:type="dxa"/>
            <w:shd w:val="clear" w:color="auto" w:fill="C5EDCE"/>
          </w:tcPr>
          <w:p w14:paraId="5A8AED8E" w14:textId="77777777" w:rsidR="00740F0F" w:rsidRPr="0029070D" w:rsidRDefault="00100B64">
            <w:pPr>
              <w:spacing w:line="206" w:lineRule="exact"/>
              <w:ind w:left="386" w:right="279"/>
              <w:jc w:val="center"/>
              <w:rPr>
                <w:rFonts w:ascii="Times New Roman" w:eastAsia="Times New Roman" w:hAnsi="Times New Roman" w:cs="Times New Roman"/>
                <w:noProof/>
                <w:sz w:val="19"/>
              </w:rPr>
            </w:pPr>
            <w:r>
              <w:rPr>
                <w:rFonts w:ascii="Times New Roman" w:hAnsi="Times New Roman"/>
                <w:noProof/>
                <w:color w:val="005F00"/>
                <w:sz w:val="19"/>
              </w:rPr>
              <w:t>8-26</w:t>
            </w:r>
          </w:p>
        </w:tc>
        <w:tc>
          <w:tcPr>
            <w:tcW w:w="2758" w:type="dxa"/>
            <w:shd w:val="clear" w:color="auto" w:fill="C5EDCE"/>
          </w:tcPr>
          <w:p w14:paraId="5A8AED8F"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C8.I18 Contenus pédagogiques digitalisés: plateformes de contenus digitalisés</w:t>
            </w:r>
          </w:p>
        </w:tc>
        <w:tc>
          <w:tcPr>
            <w:tcW w:w="1353" w:type="dxa"/>
            <w:shd w:val="clear" w:color="auto" w:fill="C5EDCE"/>
          </w:tcPr>
          <w:p w14:paraId="5A8AED90" w14:textId="77777777" w:rsidR="00740F0F" w:rsidRPr="0029070D" w:rsidRDefault="00100B64">
            <w:pPr>
              <w:spacing w:line="206" w:lineRule="exact"/>
              <w:ind w:left="388"/>
              <w:rPr>
                <w:rFonts w:ascii="Times New Roman" w:eastAsia="Times New Roman" w:hAnsi="Times New Roman" w:cs="Times New Roman"/>
                <w:noProof/>
                <w:sz w:val="19"/>
              </w:rPr>
            </w:pPr>
            <w:r>
              <w:rPr>
                <w:rFonts w:ascii="Times New Roman" w:hAnsi="Times New Roman"/>
                <w:noProof/>
                <w:color w:val="005F00"/>
                <w:sz w:val="19"/>
              </w:rPr>
              <w:t>Jalon</w:t>
            </w:r>
          </w:p>
        </w:tc>
        <w:tc>
          <w:tcPr>
            <w:tcW w:w="4688" w:type="dxa"/>
            <w:shd w:val="clear" w:color="auto" w:fill="C5EDCE"/>
          </w:tcPr>
          <w:p w14:paraId="5A8AED91" w14:textId="77777777" w:rsidR="00740F0F" w:rsidRPr="0029070D" w:rsidRDefault="00100B64">
            <w:pPr>
              <w:spacing w:line="204" w:lineRule="exact"/>
              <w:ind w:left="101"/>
              <w:rPr>
                <w:rFonts w:ascii="Times New Roman" w:eastAsia="Times New Roman" w:hAnsi="Times New Roman" w:cs="Times New Roman"/>
                <w:noProof/>
                <w:sz w:val="19"/>
              </w:rPr>
            </w:pPr>
            <w:r>
              <w:rPr>
                <w:rFonts w:ascii="Times New Roman" w:hAnsi="Times New Roman"/>
                <w:noProof/>
                <w:color w:val="005F00"/>
                <w:sz w:val="19"/>
              </w:rPr>
              <w:t>Soutien à l’assistance à la gestion de projets en vue de favoriser la conception et la diffusion de contenu numérique</w:t>
            </w:r>
          </w:p>
        </w:tc>
      </w:tr>
      <w:tr w:rsidR="00782477" w:rsidRPr="0029070D" w14:paraId="5A8AED97" w14:textId="77777777" w:rsidTr="00F84DDA">
        <w:trPr>
          <w:trHeight w:val="875"/>
          <w:jc w:val="center"/>
        </w:trPr>
        <w:tc>
          <w:tcPr>
            <w:tcW w:w="1268" w:type="dxa"/>
            <w:shd w:val="clear" w:color="auto" w:fill="C5EDCE"/>
          </w:tcPr>
          <w:p w14:paraId="5A8AED93" w14:textId="77777777" w:rsidR="00740F0F" w:rsidRPr="0029070D" w:rsidRDefault="00100B64">
            <w:pPr>
              <w:spacing w:line="206" w:lineRule="exact"/>
              <w:ind w:left="386" w:right="279"/>
              <w:jc w:val="center"/>
              <w:rPr>
                <w:rFonts w:ascii="Times New Roman" w:eastAsia="Times New Roman" w:hAnsi="Times New Roman" w:cs="Times New Roman"/>
                <w:noProof/>
                <w:sz w:val="19"/>
              </w:rPr>
            </w:pPr>
            <w:r>
              <w:rPr>
                <w:rFonts w:ascii="Times New Roman" w:hAnsi="Times New Roman"/>
                <w:noProof/>
                <w:color w:val="005F00"/>
                <w:sz w:val="19"/>
              </w:rPr>
              <w:t>8-27</w:t>
            </w:r>
          </w:p>
        </w:tc>
        <w:tc>
          <w:tcPr>
            <w:tcW w:w="2758" w:type="dxa"/>
            <w:shd w:val="clear" w:color="auto" w:fill="C5EDCE"/>
          </w:tcPr>
          <w:p w14:paraId="5A8AED94"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C8.I19 Dotation complémentaire allouée aux associations «Transitions Pro» (AT pro) pour le financement des transitions professionnelles</w:t>
            </w:r>
          </w:p>
        </w:tc>
        <w:tc>
          <w:tcPr>
            <w:tcW w:w="1353" w:type="dxa"/>
            <w:shd w:val="clear" w:color="auto" w:fill="C5EDCE"/>
          </w:tcPr>
          <w:p w14:paraId="5A8AED95" w14:textId="77777777" w:rsidR="00740F0F" w:rsidRPr="0029070D" w:rsidRDefault="00100B64">
            <w:pPr>
              <w:spacing w:line="206" w:lineRule="exact"/>
              <w:ind w:left="520"/>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D96" w14:textId="77777777" w:rsidR="00740F0F" w:rsidRPr="0029070D" w:rsidRDefault="00100B64">
            <w:pPr>
              <w:spacing w:line="204" w:lineRule="exact"/>
              <w:ind w:left="101"/>
              <w:rPr>
                <w:rFonts w:ascii="Times New Roman" w:eastAsia="Times New Roman" w:hAnsi="Times New Roman" w:cs="Times New Roman"/>
                <w:noProof/>
                <w:sz w:val="19"/>
              </w:rPr>
            </w:pPr>
            <w:r>
              <w:rPr>
                <w:rFonts w:ascii="Times New Roman" w:hAnsi="Times New Roman"/>
                <w:noProof/>
                <w:color w:val="005F00"/>
                <w:sz w:val="19"/>
              </w:rPr>
              <w:t>Projets de transition professionnelle financés</w:t>
            </w:r>
          </w:p>
        </w:tc>
      </w:tr>
      <w:tr w:rsidR="00782477" w:rsidRPr="0029070D" w14:paraId="5A8AED9C" w14:textId="77777777" w:rsidTr="00F84DDA">
        <w:trPr>
          <w:trHeight w:val="813"/>
          <w:jc w:val="center"/>
        </w:trPr>
        <w:tc>
          <w:tcPr>
            <w:tcW w:w="1268" w:type="dxa"/>
            <w:shd w:val="clear" w:color="auto" w:fill="C5EDCE"/>
          </w:tcPr>
          <w:p w14:paraId="5A8AED98" w14:textId="77777777" w:rsidR="00740F0F" w:rsidRPr="0029070D" w:rsidRDefault="00100B64">
            <w:pPr>
              <w:spacing w:line="206" w:lineRule="exact"/>
              <w:ind w:left="386" w:right="279"/>
              <w:jc w:val="center"/>
              <w:rPr>
                <w:rFonts w:ascii="Times New Roman" w:eastAsia="Times New Roman" w:hAnsi="Times New Roman" w:cs="Times New Roman"/>
                <w:noProof/>
                <w:sz w:val="19"/>
              </w:rPr>
            </w:pPr>
            <w:r>
              <w:rPr>
                <w:rFonts w:ascii="Times New Roman" w:hAnsi="Times New Roman"/>
                <w:noProof/>
                <w:color w:val="005F00"/>
                <w:sz w:val="19"/>
              </w:rPr>
              <w:t>8-28</w:t>
            </w:r>
          </w:p>
        </w:tc>
        <w:tc>
          <w:tcPr>
            <w:tcW w:w="2758" w:type="dxa"/>
            <w:shd w:val="clear" w:color="auto" w:fill="C5EDCE"/>
          </w:tcPr>
          <w:p w14:paraId="5A8AED99"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C8.I20 Abondement des comptes personnels de formation (CPF) pour développer les compétences numériques</w:t>
            </w:r>
          </w:p>
        </w:tc>
        <w:tc>
          <w:tcPr>
            <w:tcW w:w="1353" w:type="dxa"/>
            <w:shd w:val="clear" w:color="auto" w:fill="C5EDCE"/>
          </w:tcPr>
          <w:p w14:paraId="5A8AED9A" w14:textId="77777777" w:rsidR="00740F0F" w:rsidRPr="0029070D" w:rsidRDefault="00100B64">
            <w:pPr>
              <w:spacing w:line="206" w:lineRule="exact"/>
              <w:ind w:left="417"/>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D9B" w14:textId="77777777" w:rsidR="00740F0F" w:rsidRPr="0029070D" w:rsidRDefault="00100B64">
            <w:pPr>
              <w:spacing w:line="204" w:lineRule="exact"/>
              <w:ind w:left="101"/>
              <w:rPr>
                <w:rFonts w:ascii="Times New Roman" w:eastAsia="Times New Roman" w:hAnsi="Times New Roman" w:cs="Times New Roman"/>
                <w:noProof/>
                <w:sz w:val="19"/>
              </w:rPr>
            </w:pPr>
            <w:r>
              <w:rPr>
                <w:rFonts w:ascii="Times New Roman" w:hAnsi="Times New Roman"/>
                <w:noProof/>
                <w:color w:val="005F00"/>
                <w:sz w:val="19"/>
              </w:rPr>
              <w:t>Personnes ayant mobilisé leur CPF avec l’abondement pour s’inscrire à une formation aux compétences numériques inscrite au répertoire national des compétences professionnelles</w:t>
            </w:r>
          </w:p>
        </w:tc>
      </w:tr>
      <w:tr w:rsidR="00782477" w:rsidRPr="0029070D" w14:paraId="5A8AEDA1" w14:textId="77777777" w:rsidTr="00F84DDA">
        <w:trPr>
          <w:trHeight w:val="510"/>
          <w:jc w:val="center"/>
        </w:trPr>
        <w:tc>
          <w:tcPr>
            <w:tcW w:w="1268" w:type="dxa"/>
            <w:shd w:val="clear" w:color="auto" w:fill="C5EDCE"/>
          </w:tcPr>
          <w:p w14:paraId="5A8AED9D" w14:textId="77777777" w:rsidR="00740F0F" w:rsidRPr="0029070D" w:rsidRDefault="00100B64">
            <w:pPr>
              <w:spacing w:line="206" w:lineRule="exact"/>
              <w:ind w:left="386" w:right="279"/>
              <w:jc w:val="center"/>
              <w:rPr>
                <w:rFonts w:ascii="Times New Roman" w:eastAsia="Times New Roman" w:hAnsi="Times New Roman" w:cs="Times New Roman"/>
                <w:noProof/>
                <w:sz w:val="19"/>
              </w:rPr>
            </w:pPr>
            <w:r>
              <w:rPr>
                <w:rFonts w:ascii="Times New Roman" w:hAnsi="Times New Roman"/>
                <w:noProof/>
                <w:color w:val="005F00"/>
                <w:sz w:val="19"/>
              </w:rPr>
              <w:t>8-31</w:t>
            </w:r>
          </w:p>
        </w:tc>
        <w:tc>
          <w:tcPr>
            <w:tcW w:w="2758" w:type="dxa"/>
            <w:shd w:val="clear" w:color="auto" w:fill="C5EDCE"/>
          </w:tcPr>
          <w:p w14:paraId="5A8AED9E"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C8.I22 Renforcement des moyens de Pôle Emploi</w:t>
            </w:r>
          </w:p>
        </w:tc>
        <w:tc>
          <w:tcPr>
            <w:tcW w:w="1353" w:type="dxa"/>
            <w:shd w:val="clear" w:color="auto" w:fill="C5EDCE"/>
          </w:tcPr>
          <w:p w14:paraId="5A8AED9F" w14:textId="77777777" w:rsidR="00740F0F" w:rsidRPr="0029070D" w:rsidRDefault="00100B64">
            <w:pPr>
              <w:spacing w:line="206" w:lineRule="exact"/>
              <w:ind w:left="417"/>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DA0" w14:textId="77777777" w:rsidR="00740F0F" w:rsidRPr="0029070D" w:rsidRDefault="00100B64">
            <w:pPr>
              <w:spacing w:line="204" w:lineRule="exact"/>
              <w:ind w:left="101"/>
              <w:rPr>
                <w:rFonts w:ascii="Times New Roman" w:eastAsia="Times New Roman" w:hAnsi="Times New Roman" w:cs="Times New Roman"/>
                <w:noProof/>
                <w:sz w:val="19"/>
              </w:rPr>
            </w:pPr>
            <w:r>
              <w:rPr>
                <w:rFonts w:ascii="Times New Roman" w:hAnsi="Times New Roman"/>
                <w:noProof/>
                <w:color w:val="005F00"/>
                <w:sz w:val="19"/>
              </w:rPr>
              <w:t>Recrutement de conseillers Pôle Emploi</w:t>
            </w:r>
          </w:p>
        </w:tc>
      </w:tr>
      <w:tr w:rsidR="00782477" w:rsidRPr="0029070D" w14:paraId="5A8AEDA6" w14:textId="77777777" w:rsidTr="00F84DDA">
        <w:trPr>
          <w:trHeight w:val="810"/>
          <w:jc w:val="center"/>
        </w:trPr>
        <w:tc>
          <w:tcPr>
            <w:tcW w:w="1268" w:type="dxa"/>
            <w:shd w:val="clear" w:color="auto" w:fill="C5EDCE"/>
          </w:tcPr>
          <w:p w14:paraId="5A8AEDA2" w14:textId="77777777" w:rsidR="00740F0F" w:rsidRPr="0029070D" w:rsidRDefault="00100B64">
            <w:pPr>
              <w:spacing w:line="206" w:lineRule="exact"/>
              <w:ind w:left="386" w:right="279"/>
              <w:jc w:val="center"/>
              <w:rPr>
                <w:rFonts w:ascii="Times New Roman" w:eastAsia="Times New Roman" w:hAnsi="Times New Roman" w:cs="Times New Roman"/>
                <w:noProof/>
                <w:sz w:val="19"/>
              </w:rPr>
            </w:pPr>
            <w:r>
              <w:rPr>
                <w:rFonts w:ascii="Times New Roman" w:hAnsi="Times New Roman"/>
                <w:noProof/>
                <w:color w:val="005F00"/>
                <w:sz w:val="19"/>
              </w:rPr>
              <w:t>9-11</w:t>
            </w:r>
          </w:p>
        </w:tc>
        <w:tc>
          <w:tcPr>
            <w:tcW w:w="2758" w:type="dxa"/>
            <w:shd w:val="clear" w:color="auto" w:fill="C5EDCE"/>
          </w:tcPr>
          <w:p w14:paraId="5A8AEDA3"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C9.I3 Rénovation des établissements médico-sociaux</w:t>
            </w:r>
          </w:p>
        </w:tc>
        <w:tc>
          <w:tcPr>
            <w:tcW w:w="1353" w:type="dxa"/>
            <w:shd w:val="clear" w:color="auto" w:fill="C5EDCE"/>
          </w:tcPr>
          <w:p w14:paraId="5A8AEDA4" w14:textId="77777777" w:rsidR="00740F0F" w:rsidRPr="0029070D" w:rsidRDefault="00100B64">
            <w:pPr>
              <w:spacing w:line="206" w:lineRule="exact"/>
              <w:ind w:left="417"/>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DA5" w14:textId="77777777" w:rsidR="00740F0F" w:rsidRPr="0029070D" w:rsidRDefault="00100B64">
            <w:pPr>
              <w:spacing w:line="204" w:lineRule="exact"/>
              <w:ind w:left="101"/>
              <w:rPr>
                <w:rFonts w:ascii="Times New Roman" w:eastAsia="Times New Roman" w:hAnsi="Times New Roman" w:cs="Times New Roman"/>
                <w:noProof/>
                <w:sz w:val="19"/>
              </w:rPr>
            </w:pPr>
            <w:r>
              <w:rPr>
                <w:rFonts w:ascii="Times New Roman" w:hAnsi="Times New Roman"/>
                <w:noProof/>
                <w:color w:val="005F00"/>
                <w:sz w:val="19"/>
              </w:rPr>
              <w:t>Nombre d’établissements d’hébergement ayant bénéficié d’une aide à l’équipement en vue d’améliorer les conditions d’accueil des personnes âgées («investissement du quotidien») (en cumulé)</w:t>
            </w:r>
          </w:p>
        </w:tc>
      </w:tr>
      <w:tr w:rsidR="00782477" w:rsidRPr="0029070D" w14:paraId="5A8AEDAB" w14:textId="77777777" w:rsidTr="00F84DDA">
        <w:trPr>
          <w:trHeight w:val="510"/>
          <w:jc w:val="center"/>
        </w:trPr>
        <w:tc>
          <w:tcPr>
            <w:tcW w:w="1268" w:type="dxa"/>
            <w:shd w:val="clear" w:color="auto" w:fill="C5EDCE"/>
          </w:tcPr>
          <w:p w14:paraId="5A8AEDA7" w14:textId="77777777" w:rsidR="00740F0F" w:rsidRPr="0029070D" w:rsidRDefault="00100B64">
            <w:pPr>
              <w:spacing w:line="206" w:lineRule="exact"/>
              <w:ind w:left="386" w:right="279"/>
              <w:jc w:val="center"/>
              <w:rPr>
                <w:rFonts w:ascii="Times New Roman" w:eastAsia="Times New Roman" w:hAnsi="Times New Roman" w:cs="Times New Roman"/>
                <w:noProof/>
                <w:sz w:val="19"/>
              </w:rPr>
            </w:pPr>
            <w:r>
              <w:rPr>
                <w:rFonts w:ascii="Times New Roman" w:hAnsi="Times New Roman"/>
                <w:noProof/>
                <w:color w:val="005F00"/>
                <w:sz w:val="19"/>
              </w:rPr>
              <w:t>9-13</w:t>
            </w:r>
          </w:p>
        </w:tc>
        <w:tc>
          <w:tcPr>
            <w:tcW w:w="2758" w:type="dxa"/>
            <w:shd w:val="clear" w:color="auto" w:fill="C5EDCE"/>
          </w:tcPr>
          <w:p w14:paraId="5A8AEDA8"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C9.I4 Numéro national de prévention</w:t>
            </w:r>
          </w:p>
        </w:tc>
        <w:tc>
          <w:tcPr>
            <w:tcW w:w="1353" w:type="dxa"/>
            <w:shd w:val="clear" w:color="auto" w:fill="C5EDCE"/>
          </w:tcPr>
          <w:p w14:paraId="5A8AEDA9" w14:textId="77777777" w:rsidR="00740F0F" w:rsidRPr="0029070D" w:rsidRDefault="00100B64">
            <w:pPr>
              <w:spacing w:line="206" w:lineRule="exact"/>
              <w:ind w:left="284"/>
              <w:rPr>
                <w:rFonts w:ascii="Times New Roman" w:eastAsia="Times New Roman" w:hAnsi="Times New Roman" w:cs="Times New Roman"/>
                <w:noProof/>
                <w:sz w:val="19"/>
              </w:rPr>
            </w:pPr>
            <w:r>
              <w:rPr>
                <w:rFonts w:ascii="Times New Roman" w:hAnsi="Times New Roman"/>
                <w:noProof/>
                <w:color w:val="005F00"/>
                <w:sz w:val="19"/>
              </w:rPr>
              <w:t>Jalon</w:t>
            </w:r>
          </w:p>
        </w:tc>
        <w:tc>
          <w:tcPr>
            <w:tcW w:w="4688" w:type="dxa"/>
            <w:shd w:val="clear" w:color="auto" w:fill="C5EDCE"/>
          </w:tcPr>
          <w:p w14:paraId="5A8AEDAA" w14:textId="77777777" w:rsidR="00740F0F" w:rsidRPr="0029070D" w:rsidRDefault="00100B64">
            <w:pPr>
              <w:spacing w:line="204" w:lineRule="exact"/>
              <w:ind w:left="101"/>
              <w:rPr>
                <w:rFonts w:ascii="Times New Roman" w:eastAsia="Times New Roman" w:hAnsi="Times New Roman" w:cs="Times New Roman"/>
                <w:noProof/>
                <w:sz w:val="19"/>
              </w:rPr>
            </w:pPr>
            <w:r>
              <w:rPr>
                <w:rFonts w:ascii="Times New Roman" w:hAnsi="Times New Roman"/>
                <w:noProof/>
                <w:color w:val="005F00"/>
                <w:sz w:val="19"/>
              </w:rPr>
              <w:t>Mise en service de la ligne téléphonique de prévention du suicide</w:t>
            </w:r>
          </w:p>
        </w:tc>
      </w:tr>
      <w:tr w:rsidR="00782477" w:rsidRPr="0029070D" w14:paraId="5A8AEDB0" w14:textId="77777777" w:rsidTr="00F84DDA">
        <w:trPr>
          <w:trHeight w:val="541"/>
          <w:jc w:val="center"/>
        </w:trPr>
        <w:tc>
          <w:tcPr>
            <w:tcW w:w="1268" w:type="dxa"/>
            <w:shd w:val="clear" w:color="auto" w:fill="C5EDCE"/>
          </w:tcPr>
          <w:p w14:paraId="5A8AEDAC" w14:textId="77777777" w:rsidR="00740F0F" w:rsidRPr="0029070D" w:rsidRDefault="00100B64">
            <w:pPr>
              <w:spacing w:line="206" w:lineRule="exact"/>
              <w:ind w:left="386" w:right="279"/>
              <w:jc w:val="center"/>
              <w:rPr>
                <w:rFonts w:ascii="Times New Roman" w:eastAsia="Times New Roman" w:hAnsi="Times New Roman" w:cs="Times New Roman"/>
                <w:noProof/>
                <w:sz w:val="19"/>
              </w:rPr>
            </w:pPr>
            <w:r>
              <w:rPr>
                <w:rFonts w:ascii="Times New Roman" w:hAnsi="Times New Roman"/>
                <w:noProof/>
                <w:color w:val="005F00"/>
                <w:sz w:val="19"/>
              </w:rPr>
              <w:t>9-14</w:t>
            </w:r>
          </w:p>
        </w:tc>
        <w:tc>
          <w:tcPr>
            <w:tcW w:w="2758" w:type="dxa"/>
            <w:shd w:val="clear" w:color="auto" w:fill="C5EDCE"/>
          </w:tcPr>
          <w:p w14:paraId="5A8AEDAD"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C9.I5 Plan France très haut débit</w:t>
            </w:r>
          </w:p>
        </w:tc>
        <w:tc>
          <w:tcPr>
            <w:tcW w:w="1353" w:type="dxa"/>
            <w:shd w:val="clear" w:color="auto" w:fill="C5EDCE"/>
          </w:tcPr>
          <w:p w14:paraId="5A8AEDAE" w14:textId="77777777" w:rsidR="00740F0F" w:rsidRPr="0029070D" w:rsidRDefault="00100B64">
            <w:pPr>
              <w:spacing w:line="206" w:lineRule="exact"/>
              <w:ind w:left="417"/>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DAF" w14:textId="77777777" w:rsidR="00740F0F" w:rsidRPr="0029070D" w:rsidRDefault="00100B64">
            <w:pPr>
              <w:spacing w:line="204" w:lineRule="exact"/>
              <w:ind w:left="101"/>
              <w:rPr>
                <w:rFonts w:ascii="Times New Roman" w:eastAsia="Times New Roman" w:hAnsi="Times New Roman" w:cs="Times New Roman"/>
                <w:noProof/>
                <w:sz w:val="19"/>
              </w:rPr>
            </w:pPr>
            <w:r>
              <w:rPr>
                <w:rFonts w:ascii="Times New Roman" w:hAnsi="Times New Roman"/>
                <w:noProof/>
                <w:color w:val="005F00"/>
                <w:sz w:val="19"/>
              </w:rPr>
              <w:t>Logements et locaux professionnels supplémentaires connectables à la fibre</w:t>
            </w:r>
          </w:p>
        </w:tc>
      </w:tr>
      <w:tr w:rsidR="00782477" w:rsidRPr="0029070D" w14:paraId="5A8AEDB5" w14:textId="77777777" w:rsidTr="00F84DDA">
        <w:trPr>
          <w:trHeight w:val="510"/>
          <w:jc w:val="center"/>
        </w:trPr>
        <w:tc>
          <w:tcPr>
            <w:tcW w:w="1268" w:type="dxa"/>
            <w:shd w:val="clear" w:color="auto" w:fill="C5EDCE"/>
          </w:tcPr>
          <w:p w14:paraId="5A8AEDB1" w14:textId="77777777" w:rsidR="00740F0F" w:rsidRPr="0029070D" w:rsidRDefault="00100B64">
            <w:pPr>
              <w:spacing w:line="206" w:lineRule="exact"/>
              <w:ind w:left="386" w:right="279"/>
              <w:jc w:val="center"/>
              <w:rPr>
                <w:rFonts w:ascii="Times New Roman" w:eastAsia="Times New Roman" w:hAnsi="Times New Roman" w:cs="Times New Roman"/>
                <w:noProof/>
                <w:sz w:val="19"/>
              </w:rPr>
            </w:pPr>
            <w:r>
              <w:rPr>
                <w:rFonts w:ascii="Times New Roman" w:hAnsi="Times New Roman"/>
                <w:noProof/>
                <w:color w:val="005F00"/>
                <w:sz w:val="19"/>
              </w:rPr>
              <w:t>9-16</w:t>
            </w:r>
          </w:p>
        </w:tc>
        <w:tc>
          <w:tcPr>
            <w:tcW w:w="2758" w:type="dxa"/>
            <w:shd w:val="clear" w:color="auto" w:fill="C5EDCE"/>
          </w:tcPr>
          <w:p w14:paraId="5A8AEDB2"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C9.I6 Inclusion numérique</w:t>
            </w:r>
          </w:p>
        </w:tc>
        <w:tc>
          <w:tcPr>
            <w:tcW w:w="1353" w:type="dxa"/>
            <w:shd w:val="clear" w:color="auto" w:fill="C5EDCE"/>
          </w:tcPr>
          <w:p w14:paraId="5A8AEDB3" w14:textId="77777777" w:rsidR="00740F0F" w:rsidRPr="0029070D" w:rsidRDefault="00100B64">
            <w:pPr>
              <w:spacing w:line="206" w:lineRule="exact"/>
              <w:ind w:left="417"/>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DB4" w14:textId="77777777" w:rsidR="00740F0F" w:rsidRPr="0029070D" w:rsidRDefault="00100B64">
            <w:pPr>
              <w:spacing w:line="206" w:lineRule="exact"/>
              <w:ind w:left="101"/>
              <w:rPr>
                <w:rFonts w:ascii="Times New Roman" w:eastAsia="Times New Roman" w:hAnsi="Times New Roman" w:cs="Times New Roman"/>
                <w:noProof/>
                <w:sz w:val="19"/>
              </w:rPr>
            </w:pPr>
            <w:r>
              <w:rPr>
                <w:rFonts w:ascii="Times New Roman" w:hAnsi="Times New Roman"/>
                <w:noProof/>
                <w:color w:val="005F00"/>
                <w:sz w:val="19"/>
              </w:rPr>
              <w:t>Conseillers numériques France Services formés</w:t>
            </w:r>
          </w:p>
        </w:tc>
      </w:tr>
      <w:tr w:rsidR="00782477" w:rsidRPr="0029070D" w14:paraId="5A8AEDBA" w14:textId="77777777" w:rsidTr="00F84DDA">
        <w:trPr>
          <w:trHeight w:val="541"/>
          <w:jc w:val="center"/>
        </w:trPr>
        <w:tc>
          <w:tcPr>
            <w:tcW w:w="1268" w:type="dxa"/>
            <w:shd w:val="clear" w:color="auto" w:fill="C5EDCE"/>
          </w:tcPr>
          <w:p w14:paraId="5A8AEDB6" w14:textId="77777777" w:rsidR="00740F0F" w:rsidRPr="0029070D" w:rsidRDefault="00100B64">
            <w:pPr>
              <w:spacing w:line="206" w:lineRule="exact"/>
              <w:ind w:left="386" w:right="279"/>
              <w:jc w:val="center"/>
              <w:rPr>
                <w:rFonts w:ascii="Times New Roman" w:eastAsia="Times New Roman" w:hAnsi="Times New Roman" w:cs="Times New Roman"/>
                <w:noProof/>
                <w:sz w:val="19"/>
              </w:rPr>
            </w:pPr>
            <w:r>
              <w:rPr>
                <w:rFonts w:ascii="Times New Roman" w:hAnsi="Times New Roman"/>
                <w:noProof/>
                <w:color w:val="005F00"/>
                <w:sz w:val="19"/>
              </w:rPr>
              <w:t>9-17</w:t>
            </w:r>
          </w:p>
        </w:tc>
        <w:tc>
          <w:tcPr>
            <w:tcW w:w="2758" w:type="dxa"/>
            <w:shd w:val="clear" w:color="auto" w:fill="C5EDCE"/>
          </w:tcPr>
          <w:p w14:paraId="5A8AEDB7" w14:textId="77777777" w:rsidR="00740F0F" w:rsidRPr="0029070D" w:rsidRDefault="00100B64">
            <w:pPr>
              <w:spacing w:line="197" w:lineRule="exact"/>
              <w:ind w:left="121"/>
              <w:rPr>
                <w:rFonts w:ascii="Times New Roman" w:eastAsia="Times New Roman" w:hAnsi="Times New Roman" w:cs="Times New Roman"/>
                <w:noProof/>
                <w:sz w:val="19"/>
              </w:rPr>
            </w:pPr>
            <w:r>
              <w:rPr>
                <w:rFonts w:ascii="Times New Roman" w:hAnsi="Times New Roman"/>
                <w:noProof/>
                <w:color w:val="005F00"/>
                <w:sz w:val="19"/>
              </w:rPr>
              <w:t>C9.I7 Stratégie de relance de la R&amp;D</w:t>
            </w:r>
          </w:p>
        </w:tc>
        <w:tc>
          <w:tcPr>
            <w:tcW w:w="1353" w:type="dxa"/>
            <w:shd w:val="clear" w:color="auto" w:fill="C5EDCE"/>
          </w:tcPr>
          <w:p w14:paraId="5A8AEDB8" w14:textId="77777777" w:rsidR="00740F0F" w:rsidRPr="0029070D" w:rsidRDefault="00100B64">
            <w:pPr>
              <w:spacing w:line="206" w:lineRule="exact"/>
              <w:ind w:left="421"/>
              <w:rPr>
                <w:rFonts w:ascii="Times New Roman" w:eastAsia="Times New Roman" w:hAnsi="Times New Roman" w:cs="Times New Roman"/>
                <w:noProof/>
                <w:sz w:val="19"/>
              </w:rPr>
            </w:pPr>
            <w:r>
              <w:rPr>
                <w:rFonts w:ascii="Times New Roman" w:hAnsi="Times New Roman"/>
                <w:noProof/>
                <w:color w:val="005F00"/>
                <w:sz w:val="19"/>
              </w:rPr>
              <w:t>Cible</w:t>
            </w:r>
          </w:p>
        </w:tc>
        <w:tc>
          <w:tcPr>
            <w:tcW w:w="4688" w:type="dxa"/>
            <w:shd w:val="clear" w:color="auto" w:fill="C5EDCE"/>
          </w:tcPr>
          <w:p w14:paraId="5A8AEDB9" w14:textId="77777777" w:rsidR="00740F0F" w:rsidRPr="0029070D" w:rsidRDefault="00100B64">
            <w:pPr>
              <w:spacing w:line="204" w:lineRule="exact"/>
              <w:ind w:left="101"/>
              <w:rPr>
                <w:rFonts w:ascii="Times New Roman" w:eastAsia="Times New Roman" w:hAnsi="Times New Roman" w:cs="Times New Roman"/>
                <w:noProof/>
                <w:sz w:val="19"/>
              </w:rPr>
            </w:pPr>
            <w:r>
              <w:rPr>
                <w:rFonts w:ascii="Times New Roman" w:hAnsi="Times New Roman"/>
                <w:noProof/>
                <w:color w:val="005F00"/>
                <w:sz w:val="19"/>
              </w:rPr>
              <w:t>Taux de succès global pour les appels à projets génériques et spécifiques</w:t>
            </w:r>
          </w:p>
        </w:tc>
      </w:tr>
      <w:tr w:rsidR="00782477" w:rsidRPr="0029070D" w14:paraId="5A8AEDBF" w14:textId="77777777" w:rsidTr="00F84DDA">
        <w:trPr>
          <w:trHeight w:val="510"/>
          <w:jc w:val="center"/>
        </w:trPr>
        <w:tc>
          <w:tcPr>
            <w:tcW w:w="1268" w:type="dxa"/>
            <w:shd w:val="clear" w:color="auto" w:fill="C5EDCE"/>
          </w:tcPr>
          <w:p w14:paraId="5A8AEDBB" w14:textId="77777777" w:rsidR="00740F0F" w:rsidRPr="0029070D" w:rsidRDefault="00740F0F">
            <w:pPr>
              <w:rPr>
                <w:rFonts w:ascii="Times New Roman" w:eastAsia="Times New Roman" w:hAnsi="Times New Roman" w:cs="Times New Roman"/>
                <w:noProof/>
                <w:sz w:val="18"/>
              </w:rPr>
            </w:pPr>
          </w:p>
        </w:tc>
        <w:tc>
          <w:tcPr>
            <w:tcW w:w="2758" w:type="dxa"/>
            <w:shd w:val="clear" w:color="auto" w:fill="C5EDCE"/>
          </w:tcPr>
          <w:p w14:paraId="5A8AEDBC" w14:textId="77777777" w:rsidR="00740F0F" w:rsidRPr="0029070D" w:rsidRDefault="00740F0F">
            <w:pPr>
              <w:rPr>
                <w:rFonts w:ascii="Times New Roman" w:eastAsia="Times New Roman" w:hAnsi="Times New Roman" w:cs="Times New Roman"/>
                <w:noProof/>
                <w:sz w:val="18"/>
              </w:rPr>
            </w:pPr>
          </w:p>
        </w:tc>
        <w:tc>
          <w:tcPr>
            <w:tcW w:w="1353" w:type="dxa"/>
            <w:shd w:val="clear" w:color="auto" w:fill="C5EDCE"/>
          </w:tcPr>
          <w:p w14:paraId="5A8AEDBD" w14:textId="77777777" w:rsidR="00740F0F" w:rsidRPr="0029070D" w:rsidRDefault="00100B64">
            <w:pPr>
              <w:ind w:left="337" w:right="314" w:hanging="102"/>
              <w:rPr>
                <w:rFonts w:ascii="Times New Roman" w:eastAsia="Times New Roman" w:hAnsi="Times New Roman" w:cs="Times New Roman"/>
                <w:b/>
                <w:noProof/>
                <w:sz w:val="19"/>
              </w:rPr>
            </w:pPr>
            <w:r>
              <w:rPr>
                <w:rFonts w:ascii="Times New Roman" w:hAnsi="Times New Roman"/>
                <w:b/>
                <w:noProof/>
                <w:color w:val="005F00"/>
                <w:sz w:val="19"/>
              </w:rPr>
              <w:t>Montant de la tranche</w:t>
            </w:r>
          </w:p>
        </w:tc>
        <w:tc>
          <w:tcPr>
            <w:tcW w:w="4688" w:type="dxa"/>
            <w:shd w:val="clear" w:color="auto" w:fill="C5EDCE"/>
          </w:tcPr>
          <w:p w14:paraId="5A8AEDBE" w14:textId="77777777" w:rsidR="00740F0F" w:rsidRPr="0029070D" w:rsidRDefault="00100B64">
            <w:pPr>
              <w:spacing w:line="197" w:lineRule="exact"/>
              <w:ind w:left="101"/>
              <w:rPr>
                <w:rFonts w:ascii="Times New Roman" w:eastAsia="Times New Roman" w:hAnsi="Times New Roman" w:cs="Times New Roman"/>
                <w:b/>
                <w:noProof/>
                <w:sz w:val="19"/>
              </w:rPr>
            </w:pPr>
            <w:r>
              <w:rPr>
                <w:rFonts w:ascii="Times New Roman" w:hAnsi="Times New Roman"/>
                <w:b/>
                <w:noProof/>
                <w:color w:val="005F00"/>
                <w:sz w:val="19"/>
              </w:rPr>
              <w:t>12</w:t>
            </w:r>
            <w:r>
              <w:rPr>
                <w:rFonts w:ascii="Times New Roman" w:hAnsi="Times New Roman"/>
                <w:noProof/>
                <w:sz w:val="18"/>
              </w:rPr>
              <w:t> </w:t>
            </w:r>
            <w:r>
              <w:rPr>
                <w:rFonts w:ascii="Times New Roman" w:hAnsi="Times New Roman"/>
                <w:b/>
                <w:noProof/>
                <w:color w:val="005F00"/>
                <w:sz w:val="19"/>
              </w:rPr>
              <w:t>217</w:t>
            </w:r>
            <w:r>
              <w:rPr>
                <w:rFonts w:ascii="Times New Roman" w:hAnsi="Times New Roman"/>
                <w:noProof/>
                <w:sz w:val="18"/>
              </w:rPr>
              <w:t> </w:t>
            </w:r>
            <w:r>
              <w:rPr>
                <w:rFonts w:ascii="Times New Roman" w:hAnsi="Times New Roman"/>
                <w:b/>
                <w:noProof/>
                <w:color w:val="005F00"/>
                <w:sz w:val="19"/>
              </w:rPr>
              <w:t>010</w:t>
            </w:r>
            <w:r>
              <w:rPr>
                <w:rFonts w:ascii="Times New Roman" w:hAnsi="Times New Roman"/>
                <w:noProof/>
                <w:sz w:val="18"/>
              </w:rPr>
              <w:t> </w:t>
            </w:r>
            <w:r>
              <w:rPr>
                <w:rFonts w:ascii="Times New Roman" w:hAnsi="Times New Roman"/>
                <w:b/>
                <w:noProof/>
                <w:color w:val="005F00"/>
                <w:sz w:val="19"/>
              </w:rPr>
              <w:t>020</w:t>
            </w:r>
            <w:r>
              <w:rPr>
                <w:rFonts w:ascii="Times New Roman" w:hAnsi="Times New Roman"/>
                <w:noProof/>
              </w:rPr>
              <w:t> </w:t>
            </w:r>
            <w:r>
              <w:rPr>
                <w:rFonts w:ascii="Times New Roman" w:hAnsi="Times New Roman"/>
                <w:b/>
                <w:noProof/>
                <w:color w:val="005F00"/>
                <w:sz w:val="19"/>
              </w:rPr>
              <w:t>EUR</w:t>
            </w:r>
          </w:p>
        </w:tc>
      </w:tr>
    </w:tbl>
    <w:p w14:paraId="5A8AEDC0" w14:textId="77777777" w:rsidR="00740F0F" w:rsidRPr="0029070D" w:rsidRDefault="00740F0F">
      <w:pPr>
        <w:widowControl w:val="0"/>
        <w:autoSpaceDE w:val="0"/>
        <w:autoSpaceDN w:val="0"/>
        <w:spacing w:after="0" w:line="240" w:lineRule="auto"/>
        <w:rPr>
          <w:rFonts w:ascii="Times New Roman" w:eastAsia="Times New Roman" w:hAnsi="Times New Roman" w:cs="Times New Roman"/>
          <w:noProof/>
          <w:kern w:val="0"/>
          <w:sz w:val="20"/>
          <w:szCs w:val="20"/>
          <w14:ligatures w14:val="none"/>
        </w:rPr>
      </w:pPr>
    </w:p>
    <w:p w14:paraId="5A8AEDC1" w14:textId="77777777" w:rsidR="00740F0F" w:rsidRPr="0029070D" w:rsidRDefault="00740F0F">
      <w:pPr>
        <w:widowControl w:val="0"/>
        <w:autoSpaceDE w:val="0"/>
        <w:autoSpaceDN w:val="0"/>
        <w:spacing w:after="0" w:line="240" w:lineRule="auto"/>
        <w:rPr>
          <w:rFonts w:ascii="Times New Roman" w:eastAsia="Times New Roman" w:hAnsi="Times New Roman" w:cs="Times New Roman"/>
          <w:noProof/>
          <w:kern w:val="0"/>
          <w:sz w:val="26"/>
          <w:szCs w:val="20"/>
          <w14:ligatures w14:val="none"/>
        </w:rPr>
      </w:pPr>
    </w:p>
    <w:p w14:paraId="5A8AEDC2" w14:textId="77777777" w:rsidR="00740F0F" w:rsidRPr="0029070D" w:rsidRDefault="00100B64">
      <w:pPr>
        <w:widowControl w:val="0"/>
        <w:numPr>
          <w:ilvl w:val="2"/>
          <w:numId w:val="58"/>
        </w:numPr>
        <w:tabs>
          <w:tab w:val="left" w:pos="1197"/>
          <w:tab w:val="left" w:pos="1198"/>
        </w:tabs>
        <w:autoSpaceDE w:val="0"/>
        <w:autoSpaceDN w:val="0"/>
        <w:spacing w:before="120" w:after="0" w:line="240" w:lineRule="auto"/>
        <w:ind w:hanging="858"/>
        <w:jc w:val="both"/>
        <w:rPr>
          <w:rFonts w:ascii="Times New Roman" w:eastAsia="Times New Roman" w:hAnsi="Times New Roman" w:cs="Times New Roman"/>
          <w:noProof/>
          <w:kern w:val="0"/>
          <w:szCs w:val="20"/>
          <w14:ligatures w14:val="none"/>
        </w:rPr>
      </w:pPr>
      <w:r>
        <w:rPr>
          <w:rFonts w:ascii="Times New Roman" w:hAnsi="Times New Roman"/>
          <w:noProof/>
        </w:rPr>
        <w:t>Troisième tranche (soutien non remboursable):</w:t>
      </w:r>
    </w:p>
    <w:p w14:paraId="5A8AEDC3" w14:textId="77777777" w:rsidR="00740F0F" w:rsidRPr="0029070D" w:rsidRDefault="00740F0F">
      <w:pPr>
        <w:widowControl w:val="0"/>
        <w:autoSpaceDE w:val="0"/>
        <w:autoSpaceDN w:val="0"/>
        <w:spacing w:before="1" w:after="0" w:line="240" w:lineRule="auto"/>
        <w:rPr>
          <w:rFonts w:ascii="Times New Roman" w:eastAsia="Times New Roman" w:hAnsi="Times New Roman" w:cs="Times New Roman"/>
          <w:noProof/>
          <w:kern w:val="0"/>
          <w:sz w:val="13"/>
          <w:szCs w:val="20"/>
          <w14:ligatures w14:val="none"/>
        </w:rPr>
      </w:pPr>
    </w:p>
    <w:tbl>
      <w:tblPr>
        <w:tblStyle w:val="NormalTable0"/>
        <w:tblW w:w="1006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50"/>
        <w:gridCol w:w="2876"/>
        <w:gridCol w:w="1441"/>
        <w:gridCol w:w="4600"/>
      </w:tblGrid>
      <w:tr w:rsidR="00782477" w:rsidRPr="0029070D" w14:paraId="5A8AEDC8" w14:textId="77777777">
        <w:trPr>
          <w:trHeight w:val="795"/>
          <w:tblHeader/>
          <w:jc w:val="center"/>
        </w:trPr>
        <w:tc>
          <w:tcPr>
            <w:tcW w:w="1150" w:type="dxa"/>
            <w:shd w:val="clear" w:color="auto" w:fill="BBD5EC"/>
            <w:vAlign w:val="center"/>
          </w:tcPr>
          <w:p w14:paraId="5A8AEDC4" w14:textId="77777777" w:rsidR="00740F0F" w:rsidRPr="0029070D" w:rsidRDefault="00100B64">
            <w:pPr>
              <w:spacing w:before="233" w:line="285" w:lineRule="auto"/>
              <w:ind w:left="208" w:right="115" w:hanging="89"/>
              <w:jc w:val="center"/>
              <w:rPr>
                <w:rFonts w:ascii="Times New Roman" w:eastAsia="Times New Roman" w:hAnsi="Times New Roman" w:cs="Times New Roman"/>
                <w:b/>
                <w:noProof/>
                <w:sz w:val="20"/>
              </w:rPr>
            </w:pPr>
            <w:r w:rsidRPr="00F84DDA">
              <w:rPr>
                <w:rFonts w:ascii="Times New Roman" w:hAnsi="Times New Roman"/>
                <w:b/>
                <w:noProof/>
                <w:sz w:val="18"/>
                <w:szCs w:val="18"/>
              </w:rPr>
              <w:t>Numéro séquentiel</w:t>
            </w:r>
          </w:p>
        </w:tc>
        <w:tc>
          <w:tcPr>
            <w:tcW w:w="2876" w:type="dxa"/>
            <w:shd w:val="clear" w:color="auto" w:fill="BBD5EC"/>
            <w:vAlign w:val="center"/>
          </w:tcPr>
          <w:p w14:paraId="5A8AEDC5" w14:textId="6A6FF39D" w:rsidR="00740F0F" w:rsidRPr="0029070D" w:rsidRDefault="00100B64">
            <w:pPr>
              <w:spacing w:before="233" w:line="285" w:lineRule="auto"/>
              <w:ind w:left="676" w:right="241" w:hanging="512"/>
              <w:jc w:val="center"/>
              <w:rPr>
                <w:rFonts w:ascii="Times New Roman" w:eastAsia="Times New Roman" w:hAnsi="Times New Roman" w:cs="Times New Roman"/>
                <w:b/>
                <w:noProof/>
                <w:sz w:val="20"/>
              </w:rPr>
            </w:pPr>
            <w:r>
              <w:rPr>
                <w:rFonts w:ascii="Times New Roman" w:hAnsi="Times New Roman"/>
                <w:b/>
                <w:noProof/>
                <w:sz w:val="20"/>
              </w:rPr>
              <w:t xml:space="preserve">Mesure connexe (réforme </w:t>
            </w:r>
            <w:r>
              <w:rPr>
                <w:rFonts w:ascii="Times New Roman" w:hAnsi="Times New Roman"/>
                <w:b/>
                <w:noProof/>
                <w:sz w:val="20"/>
              </w:rPr>
              <w:br/>
              <w:t>ou investissement)</w:t>
            </w:r>
          </w:p>
        </w:tc>
        <w:tc>
          <w:tcPr>
            <w:tcW w:w="1441" w:type="dxa"/>
            <w:shd w:val="clear" w:color="auto" w:fill="BBD5EC"/>
            <w:vAlign w:val="center"/>
          </w:tcPr>
          <w:p w14:paraId="5A8AEDC6" w14:textId="77777777" w:rsidR="00740F0F" w:rsidRPr="0029070D" w:rsidRDefault="00100B64">
            <w:pPr>
              <w:spacing w:before="233"/>
              <w:ind w:left="135"/>
              <w:jc w:val="center"/>
              <w:rPr>
                <w:rFonts w:ascii="Times New Roman" w:eastAsia="Times New Roman" w:hAnsi="Times New Roman" w:cs="Times New Roman"/>
                <w:b/>
                <w:noProof/>
                <w:sz w:val="20"/>
              </w:rPr>
            </w:pPr>
            <w:r>
              <w:rPr>
                <w:rFonts w:ascii="Times New Roman" w:hAnsi="Times New Roman"/>
                <w:b/>
                <w:noProof/>
                <w:sz w:val="20"/>
              </w:rPr>
              <w:t>Jalon / Cible</w:t>
            </w:r>
          </w:p>
        </w:tc>
        <w:tc>
          <w:tcPr>
            <w:tcW w:w="4600" w:type="dxa"/>
            <w:shd w:val="clear" w:color="auto" w:fill="BBD5EC"/>
            <w:vAlign w:val="center"/>
          </w:tcPr>
          <w:p w14:paraId="5A8AEDC7" w14:textId="77777777" w:rsidR="00740F0F" w:rsidRPr="0029070D" w:rsidRDefault="00100B64">
            <w:pPr>
              <w:ind w:left="1737" w:right="1198"/>
              <w:jc w:val="center"/>
              <w:rPr>
                <w:rFonts w:ascii="Times New Roman" w:eastAsia="Times New Roman" w:hAnsi="Times New Roman" w:cs="Times New Roman"/>
                <w:b/>
                <w:noProof/>
                <w:sz w:val="20"/>
              </w:rPr>
            </w:pPr>
            <w:r>
              <w:rPr>
                <w:rFonts w:ascii="Times New Roman" w:hAnsi="Times New Roman"/>
                <w:b/>
                <w:noProof/>
                <w:sz w:val="20"/>
              </w:rPr>
              <w:t>Dénomination</w:t>
            </w:r>
          </w:p>
        </w:tc>
      </w:tr>
      <w:tr w:rsidR="00782477" w:rsidRPr="0029070D" w14:paraId="5A8AEDCD" w14:textId="77777777">
        <w:trPr>
          <w:trHeight w:val="510"/>
          <w:jc w:val="center"/>
        </w:trPr>
        <w:tc>
          <w:tcPr>
            <w:tcW w:w="1150" w:type="dxa"/>
            <w:shd w:val="clear" w:color="auto" w:fill="C5EDCE"/>
          </w:tcPr>
          <w:p w14:paraId="5A8AEDC9" w14:textId="77777777" w:rsidR="00740F0F" w:rsidRPr="0029070D" w:rsidRDefault="00100B64">
            <w:pPr>
              <w:ind w:left="479"/>
              <w:rPr>
                <w:rFonts w:ascii="Times New Roman" w:eastAsia="Times New Roman" w:hAnsi="Times New Roman" w:cs="Times New Roman"/>
                <w:noProof/>
                <w:sz w:val="19"/>
              </w:rPr>
            </w:pPr>
            <w:r>
              <w:rPr>
                <w:rFonts w:ascii="Times New Roman" w:hAnsi="Times New Roman"/>
                <w:noProof/>
                <w:color w:val="005F00"/>
                <w:sz w:val="19"/>
              </w:rPr>
              <w:t>1-2</w:t>
            </w:r>
          </w:p>
        </w:tc>
        <w:tc>
          <w:tcPr>
            <w:tcW w:w="2876" w:type="dxa"/>
            <w:shd w:val="clear" w:color="auto" w:fill="C5EDCE"/>
          </w:tcPr>
          <w:p w14:paraId="5A8AEDCA" w14:textId="77777777" w:rsidR="00740F0F" w:rsidRPr="0029070D" w:rsidRDefault="00100B64">
            <w:pPr>
              <w:ind w:left="121"/>
              <w:rPr>
                <w:rFonts w:ascii="Times New Roman" w:eastAsia="Times New Roman" w:hAnsi="Times New Roman" w:cs="Times New Roman"/>
                <w:noProof/>
                <w:sz w:val="19"/>
              </w:rPr>
            </w:pPr>
            <w:r>
              <w:rPr>
                <w:rFonts w:ascii="Times New Roman" w:hAnsi="Times New Roman"/>
                <w:noProof/>
                <w:color w:val="005F00"/>
                <w:sz w:val="19"/>
              </w:rPr>
              <w:t>C1.R1 Politique du logement</w:t>
            </w:r>
          </w:p>
        </w:tc>
        <w:tc>
          <w:tcPr>
            <w:tcW w:w="1441" w:type="dxa"/>
            <w:shd w:val="clear" w:color="auto" w:fill="C5EDCE"/>
          </w:tcPr>
          <w:p w14:paraId="5A8AEDCB" w14:textId="77777777" w:rsidR="00740F0F" w:rsidRPr="0029070D" w:rsidRDefault="00100B64">
            <w:pPr>
              <w:ind w:left="320" w:right="286"/>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600" w:type="dxa"/>
            <w:shd w:val="clear" w:color="auto" w:fill="C5EDCE"/>
          </w:tcPr>
          <w:p w14:paraId="5A8AEDCC" w14:textId="77777777" w:rsidR="00740F0F" w:rsidRPr="0029070D" w:rsidRDefault="00100B64">
            <w:pPr>
              <w:ind w:left="116"/>
              <w:rPr>
                <w:rFonts w:ascii="Times New Roman" w:eastAsia="Times New Roman" w:hAnsi="Times New Roman" w:cs="Times New Roman"/>
                <w:noProof/>
                <w:sz w:val="19"/>
              </w:rPr>
            </w:pPr>
            <w:r>
              <w:rPr>
                <w:rFonts w:ascii="Times New Roman" w:hAnsi="Times New Roman"/>
                <w:noProof/>
                <w:color w:val="005F00"/>
                <w:sz w:val="19"/>
              </w:rPr>
              <w:t>Réforme du dispositif Pinel et du logement locatif milieu de gamme</w:t>
            </w:r>
          </w:p>
        </w:tc>
      </w:tr>
      <w:tr w:rsidR="00782477" w:rsidRPr="0029070D" w14:paraId="5A8AEDD2" w14:textId="77777777">
        <w:trPr>
          <w:trHeight w:val="779"/>
          <w:jc w:val="center"/>
        </w:trPr>
        <w:tc>
          <w:tcPr>
            <w:tcW w:w="1150" w:type="dxa"/>
            <w:shd w:val="clear" w:color="auto" w:fill="C5EDCE"/>
          </w:tcPr>
          <w:p w14:paraId="5A8AEDCE" w14:textId="77777777" w:rsidR="00740F0F" w:rsidRPr="0029070D" w:rsidRDefault="00100B64">
            <w:pPr>
              <w:spacing w:line="216" w:lineRule="exact"/>
              <w:ind w:left="434"/>
              <w:rPr>
                <w:rFonts w:ascii="Times New Roman" w:eastAsia="Times New Roman" w:hAnsi="Times New Roman" w:cs="Times New Roman"/>
                <w:noProof/>
                <w:sz w:val="19"/>
              </w:rPr>
            </w:pPr>
            <w:r>
              <w:rPr>
                <w:rFonts w:ascii="Times New Roman" w:hAnsi="Times New Roman"/>
                <w:noProof/>
                <w:color w:val="005F00"/>
                <w:sz w:val="19"/>
              </w:rPr>
              <w:t>1-10</w:t>
            </w:r>
          </w:p>
        </w:tc>
        <w:tc>
          <w:tcPr>
            <w:tcW w:w="2876" w:type="dxa"/>
            <w:shd w:val="clear" w:color="auto" w:fill="C5EDCE"/>
          </w:tcPr>
          <w:p w14:paraId="5A8AEDCF" w14:textId="77777777" w:rsidR="00740F0F" w:rsidRPr="0029070D" w:rsidRDefault="00100B64">
            <w:pPr>
              <w:spacing w:line="283" w:lineRule="auto"/>
              <w:ind w:left="121" w:right="603"/>
              <w:rPr>
                <w:rFonts w:ascii="Times New Roman" w:eastAsia="Times New Roman" w:hAnsi="Times New Roman" w:cs="Times New Roman"/>
                <w:noProof/>
                <w:sz w:val="19"/>
              </w:rPr>
            </w:pPr>
            <w:r>
              <w:rPr>
                <w:rFonts w:ascii="Times New Roman" w:hAnsi="Times New Roman"/>
                <w:noProof/>
                <w:color w:val="005F00"/>
                <w:sz w:val="19"/>
              </w:rPr>
              <w:t>C1.I3 Rénovation énergétique des bâtiments publics</w:t>
            </w:r>
          </w:p>
        </w:tc>
        <w:tc>
          <w:tcPr>
            <w:tcW w:w="1441" w:type="dxa"/>
            <w:shd w:val="clear" w:color="auto" w:fill="C5EDCE"/>
          </w:tcPr>
          <w:p w14:paraId="5A8AEDD0" w14:textId="77777777" w:rsidR="00740F0F" w:rsidRPr="0029070D" w:rsidRDefault="00100B64">
            <w:pPr>
              <w:spacing w:line="216" w:lineRule="exact"/>
              <w:ind w:left="308"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DD1" w14:textId="77777777" w:rsidR="00740F0F" w:rsidRPr="0029070D" w:rsidRDefault="00100B64">
            <w:pPr>
              <w:spacing w:line="216" w:lineRule="exact"/>
              <w:ind w:left="116"/>
              <w:rPr>
                <w:rFonts w:ascii="Times New Roman" w:eastAsia="Times New Roman" w:hAnsi="Times New Roman" w:cs="Times New Roman"/>
                <w:noProof/>
                <w:sz w:val="19"/>
              </w:rPr>
            </w:pPr>
            <w:r>
              <w:rPr>
                <w:rFonts w:ascii="Times New Roman" w:hAnsi="Times New Roman"/>
                <w:noProof/>
                <w:color w:val="005F00"/>
                <w:sz w:val="19"/>
              </w:rPr>
              <w:t>Nombre de m² de planchers des sites publics appartenant à l’État sur lesquels des travaux de rénovation énergétique ont été réalisés</w:t>
            </w:r>
          </w:p>
        </w:tc>
      </w:tr>
      <w:tr w:rsidR="00782477" w:rsidRPr="0029070D" w14:paraId="5A8AEDD7" w14:textId="77777777">
        <w:trPr>
          <w:trHeight w:val="525"/>
          <w:jc w:val="center"/>
        </w:trPr>
        <w:tc>
          <w:tcPr>
            <w:tcW w:w="1150" w:type="dxa"/>
            <w:shd w:val="clear" w:color="auto" w:fill="C5EDCE"/>
          </w:tcPr>
          <w:p w14:paraId="5A8AEDD3" w14:textId="77777777" w:rsidR="00740F0F" w:rsidRPr="0029070D" w:rsidRDefault="00100B64">
            <w:pPr>
              <w:spacing w:line="216" w:lineRule="exact"/>
              <w:ind w:left="434"/>
              <w:rPr>
                <w:rFonts w:ascii="Times New Roman" w:eastAsia="Times New Roman" w:hAnsi="Times New Roman" w:cs="Times New Roman"/>
                <w:noProof/>
                <w:sz w:val="19"/>
              </w:rPr>
            </w:pPr>
            <w:r>
              <w:rPr>
                <w:rFonts w:ascii="Times New Roman" w:hAnsi="Times New Roman"/>
                <w:noProof/>
                <w:color w:val="005F00"/>
                <w:sz w:val="19"/>
              </w:rPr>
              <w:t>1-13</w:t>
            </w:r>
          </w:p>
        </w:tc>
        <w:tc>
          <w:tcPr>
            <w:tcW w:w="2876" w:type="dxa"/>
            <w:shd w:val="clear" w:color="auto" w:fill="C5EDCE"/>
          </w:tcPr>
          <w:p w14:paraId="5A8AEDD4" w14:textId="77777777" w:rsidR="00740F0F" w:rsidRPr="0029070D" w:rsidRDefault="00100B64">
            <w:pPr>
              <w:ind w:left="121" w:right="91"/>
              <w:rPr>
                <w:rFonts w:ascii="Times New Roman" w:eastAsia="Times New Roman" w:hAnsi="Times New Roman" w:cs="Times New Roman"/>
                <w:noProof/>
                <w:sz w:val="19"/>
              </w:rPr>
            </w:pPr>
            <w:r>
              <w:rPr>
                <w:rFonts w:ascii="Times New Roman" w:hAnsi="Times New Roman"/>
                <w:noProof/>
                <w:color w:val="005F00"/>
                <w:sz w:val="19"/>
              </w:rPr>
              <w:t>C1.I4 Rénovation énergétique des TPE-PME</w:t>
            </w:r>
          </w:p>
        </w:tc>
        <w:tc>
          <w:tcPr>
            <w:tcW w:w="1441" w:type="dxa"/>
            <w:shd w:val="clear" w:color="auto" w:fill="C5EDCE"/>
          </w:tcPr>
          <w:p w14:paraId="5A8AEDD5" w14:textId="77777777" w:rsidR="00740F0F" w:rsidRPr="0029070D" w:rsidRDefault="00100B64">
            <w:pPr>
              <w:spacing w:line="216" w:lineRule="exact"/>
              <w:ind w:left="308"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DD6" w14:textId="77777777" w:rsidR="00740F0F" w:rsidRPr="0029070D" w:rsidRDefault="00100B64">
            <w:pPr>
              <w:ind w:left="116"/>
              <w:rPr>
                <w:rFonts w:ascii="Times New Roman" w:eastAsia="Times New Roman" w:hAnsi="Times New Roman" w:cs="Times New Roman"/>
                <w:noProof/>
                <w:sz w:val="19"/>
              </w:rPr>
            </w:pPr>
            <w:r>
              <w:rPr>
                <w:rFonts w:ascii="Times New Roman" w:hAnsi="Times New Roman"/>
                <w:noProof/>
                <w:color w:val="005F00"/>
                <w:sz w:val="19"/>
              </w:rPr>
              <w:t>Nombre d’entreprises bénéficiaires du crédit d’impôt et/ou des dispositifs d’aide</w:t>
            </w:r>
          </w:p>
        </w:tc>
      </w:tr>
      <w:tr w:rsidR="00782477" w:rsidRPr="0029070D" w14:paraId="5A8AEDDC" w14:textId="77777777">
        <w:trPr>
          <w:trHeight w:val="796"/>
          <w:jc w:val="center"/>
        </w:trPr>
        <w:tc>
          <w:tcPr>
            <w:tcW w:w="1150" w:type="dxa"/>
            <w:shd w:val="clear" w:color="auto" w:fill="C5EDCE"/>
          </w:tcPr>
          <w:p w14:paraId="5A8AEDD8" w14:textId="77777777" w:rsidR="00740F0F" w:rsidRPr="0029070D" w:rsidRDefault="00100B64">
            <w:pPr>
              <w:spacing w:line="216" w:lineRule="exact"/>
              <w:ind w:left="479"/>
              <w:rPr>
                <w:rFonts w:ascii="Times New Roman" w:eastAsia="Times New Roman" w:hAnsi="Times New Roman" w:cs="Times New Roman"/>
                <w:noProof/>
                <w:sz w:val="19"/>
              </w:rPr>
            </w:pPr>
            <w:r>
              <w:rPr>
                <w:rFonts w:ascii="Times New Roman" w:hAnsi="Times New Roman"/>
                <w:noProof/>
                <w:color w:val="005F00"/>
                <w:sz w:val="19"/>
              </w:rPr>
              <w:t>2-8</w:t>
            </w:r>
          </w:p>
        </w:tc>
        <w:tc>
          <w:tcPr>
            <w:tcW w:w="2876" w:type="dxa"/>
            <w:shd w:val="clear" w:color="auto" w:fill="C5EDCE"/>
          </w:tcPr>
          <w:p w14:paraId="5A8AEDD9" w14:textId="77777777" w:rsidR="00740F0F" w:rsidRPr="0029070D" w:rsidRDefault="00100B64">
            <w:pPr>
              <w:spacing w:line="297" w:lineRule="auto"/>
              <w:ind w:left="121" w:right="656"/>
              <w:rPr>
                <w:rFonts w:ascii="Times New Roman" w:eastAsia="Times New Roman" w:hAnsi="Times New Roman" w:cs="Times New Roman"/>
                <w:noProof/>
                <w:sz w:val="19"/>
              </w:rPr>
            </w:pPr>
            <w:r>
              <w:rPr>
                <w:rFonts w:ascii="Times New Roman" w:hAnsi="Times New Roman"/>
                <w:noProof/>
                <w:color w:val="005F00"/>
                <w:sz w:val="19"/>
              </w:rPr>
              <w:t>C2.I3 Densification urbaine: friches</w:t>
            </w:r>
          </w:p>
        </w:tc>
        <w:tc>
          <w:tcPr>
            <w:tcW w:w="1441" w:type="dxa"/>
            <w:shd w:val="clear" w:color="auto" w:fill="C5EDCE"/>
          </w:tcPr>
          <w:p w14:paraId="5A8AEDDA" w14:textId="77777777" w:rsidR="00740F0F" w:rsidRPr="0029070D" w:rsidRDefault="00100B64">
            <w:pPr>
              <w:spacing w:line="216" w:lineRule="exact"/>
              <w:ind w:left="308"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DDB" w14:textId="77777777" w:rsidR="00740F0F" w:rsidRPr="0029070D" w:rsidRDefault="00100B64">
            <w:pPr>
              <w:ind w:left="116"/>
              <w:rPr>
                <w:rFonts w:ascii="Times New Roman" w:eastAsia="Times New Roman" w:hAnsi="Times New Roman" w:cs="Times New Roman"/>
                <w:noProof/>
                <w:sz w:val="19"/>
              </w:rPr>
            </w:pPr>
            <w:r>
              <w:rPr>
                <w:rFonts w:ascii="Times New Roman" w:hAnsi="Times New Roman"/>
                <w:noProof/>
                <w:color w:val="005F00"/>
                <w:sz w:val="19"/>
              </w:rPr>
              <w:t>Nombre de projets pour lesquels une subvention a été signée pour une opération de recyclage d’une friche ou d’une zone urbanisée</w:t>
            </w:r>
          </w:p>
        </w:tc>
      </w:tr>
      <w:tr w:rsidR="00782477" w:rsidRPr="0029070D" w14:paraId="5A8AEDE1" w14:textId="77777777">
        <w:trPr>
          <w:trHeight w:val="525"/>
          <w:jc w:val="center"/>
        </w:trPr>
        <w:tc>
          <w:tcPr>
            <w:tcW w:w="1150" w:type="dxa"/>
            <w:shd w:val="clear" w:color="auto" w:fill="C5EDCE"/>
          </w:tcPr>
          <w:p w14:paraId="5A8AEDDD" w14:textId="77777777" w:rsidR="00740F0F" w:rsidRPr="0029070D" w:rsidRDefault="00100B64">
            <w:pPr>
              <w:spacing w:line="216" w:lineRule="exact"/>
              <w:ind w:left="434"/>
              <w:rPr>
                <w:rFonts w:ascii="Times New Roman" w:eastAsia="Times New Roman" w:hAnsi="Times New Roman" w:cs="Times New Roman"/>
                <w:noProof/>
                <w:sz w:val="19"/>
              </w:rPr>
            </w:pPr>
            <w:r>
              <w:rPr>
                <w:rFonts w:ascii="Times New Roman" w:hAnsi="Times New Roman"/>
                <w:noProof/>
                <w:color w:val="005F00"/>
                <w:sz w:val="19"/>
              </w:rPr>
              <w:t>2-10</w:t>
            </w:r>
          </w:p>
        </w:tc>
        <w:tc>
          <w:tcPr>
            <w:tcW w:w="2876" w:type="dxa"/>
            <w:shd w:val="clear" w:color="auto" w:fill="C5EDCE"/>
          </w:tcPr>
          <w:p w14:paraId="5A8AEDDE" w14:textId="77777777" w:rsidR="00740F0F" w:rsidRPr="0029070D" w:rsidRDefault="00100B64">
            <w:pPr>
              <w:ind w:left="121" w:right="101"/>
              <w:rPr>
                <w:rFonts w:ascii="Times New Roman" w:eastAsia="Times New Roman" w:hAnsi="Times New Roman" w:cs="Times New Roman"/>
                <w:noProof/>
                <w:sz w:val="19"/>
              </w:rPr>
            </w:pPr>
            <w:r>
              <w:rPr>
                <w:rFonts w:ascii="Times New Roman" w:hAnsi="Times New Roman"/>
                <w:noProof/>
                <w:color w:val="005F00"/>
                <w:sz w:val="19"/>
              </w:rPr>
              <w:t>C2.I5 Prévention du risque sismique dans les outre-mer</w:t>
            </w:r>
          </w:p>
        </w:tc>
        <w:tc>
          <w:tcPr>
            <w:tcW w:w="1441" w:type="dxa"/>
            <w:shd w:val="clear" w:color="auto" w:fill="C5EDCE"/>
          </w:tcPr>
          <w:p w14:paraId="5A8AEDDF" w14:textId="77777777" w:rsidR="00740F0F" w:rsidRPr="0029070D" w:rsidRDefault="00100B64">
            <w:pPr>
              <w:spacing w:line="216" w:lineRule="exact"/>
              <w:ind w:left="308"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DE0" w14:textId="77777777" w:rsidR="00740F0F" w:rsidRPr="0029070D" w:rsidRDefault="00100B64">
            <w:pPr>
              <w:ind w:left="116" w:right="269"/>
              <w:rPr>
                <w:rFonts w:ascii="Times New Roman" w:eastAsia="Times New Roman" w:hAnsi="Times New Roman" w:cs="Times New Roman"/>
                <w:noProof/>
                <w:sz w:val="19"/>
              </w:rPr>
            </w:pPr>
            <w:r>
              <w:rPr>
                <w:rFonts w:ascii="Times New Roman" w:hAnsi="Times New Roman"/>
                <w:noProof/>
                <w:color w:val="005F00"/>
                <w:sz w:val="19"/>
              </w:rPr>
              <w:t>Nombre de bâtiments concernés – risque sismique dans les outre-mer</w:t>
            </w:r>
          </w:p>
        </w:tc>
      </w:tr>
      <w:tr w:rsidR="00782477" w:rsidRPr="0029070D" w14:paraId="5A8AEDE6" w14:textId="77777777">
        <w:trPr>
          <w:trHeight w:val="779"/>
          <w:jc w:val="center"/>
        </w:trPr>
        <w:tc>
          <w:tcPr>
            <w:tcW w:w="1150" w:type="dxa"/>
            <w:shd w:val="clear" w:color="auto" w:fill="C5EDCE"/>
          </w:tcPr>
          <w:p w14:paraId="5A8AEDE2" w14:textId="77777777" w:rsidR="00740F0F" w:rsidRPr="0029070D" w:rsidRDefault="00100B64">
            <w:pPr>
              <w:spacing w:line="216" w:lineRule="exact"/>
              <w:ind w:left="434"/>
              <w:rPr>
                <w:rFonts w:ascii="Times New Roman" w:eastAsia="Times New Roman" w:hAnsi="Times New Roman" w:cs="Times New Roman"/>
                <w:noProof/>
                <w:sz w:val="19"/>
              </w:rPr>
            </w:pPr>
            <w:r>
              <w:rPr>
                <w:rFonts w:ascii="Times New Roman" w:hAnsi="Times New Roman"/>
                <w:noProof/>
                <w:color w:val="005F00"/>
                <w:sz w:val="19"/>
              </w:rPr>
              <w:t>2-17</w:t>
            </w:r>
          </w:p>
        </w:tc>
        <w:tc>
          <w:tcPr>
            <w:tcW w:w="2876" w:type="dxa"/>
            <w:shd w:val="clear" w:color="auto" w:fill="C5EDCE"/>
          </w:tcPr>
          <w:p w14:paraId="5A8AEDE3" w14:textId="77777777" w:rsidR="00740F0F" w:rsidRPr="0029070D" w:rsidRDefault="00100B64">
            <w:pPr>
              <w:spacing w:line="216" w:lineRule="exact"/>
              <w:ind w:left="121"/>
              <w:rPr>
                <w:rFonts w:ascii="Times New Roman" w:eastAsia="Times New Roman" w:hAnsi="Times New Roman" w:cs="Times New Roman"/>
                <w:noProof/>
                <w:sz w:val="19"/>
              </w:rPr>
            </w:pPr>
            <w:r>
              <w:rPr>
                <w:rFonts w:ascii="Times New Roman" w:hAnsi="Times New Roman"/>
                <w:noProof/>
                <w:color w:val="005F00"/>
                <w:sz w:val="19"/>
              </w:rPr>
              <w:t>C2.I10 Forêts</w:t>
            </w:r>
          </w:p>
        </w:tc>
        <w:tc>
          <w:tcPr>
            <w:tcW w:w="1441" w:type="dxa"/>
            <w:shd w:val="clear" w:color="auto" w:fill="C5EDCE"/>
          </w:tcPr>
          <w:p w14:paraId="5A8AEDE4" w14:textId="77777777" w:rsidR="00740F0F" w:rsidRPr="0029070D" w:rsidRDefault="00100B64">
            <w:pPr>
              <w:spacing w:line="216" w:lineRule="exact"/>
              <w:ind w:left="308"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DE5" w14:textId="77777777" w:rsidR="00740F0F" w:rsidRPr="0029070D" w:rsidRDefault="00100B64">
            <w:pPr>
              <w:ind w:left="116" w:right="687"/>
              <w:rPr>
                <w:rFonts w:ascii="Times New Roman" w:eastAsia="Times New Roman" w:hAnsi="Times New Roman" w:cs="Times New Roman"/>
                <w:noProof/>
                <w:sz w:val="19"/>
              </w:rPr>
            </w:pPr>
            <w:r>
              <w:rPr>
                <w:rFonts w:ascii="Times New Roman" w:hAnsi="Times New Roman"/>
                <w:noProof/>
                <w:color w:val="005F00"/>
                <w:sz w:val="19"/>
              </w:rPr>
              <w:t>Surface de forêts pour lesquelles une subvention a été engagée afin d’améliorer, d’adapter, de régénérer ou de reconstituer la forêt</w:t>
            </w:r>
          </w:p>
        </w:tc>
      </w:tr>
      <w:tr w:rsidR="00782477" w:rsidRPr="0029070D" w14:paraId="5A8AEDEB" w14:textId="77777777">
        <w:trPr>
          <w:trHeight w:val="525"/>
          <w:jc w:val="center"/>
        </w:trPr>
        <w:tc>
          <w:tcPr>
            <w:tcW w:w="1150" w:type="dxa"/>
            <w:shd w:val="clear" w:color="auto" w:fill="C5EDCE"/>
          </w:tcPr>
          <w:p w14:paraId="5A8AEDE7" w14:textId="77777777" w:rsidR="00740F0F" w:rsidRPr="0029070D" w:rsidRDefault="00100B64">
            <w:pPr>
              <w:spacing w:line="216" w:lineRule="exact"/>
              <w:ind w:left="479"/>
              <w:rPr>
                <w:rFonts w:ascii="Times New Roman" w:eastAsia="Times New Roman" w:hAnsi="Times New Roman" w:cs="Times New Roman"/>
                <w:noProof/>
                <w:sz w:val="19"/>
              </w:rPr>
            </w:pPr>
            <w:r>
              <w:rPr>
                <w:rFonts w:ascii="Times New Roman" w:hAnsi="Times New Roman"/>
                <w:noProof/>
                <w:color w:val="005F00"/>
                <w:sz w:val="19"/>
              </w:rPr>
              <w:t>3-3</w:t>
            </w:r>
          </w:p>
        </w:tc>
        <w:tc>
          <w:tcPr>
            <w:tcW w:w="2876" w:type="dxa"/>
            <w:shd w:val="clear" w:color="auto" w:fill="C5EDCE"/>
          </w:tcPr>
          <w:p w14:paraId="5A8AEDE8" w14:textId="77777777" w:rsidR="00740F0F" w:rsidRPr="0029070D" w:rsidRDefault="00100B64">
            <w:pPr>
              <w:spacing w:line="216" w:lineRule="exact"/>
              <w:ind w:left="121"/>
              <w:rPr>
                <w:rFonts w:ascii="Times New Roman" w:eastAsia="Times New Roman" w:hAnsi="Times New Roman" w:cs="Times New Roman"/>
                <w:noProof/>
                <w:sz w:val="19"/>
              </w:rPr>
            </w:pPr>
            <w:r>
              <w:rPr>
                <w:rFonts w:ascii="Times New Roman" w:hAnsi="Times New Roman"/>
                <w:noProof/>
                <w:color w:val="005F00"/>
                <w:sz w:val="19"/>
              </w:rPr>
              <w:t>C3.R1 Loi d’orientation des mobilités</w:t>
            </w:r>
          </w:p>
        </w:tc>
        <w:tc>
          <w:tcPr>
            <w:tcW w:w="1441" w:type="dxa"/>
            <w:shd w:val="clear" w:color="auto" w:fill="C5EDCE"/>
          </w:tcPr>
          <w:p w14:paraId="5A8AEDE9" w14:textId="77777777" w:rsidR="00740F0F" w:rsidRPr="0029070D" w:rsidRDefault="00100B64">
            <w:pPr>
              <w:spacing w:line="216" w:lineRule="exact"/>
              <w:ind w:left="320" w:right="286"/>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600" w:type="dxa"/>
            <w:shd w:val="clear" w:color="auto" w:fill="C5EDCE"/>
          </w:tcPr>
          <w:p w14:paraId="5A8AEDEA" w14:textId="3FD26441" w:rsidR="00740F0F" w:rsidRPr="0029070D" w:rsidRDefault="00100B64">
            <w:pPr>
              <w:spacing w:line="216" w:lineRule="exact"/>
              <w:ind w:left="116"/>
              <w:rPr>
                <w:rFonts w:ascii="Times New Roman" w:eastAsia="Times New Roman" w:hAnsi="Times New Roman" w:cs="Times New Roman"/>
                <w:noProof/>
                <w:sz w:val="19"/>
              </w:rPr>
            </w:pPr>
            <w:r>
              <w:rPr>
                <w:rFonts w:ascii="Times New Roman" w:hAnsi="Times New Roman"/>
                <w:noProof/>
                <w:color w:val="005F00"/>
                <w:sz w:val="19"/>
              </w:rPr>
              <w:t>Article 3 de la loi nº 2019-1428 du 24</w:t>
            </w:r>
            <w:r>
              <w:rPr>
                <w:rFonts w:ascii="Times New Roman" w:hAnsi="Times New Roman"/>
                <w:noProof/>
                <w:sz w:val="20"/>
              </w:rPr>
              <w:t> </w:t>
            </w:r>
            <w:r>
              <w:rPr>
                <w:rFonts w:ascii="Times New Roman" w:hAnsi="Times New Roman"/>
                <w:noProof/>
                <w:color w:val="005F00"/>
                <w:sz w:val="19"/>
              </w:rPr>
              <w:t>décembre 2019 d’orientation des mobilités</w:t>
            </w:r>
          </w:p>
        </w:tc>
      </w:tr>
      <w:tr w:rsidR="00782477" w:rsidRPr="0029070D" w14:paraId="5A8AEDF0" w14:textId="77777777">
        <w:trPr>
          <w:trHeight w:val="525"/>
          <w:jc w:val="center"/>
        </w:trPr>
        <w:tc>
          <w:tcPr>
            <w:tcW w:w="1150" w:type="dxa"/>
            <w:shd w:val="clear" w:color="auto" w:fill="C5EDCE"/>
          </w:tcPr>
          <w:p w14:paraId="5A8AEDEC" w14:textId="77777777" w:rsidR="00740F0F" w:rsidRPr="0029070D" w:rsidRDefault="00100B64">
            <w:pPr>
              <w:spacing w:line="216" w:lineRule="exact"/>
              <w:ind w:left="479"/>
              <w:rPr>
                <w:rFonts w:ascii="Times New Roman" w:eastAsia="Times New Roman" w:hAnsi="Times New Roman" w:cs="Times New Roman"/>
                <w:noProof/>
                <w:sz w:val="19"/>
              </w:rPr>
            </w:pPr>
            <w:r>
              <w:rPr>
                <w:rFonts w:ascii="Times New Roman" w:hAnsi="Times New Roman"/>
                <w:noProof/>
                <w:color w:val="005F00"/>
                <w:sz w:val="19"/>
              </w:rPr>
              <w:t>3-11</w:t>
            </w:r>
          </w:p>
        </w:tc>
        <w:tc>
          <w:tcPr>
            <w:tcW w:w="2876" w:type="dxa"/>
            <w:shd w:val="clear" w:color="auto" w:fill="C5EDCE"/>
          </w:tcPr>
          <w:p w14:paraId="5A8AEDED" w14:textId="77777777" w:rsidR="00740F0F" w:rsidRPr="0029070D" w:rsidRDefault="00100B64">
            <w:pPr>
              <w:spacing w:line="216" w:lineRule="exact"/>
              <w:ind w:left="121"/>
              <w:rPr>
                <w:rFonts w:ascii="Times New Roman" w:eastAsia="Times New Roman" w:hAnsi="Times New Roman" w:cs="Times New Roman"/>
                <w:noProof/>
                <w:sz w:val="19"/>
              </w:rPr>
            </w:pPr>
            <w:r>
              <w:rPr>
                <w:rFonts w:ascii="Times New Roman" w:hAnsi="Times New Roman"/>
                <w:noProof/>
                <w:color w:val="005F00"/>
                <w:sz w:val="19"/>
              </w:rPr>
              <w:t>C3.I1 Soutien au secteur ferroviaire</w:t>
            </w:r>
          </w:p>
        </w:tc>
        <w:tc>
          <w:tcPr>
            <w:tcW w:w="1441" w:type="dxa"/>
            <w:shd w:val="clear" w:color="auto" w:fill="C5EDCE"/>
          </w:tcPr>
          <w:p w14:paraId="5A8AEDEE" w14:textId="77777777" w:rsidR="00740F0F" w:rsidRPr="0029070D" w:rsidRDefault="00100B64">
            <w:pPr>
              <w:spacing w:line="216" w:lineRule="exact"/>
              <w:ind w:left="320" w:right="288"/>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DEF" w14:textId="77777777" w:rsidR="00740F0F" w:rsidRPr="0029070D" w:rsidRDefault="00100B64">
            <w:pPr>
              <w:spacing w:line="216" w:lineRule="exact"/>
              <w:ind w:left="116"/>
              <w:rPr>
                <w:rFonts w:ascii="Times New Roman" w:eastAsia="Times New Roman" w:hAnsi="Times New Roman" w:cs="Times New Roman"/>
                <w:noProof/>
                <w:sz w:val="19"/>
              </w:rPr>
            </w:pPr>
            <w:r>
              <w:rPr>
                <w:rFonts w:ascii="Times New Roman" w:hAnsi="Times New Roman"/>
                <w:noProof/>
                <w:color w:val="005F00"/>
                <w:sz w:val="19"/>
              </w:rPr>
              <w:t>Lignes ferroviaires locales</w:t>
            </w:r>
          </w:p>
        </w:tc>
      </w:tr>
      <w:tr w:rsidR="00782477" w:rsidRPr="0029070D" w14:paraId="5A8AEDF5" w14:textId="77777777">
        <w:trPr>
          <w:trHeight w:val="525"/>
          <w:jc w:val="center"/>
        </w:trPr>
        <w:tc>
          <w:tcPr>
            <w:tcW w:w="1150" w:type="dxa"/>
            <w:shd w:val="clear" w:color="auto" w:fill="C5EDCE"/>
          </w:tcPr>
          <w:p w14:paraId="5A8AEDF1" w14:textId="77777777" w:rsidR="00740F0F" w:rsidRPr="0029070D" w:rsidRDefault="00100B64">
            <w:pPr>
              <w:spacing w:line="216" w:lineRule="exact"/>
              <w:ind w:left="479"/>
              <w:rPr>
                <w:rFonts w:ascii="Times New Roman" w:eastAsia="Times New Roman" w:hAnsi="Times New Roman" w:cs="Times New Roman"/>
                <w:noProof/>
                <w:sz w:val="19"/>
              </w:rPr>
            </w:pPr>
            <w:r>
              <w:rPr>
                <w:rFonts w:ascii="Times New Roman" w:hAnsi="Times New Roman"/>
                <w:noProof/>
                <w:color w:val="005F00"/>
                <w:sz w:val="19"/>
              </w:rPr>
              <w:t>3-12</w:t>
            </w:r>
          </w:p>
        </w:tc>
        <w:tc>
          <w:tcPr>
            <w:tcW w:w="2876" w:type="dxa"/>
            <w:shd w:val="clear" w:color="auto" w:fill="C5EDCE"/>
          </w:tcPr>
          <w:p w14:paraId="5A8AEDF2" w14:textId="77777777" w:rsidR="00740F0F" w:rsidRPr="0029070D" w:rsidRDefault="00100B64">
            <w:pPr>
              <w:spacing w:line="216" w:lineRule="exact"/>
              <w:ind w:left="121"/>
              <w:rPr>
                <w:rFonts w:ascii="Times New Roman" w:eastAsia="Times New Roman" w:hAnsi="Times New Roman" w:cs="Times New Roman"/>
                <w:noProof/>
                <w:sz w:val="19"/>
              </w:rPr>
            </w:pPr>
            <w:r>
              <w:rPr>
                <w:rFonts w:ascii="Times New Roman" w:hAnsi="Times New Roman"/>
                <w:noProof/>
                <w:color w:val="005F00"/>
                <w:sz w:val="19"/>
              </w:rPr>
              <w:t>C3.I1 Soutien au secteur ferroviaire</w:t>
            </w:r>
          </w:p>
        </w:tc>
        <w:tc>
          <w:tcPr>
            <w:tcW w:w="1441" w:type="dxa"/>
            <w:shd w:val="clear" w:color="auto" w:fill="C5EDCE"/>
          </w:tcPr>
          <w:p w14:paraId="5A8AEDF3" w14:textId="77777777" w:rsidR="00740F0F" w:rsidRPr="0029070D" w:rsidRDefault="00100B64">
            <w:pPr>
              <w:spacing w:line="216" w:lineRule="exact"/>
              <w:ind w:left="320" w:right="288"/>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DF4" w14:textId="77777777" w:rsidR="00740F0F" w:rsidRPr="0029070D" w:rsidRDefault="00100B64">
            <w:pPr>
              <w:spacing w:line="216" w:lineRule="exact"/>
              <w:ind w:left="116"/>
              <w:rPr>
                <w:rFonts w:ascii="Times New Roman" w:eastAsia="Times New Roman" w:hAnsi="Times New Roman" w:cs="Times New Roman"/>
                <w:noProof/>
                <w:sz w:val="19"/>
              </w:rPr>
            </w:pPr>
            <w:r>
              <w:rPr>
                <w:rFonts w:ascii="Times New Roman" w:hAnsi="Times New Roman"/>
                <w:noProof/>
                <w:color w:val="005F00"/>
                <w:sz w:val="19"/>
              </w:rPr>
              <w:t>Lignes locales de transport de marchandises</w:t>
            </w:r>
          </w:p>
        </w:tc>
      </w:tr>
      <w:tr w:rsidR="00782477" w:rsidRPr="0029070D" w14:paraId="5A8AEDFA" w14:textId="77777777">
        <w:trPr>
          <w:trHeight w:val="525"/>
          <w:jc w:val="center"/>
        </w:trPr>
        <w:tc>
          <w:tcPr>
            <w:tcW w:w="1150" w:type="dxa"/>
            <w:shd w:val="clear" w:color="auto" w:fill="C5EDCE"/>
          </w:tcPr>
          <w:p w14:paraId="5A8AEDF6" w14:textId="77777777" w:rsidR="00740F0F" w:rsidRPr="0029070D" w:rsidRDefault="00100B64">
            <w:pPr>
              <w:spacing w:line="216" w:lineRule="exact"/>
              <w:ind w:left="479"/>
              <w:rPr>
                <w:rFonts w:ascii="Times New Roman" w:eastAsia="Times New Roman" w:hAnsi="Times New Roman" w:cs="Times New Roman"/>
                <w:noProof/>
                <w:sz w:val="19"/>
              </w:rPr>
            </w:pPr>
            <w:r>
              <w:rPr>
                <w:rFonts w:ascii="Times New Roman" w:hAnsi="Times New Roman"/>
                <w:noProof/>
                <w:color w:val="005F00"/>
                <w:sz w:val="19"/>
              </w:rPr>
              <w:t>3-23</w:t>
            </w:r>
          </w:p>
        </w:tc>
        <w:tc>
          <w:tcPr>
            <w:tcW w:w="2876" w:type="dxa"/>
            <w:shd w:val="clear" w:color="auto" w:fill="C5EDCE"/>
          </w:tcPr>
          <w:p w14:paraId="5A8AEDF7" w14:textId="77777777" w:rsidR="00740F0F" w:rsidRPr="0029070D" w:rsidRDefault="00100B64">
            <w:pPr>
              <w:ind w:left="121"/>
              <w:rPr>
                <w:rFonts w:ascii="Times New Roman" w:eastAsia="Times New Roman" w:hAnsi="Times New Roman" w:cs="Times New Roman"/>
                <w:noProof/>
                <w:sz w:val="19"/>
              </w:rPr>
            </w:pPr>
            <w:r>
              <w:rPr>
                <w:rFonts w:ascii="Times New Roman" w:hAnsi="Times New Roman"/>
                <w:noProof/>
                <w:color w:val="005F00"/>
                <w:sz w:val="19"/>
              </w:rPr>
              <w:t>C3.I4 Accélération des travaux sur les infrastructures de transports</w:t>
            </w:r>
          </w:p>
        </w:tc>
        <w:tc>
          <w:tcPr>
            <w:tcW w:w="1441" w:type="dxa"/>
            <w:shd w:val="clear" w:color="auto" w:fill="C5EDCE"/>
          </w:tcPr>
          <w:p w14:paraId="5A8AEDF8" w14:textId="77777777" w:rsidR="00740F0F" w:rsidRPr="0029070D" w:rsidRDefault="00100B64">
            <w:pPr>
              <w:spacing w:line="216" w:lineRule="exact"/>
              <w:ind w:left="320" w:right="288"/>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DF9" w14:textId="77777777" w:rsidR="00740F0F" w:rsidRPr="0029070D" w:rsidRDefault="00100B64">
            <w:pPr>
              <w:spacing w:line="216" w:lineRule="exact"/>
              <w:ind w:left="116"/>
              <w:rPr>
                <w:rFonts w:ascii="Times New Roman" w:eastAsia="Times New Roman" w:hAnsi="Times New Roman" w:cs="Times New Roman"/>
                <w:noProof/>
                <w:sz w:val="19"/>
              </w:rPr>
            </w:pPr>
            <w:r>
              <w:rPr>
                <w:rFonts w:ascii="Times New Roman" w:hAnsi="Times New Roman"/>
                <w:noProof/>
                <w:color w:val="005F00"/>
                <w:sz w:val="19"/>
              </w:rPr>
              <w:t>Points de recharge</w:t>
            </w:r>
          </w:p>
        </w:tc>
      </w:tr>
      <w:tr w:rsidR="00782477" w:rsidRPr="0029070D" w14:paraId="5A8AEDFF" w14:textId="77777777">
        <w:trPr>
          <w:trHeight w:val="525"/>
          <w:jc w:val="center"/>
        </w:trPr>
        <w:tc>
          <w:tcPr>
            <w:tcW w:w="1150" w:type="dxa"/>
            <w:shd w:val="clear" w:color="auto" w:fill="C5EDCE"/>
          </w:tcPr>
          <w:p w14:paraId="5A8AEDFB" w14:textId="77777777" w:rsidR="00740F0F" w:rsidRPr="0029070D" w:rsidRDefault="00100B64">
            <w:pPr>
              <w:spacing w:line="216" w:lineRule="exact"/>
              <w:ind w:left="479"/>
              <w:rPr>
                <w:rFonts w:ascii="Times New Roman" w:eastAsia="Times New Roman" w:hAnsi="Times New Roman" w:cs="Times New Roman"/>
                <w:noProof/>
                <w:sz w:val="19"/>
              </w:rPr>
            </w:pPr>
            <w:r>
              <w:rPr>
                <w:rFonts w:ascii="Times New Roman" w:hAnsi="Times New Roman"/>
                <w:noProof/>
                <w:color w:val="005F00"/>
                <w:sz w:val="19"/>
              </w:rPr>
              <w:t>3-24</w:t>
            </w:r>
          </w:p>
        </w:tc>
        <w:tc>
          <w:tcPr>
            <w:tcW w:w="2876" w:type="dxa"/>
            <w:shd w:val="clear" w:color="auto" w:fill="C5EDCE"/>
          </w:tcPr>
          <w:p w14:paraId="5A8AEDFC" w14:textId="77777777" w:rsidR="00740F0F" w:rsidRPr="0029070D" w:rsidRDefault="00100B64">
            <w:pPr>
              <w:ind w:left="121"/>
              <w:rPr>
                <w:rFonts w:ascii="Times New Roman" w:eastAsia="Times New Roman" w:hAnsi="Times New Roman" w:cs="Times New Roman"/>
                <w:noProof/>
                <w:sz w:val="19"/>
              </w:rPr>
            </w:pPr>
            <w:r>
              <w:rPr>
                <w:rFonts w:ascii="Times New Roman" w:hAnsi="Times New Roman"/>
                <w:noProof/>
                <w:color w:val="005F00"/>
                <w:sz w:val="19"/>
              </w:rPr>
              <w:t>C3.I4 Accélération des travaux sur les infrastructures de transports</w:t>
            </w:r>
          </w:p>
        </w:tc>
        <w:tc>
          <w:tcPr>
            <w:tcW w:w="1441" w:type="dxa"/>
            <w:shd w:val="clear" w:color="auto" w:fill="C5EDCE"/>
          </w:tcPr>
          <w:p w14:paraId="5A8AEDFD" w14:textId="77777777" w:rsidR="00740F0F" w:rsidRPr="0029070D" w:rsidRDefault="00100B64">
            <w:pPr>
              <w:spacing w:line="216" w:lineRule="exact"/>
              <w:ind w:left="320" w:right="288"/>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DFE" w14:textId="77777777" w:rsidR="00740F0F" w:rsidRPr="0029070D" w:rsidRDefault="00100B64">
            <w:pPr>
              <w:spacing w:line="216" w:lineRule="exact"/>
              <w:ind w:left="116"/>
              <w:rPr>
                <w:rFonts w:ascii="Times New Roman" w:eastAsia="Times New Roman" w:hAnsi="Times New Roman" w:cs="Times New Roman"/>
                <w:noProof/>
                <w:sz w:val="19"/>
              </w:rPr>
            </w:pPr>
            <w:r>
              <w:rPr>
                <w:rFonts w:ascii="Times New Roman" w:hAnsi="Times New Roman"/>
                <w:noProof/>
                <w:color w:val="005F00"/>
                <w:sz w:val="19"/>
              </w:rPr>
              <w:t>Kilomètres de voies réservées réalisées</w:t>
            </w:r>
          </w:p>
        </w:tc>
      </w:tr>
      <w:tr w:rsidR="00782477" w:rsidRPr="0029070D" w14:paraId="5A8AEE04" w14:textId="77777777" w:rsidTr="00002CA2">
        <w:trPr>
          <w:trHeight w:val="525"/>
          <w:jc w:val="center"/>
        </w:trPr>
        <w:tc>
          <w:tcPr>
            <w:tcW w:w="1150" w:type="dxa"/>
            <w:tcBorders>
              <w:bottom w:val="single" w:sz="4" w:space="0" w:color="auto"/>
            </w:tcBorders>
            <w:shd w:val="clear" w:color="auto" w:fill="C5EDCE"/>
          </w:tcPr>
          <w:p w14:paraId="5A8AEE00" w14:textId="77777777" w:rsidR="00740F0F" w:rsidRPr="0029070D" w:rsidRDefault="00100B64">
            <w:pPr>
              <w:spacing w:line="216" w:lineRule="exact"/>
              <w:ind w:left="479"/>
              <w:rPr>
                <w:rFonts w:ascii="Times New Roman" w:eastAsia="Times New Roman" w:hAnsi="Times New Roman" w:cs="Times New Roman"/>
                <w:noProof/>
                <w:sz w:val="19"/>
              </w:rPr>
            </w:pPr>
            <w:r>
              <w:rPr>
                <w:rFonts w:ascii="Times New Roman" w:hAnsi="Times New Roman"/>
                <w:noProof/>
                <w:color w:val="005F00"/>
                <w:sz w:val="19"/>
              </w:rPr>
              <w:t>3-28</w:t>
            </w:r>
          </w:p>
        </w:tc>
        <w:tc>
          <w:tcPr>
            <w:tcW w:w="2876" w:type="dxa"/>
            <w:tcBorders>
              <w:bottom w:val="single" w:sz="4" w:space="0" w:color="auto"/>
            </w:tcBorders>
            <w:shd w:val="clear" w:color="auto" w:fill="C5EDCE"/>
          </w:tcPr>
          <w:p w14:paraId="5A8AEE01" w14:textId="77777777" w:rsidR="00740F0F" w:rsidRPr="0029070D" w:rsidRDefault="00100B64">
            <w:pPr>
              <w:ind w:left="121" w:right="101"/>
              <w:rPr>
                <w:rFonts w:ascii="Times New Roman" w:eastAsia="Times New Roman" w:hAnsi="Times New Roman" w:cs="Times New Roman"/>
                <w:noProof/>
                <w:sz w:val="19"/>
              </w:rPr>
            </w:pPr>
            <w:r>
              <w:rPr>
                <w:rFonts w:ascii="Times New Roman" w:hAnsi="Times New Roman"/>
                <w:noProof/>
                <w:color w:val="005F00"/>
                <w:sz w:val="19"/>
              </w:rPr>
              <w:t>C3.I5 Verdissement du parc automobile de l’État</w:t>
            </w:r>
          </w:p>
        </w:tc>
        <w:tc>
          <w:tcPr>
            <w:tcW w:w="1441" w:type="dxa"/>
            <w:tcBorders>
              <w:bottom w:val="single" w:sz="4" w:space="0" w:color="auto"/>
            </w:tcBorders>
            <w:shd w:val="clear" w:color="auto" w:fill="C5EDCE"/>
          </w:tcPr>
          <w:p w14:paraId="5A8AEE02" w14:textId="77777777" w:rsidR="00740F0F" w:rsidRPr="0029070D" w:rsidRDefault="00100B64">
            <w:pPr>
              <w:spacing w:line="216" w:lineRule="exact"/>
              <w:ind w:left="320" w:right="288"/>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tcBorders>
              <w:bottom w:val="single" w:sz="4" w:space="0" w:color="auto"/>
            </w:tcBorders>
            <w:shd w:val="clear" w:color="auto" w:fill="C5EDCE"/>
          </w:tcPr>
          <w:p w14:paraId="5A8AEE03" w14:textId="77777777" w:rsidR="00740F0F" w:rsidRPr="0029070D" w:rsidRDefault="00100B64">
            <w:pPr>
              <w:ind w:left="116" w:right="782"/>
              <w:rPr>
                <w:rFonts w:ascii="Times New Roman" w:eastAsia="Times New Roman" w:hAnsi="Times New Roman" w:cs="Times New Roman"/>
                <w:noProof/>
                <w:sz w:val="19"/>
              </w:rPr>
            </w:pPr>
            <w:r>
              <w:rPr>
                <w:rFonts w:ascii="Times New Roman" w:hAnsi="Times New Roman"/>
                <w:noProof/>
                <w:color w:val="005F00"/>
                <w:sz w:val="19"/>
              </w:rPr>
              <w:t>Nombre de véhicules électriques et hybrides rechargeables achetés par l’administration française</w:t>
            </w:r>
          </w:p>
        </w:tc>
      </w:tr>
      <w:tr w:rsidR="00782477" w:rsidRPr="0029070D" w14:paraId="5A8AEE09" w14:textId="77777777" w:rsidTr="00002CA2">
        <w:trPr>
          <w:trHeight w:val="525"/>
          <w:jc w:val="center"/>
        </w:trPr>
        <w:tc>
          <w:tcPr>
            <w:tcW w:w="1150" w:type="dxa"/>
            <w:tcBorders>
              <w:top w:val="single" w:sz="4" w:space="0" w:color="auto"/>
              <w:left w:val="single" w:sz="4" w:space="0" w:color="auto"/>
              <w:bottom w:val="single" w:sz="4" w:space="0" w:color="auto"/>
              <w:right w:val="single" w:sz="4" w:space="0" w:color="auto"/>
            </w:tcBorders>
            <w:shd w:val="clear" w:color="auto" w:fill="C5EDCE"/>
          </w:tcPr>
          <w:p w14:paraId="5A8AEE05" w14:textId="77777777" w:rsidR="00740F0F" w:rsidRPr="0029070D" w:rsidRDefault="00100B64">
            <w:pPr>
              <w:spacing w:line="216" w:lineRule="exact"/>
              <w:ind w:left="479"/>
              <w:rPr>
                <w:rFonts w:ascii="Times New Roman" w:eastAsia="Times New Roman" w:hAnsi="Times New Roman" w:cs="Times New Roman"/>
                <w:noProof/>
                <w:sz w:val="19"/>
              </w:rPr>
            </w:pPr>
            <w:r>
              <w:rPr>
                <w:rFonts w:ascii="Times New Roman" w:hAnsi="Times New Roman"/>
                <w:noProof/>
                <w:color w:val="005F00"/>
                <w:sz w:val="19"/>
              </w:rPr>
              <w:t>3-30</w:t>
            </w:r>
          </w:p>
        </w:tc>
        <w:tc>
          <w:tcPr>
            <w:tcW w:w="2876" w:type="dxa"/>
            <w:tcBorders>
              <w:top w:val="single" w:sz="4" w:space="0" w:color="auto"/>
              <w:left w:val="single" w:sz="4" w:space="0" w:color="auto"/>
              <w:bottom w:val="single" w:sz="4" w:space="0" w:color="auto"/>
              <w:right w:val="single" w:sz="4" w:space="0" w:color="auto"/>
            </w:tcBorders>
            <w:shd w:val="clear" w:color="auto" w:fill="C5EDCE"/>
          </w:tcPr>
          <w:p w14:paraId="5A8AEE06" w14:textId="77777777" w:rsidR="00740F0F" w:rsidRPr="0029070D" w:rsidRDefault="00100B64">
            <w:pPr>
              <w:spacing w:line="216" w:lineRule="exact"/>
              <w:ind w:left="121"/>
              <w:rPr>
                <w:rFonts w:ascii="Times New Roman" w:eastAsia="Times New Roman" w:hAnsi="Times New Roman" w:cs="Times New Roman"/>
                <w:noProof/>
                <w:sz w:val="19"/>
              </w:rPr>
            </w:pPr>
            <w:r>
              <w:rPr>
                <w:rFonts w:ascii="Times New Roman" w:hAnsi="Times New Roman"/>
                <w:noProof/>
                <w:color w:val="005F00"/>
                <w:sz w:val="19"/>
              </w:rPr>
              <w:t>C3.I6 Verdissement des ports</w:t>
            </w:r>
          </w:p>
        </w:tc>
        <w:tc>
          <w:tcPr>
            <w:tcW w:w="1441" w:type="dxa"/>
            <w:tcBorders>
              <w:top w:val="single" w:sz="4" w:space="0" w:color="auto"/>
              <w:left w:val="single" w:sz="4" w:space="0" w:color="auto"/>
              <w:bottom w:val="single" w:sz="4" w:space="0" w:color="auto"/>
              <w:right w:val="single" w:sz="4" w:space="0" w:color="auto"/>
            </w:tcBorders>
            <w:shd w:val="clear" w:color="auto" w:fill="C5EDCE"/>
          </w:tcPr>
          <w:p w14:paraId="5A8AEE07" w14:textId="77777777" w:rsidR="00740F0F" w:rsidRPr="0029070D" w:rsidRDefault="00100B64">
            <w:pPr>
              <w:spacing w:line="216" w:lineRule="exact"/>
              <w:ind w:left="320" w:right="289"/>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tcBorders>
              <w:top w:val="single" w:sz="4" w:space="0" w:color="auto"/>
              <w:left w:val="single" w:sz="4" w:space="0" w:color="auto"/>
              <w:bottom w:val="single" w:sz="4" w:space="0" w:color="auto"/>
              <w:right w:val="single" w:sz="4" w:space="0" w:color="auto"/>
            </w:tcBorders>
            <w:shd w:val="clear" w:color="auto" w:fill="C5EDCE"/>
          </w:tcPr>
          <w:p w14:paraId="5A8AEE08" w14:textId="77777777" w:rsidR="00740F0F" w:rsidRPr="0029070D" w:rsidRDefault="00100B64">
            <w:pPr>
              <w:spacing w:line="216" w:lineRule="exact"/>
              <w:ind w:left="116"/>
              <w:rPr>
                <w:rFonts w:ascii="Times New Roman" w:eastAsia="Times New Roman" w:hAnsi="Times New Roman" w:cs="Times New Roman"/>
                <w:noProof/>
                <w:sz w:val="19"/>
              </w:rPr>
            </w:pPr>
            <w:r>
              <w:rPr>
                <w:rFonts w:ascii="Times New Roman" w:hAnsi="Times New Roman"/>
                <w:noProof/>
                <w:color w:val="005F00"/>
                <w:sz w:val="19"/>
              </w:rPr>
              <w:t>Nouveaux branchements électriques à quai</w:t>
            </w:r>
          </w:p>
        </w:tc>
      </w:tr>
      <w:tr w:rsidR="00782477" w:rsidRPr="0029070D" w14:paraId="5A8AEE0E" w14:textId="77777777" w:rsidTr="00002CA2">
        <w:trPr>
          <w:trHeight w:val="522"/>
          <w:jc w:val="center"/>
        </w:trPr>
        <w:tc>
          <w:tcPr>
            <w:tcW w:w="1150" w:type="dxa"/>
            <w:tcBorders>
              <w:top w:val="single" w:sz="4" w:space="0" w:color="auto"/>
              <w:left w:val="single" w:sz="4" w:space="0" w:color="auto"/>
              <w:bottom w:val="single" w:sz="4" w:space="0" w:color="auto"/>
              <w:right w:val="single" w:sz="4" w:space="0" w:color="auto"/>
            </w:tcBorders>
            <w:shd w:val="clear" w:color="auto" w:fill="C5EDCE"/>
          </w:tcPr>
          <w:p w14:paraId="5A8AEE0A" w14:textId="77777777" w:rsidR="00740F0F" w:rsidRPr="0029070D" w:rsidRDefault="00100B64">
            <w:pPr>
              <w:spacing w:line="194" w:lineRule="exact"/>
              <w:ind w:left="372" w:right="313"/>
              <w:jc w:val="center"/>
              <w:rPr>
                <w:rFonts w:ascii="Times New Roman" w:eastAsia="Times New Roman" w:hAnsi="Times New Roman" w:cs="Times New Roman"/>
                <w:noProof/>
                <w:sz w:val="19"/>
              </w:rPr>
            </w:pPr>
            <w:r>
              <w:rPr>
                <w:rFonts w:ascii="Times New Roman" w:hAnsi="Times New Roman"/>
                <w:noProof/>
                <w:color w:val="005F00"/>
                <w:sz w:val="19"/>
              </w:rPr>
              <w:t>3-32</w:t>
            </w:r>
          </w:p>
        </w:tc>
        <w:tc>
          <w:tcPr>
            <w:tcW w:w="2876" w:type="dxa"/>
            <w:tcBorders>
              <w:top w:val="single" w:sz="4" w:space="0" w:color="auto"/>
              <w:left w:val="single" w:sz="4" w:space="0" w:color="auto"/>
              <w:bottom w:val="single" w:sz="4" w:space="0" w:color="auto"/>
              <w:right w:val="single" w:sz="4" w:space="0" w:color="auto"/>
            </w:tcBorders>
            <w:shd w:val="clear" w:color="auto" w:fill="C5EDCE"/>
          </w:tcPr>
          <w:p w14:paraId="5A8AEE0B" w14:textId="77777777" w:rsidR="00740F0F" w:rsidRPr="0029070D" w:rsidRDefault="00100B64">
            <w:pPr>
              <w:spacing w:line="194" w:lineRule="exact"/>
              <w:ind w:left="121"/>
              <w:rPr>
                <w:rFonts w:ascii="Times New Roman" w:eastAsia="Times New Roman" w:hAnsi="Times New Roman" w:cs="Times New Roman"/>
                <w:noProof/>
                <w:sz w:val="19"/>
              </w:rPr>
            </w:pPr>
            <w:r>
              <w:rPr>
                <w:rFonts w:ascii="Times New Roman" w:hAnsi="Times New Roman"/>
                <w:noProof/>
                <w:color w:val="005F00"/>
                <w:sz w:val="19"/>
              </w:rPr>
              <w:t>C3.I7 Renforcement de la résilience des réseaux électriques</w:t>
            </w:r>
          </w:p>
        </w:tc>
        <w:tc>
          <w:tcPr>
            <w:tcW w:w="1441" w:type="dxa"/>
            <w:tcBorders>
              <w:top w:val="single" w:sz="4" w:space="0" w:color="auto"/>
              <w:left w:val="single" w:sz="4" w:space="0" w:color="auto"/>
              <w:bottom w:val="single" w:sz="4" w:space="0" w:color="auto"/>
              <w:right w:val="single" w:sz="4" w:space="0" w:color="auto"/>
            </w:tcBorders>
            <w:shd w:val="clear" w:color="auto" w:fill="C5EDCE"/>
          </w:tcPr>
          <w:p w14:paraId="5A8AEE0C" w14:textId="77777777" w:rsidR="00740F0F" w:rsidRPr="0029070D" w:rsidRDefault="00100B64">
            <w:pPr>
              <w:spacing w:line="194" w:lineRule="exact"/>
              <w:ind w:left="320" w:right="286"/>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600" w:type="dxa"/>
            <w:tcBorders>
              <w:top w:val="single" w:sz="4" w:space="0" w:color="auto"/>
              <w:left w:val="single" w:sz="4" w:space="0" w:color="auto"/>
              <w:bottom w:val="single" w:sz="4" w:space="0" w:color="auto"/>
              <w:right w:val="single" w:sz="4" w:space="0" w:color="auto"/>
            </w:tcBorders>
            <w:shd w:val="clear" w:color="auto" w:fill="C5EDCE"/>
          </w:tcPr>
          <w:p w14:paraId="5A8AEE0D" w14:textId="77777777" w:rsidR="00740F0F" w:rsidRPr="0029070D" w:rsidRDefault="00100B64">
            <w:pPr>
              <w:spacing w:line="194" w:lineRule="exact"/>
              <w:ind w:left="116"/>
              <w:rPr>
                <w:rFonts w:ascii="Times New Roman" w:eastAsia="Times New Roman" w:hAnsi="Times New Roman" w:cs="Times New Roman"/>
                <w:noProof/>
                <w:sz w:val="19"/>
              </w:rPr>
            </w:pPr>
            <w:r>
              <w:rPr>
                <w:rFonts w:ascii="Times New Roman" w:hAnsi="Times New Roman"/>
                <w:noProof/>
                <w:color w:val="005F00"/>
                <w:sz w:val="19"/>
              </w:rPr>
              <w:t>Début des projets</w:t>
            </w:r>
          </w:p>
        </w:tc>
      </w:tr>
      <w:tr w:rsidR="00782477" w:rsidRPr="0029070D" w14:paraId="5A8AEE13" w14:textId="77777777" w:rsidTr="00002CA2">
        <w:trPr>
          <w:trHeight w:val="525"/>
          <w:jc w:val="center"/>
        </w:trPr>
        <w:tc>
          <w:tcPr>
            <w:tcW w:w="1150" w:type="dxa"/>
            <w:tcBorders>
              <w:top w:val="single" w:sz="4" w:space="0" w:color="auto"/>
              <w:left w:val="single" w:sz="4" w:space="0" w:color="auto"/>
              <w:bottom w:val="single" w:sz="4" w:space="0" w:color="auto"/>
              <w:right w:val="single" w:sz="4" w:space="0" w:color="auto"/>
            </w:tcBorders>
            <w:shd w:val="clear" w:color="auto" w:fill="C5EDCE"/>
          </w:tcPr>
          <w:p w14:paraId="5A8AEE0F" w14:textId="77777777" w:rsidR="00740F0F" w:rsidRPr="0029070D" w:rsidRDefault="00100B64">
            <w:pPr>
              <w:spacing w:line="197" w:lineRule="exact"/>
              <w:ind w:left="376" w:right="313"/>
              <w:jc w:val="center"/>
              <w:rPr>
                <w:rFonts w:ascii="Times New Roman" w:eastAsia="Times New Roman" w:hAnsi="Times New Roman" w:cs="Times New Roman"/>
                <w:noProof/>
                <w:sz w:val="19"/>
              </w:rPr>
            </w:pPr>
            <w:r>
              <w:rPr>
                <w:rFonts w:ascii="Times New Roman" w:hAnsi="Times New Roman"/>
                <w:noProof/>
                <w:color w:val="005F00"/>
                <w:sz w:val="19"/>
              </w:rPr>
              <w:t>4-4</w:t>
            </w:r>
          </w:p>
        </w:tc>
        <w:tc>
          <w:tcPr>
            <w:tcW w:w="2876" w:type="dxa"/>
            <w:tcBorders>
              <w:top w:val="single" w:sz="4" w:space="0" w:color="auto"/>
              <w:left w:val="single" w:sz="4" w:space="0" w:color="auto"/>
              <w:bottom w:val="single" w:sz="4" w:space="0" w:color="auto"/>
              <w:right w:val="single" w:sz="4" w:space="0" w:color="auto"/>
            </w:tcBorders>
            <w:shd w:val="clear" w:color="auto" w:fill="C5EDCE"/>
          </w:tcPr>
          <w:p w14:paraId="5A8AEE10" w14:textId="77777777" w:rsidR="00740F0F" w:rsidRPr="0029070D" w:rsidRDefault="00100B64">
            <w:pPr>
              <w:spacing w:line="197" w:lineRule="exact"/>
              <w:ind w:left="121"/>
              <w:rPr>
                <w:rFonts w:ascii="Times New Roman" w:eastAsia="Times New Roman" w:hAnsi="Times New Roman" w:cs="Times New Roman"/>
                <w:noProof/>
                <w:sz w:val="19"/>
              </w:rPr>
            </w:pPr>
            <w:r>
              <w:rPr>
                <w:rFonts w:ascii="Times New Roman" w:hAnsi="Times New Roman"/>
                <w:noProof/>
                <w:color w:val="005F00"/>
                <w:sz w:val="19"/>
              </w:rPr>
              <w:t>C4.I1 Innover pour la transition écologique</w:t>
            </w:r>
          </w:p>
        </w:tc>
        <w:tc>
          <w:tcPr>
            <w:tcW w:w="1441" w:type="dxa"/>
            <w:tcBorders>
              <w:top w:val="single" w:sz="4" w:space="0" w:color="auto"/>
              <w:left w:val="single" w:sz="4" w:space="0" w:color="auto"/>
              <w:bottom w:val="single" w:sz="4" w:space="0" w:color="auto"/>
              <w:right w:val="single" w:sz="4" w:space="0" w:color="auto"/>
            </w:tcBorders>
            <w:shd w:val="clear" w:color="auto" w:fill="C5EDCE"/>
          </w:tcPr>
          <w:p w14:paraId="5A8AEE11" w14:textId="77777777" w:rsidR="00740F0F" w:rsidRPr="0029070D" w:rsidRDefault="00100B64">
            <w:pPr>
              <w:spacing w:line="197" w:lineRule="exact"/>
              <w:ind w:left="320" w:right="286"/>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600" w:type="dxa"/>
            <w:tcBorders>
              <w:top w:val="single" w:sz="4" w:space="0" w:color="auto"/>
              <w:left w:val="single" w:sz="4" w:space="0" w:color="auto"/>
              <w:bottom w:val="single" w:sz="4" w:space="0" w:color="auto"/>
              <w:right w:val="single" w:sz="4" w:space="0" w:color="auto"/>
            </w:tcBorders>
            <w:shd w:val="clear" w:color="auto" w:fill="C5EDCE"/>
          </w:tcPr>
          <w:p w14:paraId="5A8AEE12" w14:textId="77777777" w:rsidR="00740F0F" w:rsidRPr="0029070D" w:rsidRDefault="00100B64">
            <w:pPr>
              <w:spacing w:line="192" w:lineRule="exact"/>
              <w:ind w:left="116"/>
              <w:rPr>
                <w:rFonts w:ascii="Times New Roman" w:eastAsia="Times New Roman" w:hAnsi="Times New Roman" w:cs="Times New Roman"/>
                <w:noProof/>
                <w:sz w:val="19"/>
              </w:rPr>
            </w:pPr>
            <w:r>
              <w:rPr>
                <w:rFonts w:ascii="Times New Roman" w:hAnsi="Times New Roman"/>
                <w:noProof/>
                <w:color w:val="005F00"/>
                <w:sz w:val="19"/>
              </w:rPr>
              <w:t>Attribution des marchés – décision d’exécution du Premier ministre</w:t>
            </w:r>
          </w:p>
        </w:tc>
      </w:tr>
      <w:tr w:rsidR="00782477" w:rsidRPr="009447E5" w14:paraId="5A8AEE19" w14:textId="77777777" w:rsidTr="00002CA2">
        <w:trPr>
          <w:trHeight w:val="762"/>
          <w:jc w:val="center"/>
        </w:trPr>
        <w:tc>
          <w:tcPr>
            <w:tcW w:w="1150" w:type="dxa"/>
            <w:tcBorders>
              <w:top w:val="single" w:sz="4" w:space="0" w:color="auto"/>
              <w:left w:val="single" w:sz="4" w:space="0" w:color="auto"/>
              <w:bottom w:val="single" w:sz="4" w:space="0" w:color="auto"/>
              <w:right w:val="single" w:sz="4" w:space="0" w:color="auto"/>
            </w:tcBorders>
            <w:shd w:val="clear" w:color="auto" w:fill="C5EDCE"/>
          </w:tcPr>
          <w:p w14:paraId="5A8AEE14" w14:textId="77777777" w:rsidR="00740F0F" w:rsidRPr="0029070D" w:rsidRDefault="00100B64">
            <w:pPr>
              <w:spacing w:line="197" w:lineRule="exact"/>
              <w:ind w:left="376" w:right="313"/>
              <w:jc w:val="center"/>
              <w:rPr>
                <w:rFonts w:ascii="Times New Roman" w:eastAsia="Times New Roman" w:hAnsi="Times New Roman" w:cs="Times New Roman"/>
                <w:noProof/>
                <w:sz w:val="19"/>
              </w:rPr>
            </w:pPr>
            <w:r>
              <w:rPr>
                <w:rFonts w:ascii="Times New Roman" w:hAnsi="Times New Roman"/>
                <w:noProof/>
                <w:color w:val="005F00"/>
                <w:sz w:val="19"/>
              </w:rPr>
              <w:t>5-2</w:t>
            </w:r>
          </w:p>
        </w:tc>
        <w:tc>
          <w:tcPr>
            <w:tcW w:w="2876" w:type="dxa"/>
            <w:tcBorders>
              <w:top w:val="single" w:sz="4" w:space="0" w:color="auto"/>
              <w:left w:val="single" w:sz="4" w:space="0" w:color="auto"/>
              <w:bottom w:val="single" w:sz="4" w:space="0" w:color="auto"/>
              <w:right w:val="single" w:sz="4" w:space="0" w:color="auto"/>
            </w:tcBorders>
            <w:shd w:val="clear" w:color="auto" w:fill="C5EDCE"/>
          </w:tcPr>
          <w:p w14:paraId="5A8AEE15" w14:textId="77777777" w:rsidR="00740F0F" w:rsidRPr="0029070D" w:rsidRDefault="00100B64">
            <w:pPr>
              <w:spacing w:line="192" w:lineRule="exact"/>
              <w:ind w:left="121" w:right="-15"/>
              <w:rPr>
                <w:rFonts w:ascii="Times New Roman" w:eastAsia="Times New Roman" w:hAnsi="Times New Roman" w:cs="Times New Roman"/>
                <w:noProof/>
                <w:sz w:val="19"/>
              </w:rPr>
            </w:pPr>
            <w:r>
              <w:rPr>
                <w:rFonts w:ascii="Times New Roman" w:hAnsi="Times New Roman"/>
                <w:noProof/>
                <w:color w:val="005F00"/>
                <w:sz w:val="19"/>
              </w:rPr>
              <w:t>C5.R2 Contribution des entreprises aux</w:t>
            </w:r>
          </w:p>
          <w:p w14:paraId="5A8AEE16" w14:textId="77777777" w:rsidR="00740F0F" w:rsidRPr="0029070D" w:rsidRDefault="00100B64">
            <w:pPr>
              <w:spacing w:before="6" w:line="225" w:lineRule="auto"/>
              <w:ind w:left="121" w:right="380"/>
              <w:rPr>
                <w:rFonts w:ascii="Times New Roman" w:eastAsia="Times New Roman" w:hAnsi="Times New Roman" w:cs="Times New Roman"/>
                <w:noProof/>
                <w:sz w:val="19"/>
              </w:rPr>
            </w:pPr>
            <w:r>
              <w:rPr>
                <w:rFonts w:ascii="Times New Roman" w:hAnsi="Times New Roman"/>
                <w:noProof/>
                <w:color w:val="005F00"/>
                <w:sz w:val="19"/>
              </w:rPr>
              <w:t>transformations économiques, sociales et environnementales</w:t>
            </w:r>
          </w:p>
        </w:tc>
        <w:tc>
          <w:tcPr>
            <w:tcW w:w="1441" w:type="dxa"/>
            <w:tcBorders>
              <w:top w:val="single" w:sz="4" w:space="0" w:color="auto"/>
              <w:left w:val="single" w:sz="4" w:space="0" w:color="auto"/>
              <w:bottom w:val="single" w:sz="4" w:space="0" w:color="auto"/>
              <w:right w:val="single" w:sz="4" w:space="0" w:color="auto"/>
            </w:tcBorders>
            <w:shd w:val="clear" w:color="auto" w:fill="C5EDCE"/>
          </w:tcPr>
          <w:p w14:paraId="5A8AEE17" w14:textId="77777777" w:rsidR="00740F0F" w:rsidRPr="0029070D" w:rsidRDefault="00100B64">
            <w:pPr>
              <w:spacing w:line="197" w:lineRule="exact"/>
              <w:ind w:left="320" w:right="286"/>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600" w:type="dxa"/>
            <w:tcBorders>
              <w:top w:val="single" w:sz="4" w:space="0" w:color="auto"/>
              <w:left w:val="single" w:sz="4" w:space="0" w:color="auto"/>
              <w:bottom w:val="single" w:sz="4" w:space="0" w:color="auto"/>
              <w:right w:val="single" w:sz="4" w:space="0" w:color="auto"/>
            </w:tcBorders>
            <w:shd w:val="clear" w:color="auto" w:fill="C5EDCE"/>
          </w:tcPr>
          <w:p w14:paraId="5A8AEE18" w14:textId="77777777" w:rsidR="00740F0F" w:rsidRPr="009447E5" w:rsidRDefault="00100B64">
            <w:pPr>
              <w:spacing w:line="204" w:lineRule="exact"/>
              <w:ind w:left="116"/>
              <w:rPr>
                <w:rFonts w:ascii="Times New Roman" w:eastAsia="Times New Roman" w:hAnsi="Times New Roman" w:cs="Times New Roman"/>
                <w:noProof/>
                <w:sz w:val="19"/>
              </w:rPr>
            </w:pPr>
            <w:r>
              <w:rPr>
                <w:rFonts w:ascii="Times New Roman" w:hAnsi="Times New Roman"/>
                <w:noProof/>
                <w:color w:val="005F00"/>
                <w:sz w:val="19"/>
              </w:rPr>
              <w:t>Article 244 de la loi nº 2020-1721 (loi de finances 2021)</w:t>
            </w:r>
          </w:p>
        </w:tc>
      </w:tr>
      <w:tr w:rsidR="00782477" w:rsidRPr="0029070D" w14:paraId="5A8AEE1E" w14:textId="77777777" w:rsidTr="00002CA2">
        <w:trPr>
          <w:trHeight w:val="525"/>
          <w:jc w:val="center"/>
        </w:trPr>
        <w:tc>
          <w:tcPr>
            <w:tcW w:w="1150" w:type="dxa"/>
            <w:tcBorders>
              <w:top w:val="single" w:sz="4" w:space="0" w:color="auto"/>
              <w:left w:val="single" w:sz="4" w:space="0" w:color="auto"/>
              <w:bottom w:val="single" w:sz="4" w:space="0" w:color="auto"/>
              <w:right w:val="single" w:sz="4" w:space="0" w:color="auto"/>
            </w:tcBorders>
            <w:shd w:val="clear" w:color="auto" w:fill="C5EDCE"/>
          </w:tcPr>
          <w:p w14:paraId="5A8AEE1A" w14:textId="77777777" w:rsidR="00740F0F" w:rsidRPr="0029070D" w:rsidRDefault="00100B64">
            <w:pPr>
              <w:spacing w:line="197" w:lineRule="exact"/>
              <w:ind w:left="376" w:right="313"/>
              <w:jc w:val="center"/>
              <w:rPr>
                <w:rFonts w:ascii="Times New Roman" w:eastAsia="Times New Roman" w:hAnsi="Times New Roman" w:cs="Times New Roman"/>
                <w:noProof/>
                <w:sz w:val="19"/>
              </w:rPr>
            </w:pPr>
            <w:r>
              <w:rPr>
                <w:rFonts w:ascii="Times New Roman" w:hAnsi="Times New Roman"/>
                <w:noProof/>
                <w:color w:val="005F00"/>
                <w:sz w:val="19"/>
              </w:rPr>
              <w:t>6-1</w:t>
            </w:r>
          </w:p>
        </w:tc>
        <w:tc>
          <w:tcPr>
            <w:tcW w:w="2876" w:type="dxa"/>
            <w:tcBorders>
              <w:top w:val="single" w:sz="4" w:space="0" w:color="auto"/>
              <w:left w:val="single" w:sz="4" w:space="0" w:color="auto"/>
              <w:bottom w:val="single" w:sz="4" w:space="0" w:color="auto"/>
              <w:right w:val="single" w:sz="4" w:space="0" w:color="auto"/>
            </w:tcBorders>
            <w:shd w:val="clear" w:color="auto" w:fill="C5EDCE"/>
          </w:tcPr>
          <w:p w14:paraId="5A8AEE1B" w14:textId="77777777" w:rsidR="00740F0F" w:rsidRPr="0029070D" w:rsidRDefault="00100B64">
            <w:pPr>
              <w:spacing w:line="197" w:lineRule="exact"/>
              <w:ind w:left="121"/>
              <w:rPr>
                <w:rFonts w:ascii="Times New Roman" w:eastAsia="Times New Roman" w:hAnsi="Times New Roman" w:cs="Times New Roman"/>
                <w:noProof/>
                <w:sz w:val="19"/>
              </w:rPr>
            </w:pPr>
            <w:r>
              <w:rPr>
                <w:rFonts w:ascii="Times New Roman" w:hAnsi="Times New Roman"/>
                <w:noProof/>
                <w:color w:val="005F00"/>
                <w:sz w:val="19"/>
              </w:rPr>
              <w:t>C6.R1 Loi sur la programmation de la recherche</w:t>
            </w:r>
          </w:p>
        </w:tc>
        <w:tc>
          <w:tcPr>
            <w:tcW w:w="1441" w:type="dxa"/>
            <w:tcBorders>
              <w:top w:val="single" w:sz="4" w:space="0" w:color="auto"/>
              <w:left w:val="single" w:sz="4" w:space="0" w:color="auto"/>
              <w:bottom w:val="single" w:sz="4" w:space="0" w:color="auto"/>
              <w:right w:val="single" w:sz="4" w:space="0" w:color="auto"/>
            </w:tcBorders>
            <w:shd w:val="clear" w:color="auto" w:fill="C5EDCE"/>
          </w:tcPr>
          <w:p w14:paraId="5A8AEE1C" w14:textId="77777777" w:rsidR="00740F0F" w:rsidRPr="0029070D" w:rsidRDefault="00100B64">
            <w:pPr>
              <w:spacing w:line="197" w:lineRule="exact"/>
              <w:ind w:left="308"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tcBorders>
              <w:top w:val="single" w:sz="4" w:space="0" w:color="auto"/>
              <w:left w:val="single" w:sz="4" w:space="0" w:color="auto"/>
              <w:bottom w:val="single" w:sz="4" w:space="0" w:color="auto"/>
              <w:right w:val="single" w:sz="4" w:space="0" w:color="auto"/>
            </w:tcBorders>
            <w:shd w:val="clear" w:color="auto" w:fill="C5EDCE"/>
          </w:tcPr>
          <w:p w14:paraId="5A8AEE1D" w14:textId="03940C5F" w:rsidR="00740F0F" w:rsidRPr="0029070D" w:rsidRDefault="00100B64">
            <w:pPr>
              <w:spacing w:line="225" w:lineRule="auto"/>
              <w:ind w:left="116" w:right="91"/>
              <w:rPr>
                <w:rFonts w:ascii="Times New Roman" w:eastAsia="Times New Roman" w:hAnsi="Times New Roman" w:cs="Times New Roman"/>
                <w:noProof/>
                <w:sz w:val="19"/>
              </w:rPr>
            </w:pPr>
            <w:r>
              <w:rPr>
                <w:rFonts w:ascii="Times New Roman" w:hAnsi="Times New Roman"/>
                <w:noProof/>
                <w:color w:val="005F00"/>
                <w:sz w:val="19"/>
              </w:rPr>
              <w:t>Loi nº 2020–1674 du 24</w:t>
            </w:r>
            <w:r>
              <w:rPr>
                <w:rFonts w:ascii="Times New Roman" w:hAnsi="Times New Roman"/>
                <w:noProof/>
                <w:sz w:val="20"/>
              </w:rPr>
              <w:t> </w:t>
            </w:r>
            <w:r>
              <w:rPr>
                <w:rFonts w:ascii="Times New Roman" w:hAnsi="Times New Roman"/>
                <w:noProof/>
                <w:color w:val="005F00"/>
                <w:sz w:val="19"/>
              </w:rPr>
              <w:t>décembre 2020 – entrée en vigueur des décrets</w:t>
            </w:r>
          </w:p>
        </w:tc>
      </w:tr>
      <w:tr w:rsidR="00782477" w:rsidRPr="0029070D" w14:paraId="5A8AEE23" w14:textId="77777777" w:rsidTr="00002CA2">
        <w:trPr>
          <w:trHeight w:val="525"/>
          <w:jc w:val="center"/>
        </w:trPr>
        <w:tc>
          <w:tcPr>
            <w:tcW w:w="1150" w:type="dxa"/>
            <w:tcBorders>
              <w:top w:val="single" w:sz="4" w:space="0" w:color="auto"/>
              <w:left w:val="single" w:sz="4" w:space="0" w:color="auto"/>
              <w:bottom w:val="single" w:sz="4" w:space="0" w:color="auto"/>
              <w:right w:val="single" w:sz="4" w:space="0" w:color="auto"/>
            </w:tcBorders>
            <w:shd w:val="clear" w:color="auto" w:fill="C5EDCE"/>
          </w:tcPr>
          <w:p w14:paraId="5A8AEE1F" w14:textId="77777777" w:rsidR="00740F0F" w:rsidRPr="0029070D" w:rsidRDefault="00100B64">
            <w:pPr>
              <w:spacing w:line="197" w:lineRule="exact"/>
              <w:ind w:left="376" w:right="313"/>
              <w:jc w:val="center"/>
              <w:rPr>
                <w:rFonts w:ascii="Times New Roman" w:eastAsia="Times New Roman" w:hAnsi="Times New Roman" w:cs="Times New Roman"/>
                <w:noProof/>
                <w:sz w:val="19"/>
              </w:rPr>
            </w:pPr>
            <w:r>
              <w:rPr>
                <w:rFonts w:ascii="Times New Roman" w:hAnsi="Times New Roman"/>
                <w:noProof/>
                <w:color w:val="005F00"/>
                <w:sz w:val="19"/>
              </w:rPr>
              <w:t>6-6</w:t>
            </w:r>
          </w:p>
        </w:tc>
        <w:tc>
          <w:tcPr>
            <w:tcW w:w="2876" w:type="dxa"/>
            <w:tcBorders>
              <w:top w:val="single" w:sz="4" w:space="0" w:color="auto"/>
              <w:left w:val="single" w:sz="4" w:space="0" w:color="auto"/>
              <w:bottom w:val="single" w:sz="4" w:space="0" w:color="auto"/>
              <w:right w:val="single" w:sz="4" w:space="0" w:color="auto"/>
            </w:tcBorders>
            <w:shd w:val="clear" w:color="auto" w:fill="C5EDCE"/>
          </w:tcPr>
          <w:p w14:paraId="5A8AEE20" w14:textId="77777777" w:rsidR="00740F0F" w:rsidRPr="0029070D" w:rsidRDefault="00100B64">
            <w:pPr>
              <w:spacing w:line="225" w:lineRule="auto"/>
              <w:ind w:left="121"/>
              <w:rPr>
                <w:rFonts w:ascii="Times New Roman" w:eastAsia="Times New Roman" w:hAnsi="Times New Roman" w:cs="Times New Roman"/>
                <w:noProof/>
                <w:sz w:val="19"/>
              </w:rPr>
            </w:pPr>
            <w:r>
              <w:rPr>
                <w:rFonts w:ascii="Times New Roman" w:hAnsi="Times New Roman"/>
                <w:noProof/>
                <w:color w:val="005F00"/>
                <w:sz w:val="19"/>
              </w:rPr>
              <w:t>C6.I2 PIA - Technologies numériques clés</w:t>
            </w:r>
          </w:p>
        </w:tc>
        <w:tc>
          <w:tcPr>
            <w:tcW w:w="1441" w:type="dxa"/>
            <w:tcBorders>
              <w:top w:val="single" w:sz="4" w:space="0" w:color="auto"/>
              <w:left w:val="single" w:sz="4" w:space="0" w:color="auto"/>
              <w:bottom w:val="single" w:sz="4" w:space="0" w:color="auto"/>
              <w:right w:val="single" w:sz="4" w:space="0" w:color="auto"/>
            </w:tcBorders>
            <w:shd w:val="clear" w:color="auto" w:fill="C5EDCE"/>
          </w:tcPr>
          <w:p w14:paraId="5A8AEE21" w14:textId="77777777" w:rsidR="00740F0F" w:rsidRPr="0029070D" w:rsidRDefault="00100B64">
            <w:pPr>
              <w:spacing w:line="197" w:lineRule="exact"/>
              <w:ind w:left="320" w:right="286"/>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600" w:type="dxa"/>
            <w:tcBorders>
              <w:top w:val="single" w:sz="4" w:space="0" w:color="auto"/>
              <w:left w:val="single" w:sz="4" w:space="0" w:color="auto"/>
              <w:bottom w:val="single" w:sz="4" w:space="0" w:color="auto"/>
              <w:right w:val="single" w:sz="4" w:space="0" w:color="auto"/>
            </w:tcBorders>
            <w:shd w:val="clear" w:color="auto" w:fill="C5EDCE"/>
          </w:tcPr>
          <w:p w14:paraId="5A8AEE22" w14:textId="77777777" w:rsidR="00740F0F" w:rsidRPr="0029070D" w:rsidRDefault="00100B64">
            <w:pPr>
              <w:spacing w:line="197" w:lineRule="exact"/>
              <w:ind w:left="116"/>
              <w:rPr>
                <w:rFonts w:ascii="Times New Roman" w:eastAsia="Times New Roman" w:hAnsi="Times New Roman" w:cs="Times New Roman"/>
                <w:noProof/>
                <w:sz w:val="19"/>
              </w:rPr>
            </w:pPr>
            <w:r>
              <w:rPr>
                <w:rFonts w:ascii="Times New Roman" w:hAnsi="Times New Roman"/>
                <w:noProof/>
                <w:color w:val="005F00"/>
                <w:sz w:val="19"/>
              </w:rPr>
              <w:t>Lancement de l’appel à propositions ou à manifestation d’intérêt</w:t>
            </w:r>
          </w:p>
        </w:tc>
      </w:tr>
      <w:tr w:rsidR="00782477" w:rsidRPr="009447E5" w14:paraId="5A8AEE28" w14:textId="77777777" w:rsidTr="00002CA2">
        <w:trPr>
          <w:trHeight w:val="779"/>
          <w:jc w:val="center"/>
        </w:trPr>
        <w:tc>
          <w:tcPr>
            <w:tcW w:w="1150" w:type="dxa"/>
            <w:tcBorders>
              <w:top w:val="single" w:sz="4" w:space="0" w:color="auto"/>
              <w:left w:val="single" w:sz="4" w:space="0" w:color="auto"/>
              <w:bottom w:val="single" w:sz="4" w:space="0" w:color="auto"/>
              <w:right w:val="single" w:sz="4" w:space="0" w:color="auto"/>
            </w:tcBorders>
            <w:shd w:val="clear" w:color="auto" w:fill="C5EDCE"/>
          </w:tcPr>
          <w:p w14:paraId="5A8AEE24" w14:textId="77777777" w:rsidR="00740F0F" w:rsidRPr="0029070D" w:rsidRDefault="00100B64">
            <w:pPr>
              <w:spacing w:line="197" w:lineRule="exact"/>
              <w:ind w:left="376" w:right="313"/>
              <w:jc w:val="center"/>
              <w:rPr>
                <w:rFonts w:ascii="Times New Roman" w:eastAsia="Times New Roman" w:hAnsi="Times New Roman" w:cs="Times New Roman"/>
                <w:noProof/>
                <w:sz w:val="19"/>
              </w:rPr>
            </w:pPr>
            <w:r>
              <w:rPr>
                <w:rFonts w:ascii="Times New Roman" w:hAnsi="Times New Roman"/>
                <w:noProof/>
                <w:color w:val="005F00"/>
                <w:sz w:val="19"/>
              </w:rPr>
              <w:t>7-9</w:t>
            </w:r>
          </w:p>
        </w:tc>
        <w:tc>
          <w:tcPr>
            <w:tcW w:w="2876" w:type="dxa"/>
            <w:tcBorders>
              <w:top w:val="single" w:sz="4" w:space="0" w:color="auto"/>
              <w:left w:val="single" w:sz="4" w:space="0" w:color="auto"/>
              <w:bottom w:val="single" w:sz="4" w:space="0" w:color="auto"/>
              <w:right w:val="single" w:sz="4" w:space="0" w:color="auto"/>
            </w:tcBorders>
            <w:shd w:val="clear" w:color="auto" w:fill="C5EDCE"/>
          </w:tcPr>
          <w:p w14:paraId="5A8AEE25" w14:textId="77777777" w:rsidR="00740F0F" w:rsidRPr="0029070D" w:rsidRDefault="00100B64">
            <w:pPr>
              <w:spacing w:line="225" w:lineRule="auto"/>
              <w:ind w:left="121" w:right="483"/>
              <w:rPr>
                <w:rFonts w:ascii="Times New Roman" w:eastAsia="Times New Roman" w:hAnsi="Times New Roman" w:cs="Times New Roman"/>
                <w:noProof/>
                <w:sz w:val="19"/>
              </w:rPr>
            </w:pPr>
            <w:r>
              <w:rPr>
                <w:rFonts w:ascii="Times New Roman" w:hAnsi="Times New Roman"/>
                <w:noProof/>
                <w:color w:val="005F00"/>
                <w:sz w:val="19"/>
              </w:rPr>
              <w:t>C7.R4 Gouvernance des finances publiques</w:t>
            </w:r>
          </w:p>
        </w:tc>
        <w:tc>
          <w:tcPr>
            <w:tcW w:w="1441" w:type="dxa"/>
            <w:tcBorders>
              <w:top w:val="single" w:sz="4" w:space="0" w:color="auto"/>
              <w:left w:val="single" w:sz="4" w:space="0" w:color="auto"/>
              <w:bottom w:val="single" w:sz="4" w:space="0" w:color="auto"/>
              <w:right w:val="single" w:sz="4" w:space="0" w:color="auto"/>
            </w:tcBorders>
            <w:shd w:val="clear" w:color="auto" w:fill="C5EDCE"/>
          </w:tcPr>
          <w:p w14:paraId="5A8AEE26" w14:textId="77777777" w:rsidR="00740F0F" w:rsidRPr="0029070D" w:rsidRDefault="00100B64">
            <w:pPr>
              <w:spacing w:line="197" w:lineRule="exact"/>
              <w:ind w:left="320" w:right="286"/>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600" w:type="dxa"/>
            <w:tcBorders>
              <w:top w:val="single" w:sz="4" w:space="0" w:color="auto"/>
              <w:left w:val="single" w:sz="4" w:space="0" w:color="auto"/>
              <w:bottom w:val="single" w:sz="4" w:space="0" w:color="auto"/>
              <w:right w:val="single" w:sz="4" w:space="0" w:color="auto"/>
            </w:tcBorders>
            <w:shd w:val="clear" w:color="auto" w:fill="C5EDCE"/>
          </w:tcPr>
          <w:p w14:paraId="5A8AEE27" w14:textId="77777777" w:rsidR="00740F0F" w:rsidRPr="009447E5" w:rsidRDefault="00100B64">
            <w:pPr>
              <w:spacing w:line="191" w:lineRule="exact"/>
              <w:ind w:left="116"/>
              <w:rPr>
                <w:rFonts w:ascii="Times New Roman" w:eastAsia="Times New Roman" w:hAnsi="Times New Roman" w:cs="Times New Roman"/>
                <w:noProof/>
                <w:sz w:val="19"/>
              </w:rPr>
            </w:pPr>
            <w:r>
              <w:rPr>
                <w:rFonts w:ascii="Times New Roman" w:hAnsi="Times New Roman"/>
                <w:noProof/>
                <w:color w:val="005F00"/>
                <w:sz w:val="19"/>
              </w:rPr>
              <w:t>Nouvelle loi de programmation des finances publiques (LPFP)</w:t>
            </w:r>
          </w:p>
        </w:tc>
      </w:tr>
      <w:tr w:rsidR="00782477" w:rsidRPr="0029070D" w14:paraId="5A8AEE2D" w14:textId="77777777" w:rsidTr="00002CA2">
        <w:trPr>
          <w:trHeight w:val="522"/>
          <w:jc w:val="center"/>
        </w:trPr>
        <w:tc>
          <w:tcPr>
            <w:tcW w:w="1150" w:type="dxa"/>
            <w:tcBorders>
              <w:top w:val="single" w:sz="4" w:space="0" w:color="auto"/>
              <w:left w:val="single" w:sz="4" w:space="0" w:color="auto"/>
              <w:bottom w:val="single" w:sz="4" w:space="0" w:color="auto"/>
              <w:right w:val="single" w:sz="4" w:space="0" w:color="auto"/>
            </w:tcBorders>
            <w:shd w:val="clear" w:color="auto" w:fill="C5EDCE"/>
          </w:tcPr>
          <w:p w14:paraId="5A8AEE29" w14:textId="77777777" w:rsidR="00740F0F" w:rsidRPr="0029070D" w:rsidRDefault="00100B64">
            <w:pPr>
              <w:spacing w:line="206" w:lineRule="exact"/>
              <w:ind w:left="372" w:right="313"/>
              <w:jc w:val="center"/>
              <w:rPr>
                <w:rFonts w:ascii="Times New Roman" w:eastAsia="Times New Roman" w:hAnsi="Times New Roman" w:cs="Times New Roman"/>
                <w:noProof/>
                <w:sz w:val="19"/>
              </w:rPr>
            </w:pPr>
            <w:r>
              <w:rPr>
                <w:rFonts w:ascii="Times New Roman" w:hAnsi="Times New Roman"/>
                <w:noProof/>
                <w:color w:val="005F00"/>
                <w:sz w:val="19"/>
              </w:rPr>
              <w:t>7-17</w:t>
            </w:r>
          </w:p>
        </w:tc>
        <w:tc>
          <w:tcPr>
            <w:tcW w:w="2876" w:type="dxa"/>
            <w:tcBorders>
              <w:top w:val="single" w:sz="4" w:space="0" w:color="auto"/>
              <w:left w:val="single" w:sz="4" w:space="0" w:color="auto"/>
              <w:bottom w:val="single" w:sz="4" w:space="0" w:color="auto"/>
              <w:right w:val="single" w:sz="4" w:space="0" w:color="auto"/>
            </w:tcBorders>
            <w:shd w:val="clear" w:color="auto" w:fill="C5EDCE"/>
          </w:tcPr>
          <w:p w14:paraId="5A8AEE2A"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C7.I2 Mise à niveau numérique de l’État et des autorités locales</w:t>
            </w:r>
          </w:p>
        </w:tc>
        <w:tc>
          <w:tcPr>
            <w:tcW w:w="1441" w:type="dxa"/>
            <w:tcBorders>
              <w:top w:val="single" w:sz="4" w:space="0" w:color="auto"/>
              <w:left w:val="single" w:sz="4" w:space="0" w:color="auto"/>
              <w:bottom w:val="single" w:sz="4" w:space="0" w:color="auto"/>
              <w:right w:val="single" w:sz="4" w:space="0" w:color="auto"/>
            </w:tcBorders>
            <w:shd w:val="clear" w:color="auto" w:fill="C5EDCE"/>
          </w:tcPr>
          <w:p w14:paraId="5A8AEE2B" w14:textId="77777777" w:rsidR="00740F0F" w:rsidRPr="0029070D" w:rsidRDefault="00100B64">
            <w:pPr>
              <w:spacing w:line="206" w:lineRule="exact"/>
              <w:ind w:left="308"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tcBorders>
              <w:top w:val="single" w:sz="4" w:space="0" w:color="auto"/>
              <w:left w:val="single" w:sz="4" w:space="0" w:color="auto"/>
              <w:bottom w:val="single" w:sz="4" w:space="0" w:color="auto"/>
              <w:right w:val="single" w:sz="4" w:space="0" w:color="auto"/>
            </w:tcBorders>
            <w:shd w:val="clear" w:color="auto" w:fill="C5EDCE"/>
          </w:tcPr>
          <w:p w14:paraId="5A8AEE2C" w14:textId="77777777" w:rsidR="00740F0F" w:rsidRPr="0029070D" w:rsidRDefault="00100B64">
            <w:pPr>
              <w:spacing w:line="206" w:lineRule="exact"/>
              <w:ind w:left="116"/>
              <w:rPr>
                <w:rFonts w:ascii="Times New Roman" w:eastAsia="Times New Roman" w:hAnsi="Times New Roman" w:cs="Times New Roman"/>
                <w:noProof/>
                <w:sz w:val="19"/>
              </w:rPr>
            </w:pPr>
            <w:r>
              <w:rPr>
                <w:rFonts w:ascii="Times New Roman" w:hAnsi="Times New Roman"/>
                <w:noProof/>
                <w:color w:val="005F00"/>
                <w:sz w:val="19"/>
              </w:rPr>
              <w:t>Nombre d’entreprises bénéficiaires de commandes publiques</w:t>
            </w:r>
          </w:p>
        </w:tc>
      </w:tr>
      <w:tr w:rsidR="00782477" w:rsidRPr="0029070D" w14:paraId="5A8AEE32" w14:textId="77777777" w:rsidTr="00002CA2">
        <w:trPr>
          <w:trHeight w:val="522"/>
          <w:jc w:val="center"/>
        </w:trPr>
        <w:tc>
          <w:tcPr>
            <w:tcW w:w="1150" w:type="dxa"/>
            <w:tcBorders>
              <w:top w:val="single" w:sz="4" w:space="0" w:color="auto"/>
              <w:left w:val="single" w:sz="4" w:space="0" w:color="auto"/>
              <w:bottom w:val="single" w:sz="4" w:space="0" w:color="auto"/>
              <w:right w:val="single" w:sz="4" w:space="0" w:color="auto"/>
            </w:tcBorders>
            <w:shd w:val="clear" w:color="auto" w:fill="C5EDCE"/>
          </w:tcPr>
          <w:p w14:paraId="5A8AEE2E" w14:textId="77777777" w:rsidR="00740F0F" w:rsidRPr="0029070D" w:rsidRDefault="00100B64">
            <w:pPr>
              <w:spacing w:line="204" w:lineRule="exact"/>
              <w:ind w:left="372" w:right="313"/>
              <w:jc w:val="center"/>
              <w:rPr>
                <w:rFonts w:ascii="Times New Roman" w:eastAsia="Times New Roman" w:hAnsi="Times New Roman" w:cs="Times New Roman"/>
                <w:noProof/>
                <w:sz w:val="19"/>
              </w:rPr>
            </w:pPr>
            <w:r>
              <w:rPr>
                <w:rFonts w:ascii="Times New Roman" w:hAnsi="Times New Roman"/>
                <w:noProof/>
                <w:color w:val="005F00"/>
                <w:sz w:val="19"/>
              </w:rPr>
              <w:t>7-18</w:t>
            </w:r>
          </w:p>
        </w:tc>
        <w:tc>
          <w:tcPr>
            <w:tcW w:w="2876" w:type="dxa"/>
            <w:tcBorders>
              <w:top w:val="single" w:sz="4" w:space="0" w:color="auto"/>
              <w:left w:val="single" w:sz="4" w:space="0" w:color="auto"/>
              <w:bottom w:val="single" w:sz="4" w:space="0" w:color="auto"/>
              <w:right w:val="single" w:sz="4" w:space="0" w:color="auto"/>
            </w:tcBorders>
            <w:shd w:val="clear" w:color="auto" w:fill="C5EDCE"/>
          </w:tcPr>
          <w:p w14:paraId="5A8AEE2F" w14:textId="77777777" w:rsidR="00740F0F" w:rsidRPr="0029070D" w:rsidRDefault="00100B64">
            <w:pPr>
              <w:spacing w:line="204" w:lineRule="exact"/>
              <w:ind w:left="121"/>
              <w:rPr>
                <w:rFonts w:ascii="Times New Roman" w:eastAsia="Times New Roman" w:hAnsi="Times New Roman" w:cs="Times New Roman"/>
                <w:noProof/>
                <w:sz w:val="19"/>
              </w:rPr>
            </w:pPr>
            <w:r>
              <w:rPr>
                <w:rFonts w:ascii="Times New Roman" w:hAnsi="Times New Roman"/>
                <w:noProof/>
                <w:color w:val="005F00"/>
                <w:sz w:val="19"/>
              </w:rPr>
              <w:t>C7.I2 Mise à niveau numérique de l’État et des autorités locales</w:t>
            </w:r>
          </w:p>
        </w:tc>
        <w:tc>
          <w:tcPr>
            <w:tcW w:w="1441" w:type="dxa"/>
            <w:tcBorders>
              <w:top w:val="single" w:sz="4" w:space="0" w:color="auto"/>
              <w:left w:val="single" w:sz="4" w:space="0" w:color="auto"/>
              <w:bottom w:val="single" w:sz="4" w:space="0" w:color="auto"/>
              <w:right w:val="single" w:sz="4" w:space="0" w:color="auto"/>
            </w:tcBorders>
            <w:shd w:val="clear" w:color="auto" w:fill="C5EDCE"/>
          </w:tcPr>
          <w:p w14:paraId="5A8AEE30" w14:textId="77777777" w:rsidR="00740F0F" w:rsidRPr="0029070D" w:rsidRDefault="00100B64">
            <w:pPr>
              <w:spacing w:line="204" w:lineRule="exact"/>
              <w:ind w:left="308"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tcBorders>
              <w:top w:val="single" w:sz="4" w:space="0" w:color="auto"/>
              <w:left w:val="single" w:sz="4" w:space="0" w:color="auto"/>
              <w:bottom w:val="single" w:sz="4" w:space="0" w:color="auto"/>
              <w:right w:val="single" w:sz="4" w:space="0" w:color="auto"/>
            </w:tcBorders>
            <w:shd w:val="clear" w:color="auto" w:fill="C5EDCE"/>
          </w:tcPr>
          <w:p w14:paraId="5A8AEE31" w14:textId="77777777" w:rsidR="00740F0F" w:rsidRPr="0029070D" w:rsidRDefault="00100B64">
            <w:pPr>
              <w:spacing w:line="204" w:lineRule="exact"/>
              <w:ind w:left="116"/>
              <w:rPr>
                <w:rFonts w:ascii="Times New Roman" w:eastAsia="Times New Roman" w:hAnsi="Times New Roman" w:cs="Times New Roman"/>
                <w:noProof/>
                <w:sz w:val="19"/>
              </w:rPr>
            </w:pPr>
            <w:r>
              <w:rPr>
                <w:rFonts w:ascii="Times New Roman" w:hAnsi="Times New Roman"/>
                <w:noProof/>
                <w:color w:val="005F00"/>
                <w:sz w:val="19"/>
              </w:rPr>
              <w:t>Pourcentage d’agents publics outillés pour le travail à distance</w:t>
            </w:r>
          </w:p>
        </w:tc>
      </w:tr>
      <w:tr w:rsidR="00782477" w:rsidRPr="0029070D" w14:paraId="5A8AEE37" w14:textId="77777777" w:rsidTr="00002CA2">
        <w:trPr>
          <w:trHeight w:val="525"/>
          <w:jc w:val="center"/>
        </w:trPr>
        <w:tc>
          <w:tcPr>
            <w:tcW w:w="1150" w:type="dxa"/>
            <w:tcBorders>
              <w:top w:val="single" w:sz="4" w:space="0" w:color="auto"/>
            </w:tcBorders>
            <w:shd w:val="clear" w:color="auto" w:fill="C5EDCE"/>
          </w:tcPr>
          <w:p w14:paraId="5A8AEE33" w14:textId="77777777" w:rsidR="00740F0F" w:rsidRPr="0029070D" w:rsidRDefault="00100B64">
            <w:pPr>
              <w:spacing w:line="206" w:lineRule="exact"/>
              <w:ind w:left="372" w:right="313"/>
              <w:jc w:val="center"/>
              <w:rPr>
                <w:rFonts w:ascii="Times New Roman" w:eastAsia="Times New Roman" w:hAnsi="Times New Roman" w:cs="Times New Roman"/>
                <w:noProof/>
                <w:sz w:val="19"/>
              </w:rPr>
            </w:pPr>
            <w:r>
              <w:rPr>
                <w:rFonts w:ascii="Times New Roman" w:hAnsi="Times New Roman"/>
                <w:noProof/>
                <w:color w:val="005F00"/>
                <w:sz w:val="19"/>
              </w:rPr>
              <w:t>7-21</w:t>
            </w:r>
          </w:p>
        </w:tc>
        <w:tc>
          <w:tcPr>
            <w:tcW w:w="2876" w:type="dxa"/>
            <w:tcBorders>
              <w:top w:val="single" w:sz="4" w:space="0" w:color="auto"/>
            </w:tcBorders>
            <w:shd w:val="clear" w:color="auto" w:fill="C5EDCE"/>
          </w:tcPr>
          <w:p w14:paraId="5A8AEE34"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C7.I4 Mise à niveau numérique de l’État – identité numérique</w:t>
            </w:r>
          </w:p>
        </w:tc>
        <w:tc>
          <w:tcPr>
            <w:tcW w:w="1441" w:type="dxa"/>
            <w:tcBorders>
              <w:top w:val="single" w:sz="4" w:space="0" w:color="auto"/>
            </w:tcBorders>
            <w:shd w:val="clear" w:color="auto" w:fill="C5EDCE"/>
          </w:tcPr>
          <w:p w14:paraId="5A8AEE35" w14:textId="77777777" w:rsidR="00740F0F" w:rsidRPr="0029070D" w:rsidRDefault="00100B64">
            <w:pPr>
              <w:spacing w:line="206" w:lineRule="exact"/>
              <w:ind w:left="308"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tcBorders>
              <w:top w:val="single" w:sz="4" w:space="0" w:color="auto"/>
            </w:tcBorders>
            <w:shd w:val="clear" w:color="auto" w:fill="C5EDCE"/>
          </w:tcPr>
          <w:p w14:paraId="5A8AEE36" w14:textId="77777777" w:rsidR="00740F0F" w:rsidRPr="0029070D" w:rsidRDefault="00100B64">
            <w:pPr>
              <w:spacing w:before="21"/>
              <w:ind w:left="116"/>
              <w:rPr>
                <w:rFonts w:ascii="Times New Roman" w:eastAsia="Times New Roman" w:hAnsi="Times New Roman" w:cs="Times New Roman"/>
                <w:noProof/>
                <w:sz w:val="19"/>
              </w:rPr>
            </w:pPr>
            <w:r>
              <w:rPr>
                <w:rFonts w:ascii="Times New Roman" w:hAnsi="Times New Roman"/>
                <w:noProof/>
                <w:color w:val="005F00"/>
                <w:sz w:val="19"/>
              </w:rPr>
              <w:t>Nombre de détenteurs de la nouvelle carte d’identité dotée d’un compartiment «identité numérique»</w:t>
            </w:r>
          </w:p>
        </w:tc>
      </w:tr>
      <w:tr w:rsidR="00782477" w:rsidRPr="0029070D" w14:paraId="5A8AEE3C" w14:textId="77777777">
        <w:trPr>
          <w:trHeight w:val="525"/>
          <w:jc w:val="center"/>
        </w:trPr>
        <w:tc>
          <w:tcPr>
            <w:tcW w:w="1150" w:type="dxa"/>
            <w:shd w:val="clear" w:color="auto" w:fill="C5EDCE"/>
          </w:tcPr>
          <w:p w14:paraId="5A8AEE38" w14:textId="77777777" w:rsidR="00740F0F" w:rsidRPr="0029070D" w:rsidRDefault="00100B64">
            <w:pPr>
              <w:spacing w:line="206" w:lineRule="exact"/>
              <w:ind w:left="372" w:right="313"/>
              <w:jc w:val="center"/>
              <w:rPr>
                <w:rFonts w:ascii="Times New Roman" w:eastAsia="Times New Roman" w:hAnsi="Times New Roman" w:cs="Times New Roman"/>
                <w:noProof/>
                <w:sz w:val="19"/>
              </w:rPr>
            </w:pPr>
            <w:r>
              <w:rPr>
                <w:rFonts w:ascii="Times New Roman" w:hAnsi="Times New Roman"/>
                <w:noProof/>
                <w:color w:val="005F00"/>
                <w:sz w:val="19"/>
              </w:rPr>
              <w:t>7-22</w:t>
            </w:r>
          </w:p>
        </w:tc>
        <w:tc>
          <w:tcPr>
            <w:tcW w:w="2876" w:type="dxa"/>
            <w:shd w:val="clear" w:color="auto" w:fill="C5EDCE"/>
          </w:tcPr>
          <w:p w14:paraId="5A8AEE39"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C7.I5 Équipement du ministère de l’intérieur</w:t>
            </w:r>
          </w:p>
        </w:tc>
        <w:tc>
          <w:tcPr>
            <w:tcW w:w="1441" w:type="dxa"/>
            <w:shd w:val="clear" w:color="auto" w:fill="C5EDCE"/>
          </w:tcPr>
          <w:p w14:paraId="5A8AEE3A" w14:textId="77777777" w:rsidR="00740F0F" w:rsidRPr="0029070D" w:rsidRDefault="00100B64">
            <w:pPr>
              <w:spacing w:line="206" w:lineRule="exact"/>
              <w:ind w:left="320" w:right="286"/>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600" w:type="dxa"/>
            <w:shd w:val="clear" w:color="auto" w:fill="C5EDCE"/>
          </w:tcPr>
          <w:p w14:paraId="5A8AEE3B" w14:textId="77777777" w:rsidR="00740F0F" w:rsidRPr="0029070D" w:rsidRDefault="00100B64">
            <w:pPr>
              <w:spacing w:line="206" w:lineRule="exact"/>
              <w:ind w:left="116"/>
              <w:rPr>
                <w:rFonts w:ascii="Times New Roman" w:eastAsia="Times New Roman" w:hAnsi="Times New Roman" w:cs="Times New Roman"/>
                <w:noProof/>
                <w:sz w:val="19"/>
              </w:rPr>
            </w:pPr>
            <w:r>
              <w:rPr>
                <w:rFonts w:ascii="Times New Roman" w:hAnsi="Times New Roman"/>
                <w:noProof/>
                <w:color w:val="005F00"/>
                <w:sz w:val="19"/>
              </w:rPr>
              <w:t>Investissement pour renforcer l’équipement numérique du ministère de l’intérieur</w:t>
            </w:r>
          </w:p>
        </w:tc>
      </w:tr>
      <w:tr w:rsidR="00782477" w:rsidRPr="0029070D" w14:paraId="5A8AEE41" w14:textId="77777777">
        <w:trPr>
          <w:trHeight w:val="525"/>
          <w:jc w:val="center"/>
        </w:trPr>
        <w:tc>
          <w:tcPr>
            <w:tcW w:w="1150" w:type="dxa"/>
            <w:shd w:val="clear" w:color="auto" w:fill="C5EDCE"/>
          </w:tcPr>
          <w:p w14:paraId="5A8AEE3D" w14:textId="77777777" w:rsidR="00740F0F" w:rsidRPr="0029070D" w:rsidRDefault="00100B64">
            <w:pPr>
              <w:spacing w:line="206" w:lineRule="exact"/>
              <w:ind w:left="372" w:right="313"/>
              <w:jc w:val="center"/>
              <w:rPr>
                <w:rFonts w:ascii="Times New Roman" w:eastAsia="Times New Roman" w:hAnsi="Times New Roman" w:cs="Times New Roman"/>
                <w:noProof/>
                <w:sz w:val="19"/>
              </w:rPr>
            </w:pPr>
            <w:r>
              <w:rPr>
                <w:rFonts w:ascii="Times New Roman" w:hAnsi="Times New Roman"/>
                <w:noProof/>
                <w:color w:val="005F00"/>
                <w:sz w:val="19"/>
              </w:rPr>
              <w:t>7-24</w:t>
            </w:r>
          </w:p>
        </w:tc>
        <w:tc>
          <w:tcPr>
            <w:tcW w:w="2876" w:type="dxa"/>
            <w:shd w:val="clear" w:color="auto" w:fill="C5EDCE"/>
          </w:tcPr>
          <w:p w14:paraId="5A8AEE3E"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C7.I7 Télétravail au sein du ministère de l’intérieur</w:t>
            </w:r>
          </w:p>
        </w:tc>
        <w:tc>
          <w:tcPr>
            <w:tcW w:w="1441" w:type="dxa"/>
            <w:shd w:val="clear" w:color="auto" w:fill="C5EDCE"/>
          </w:tcPr>
          <w:p w14:paraId="5A8AEE3F" w14:textId="77777777" w:rsidR="00740F0F" w:rsidRPr="0029070D" w:rsidRDefault="00100B64">
            <w:pPr>
              <w:spacing w:line="206" w:lineRule="exact"/>
              <w:ind w:left="320" w:right="286"/>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600" w:type="dxa"/>
            <w:shd w:val="clear" w:color="auto" w:fill="C5EDCE"/>
          </w:tcPr>
          <w:p w14:paraId="5A8AEE40" w14:textId="77777777" w:rsidR="00740F0F" w:rsidRPr="0029070D" w:rsidRDefault="00100B64">
            <w:pPr>
              <w:spacing w:line="206" w:lineRule="exact"/>
              <w:ind w:left="116"/>
              <w:rPr>
                <w:rFonts w:ascii="Times New Roman" w:eastAsia="Times New Roman" w:hAnsi="Times New Roman" w:cs="Times New Roman"/>
                <w:noProof/>
                <w:sz w:val="19"/>
              </w:rPr>
            </w:pPr>
            <w:r>
              <w:rPr>
                <w:rFonts w:ascii="Times New Roman" w:hAnsi="Times New Roman"/>
                <w:noProof/>
                <w:color w:val="005F00"/>
                <w:sz w:val="19"/>
              </w:rPr>
              <w:t>Investissement pour renforcer la connectivité numérique du ministère de l’intérieur</w:t>
            </w:r>
          </w:p>
        </w:tc>
      </w:tr>
      <w:tr w:rsidR="00782477" w:rsidRPr="0029070D" w14:paraId="5A8AEE46" w14:textId="77777777">
        <w:trPr>
          <w:trHeight w:val="525"/>
          <w:jc w:val="center"/>
        </w:trPr>
        <w:tc>
          <w:tcPr>
            <w:tcW w:w="1150" w:type="dxa"/>
            <w:shd w:val="clear" w:color="auto" w:fill="C5EDCE"/>
          </w:tcPr>
          <w:p w14:paraId="5A8AEE42" w14:textId="77777777" w:rsidR="00740F0F" w:rsidRPr="0029070D" w:rsidRDefault="00100B64">
            <w:pPr>
              <w:spacing w:line="197" w:lineRule="exact"/>
              <w:ind w:left="286" w:right="313"/>
              <w:jc w:val="center"/>
              <w:rPr>
                <w:rFonts w:ascii="Times New Roman" w:eastAsia="Times New Roman" w:hAnsi="Times New Roman" w:cs="Times New Roman"/>
                <w:noProof/>
                <w:sz w:val="19"/>
              </w:rPr>
            </w:pPr>
            <w:r>
              <w:rPr>
                <w:rFonts w:ascii="Times New Roman" w:hAnsi="Times New Roman"/>
                <w:noProof/>
                <w:color w:val="005F00"/>
                <w:sz w:val="19"/>
              </w:rPr>
              <w:t>8-9</w:t>
            </w:r>
          </w:p>
        </w:tc>
        <w:tc>
          <w:tcPr>
            <w:tcW w:w="2876" w:type="dxa"/>
            <w:shd w:val="clear" w:color="auto" w:fill="C5EDCE"/>
          </w:tcPr>
          <w:p w14:paraId="5A8AEE43"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C8.I2 Reconversion par l’alternance (Pro A)</w:t>
            </w:r>
          </w:p>
        </w:tc>
        <w:tc>
          <w:tcPr>
            <w:tcW w:w="1441" w:type="dxa"/>
            <w:shd w:val="clear" w:color="auto" w:fill="C5EDCE"/>
          </w:tcPr>
          <w:p w14:paraId="5A8AEE44" w14:textId="77777777" w:rsidR="00740F0F" w:rsidRPr="0029070D" w:rsidRDefault="00100B64">
            <w:pPr>
              <w:spacing w:line="206" w:lineRule="exact"/>
              <w:ind w:left="308"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E45" w14:textId="77777777" w:rsidR="00740F0F" w:rsidRPr="0029070D" w:rsidRDefault="00100B64">
            <w:pPr>
              <w:spacing w:line="206" w:lineRule="exact"/>
              <w:ind w:left="116"/>
              <w:rPr>
                <w:rFonts w:ascii="Times New Roman" w:eastAsia="Times New Roman" w:hAnsi="Times New Roman" w:cs="Times New Roman"/>
                <w:noProof/>
                <w:sz w:val="19"/>
              </w:rPr>
            </w:pPr>
            <w:r>
              <w:rPr>
                <w:rFonts w:ascii="Times New Roman" w:hAnsi="Times New Roman"/>
                <w:noProof/>
                <w:color w:val="005F00"/>
                <w:sz w:val="19"/>
              </w:rPr>
              <w:t>Salariés bénéficiant du dispositif Pro-A</w:t>
            </w:r>
          </w:p>
        </w:tc>
      </w:tr>
      <w:tr w:rsidR="00782477" w:rsidRPr="0029070D" w14:paraId="5A8AEE4B" w14:textId="77777777">
        <w:trPr>
          <w:trHeight w:val="525"/>
          <w:jc w:val="center"/>
        </w:trPr>
        <w:tc>
          <w:tcPr>
            <w:tcW w:w="1150" w:type="dxa"/>
            <w:shd w:val="clear" w:color="auto" w:fill="C5EDCE"/>
          </w:tcPr>
          <w:p w14:paraId="5A8AEE47" w14:textId="77777777" w:rsidR="00740F0F" w:rsidRPr="0029070D" w:rsidRDefault="00100B64">
            <w:pPr>
              <w:spacing w:line="197" w:lineRule="exact"/>
              <w:ind w:left="372" w:right="313"/>
              <w:jc w:val="center"/>
              <w:rPr>
                <w:rFonts w:ascii="Times New Roman" w:eastAsia="Times New Roman" w:hAnsi="Times New Roman" w:cs="Times New Roman"/>
                <w:noProof/>
                <w:sz w:val="19"/>
              </w:rPr>
            </w:pPr>
            <w:r>
              <w:rPr>
                <w:rFonts w:ascii="Times New Roman" w:hAnsi="Times New Roman"/>
                <w:noProof/>
                <w:color w:val="005F00"/>
                <w:sz w:val="19"/>
              </w:rPr>
              <w:t>8-13</w:t>
            </w:r>
          </w:p>
        </w:tc>
        <w:tc>
          <w:tcPr>
            <w:tcW w:w="2876" w:type="dxa"/>
            <w:shd w:val="clear" w:color="auto" w:fill="C5EDCE"/>
          </w:tcPr>
          <w:p w14:paraId="5A8AEE48" w14:textId="77777777" w:rsidR="00740F0F" w:rsidRPr="0029070D" w:rsidRDefault="00100B64">
            <w:pPr>
              <w:spacing w:line="225" w:lineRule="auto"/>
              <w:ind w:left="121" w:right="24"/>
              <w:rPr>
                <w:rFonts w:ascii="Times New Roman" w:eastAsia="Times New Roman" w:hAnsi="Times New Roman" w:cs="Times New Roman"/>
                <w:noProof/>
                <w:sz w:val="19"/>
              </w:rPr>
            </w:pPr>
            <w:r>
              <w:rPr>
                <w:rFonts w:ascii="Times New Roman" w:hAnsi="Times New Roman"/>
                <w:noProof/>
                <w:color w:val="005F00"/>
                <w:sz w:val="19"/>
              </w:rPr>
              <w:t>C8.I6 Création d’emplois pour les jeunes dans le sport</w:t>
            </w:r>
          </w:p>
        </w:tc>
        <w:tc>
          <w:tcPr>
            <w:tcW w:w="1441" w:type="dxa"/>
            <w:shd w:val="clear" w:color="auto" w:fill="C5EDCE"/>
          </w:tcPr>
          <w:p w14:paraId="5A8AEE49" w14:textId="77777777" w:rsidR="00740F0F" w:rsidRPr="0029070D" w:rsidRDefault="00100B64">
            <w:pPr>
              <w:spacing w:line="197" w:lineRule="exact"/>
              <w:ind w:left="308"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E4A" w14:textId="77777777" w:rsidR="00740F0F" w:rsidRPr="0029070D" w:rsidRDefault="00100B64">
            <w:pPr>
              <w:spacing w:line="225" w:lineRule="auto"/>
              <w:ind w:left="116"/>
              <w:rPr>
                <w:rFonts w:ascii="Times New Roman" w:eastAsia="Times New Roman" w:hAnsi="Times New Roman" w:cs="Times New Roman"/>
                <w:noProof/>
                <w:sz w:val="19"/>
              </w:rPr>
            </w:pPr>
            <w:r>
              <w:rPr>
                <w:rFonts w:ascii="Times New Roman" w:hAnsi="Times New Roman"/>
                <w:noProof/>
                <w:color w:val="005F00"/>
                <w:sz w:val="19"/>
              </w:rPr>
              <w:t>Emplois créés dans le secteur du sport bénéficiant d’une aide</w:t>
            </w:r>
          </w:p>
        </w:tc>
      </w:tr>
      <w:tr w:rsidR="00782477" w:rsidRPr="0029070D" w14:paraId="5A8AEE50" w14:textId="77777777">
        <w:trPr>
          <w:trHeight w:val="524"/>
          <w:jc w:val="center"/>
        </w:trPr>
        <w:tc>
          <w:tcPr>
            <w:tcW w:w="1150" w:type="dxa"/>
            <w:shd w:val="clear" w:color="auto" w:fill="C5EDCE"/>
          </w:tcPr>
          <w:p w14:paraId="5A8AEE4C" w14:textId="77777777" w:rsidR="00740F0F" w:rsidRPr="0029070D" w:rsidRDefault="00100B64">
            <w:pPr>
              <w:spacing w:line="206" w:lineRule="exact"/>
              <w:ind w:left="386" w:right="303"/>
              <w:jc w:val="center"/>
              <w:rPr>
                <w:rFonts w:ascii="Times New Roman" w:eastAsia="Times New Roman" w:hAnsi="Times New Roman" w:cs="Times New Roman"/>
                <w:noProof/>
                <w:sz w:val="19"/>
              </w:rPr>
            </w:pPr>
            <w:r>
              <w:rPr>
                <w:rFonts w:ascii="Times New Roman" w:hAnsi="Times New Roman"/>
                <w:noProof/>
                <w:color w:val="005F00"/>
                <w:sz w:val="19"/>
              </w:rPr>
              <w:t>8-14</w:t>
            </w:r>
          </w:p>
        </w:tc>
        <w:tc>
          <w:tcPr>
            <w:tcW w:w="2876" w:type="dxa"/>
            <w:shd w:val="clear" w:color="auto" w:fill="C5EDCE"/>
          </w:tcPr>
          <w:p w14:paraId="5A8AEE4D"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C8.I7 Internats d’excellence</w:t>
            </w:r>
          </w:p>
        </w:tc>
        <w:tc>
          <w:tcPr>
            <w:tcW w:w="1441" w:type="dxa"/>
            <w:shd w:val="clear" w:color="auto" w:fill="C5EDCE"/>
          </w:tcPr>
          <w:p w14:paraId="5A8AEE4E" w14:textId="77777777" w:rsidR="00740F0F" w:rsidRPr="0029070D" w:rsidRDefault="00100B64">
            <w:pPr>
              <w:spacing w:line="206" w:lineRule="exact"/>
              <w:ind w:left="294"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E4F" w14:textId="77777777" w:rsidR="00740F0F" w:rsidRPr="0029070D" w:rsidRDefault="00100B64">
            <w:pPr>
              <w:spacing w:line="206" w:lineRule="exact"/>
              <w:ind w:left="101"/>
              <w:rPr>
                <w:rFonts w:ascii="Times New Roman" w:eastAsia="Times New Roman" w:hAnsi="Times New Roman" w:cs="Times New Roman"/>
                <w:noProof/>
                <w:sz w:val="19"/>
              </w:rPr>
            </w:pPr>
            <w:r>
              <w:rPr>
                <w:rFonts w:ascii="Times New Roman" w:hAnsi="Times New Roman"/>
                <w:noProof/>
                <w:color w:val="005F00"/>
                <w:sz w:val="19"/>
              </w:rPr>
              <w:t>Places créées ou réhabilitées</w:t>
            </w:r>
          </w:p>
        </w:tc>
      </w:tr>
      <w:tr w:rsidR="00782477" w:rsidRPr="0029070D" w14:paraId="5A8AEE55" w14:textId="77777777">
        <w:trPr>
          <w:trHeight w:val="779"/>
          <w:jc w:val="center"/>
        </w:trPr>
        <w:tc>
          <w:tcPr>
            <w:tcW w:w="1150" w:type="dxa"/>
            <w:shd w:val="clear" w:color="auto" w:fill="C5EDCE"/>
          </w:tcPr>
          <w:p w14:paraId="5A8AEE51" w14:textId="77777777" w:rsidR="00740F0F" w:rsidRPr="0029070D" w:rsidRDefault="00100B64">
            <w:pPr>
              <w:spacing w:line="197" w:lineRule="exact"/>
              <w:ind w:left="372" w:right="313"/>
              <w:jc w:val="center"/>
              <w:rPr>
                <w:rFonts w:ascii="Times New Roman" w:eastAsia="Times New Roman" w:hAnsi="Times New Roman" w:cs="Times New Roman"/>
                <w:noProof/>
                <w:sz w:val="19"/>
              </w:rPr>
            </w:pPr>
            <w:r>
              <w:rPr>
                <w:rFonts w:ascii="Times New Roman" w:hAnsi="Times New Roman"/>
                <w:noProof/>
                <w:color w:val="005F00"/>
                <w:sz w:val="19"/>
              </w:rPr>
              <w:t>8-23</w:t>
            </w:r>
          </w:p>
        </w:tc>
        <w:tc>
          <w:tcPr>
            <w:tcW w:w="2876" w:type="dxa"/>
            <w:shd w:val="clear" w:color="auto" w:fill="C5EDCE"/>
          </w:tcPr>
          <w:p w14:paraId="5A8AEE52" w14:textId="77777777" w:rsidR="00740F0F" w:rsidRPr="0029070D" w:rsidRDefault="00100B64">
            <w:pPr>
              <w:spacing w:line="191" w:lineRule="exact"/>
              <w:ind w:left="121"/>
              <w:rPr>
                <w:rFonts w:ascii="Times New Roman" w:eastAsia="Times New Roman" w:hAnsi="Times New Roman" w:cs="Times New Roman"/>
                <w:noProof/>
                <w:sz w:val="19"/>
              </w:rPr>
            </w:pPr>
            <w:r>
              <w:rPr>
                <w:rFonts w:ascii="Times New Roman" w:hAnsi="Times New Roman"/>
                <w:noProof/>
                <w:color w:val="005F00"/>
                <w:sz w:val="19"/>
              </w:rPr>
              <w:t>C8.I16 Extension exceptionnelle du plan d’Emploi accompagné</w:t>
            </w:r>
          </w:p>
        </w:tc>
        <w:tc>
          <w:tcPr>
            <w:tcW w:w="1441" w:type="dxa"/>
            <w:shd w:val="clear" w:color="auto" w:fill="C5EDCE"/>
          </w:tcPr>
          <w:p w14:paraId="5A8AEE53" w14:textId="77777777" w:rsidR="00740F0F" w:rsidRPr="0029070D" w:rsidRDefault="00100B64">
            <w:pPr>
              <w:spacing w:line="197" w:lineRule="exact"/>
              <w:ind w:left="320" w:right="286"/>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600" w:type="dxa"/>
            <w:shd w:val="clear" w:color="auto" w:fill="C5EDCE"/>
          </w:tcPr>
          <w:p w14:paraId="5A8AEE54" w14:textId="77777777" w:rsidR="00740F0F" w:rsidRPr="0029070D" w:rsidRDefault="00100B64">
            <w:pPr>
              <w:spacing w:line="225" w:lineRule="auto"/>
              <w:ind w:left="116"/>
              <w:rPr>
                <w:rFonts w:ascii="Times New Roman" w:eastAsia="Times New Roman" w:hAnsi="Times New Roman" w:cs="Times New Roman"/>
                <w:noProof/>
                <w:sz w:val="19"/>
              </w:rPr>
            </w:pPr>
            <w:r>
              <w:rPr>
                <w:rFonts w:ascii="Times New Roman" w:hAnsi="Times New Roman"/>
                <w:noProof/>
                <w:color w:val="005F00"/>
                <w:sz w:val="19"/>
              </w:rPr>
              <w:t>Déploiement complet de l’extension du dispositif d’Emploi accompagné</w:t>
            </w:r>
          </w:p>
        </w:tc>
      </w:tr>
      <w:tr w:rsidR="00782477" w:rsidRPr="0029070D" w14:paraId="5A8AEE5A" w14:textId="77777777">
        <w:trPr>
          <w:trHeight w:val="525"/>
          <w:jc w:val="center"/>
        </w:trPr>
        <w:tc>
          <w:tcPr>
            <w:tcW w:w="1150" w:type="dxa"/>
            <w:shd w:val="clear" w:color="auto" w:fill="C5EDCE"/>
          </w:tcPr>
          <w:p w14:paraId="5A8AEE56" w14:textId="77777777" w:rsidR="00740F0F" w:rsidRPr="0029070D" w:rsidRDefault="00100B64">
            <w:pPr>
              <w:spacing w:line="206" w:lineRule="exact"/>
              <w:ind w:left="372" w:right="313"/>
              <w:jc w:val="center"/>
              <w:rPr>
                <w:rFonts w:ascii="Times New Roman" w:eastAsia="Times New Roman" w:hAnsi="Times New Roman" w:cs="Times New Roman"/>
                <w:noProof/>
                <w:sz w:val="19"/>
              </w:rPr>
            </w:pPr>
            <w:r>
              <w:rPr>
                <w:rFonts w:ascii="Times New Roman" w:hAnsi="Times New Roman"/>
                <w:noProof/>
                <w:color w:val="005F00"/>
                <w:sz w:val="19"/>
              </w:rPr>
              <w:t>8-24</w:t>
            </w:r>
          </w:p>
        </w:tc>
        <w:tc>
          <w:tcPr>
            <w:tcW w:w="2876" w:type="dxa"/>
            <w:shd w:val="clear" w:color="auto" w:fill="C5EDCE"/>
          </w:tcPr>
          <w:p w14:paraId="5A8AEE57"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C8.I17 Formation à distance</w:t>
            </w:r>
          </w:p>
        </w:tc>
        <w:tc>
          <w:tcPr>
            <w:tcW w:w="1441" w:type="dxa"/>
            <w:shd w:val="clear" w:color="auto" w:fill="C5EDCE"/>
          </w:tcPr>
          <w:p w14:paraId="5A8AEE58" w14:textId="77777777" w:rsidR="00740F0F" w:rsidRPr="0029070D" w:rsidRDefault="00100B64">
            <w:pPr>
              <w:spacing w:line="206" w:lineRule="exact"/>
              <w:ind w:left="308"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E59" w14:textId="77777777" w:rsidR="00740F0F" w:rsidRPr="0029070D" w:rsidRDefault="00100B64">
            <w:pPr>
              <w:spacing w:line="206" w:lineRule="exact"/>
              <w:ind w:left="116"/>
              <w:rPr>
                <w:rFonts w:ascii="Times New Roman" w:eastAsia="Times New Roman" w:hAnsi="Times New Roman" w:cs="Times New Roman"/>
                <w:noProof/>
                <w:sz w:val="19"/>
              </w:rPr>
            </w:pPr>
            <w:r>
              <w:rPr>
                <w:rFonts w:ascii="Times New Roman" w:hAnsi="Times New Roman"/>
                <w:noProof/>
                <w:color w:val="005F00"/>
                <w:sz w:val="19"/>
              </w:rPr>
              <w:t>Inscriptions à des formations professionnelles à distance</w:t>
            </w:r>
          </w:p>
        </w:tc>
      </w:tr>
      <w:tr w:rsidR="00782477" w:rsidRPr="0029070D" w14:paraId="5A8AEE5F" w14:textId="77777777">
        <w:trPr>
          <w:trHeight w:val="537"/>
          <w:jc w:val="center"/>
        </w:trPr>
        <w:tc>
          <w:tcPr>
            <w:tcW w:w="1150" w:type="dxa"/>
            <w:shd w:val="clear" w:color="auto" w:fill="C5EDCE"/>
          </w:tcPr>
          <w:p w14:paraId="5A8AEE5B" w14:textId="77777777" w:rsidR="00740F0F" w:rsidRPr="0029070D" w:rsidRDefault="00100B64">
            <w:pPr>
              <w:spacing w:line="197" w:lineRule="exact"/>
              <w:ind w:left="372" w:right="313"/>
              <w:jc w:val="center"/>
              <w:rPr>
                <w:rFonts w:ascii="Times New Roman" w:eastAsia="Times New Roman" w:hAnsi="Times New Roman" w:cs="Times New Roman"/>
                <w:noProof/>
                <w:sz w:val="19"/>
              </w:rPr>
            </w:pPr>
            <w:r>
              <w:rPr>
                <w:rFonts w:ascii="Times New Roman" w:hAnsi="Times New Roman"/>
                <w:noProof/>
                <w:color w:val="005F00"/>
                <w:sz w:val="19"/>
              </w:rPr>
              <w:t>8-30</w:t>
            </w:r>
          </w:p>
        </w:tc>
        <w:tc>
          <w:tcPr>
            <w:tcW w:w="2876" w:type="dxa"/>
            <w:shd w:val="clear" w:color="auto" w:fill="C5EDCE"/>
          </w:tcPr>
          <w:p w14:paraId="5A8AEE5C" w14:textId="77777777" w:rsidR="00740F0F" w:rsidRPr="0029070D" w:rsidRDefault="00100B64">
            <w:pPr>
              <w:spacing w:line="191" w:lineRule="exact"/>
              <w:ind w:left="121"/>
              <w:rPr>
                <w:rFonts w:ascii="Times New Roman" w:eastAsia="Times New Roman" w:hAnsi="Times New Roman" w:cs="Times New Roman"/>
                <w:noProof/>
                <w:sz w:val="19"/>
              </w:rPr>
            </w:pPr>
            <w:r>
              <w:rPr>
                <w:rFonts w:ascii="Times New Roman" w:hAnsi="Times New Roman"/>
                <w:noProof/>
                <w:color w:val="005F00"/>
                <w:sz w:val="19"/>
              </w:rPr>
              <w:t>C8.I21 Renforcement des moyens de France compétences</w:t>
            </w:r>
          </w:p>
        </w:tc>
        <w:tc>
          <w:tcPr>
            <w:tcW w:w="1441" w:type="dxa"/>
            <w:shd w:val="clear" w:color="auto" w:fill="C5EDCE"/>
          </w:tcPr>
          <w:p w14:paraId="5A8AEE5D" w14:textId="77777777" w:rsidR="00740F0F" w:rsidRPr="0029070D" w:rsidRDefault="00100B64">
            <w:pPr>
              <w:spacing w:line="197" w:lineRule="exact"/>
              <w:ind w:left="308"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E5E" w14:textId="77777777" w:rsidR="00740F0F" w:rsidRPr="0029070D" w:rsidRDefault="00100B64">
            <w:pPr>
              <w:spacing w:line="197" w:lineRule="exact"/>
              <w:ind w:left="116"/>
              <w:rPr>
                <w:rFonts w:ascii="Times New Roman" w:eastAsia="Times New Roman" w:hAnsi="Times New Roman" w:cs="Times New Roman"/>
                <w:noProof/>
                <w:sz w:val="19"/>
              </w:rPr>
            </w:pPr>
            <w:r>
              <w:rPr>
                <w:rFonts w:ascii="Times New Roman" w:hAnsi="Times New Roman"/>
                <w:noProof/>
                <w:color w:val="005F00"/>
                <w:sz w:val="19"/>
              </w:rPr>
              <w:t>Contrats d’apprentissage supplémentaires signés</w:t>
            </w:r>
          </w:p>
        </w:tc>
      </w:tr>
      <w:tr w:rsidR="00782477" w:rsidRPr="0029070D" w14:paraId="5A8AEE64" w14:textId="77777777">
        <w:trPr>
          <w:trHeight w:val="793"/>
          <w:jc w:val="center"/>
        </w:trPr>
        <w:tc>
          <w:tcPr>
            <w:tcW w:w="1150" w:type="dxa"/>
            <w:shd w:val="clear" w:color="auto" w:fill="C5EDCE"/>
          </w:tcPr>
          <w:p w14:paraId="5A8AEE60" w14:textId="77777777" w:rsidR="00740F0F" w:rsidRPr="0029070D" w:rsidRDefault="00100B64">
            <w:pPr>
              <w:spacing w:line="206" w:lineRule="exact"/>
              <w:ind w:left="376" w:right="313"/>
              <w:jc w:val="center"/>
              <w:rPr>
                <w:rFonts w:ascii="Times New Roman" w:eastAsia="Times New Roman" w:hAnsi="Times New Roman" w:cs="Times New Roman"/>
                <w:noProof/>
                <w:sz w:val="19"/>
              </w:rPr>
            </w:pPr>
            <w:r>
              <w:rPr>
                <w:rFonts w:ascii="Times New Roman" w:hAnsi="Times New Roman"/>
                <w:noProof/>
                <w:color w:val="005F00"/>
                <w:sz w:val="19"/>
              </w:rPr>
              <w:t>9-2</w:t>
            </w:r>
          </w:p>
        </w:tc>
        <w:tc>
          <w:tcPr>
            <w:tcW w:w="2876" w:type="dxa"/>
            <w:shd w:val="clear" w:color="auto" w:fill="C5EDCE"/>
          </w:tcPr>
          <w:p w14:paraId="5A8AEE61"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C9.R1 Stratégie nationale de transformation du système de santé</w:t>
            </w:r>
          </w:p>
        </w:tc>
        <w:tc>
          <w:tcPr>
            <w:tcW w:w="1441" w:type="dxa"/>
            <w:shd w:val="clear" w:color="auto" w:fill="C5EDCE"/>
          </w:tcPr>
          <w:p w14:paraId="5A8AEE62" w14:textId="77777777" w:rsidR="00740F0F" w:rsidRPr="0029070D" w:rsidRDefault="00100B64">
            <w:pPr>
              <w:spacing w:line="206" w:lineRule="exact"/>
              <w:ind w:left="308"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E63" w14:textId="77777777" w:rsidR="00740F0F" w:rsidRPr="0029070D" w:rsidRDefault="00100B64">
            <w:pPr>
              <w:spacing w:line="206" w:lineRule="exact"/>
              <w:ind w:left="116"/>
              <w:rPr>
                <w:rFonts w:ascii="Times New Roman" w:eastAsia="Times New Roman" w:hAnsi="Times New Roman" w:cs="Times New Roman"/>
                <w:noProof/>
                <w:sz w:val="19"/>
              </w:rPr>
            </w:pPr>
            <w:r>
              <w:rPr>
                <w:rFonts w:ascii="Times New Roman" w:hAnsi="Times New Roman"/>
                <w:noProof/>
                <w:color w:val="005F00"/>
                <w:sz w:val="19"/>
              </w:rPr>
              <w:t>Taux d’engagement des crédits pour la revalorisation des ressources humaines en santé</w:t>
            </w:r>
          </w:p>
        </w:tc>
      </w:tr>
      <w:tr w:rsidR="00782477" w:rsidRPr="0029070D" w14:paraId="5A8AEE69" w14:textId="77777777">
        <w:trPr>
          <w:trHeight w:val="781"/>
          <w:jc w:val="center"/>
        </w:trPr>
        <w:tc>
          <w:tcPr>
            <w:tcW w:w="1150" w:type="dxa"/>
            <w:shd w:val="clear" w:color="auto" w:fill="C5EDCE"/>
          </w:tcPr>
          <w:p w14:paraId="5A8AEE65" w14:textId="77777777" w:rsidR="00740F0F" w:rsidRPr="0029070D" w:rsidRDefault="00100B64">
            <w:pPr>
              <w:spacing w:line="197" w:lineRule="exact"/>
              <w:ind w:left="376" w:right="313"/>
              <w:jc w:val="center"/>
              <w:rPr>
                <w:rFonts w:ascii="Times New Roman" w:eastAsia="Times New Roman" w:hAnsi="Times New Roman" w:cs="Times New Roman"/>
                <w:noProof/>
                <w:sz w:val="19"/>
              </w:rPr>
            </w:pPr>
            <w:r>
              <w:rPr>
                <w:rFonts w:ascii="Times New Roman" w:hAnsi="Times New Roman"/>
                <w:noProof/>
                <w:color w:val="005F00"/>
                <w:sz w:val="19"/>
              </w:rPr>
              <w:t>9-7</w:t>
            </w:r>
          </w:p>
        </w:tc>
        <w:tc>
          <w:tcPr>
            <w:tcW w:w="2876" w:type="dxa"/>
            <w:shd w:val="clear" w:color="auto" w:fill="C5EDCE"/>
          </w:tcPr>
          <w:p w14:paraId="5A8AEE66" w14:textId="77777777" w:rsidR="00740F0F" w:rsidRPr="0029070D" w:rsidRDefault="00100B64">
            <w:pPr>
              <w:spacing w:line="225" w:lineRule="auto"/>
              <w:ind w:left="121"/>
              <w:rPr>
                <w:rFonts w:ascii="Times New Roman" w:eastAsia="Times New Roman" w:hAnsi="Times New Roman" w:cs="Times New Roman"/>
                <w:noProof/>
                <w:sz w:val="19"/>
              </w:rPr>
            </w:pPr>
            <w:r>
              <w:rPr>
                <w:rFonts w:ascii="Times New Roman" w:hAnsi="Times New Roman"/>
                <w:noProof/>
                <w:color w:val="005F00"/>
                <w:sz w:val="19"/>
              </w:rPr>
              <w:t>C9.I2 Modernisation et restructuration des hôpitaux et de l’offre de soins</w:t>
            </w:r>
          </w:p>
        </w:tc>
        <w:tc>
          <w:tcPr>
            <w:tcW w:w="1441" w:type="dxa"/>
            <w:shd w:val="clear" w:color="auto" w:fill="C5EDCE"/>
          </w:tcPr>
          <w:p w14:paraId="5A8AEE67" w14:textId="77777777" w:rsidR="00740F0F" w:rsidRPr="0029070D" w:rsidRDefault="00100B64">
            <w:pPr>
              <w:spacing w:line="197" w:lineRule="exact"/>
              <w:ind w:left="308"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E68" w14:textId="77777777" w:rsidR="00740F0F" w:rsidRPr="0029070D" w:rsidRDefault="00100B64">
            <w:pPr>
              <w:spacing w:line="225" w:lineRule="auto"/>
              <w:ind w:left="116" w:right="475"/>
              <w:rPr>
                <w:rFonts w:ascii="Times New Roman" w:eastAsia="Times New Roman" w:hAnsi="Times New Roman" w:cs="Times New Roman"/>
                <w:noProof/>
                <w:sz w:val="19"/>
              </w:rPr>
            </w:pPr>
            <w:r>
              <w:rPr>
                <w:rFonts w:ascii="Times New Roman" w:hAnsi="Times New Roman"/>
                <w:noProof/>
                <w:color w:val="005F00"/>
                <w:sz w:val="19"/>
              </w:rPr>
              <w:t>Établissements soutenus dans leurs investissements en installations techniques, équipements ou de rénovation légère</w:t>
            </w:r>
          </w:p>
        </w:tc>
      </w:tr>
      <w:tr w:rsidR="00782477" w:rsidRPr="0029070D" w14:paraId="5A8AEE6E" w14:textId="77777777">
        <w:trPr>
          <w:trHeight w:val="525"/>
          <w:jc w:val="center"/>
        </w:trPr>
        <w:tc>
          <w:tcPr>
            <w:tcW w:w="1150" w:type="dxa"/>
            <w:shd w:val="clear" w:color="auto" w:fill="C5EDCE"/>
          </w:tcPr>
          <w:p w14:paraId="5A8AEE6A" w14:textId="77777777" w:rsidR="00740F0F" w:rsidRPr="0029070D" w:rsidRDefault="00100B64">
            <w:pPr>
              <w:spacing w:line="206" w:lineRule="exact"/>
              <w:ind w:left="372" w:right="313"/>
              <w:jc w:val="center"/>
              <w:rPr>
                <w:rFonts w:ascii="Times New Roman" w:eastAsia="Times New Roman" w:hAnsi="Times New Roman" w:cs="Times New Roman"/>
                <w:noProof/>
                <w:sz w:val="19"/>
              </w:rPr>
            </w:pPr>
            <w:r>
              <w:rPr>
                <w:rFonts w:ascii="Times New Roman" w:hAnsi="Times New Roman"/>
                <w:noProof/>
                <w:color w:val="005F00"/>
                <w:sz w:val="19"/>
              </w:rPr>
              <w:t>9-15</w:t>
            </w:r>
          </w:p>
        </w:tc>
        <w:tc>
          <w:tcPr>
            <w:tcW w:w="2876" w:type="dxa"/>
            <w:shd w:val="clear" w:color="auto" w:fill="C5EDCE"/>
          </w:tcPr>
          <w:p w14:paraId="5A8AEE6B"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C9.I5 Plan France très haut débit</w:t>
            </w:r>
          </w:p>
        </w:tc>
        <w:tc>
          <w:tcPr>
            <w:tcW w:w="1441" w:type="dxa"/>
            <w:shd w:val="clear" w:color="auto" w:fill="C5EDCE"/>
          </w:tcPr>
          <w:p w14:paraId="5A8AEE6C" w14:textId="77777777" w:rsidR="00740F0F" w:rsidRPr="0029070D" w:rsidRDefault="00100B64">
            <w:pPr>
              <w:spacing w:line="206" w:lineRule="exact"/>
              <w:ind w:left="308"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E6D" w14:textId="77777777" w:rsidR="00740F0F" w:rsidRPr="0029070D" w:rsidRDefault="00100B64">
            <w:pPr>
              <w:spacing w:line="206" w:lineRule="exact"/>
              <w:ind w:left="116"/>
              <w:rPr>
                <w:rFonts w:ascii="Times New Roman" w:eastAsia="Times New Roman" w:hAnsi="Times New Roman" w:cs="Times New Roman"/>
                <w:noProof/>
                <w:sz w:val="19"/>
              </w:rPr>
            </w:pPr>
            <w:r>
              <w:rPr>
                <w:rFonts w:ascii="Times New Roman" w:hAnsi="Times New Roman"/>
                <w:noProof/>
                <w:color w:val="005F00"/>
                <w:sz w:val="19"/>
              </w:rPr>
              <w:t>Logements et locaux professionnels supplémentaires connectables à la fibre</w:t>
            </w:r>
          </w:p>
        </w:tc>
      </w:tr>
      <w:tr w:rsidR="00782477" w:rsidRPr="0029070D" w14:paraId="5A8AEE73" w14:textId="77777777">
        <w:trPr>
          <w:trHeight w:val="673"/>
          <w:jc w:val="center"/>
        </w:trPr>
        <w:tc>
          <w:tcPr>
            <w:tcW w:w="1150" w:type="dxa"/>
            <w:shd w:val="clear" w:color="auto" w:fill="C5EDCE"/>
          </w:tcPr>
          <w:p w14:paraId="5A8AEE6F" w14:textId="77777777" w:rsidR="00740F0F" w:rsidRPr="0029070D" w:rsidRDefault="00100B64">
            <w:pPr>
              <w:spacing w:line="206" w:lineRule="exact"/>
              <w:ind w:right="372"/>
              <w:jc w:val="right"/>
              <w:rPr>
                <w:rFonts w:ascii="Times New Roman" w:eastAsia="Times New Roman" w:hAnsi="Times New Roman" w:cs="Times New Roman"/>
                <w:noProof/>
                <w:sz w:val="19"/>
              </w:rPr>
            </w:pPr>
            <w:r>
              <w:rPr>
                <w:rFonts w:ascii="Times New Roman" w:hAnsi="Times New Roman"/>
                <w:noProof/>
                <w:color w:val="005F00"/>
                <w:sz w:val="19"/>
              </w:rPr>
              <w:t>9-19</w:t>
            </w:r>
          </w:p>
        </w:tc>
        <w:tc>
          <w:tcPr>
            <w:tcW w:w="2876" w:type="dxa"/>
            <w:shd w:val="clear" w:color="auto" w:fill="C5EDCE"/>
          </w:tcPr>
          <w:p w14:paraId="5A8AEE70"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C9.I8 PIA4 — Soutien aux écosystèmes d’enseignement, de recherche, de valorisation et d’innovation</w:t>
            </w:r>
          </w:p>
        </w:tc>
        <w:tc>
          <w:tcPr>
            <w:tcW w:w="1441" w:type="dxa"/>
            <w:shd w:val="clear" w:color="auto" w:fill="C5EDCE"/>
          </w:tcPr>
          <w:p w14:paraId="5A8AEE71" w14:textId="77777777" w:rsidR="00740F0F" w:rsidRPr="0029070D" w:rsidRDefault="00100B64">
            <w:pPr>
              <w:spacing w:line="206" w:lineRule="exact"/>
              <w:ind w:right="322"/>
              <w:jc w:val="right"/>
              <w:rPr>
                <w:rFonts w:ascii="Times New Roman" w:eastAsia="Times New Roman" w:hAnsi="Times New Roman" w:cs="Times New Roman"/>
                <w:noProof/>
                <w:sz w:val="19"/>
              </w:rPr>
            </w:pPr>
            <w:r>
              <w:rPr>
                <w:rFonts w:ascii="Times New Roman" w:hAnsi="Times New Roman"/>
                <w:noProof/>
                <w:color w:val="005F00"/>
                <w:sz w:val="19"/>
              </w:rPr>
              <w:t>Jalon</w:t>
            </w:r>
          </w:p>
        </w:tc>
        <w:tc>
          <w:tcPr>
            <w:tcW w:w="4600" w:type="dxa"/>
            <w:shd w:val="clear" w:color="auto" w:fill="C5EDCE"/>
          </w:tcPr>
          <w:p w14:paraId="5A8AEE72" w14:textId="77777777" w:rsidR="00740F0F" w:rsidRPr="0029070D" w:rsidRDefault="00100B64">
            <w:pPr>
              <w:spacing w:line="204" w:lineRule="exact"/>
              <w:ind w:left="116"/>
              <w:rPr>
                <w:rFonts w:ascii="Times New Roman" w:eastAsia="Times New Roman" w:hAnsi="Times New Roman" w:cs="Times New Roman"/>
                <w:noProof/>
                <w:sz w:val="19"/>
              </w:rPr>
            </w:pPr>
            <w:r>
              <w:rPr>
                <w:rFonts w:ascii="Times New Roman" w:hAnsi="Times New Roman"/>
                <w:noProof/>
                <w:color w:val="005F00"/>
                <w:sz w:val="19"/>
              </w:rPr>
              <w:t>Attribution des marchés – décision d’exécution du Premier ministre</w:t>
            </w:r>
          </w:p>
        </w:tc>
      </w:tr>
      <w:tr w:rsidR="00782477" w:rsidRPr="0029070D" w14:paraId="5A8AEE78" w14:textId="77777777">
        <w:trPr>
          <w:trHeight w:val="796"/>
          <w:jc w:val="center"/>
        </w:trPr>
        <w:tc>
          <w:tcPr>
            <w:tcW w:w="1150" w:type="dxa"/>
            <w:shd w:val="clear" w:color="auto" w:fill="C5EDCE"/>
          </w:tcPr>
          <w:p w14:paraId="5A8AEE74" w14:textId="77777777" w:rsidR="00740F0F" w:rsidRPr="0029070D" w:rsidRDefault="00100B64">
            <w:pPr>
              <w:spacing w:line="206" w:lineRule="exact"/>
              <w:ind w:right="371"/>
              <w:jc w:val="right"/>
              <w:rPr>
                <w:rFonts w:ascii="Times New Roman" w:eastAsia="Times New Roman" w:hAnsi="Times New Roman" w:cs="Times New Roman"/>
                <w:noProof/>
                <w:sz w:val="19"/>
              </w:rPr>
            </w:pPr>
            <w:r>
              <w:rPr>
                <w:rFonts w:ascii="Times New Roman" w:hAnsi="Times New Roman"/>
                <w:noProof/>
                <w:color w:val="005F00"/>
                <w:sz w:val="19"/>
              </w:rPr>
              <w:t>10-1</w:t>
            </w:r>
          </w:p>
        </w:tc>
        <w:tc>
          <w:tcPr>
            <w:tcW w:w="2876" w:type="dxa"/>
            <w:shd w:val="clear" w:color="auto" w:fill="C5EDCE"/>
          </w:tcPr>
          <w:p w14:paraId="5A8AEE75" w14:textId="77777777" w:rsidR="00740F0F" w:rsidRPr="0029070D" w:rsidRDefault="00100B64">
            <w:pPr>
              <w:spacing w:line="225" w:lineRule="auto"/>
              <w:ind w:left="121" w:right="72"/>
              <w:rPr>
                <w:rFonts w:ascii="Times New Roman" w:eastAsia="Times New Roman" w:hAnsi="Times New Roman" w:cs="Times New Roman"/>
                <w:noProof/>
                <w:sz w:val="19"/>
              </w:rPr>
            </w:pPr>
            <w:r>
              <w:rPr>
                <w:rFonts w:ascii="Times New Roman" w:hAnsi="Times New Roman"/>
                <w:noProof/>
                <w:color w:val="005F00"/>
                <w:sz w:val="19"/>
              </w:rPr>
              <w:t>C10.R1 Loi sur l’accélération de la production d’énergies renouvelables</w:t>
            </w:r>
          </w:p>
        </w:tc>
        <w:tc>
          <w:tcPr>
            <w:tcW w:w="1441" w:type="dxa"/>
            <w:shd w:val="clear" w:color="auto" w:fill="C5EDCE"/>
          </w:tcPr>
          <w:p w14:paraId="5A8AEE76" w14:textId="77777777" w:rsidR="00740F0F" w:rsidRPr="0029070D" w:rsidRDefault="00100B64">
            <w:pPr>
              <w:spacing w:line="197" w:lineRule="exact"/>
              <w:ind w:right="268"/>
              <w:jc w:val="right"/>
              <w:rPr>
                <w:rFonts w:ascii="Times New Roman" w:eastAsia="Times New Roman" w:hAnsi="Times New Roman" w:cs="Times New Roman"/>
                <w:noProof/>
                <w:sz w:val="19"/>
              </w:rPr>
            </w:pPr>
            <w:r>
              <w:rPr>
                <w:rFonts w:ascii="Times New Roman" w:hAnsi="Times New Roman"/>
                <w:noProof/>
                <w:color w:val="005F00"/>
                <w:sz w:val="19"/>
              </w:rPr>
              <w:t>Jalon</w:t>
            </w:r>
          </w:p>
        </w:tc>
        <w:tc>
          <w:tcPr>
            <w:tcW w:w="4600" w:type="dxa"/>
            <w:shd w:val="clear" w:color="auto" w:fill="C5EDCE"/>
          </w:tcPr>
          <w:p w14:paraId="5A8AEE77" w14:textId="77777777" w:rsidR="00740F0F" w:rsidRPr="0029070D" w:rsidRDefault="00100B64">
            <w:pPr>
              <w:spacing w:line="225" w:lineRule="auto"/>
              <w:ind w:left="118" w:right="701"/>
              <w:rPr>
                <w:rFonts w:ascii="Times New Roman" w:eastAsia="Times New Roman" w:hAnsi="Times New Roman" w:cs="Times New Roman"/>
                <w:noProof/>
                <w:sz w:val="19"/>
              </w:rPr>
            </w:pPr>
            <w:r>
              <w:rPr>
                <w:rFonts w:ascii="Times New Roman" w:hAnsi="Times New Roman"/>
                <w:noProof/>
                <w:color w:val="005F00"/>
                <w:sz w:val="19"/>
              </w:rPr>
              <w:t>Entrée en vigueur de la loi sur l’accélération de la production d’énergies renouvelables</w:t>
            </w:r>
          </w:p>
        </w:tc>
      </w:tr>
      <w:tr w:rsidR="00782477" w:rsidRPr="0029070D" w14:paraId="5A8AEE7D" w14:textId="77777777">
        <w:trPr>
          <w:trHeight w:val="793"/>
          <w:jc w:val="center"/>
        </w:trPr>
        <w:tc>
          <w:tcPr>
            <w:tcW w:w="1150" w:type="dxa"/>
            <w:shd w:val="clear" w:color="auto" w:fill="C5EDCE"/>
          </w:tcPr>
          <w:p w14:paraId="5A8AEE79" w14:textId="77777777" w:rsidR="00740F0F" w:rsidRPr="0029070D" w:rsidRDefault="00100B64">
            <w:pPr>
              <w:spacing w:line="204" w:lineRule="exact"/>
              <w:ind w:right="383"/>
              <w:jc w:val="right"/>
              <w:rPr>
                <w:rFonts w:ascii="Times New Roman" w:eastAsia="Times New Roman" w:hAnsi="Times New Roman" w:cs="Times New Roman"/>
                <w:noProof/>
                <w:sz w:val="19"/>
              </w:rPr>
            </w:pPr>
            <w:r>
              <w:rPr>
                <w:rFonts w:ascii="Times New Roman" w:hAnsi="Times New Roman"/>
                <w:noProof/>
                <w:color w:val="005F00"/>
                <w:sz w:val="19"/>
              </w:rPr>
              <w:t>10-2</w:t>
            </w:r>
          </w:p>
        </w:tc>
        <w:tc>
          <w:tcPr>
            <w:tcW w:w="2876" w:type="dxa"/>
            <w:shd w:val="clear" w:color="auto" w:fill="C5EDCE"/>
          </w:tcPr>
          <w:p w14:paraId="5A8AEE7A" w14:textId="77777777" w:rsidR="00740F0F" w:rsidRPr="0029070D" w:rsidRDefault="00100B64">
            <w:pPr>
              <w:spacing w:line="225" w:lineRule="auto"/>
              <w:ind w:left="121" w:right="64"/>
              <w:rPr>
                <w:rFonts w:ascii="Times New Roman" w:eastAsia="Times New Roman" w:hAnsi="Times New Roman" w:cs="Times New Roman"/>
                <w:noProof/>
                <w:sz w:val="19"/>
              </w:rPr>
            </w:pPr>
            <w:r>
              <w:rPr>
                <w:rFonts w:ascii="Times New Roman" w:hAnsi="Times New Roman"/>
                <w:noProof/>
                <w:color w:val="005F00"/>
                <w:sz w:val="19"/>
              </w:rPr>
              <w:t>C10.R2 Mise en place du secrétariat général à la planification écologique (SGPE)</w:t>
            </w:r>
          </w:p>
        </w:tc>
        <w:tc>
          <w:tcPr>
            <w:tcW w:w="1441" w:type="dxa"/>
            <w:shd w:val="clear" w:color="auto" w:fill="C5EDCE"/>
          </w:tcPr>
          <w:p w14:paraId="5A8AEE7B" w14:textId="77777777" w:rsidR="00740F0F" w:rsidRPr="0029070D" w:rsidRDefault="00100B64">
            <w:pPr>
              <w:spacing w:line="197" w:lineRule="exact"/>
              <w:ind w:right="268"/>
              <w:jc w:val="right"/>
              <w:rPr>
                <w:rFonts w:ascii="Times New Roman" w:eastAsia="Times New Roman" w:hAnsi="Times New Roman" w:cs="Times New Roman"/>
                <w:noProof/>
                <w:sz w:val="19"/>
              </w:rPr>
            </w:pPr>
            <w:r>
              <w:rPr>
                <w:rFonts w:ascii="Times New Roman" w:hAnsi="Times New Roman"/>
                <w:noProof/>
                <w:color w:val="005F00"/>
                <w:sz w:val="19"/>
              </w:rPr>
              <w:t>Jalon</w:t>
            </w:r>
          </w:p>
        </w:tc>
        <w:tc>
          <w:tcPr>
            <w:tcW w:w="4600" w:type="dxa"/>
            <w:shd w:val="clear" w:color="auto" w:fill="C5EDCE"/>
          </w:tcPr>
          <w:p w14:paraId="5A8AEE7C" w14:textId="77777777" w:rsidR="00740F0F" w:rsidRPr="0029070D" w:rsidRDefault="00100B64">
            <w:pPr>
              <w:spacing w:line="225" w:lineRule="auto"/>
              <w:ind w:left="118" w:right="-17"/>
              <w:rPr>
                <w:rFonts w:ascii="Times New Roman" w:eastAsia="Times New Roman" w:hAnsi="Times New Roman" w:cs="Times New Roman"/>
                <w:noProof/>
                <w:sz w:val="19"/>
              </w:rPr>
            </w:pPr>
            <w:r>
              <w:rPr>
                <w:rFonts w:ascii="Times New Roman" w:hAnsi="Times New Roman"/>
                <w:noProof/>
                <w:color w:val="005F00"/>
                <w:sz w:val="19"/>
              </w:rPr>
              <w:t>Entrée en vigueur du décret d’application de la mise en place du SGPE</w:t>
            </w:r>
          </w:p>
        </w:tc>
      </w:tr>
      <w:tr w:rsidR="00782477" w:rsidRPr="0029070D" w14:paraId="5A8AEE82" w14:textId="77777777">
        <w:trPr>
          <w:trHeight w:val="493"/>
          <w:jc w:val="center"/>
        </w:trPr>
        <w:tc>
          <w:tcPr>
            <w:tcW w:w="1150" w:type="dxa"/>
            <w:shd w:val="clear" w:color="auto" w:fill="C5EDCE"/>
          </w:tcPr>
          <w:p w14:paraId="5A8AEE7E" w14:textId="77777777" w:rsidR="00740F0F" w:rsidRPr="0029070D" w:rsidRDefault="00100B64">
            <w:pPr>
              <w:spacing w:line="204" w:lineRule="exact"/>
              <w:ind w:right="383"/>
              <w:jc w:val="right"/>
              <w:rPr>
                <w:rFonts w:ascii="Times New Roman" w:eastAsia="Times New Roman" w:hAnsi="Times New Roman" w:cs="Times New Roman"/>
                <w:noProof/>
                <w:sz w:val="19"/>
              </w:rPr>
            </w:pPr>
            <w:r>
              <w:rPr>
                <w:rFonts w:ascii="Times New Roman" w:hAnsi="Times New Roman"/>
                <w:noProof/>
                <w:color w:val="005F00"/>
                <w:sz w:val="19"/>
              </w:rPr>
              <w:t>10-3</w:t>
            </w:r>
          </w:p>
        </w:tc>
        <w:tc>
          <w:tcPr>
            <w:tcW w:w="2876" w:type="dxa"/>
            <w:shd w:val="clear" w:color="auto" w:fill="C5EDCE"/>
          </w:tcPr>
          <w:p w14:paraId="5A8AEE7F" w14:textId="77777777" w:rsidR="00740F0F" w:rsidRPr="0029070D" w:rsidRDefault="00100B64">
            <w:pPr>
              <w:spacing w:line="197" w:lineRule="exact"/>
              <w:ind w:left="121"/>
              <w:rPr>
                <w:rFonts w:ascii="Times New Roman" w:eastAsia="Times New Roman" w:hAnsi="Times New Roman" w:cs="Times New Roman"/>
                <w:noProof/>
                <w:sz w:val="19"/>
              </w:rPr>
            </w:pPr>
            <w:r>
              <w:rPr>
                <w:rFonts w:ascii="Times New Roman" w:hAnsi="Times New Roman"/>
                <w:noProof/>
                <w:color w:val="005F00"/>
                <w:sz w:val="19"/>
              </w:rPr>
              <w:t>C10.R3 Plan de sobriété énergétique</w:t>
            </w:r>
          </w:p>
        </w:tc>
        <w:tc>
          <w:tcPr>
            <w:tcW w:w="1441" w:type="dxa"/>
            <w:shd w:val="clear" w:color="auto" w:fill="C5EDCE"/>
          </w:tcPr>
          <w:p w14:paraId="5A8AEE80" w14:textId="77777777" w:rsidR="00740F0F" w:rsidRPr="0029070D" w:rsidRDefault="00100B64">
            <w:pPr>
              <w:spacing w:line="197" w:lineRule="exact"/>
              <w:ind w:right="222"/>
              <w:jc w:val="right"/>
              <w:rPr>
                <w:rFonts w:ascii="Times New Roman" w:eastAsia="Times New Roman" w:hAnsi="Times New Roman" w:cs="Times New Roman"/>
                <w:noProof/>
                <w:sz w:val="19"/>
              </w:rPr>
            </w:pPr>
            <w:r>
              <w:rPr>
                <w:rFonts w:ascii="Times New Roman" w:hAnsi="Times New Roman"/>
                <w:noProof/>
                <w:color w:val="005F00"/>
                <w:sz w:val="19"/>
              </w:rPr>
              <w:t>Jalon</w:t>
            </w:r>
          </w:p>
        </w:tc>
        <w:tc>
          <w:tcPr>
            <w:tcW w:w="4600" w:type="dxa"/>
            <w:shd w:val="clear" w:color="auto" w:fill="C5EDCE"/>
          </w:tcPr>
          <w:p w14:paraId="5A8AEE81" w14:textId="77777777" w:rsidR="00740F0F" w:rsidRPr="0029070D" w:rsidRDefault="00100B64">
            <w:pPr>
              <w:spacing w:line="197" w:lineRule="exact"/>
              <w:ind w:left="118"/>
              <w:rPr>
                <w:rFonts w:ascii="Times New Roman" w:eastAsia="Times New Roman" w:hAnsi="Times New Roman" w:cs="Times New Roman"/>
                <w:noProof/>
                <w:sz w:val="19"/>
              </w:rPr>
            </w:pPr>
            <w:r>
              <w:rPr>
                <w:rFonts w:ascii="Times New Roman" w:hAnsi="Times New Roman"/>
                <w:noProof/>
                <w:color w:val="005F00"/>
                <w:sz w:val="19"/>
              </w:rPr>
              <w:t>Publication du plan de sobriété énergétique</w:t>
            </w:r>
          </w:p>
        </w:tc>
      </w:tr>
      <w:tr w:rsidR="00782477" w:rsidRPr="0029070D" w14:paraId="5A8AEE87" w14:textId="77777777">
        <w:trPr>
          <w:trHeight w:val="796"/>
          <w:jc w:val="center"/>
        </w:trPr>
        <w:tc>
          <w:tcPr>
            <w:tcW w:w="1150" w:type="dxa"/>
            <w:shd w:val="clear" w:color="auto" w:fill="C5EDCE"/>
          </w:tcPr>
          <w:p w14:paraId="5A8AEE83" w14:textId="77777777" w:rsidR="00740F0F" w:rsidRPr="0029070D" w:rsidRDefault="00100B64">
            <w:pPr>
              <w:spacing w:line="207" w:lineRule="exact"/>
              <w:ind w:right="383"/>
              <w:jc w:val="right"/>
              <w:rPr>
                <w:rFonts w:ascii="Times New Roman" w:eastAsia="Times New Roman" w:hAnsi="Times New Roman" w:cs="Times New Roman"/>
                <w:noProof/>
                <w:sz w:val="19"/>
              </w:rPr>
            </w:pPr>
            <w:r>
              <w:rPr>
                <w:rFonts w:ascii="Times New Roman" w:hAnsi="Times New Roman"/>
                <w:noProof/>
                <w:color w:val="005F00"/>
                <w:sz w:val="19"/>
              </w:rPr>
              <w:t>10-4</w:t>
            </w:r>
          </w:p>
        </w:tc>
        <w:tc>
          <w:tcPr>
            <w:tcW w:w="2876" w:type="dxa"/>
            <w:shd w:val="clear" w:color="auto" w:fill="C5EDCE"/>
          </w:tcPr>
          <w:p w14:paraId="5A8AEE84" w14:textId="77777777" w:rsidR="00740F0F" w:rsidRPr="0029070D" w:rsidRDefault="00100B64">
            <w:pPr>
              <w:spacing w:line="197" w:lineRule="exact"/>
              <w:ind w:left="121"/>
              <w:rPr>
                <w:rFonts w:ascii="Times New Roman" w:eastAsia="Times New Roman" w:hAnsi="Times New Roman" w:cs="Times New Roman"/>
                <w:noProof/>
                <w:sz w:val="19"/>
              </w:rPr>
            </w:pPr>
            <w:r>
              <w:rPr>
                <w:rFonts w:ascii="Times New Roman" w:hAnsi="Times New Roman"/>
                <w:noProof/>
                <w:color w:val="005F00"/>
                <w:sz w:val="19"/>
              </w:rPr>
              <w:t>C10.I1 Industrie zéro fossile</w:t>
            </w:r>
          </w:p>
        </w:tc>
        <w:tc>
          <w:tcPr>
            <w:tcW w:w="1441" w:type="dxa"/>
            <w:shd w:val="clear" w:color="auto" w:fill="C5EDCE"/>
          </w:tcPr>
          <w:p w14:paraId="5A8AEE85" w14:textId="77777777" w:rsidR="00740F0F" w:rsidRPr="0029070D" w:rsidRDefault="00100B64">
            <w:pPr>
              <w:spacing w:line="197" w:lineRule="exact"/>
              <w:ind w:right="268"/>
              <w:jc w:val="right"/>
              <w:rPr>
                <w:rFonts w:ascii="Times New Roman" w:eastAsia="Times New Roman" w:hAnsi="Times New Roman" w:cs="Times New Roman"/>
                <w:noProof/>
                <w:sz w:val="19"/>
              </w:rPr>
            </w:pPr>
            <w:r>
              <w:rPr>
                <w:rFonts w:ascii="Times New Roman" w:hAnsi="Times New Roman"/>
                <w:noProof/>
                <w:color w:val="005F00"/>
                <w:sz w:val="19"/>
              </w:rPr>
              <w:t>Jalon</w:t>
            </w:r>
          </w:p>
        </w:tc>
        <w:tc>
          <w:tcPr>
            <w:tcW w:w="4600" w:type="dxa"/>
            <w:shd w:val="clear" w:color="auto" w:fill="C5EDCE"/>
          </w:tcPr>
          <w:p w14:paraId="5A8AEE86" w14:textId="77777777" w:rsidR="00740F0F" w:rsidRPr="0029070D" w:rsidRDefault="00100B64">
            <w:pPr>
              <w:spacing w:line="225" w:lineRule="auto"/>
              <w:ind w:left="118" w:right="178"/>
              <w:rPr>
                <w:rFonts w:ascii="Times New Roman" w:eastAsia="Times New Roman" w:hAnsi="Times New Roman" w:cs="Times New Roman"/>
                <w:noProof/>
                <w:sz w:val="19"/>
              </w:rPr>
            </w:pPr>
            <w:r>
              <w:rPr>
                <w:rFonts w:ascii="Times New Roman" w:hAnsi="Times New Roman"/>
                <w:noProof/>
                <w:color w:val="005F00"/>
                <w:sz w:val="19"/>
              </w:rPr>
              <w:t>Sélection des projets contribuant à une réduction prévisionnelle de la consommation d’énergie fossile</w:t>
            </w:r>
          </w:p>
        </w:tc>
      </w:tr>
      <w:tr w:rsidR="00782477" w:rsidRPr="0029070D" w14:paraId="5A8AEE8C" w14:textId="77777777">
        <w:trPr>
          <w:trHeight w:val="793"/>
          <w:jc w:val="center"/>
        </w:trPr>
        <w:tc>
          <w:tcPr>
            <w:tcW w:w="1150" w:type="dxa"/>
            <w:shd w:val="clear" w:color="auto" w:fill="C5EDCE"/>
          </w:tcPr>
          <w:p w14:paraId="5A8AEE88" w14:textId="77777777" w:rsidR="00740F0F" w:rsidRPr="0029070D" w:rsidRDefault="00100B64">
            <w:pPr>
              <w:spacing w:line="204" w:lineRule="exact"/>
              <w:ind w:right="334"/>
              <w:jc w:val="right"/>
              <w:rPr>
                <w:rFonts w:ascii="Times New Roman" w:eastAsia="Times New Roman" w:hAnsi="Times New Roman" w:cs="Times New Roman"/>
                <w:noProof/>
                <w:sz w:val="19"/>
              </w:rPr>
            </w:pPr>
            <w:r>
              <w:rPr>
                <w:rFonts w:ascii="Times New Roman" w:hAnsi="Times New Roman"/>
                <w:noProof/>
                <w:color w:val="005F00"/>
                <w:sz w:val="19"/>
              </w:rPr>
              <w:t>10-10</w:t>
            </w:r>
          </w:p>
        </w:tc>
        <w:tc>
          <w:tcPr>
            <w:tcW w:w="2876" w:type="dxa"/>
            <w:shd w:val="clear" w:color="auto" w:fill="C5EDCE"/>
          </w:tcPr>
          <w:p w14:paraId="5A8AEE89" w14:textId="77777777" w:rsidR="00740F0F" w:rsidRPr="0029070D" w:rsidRDefault="00100B64">
            <w:pPr>
              <w:spacing w:line="225" w:lineRule="auto"/>
              <w:ind w:left="121" w:right="453"/>
              <w:rPr>
                <w:rFonts w:ascii="Times New Roman" w:eastAsia="Times New Roman" w:hAnsi="Times New Roman" w:cs="Times New Roman"/>
                <w:noProof/>
                <w:sz w:val="19"/>
              </w:rPr>
            </w:pPr>
            <w:r>
              <w:rPr>
                <w:rFonts w:ascii="Times New Roman" w:hAnsi="Times New Roman"/>
                <w:noProof/>
                <w:color w:val="005F00"/>
                <w:sz w:val="19"/>
              </w:rPr>
              <w:t>C10.I3 Rénovation thermique des bâtiments publics</w:t>
            </w:r>
          </w:p>
        </w:tc>
        <w:tc>
          <w:tcPr>
            <w:tcW w:w="1441" w:type="dxa"/>
            <w:shd w:val="clear" w:color="auto" w:fill="C5EDCE"/>
          </w:tcPr>
          <w:p w14:paraId="5A8AEE8A" w14:textId="77777777" w:rsidR="00740F0F" w:rsidRPr="0029070D" w:rsidRDefault="00100B64">
            <w:pPr>
              <w:spacing w:line="197" w:lineRule="exact"/>
              <w:ind w:left="527"/>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E8B" w14:textId="77777777" w:rsidR="00740F0F" w:rsidRPr="0029070D" w:rsidRDefault="00100B64">
            <w:pPr>
              <w:spacing w:line="225" w:lineRule="auto"/>
              <w:ind w:left="118" w:right="-15"/>
              <w:jc w:val="both"/>
              <w:rPr>
                <w:rFonts w:ascii="Times New Roman" w:eastAsia="Times New Roman" w:hAnsi="Times New Roman" w:cs="Times New Roman"/>
                <w:noProof/>
                <w:sz w:val="19"/>
              </w:rPr>
            </w:pPr>
            <w:r>
              <w:rPr>
                <w:rFonts w:ascii="Times New Roman" w:hAnsi="Times New Roman"/>
                <w:noProof/>
                <w:color w:val="005F00"/>
                <w:sz w:val="19"/>
              </w:rPr>
              <w:t>Projets de rénovation de sites publics appartenant à l’État pour lesquels au moins un contrat de travaux de rénovation a été notifié</w:t>
            </w:r>
          </w:p>
        </w:tc>
      </w:tr>
      <w:tr w:rsidR="00782477" w:rsidRPr="0029070D" w14:paraId="5A8AEE92" w14:textId="77777777">
        <w:trPr>
          <w:trHeight w:val="796"/>
          <w:jc w:val="center"/>
        </w:trPr>
        <w:tc>
          <w:tcPr>
            <w:tcW w:w="1150" w:type="dxa"/>
            <w:shd w:val="clear" w:color="auto" w:fill="C5EDCE"/>
          </w:tcPr>
          <w:p w14:paraId="5A8AEE8D" w14:textId="77777777" w:rsidR="00740F0F" w:rsidRPr="0029070D" w:rsidRDefault="00740F0F">
            <w:pPr>
              <w:rPr>
                <w:rFonts w:ascii="Times New Roman" w:eastAsia="Times New Roman" w:hAnsi="Times New Roman" w:cs="Times New Roman"/>
                <w:noProof/>
                <w:sz w:val="18"/>
              </w:rPr>
            </w:pPr>
          </w:p>
        </w:tc>
        <w:tc>
          <w:tcPr>
            <w:tcW w:w="2876" w:type="dxa"/>
            <w:shd w:val="clear" w:color="auto" w:fill="C5EDCE"/>
          </w:tcPr>
          <w:p w14:paraId="5A8AEE8E" w14:textId="77777777" w:rsidR="00740F0F" w:rsidRPr="0029070D" w:rsidRDefault="00740F0F">
            <w:pPr>
              <w:rPr>
                <w:rFonts w:ascii="Times New Roman" w:eastAsia="Times New Roman" w:hAnsi="Times New Roman" w:cs="Times New Roman"/>
                <w:noProof/>
                <w:sz w:val="18"/>
              </w:rPr>
            </w:pPr>
          </w:p>
        </w:tc>
        <w:tc>
          <w:tcPr>
            <w:tcW w:w="1441" w:type="dxa"/>
            <w:shd w:val="clear" w:color="auto" w:fill="C5EDCE"/>
          </w:tcPr>
          <w:p w14:paraId="5A8AEE8F" w14:textId="77777777" w:rsidR="00740F0F" w:rsidRPr="0029070D" w:rsidRDefault="00100B64">
            <w:pPr>
              <w:spacing w:before="21" w:line="214" w:lineRule="exact"/>
              <w:ind w:right="387"/>
              <w:jc w:val="right"/>
              <w:rPr>
                <w:rFonts w:ascii="Times New Roman" w:eastAsia="Times New Roman" w:hAnsi="Times New Roman" w:cs="Times New Roman"/>
                <w:b/>
                <w:noProof/>
                <w:sz w:val="19"/>
              </w:rPr>
            </w:pPr>
            <w:r>
              <w:rPr>
                <w:rFonts w:ascii="Times New Roman" w:hAnsi="Times New Roman"/>
                <w:b/>
                <w:noProof/>
                <w:color w:val="005F00"/>
                <w:sz w:val="19"/>
              </w:rPr>
              <w:t>Tranche</w:t>
            </w:r>
          </w:p>
          <w:p w14:paraId="5A8AEE90" w14:textId="77777777" w:rsidR="00740F0F" w:rsidRPr="0029070D" w:rsidRDefault="00100B64">
            <w:pPr>
              <w:spacing w:line="214" w:lineRule="exact"/>
              <w:ind w:right="319"/>
              <w:jc w:val="right"/>
              <w:rPr>
                <w:rFonts w:ascii="Times New Roman" w:eastAsia="Times New Roman" w:hAnsi="Times New Roman" w:cs="Times New Roman"/>
                <w:b/>
                <w:noProof/>
                <w:sz w:val="19"/>
              </w:rPr>
            </w:pPr>
            <w:r>
              <w:rPr>
                <w:rFonts w:ascii="Times New Roman" w:hAnsi="Times New Roman"/>
                <w:b/>
                <w:noProof/>
                <w:color w:val="005F00"/>
                <w:sz w:val="19"/>
              </w:rPr>
              <w:t>Montant</w:t>
            </w:r>
          </w:p>
        </w:tc>
        <w:tc>
          <w:tcPr>
            <w:tcW w:w="4600" w:type="dxa"/>
            <w:shd w:val="clear" w:color="auto" w:fill="C5EDCE"/>
          </w:tcPr>
          <w:p w14:paraId="5A8AEE91" w14:textId="77777777" w:rsidR="00740F0F" w:rsidRPr="0029070D" w:rsidRDefault="00100B64">
            <w:pPr>
              <w:spacing w:line="197" w:lineRule="exact"/>
              <w:ind w:left="118"/>
              <w:rPr>
                <w:rFonts w:ascii="Times New Roman" w:eastAsia="Times New Roman" w:hAnsi="Times New Roman" w:cs="Times New Roman"/>
                <w:b/>
                <w:noProof/>
                <w:sz w:val="19"/>
              </w:rPr>
            </w:pPr>
            <w:r>
              <w:rPr>
                <w:rFonts w:ascii="Times New Roman" w:hAnsi="Times New Roman"/>
                <w:b/>
                <w:noProof/>
                <w:color w:val="005F00"/>
                <w:sz w:val="19"/>
              </w:rPr>
              <w:t>8</w:t>
            </w:r>
            <w:r>
              <w:rPr>
                <w:rFonts w:ascii="Times New Roman" w:hAnsi="Times New Roman"/>
                <w:noProof/>
                <w:sz w:val="18"/>
              </w:rPr>
              <w:t> </w:t>
            </w:r>
            <w:r>
              <w:rPr>
                <w:rFonts w:ascii="Times New Roman" w:hAnsi="Times New Roman"/>
                <w:b/>
                <w:noProof/>
                <w:color w:val="005F00"/>
                <w:sz w:val="19"/>
              </w:rPr>
              <w:t>662</w:t>
            </w:r>
            <w:r>
              <w:rPr>
                <w:rFonts w:ascii="Times New Roman" w:hAnsi="Times New Roman"/>
                <w:noProof/>
                <w:sz w:val="18"/>
              </w:rPr>
              <w:t> </w:t>
            </w:r>
            <w:r>
              <w:rPr>
                <w:rFonts w:ascii="Times New Roman" w:hAnsi="Times New Roman"/>
                <w:b/>
                <w:noProof/>
                <w:color w:val="005F00"/>
                <w:sz w:val="19"/>
              </w:rPr>
              <w:t>970</w:t>
            </w:r>
            <w:r>
              <w:rPr>
                <w:rFonts w:ascii="Times New Roman" w:hAnsi="Times New Roman"/>
                <w:noProof/>
                <w:sz w:val="18"/>
              </w:rPr>
              <w:t> </w:t>
            </w:r>
            <w:r>
              <w:rPr>
                <w:rFonts w:ascii="Times New Roman" w:hAnsi="Times New Roman"/>
                <w:b/>
                <w:noProof/>
                <w:color w:val="005F00"/>
                <w:sz w:val="19"/>
              </w:rPr>
              <w:t>741</w:t>
            </w:r>
            <w:r>
              <w:rPr>
                <w:rFonts w:ascii="Times New Roman" w:hAnsi="Times New Roman"/>
                <w:noProof/>
              </w:rPr>
              <w:t> </w:t>
            </w:r>
            <w:r>
              <w:rPr>
                <w:rFonts w:ascii="Times New Roman" w:hAnsi="Times New Roman"/>
                <w:b/>
                <w:noProof/>
                <w:color w:val="005F00"/>
                <w:sz w:val="19"/>
              </w:rPr>
              <w:t>EUR</w:t>
            </w:r>
          </w:p>
        </w:tc>
      </w:tr>
    </w:tbl>
    <w:p w14:paraId="5A8AEE93" w14:textId="77777777" w:rsidR="00740F0F" w:rsidRPr="0029070D" w:rsidRDefault="00740F0F">
      <w:pPr>
        <w:widowControl w:val="0"/>
        <w:autoSpaceDE w:val="0"/>
        <w:autoSpaceDN w:val="0"/>
        <w:spacing w:after="0" w:line="240" w:lineRule="auto"/>
        <w:rPr>
          <w:rFonts w:ascii="Times New Roman" w:eastAsia="Times New Roman" w:hAnsi="Times New Roman" w:cs="Times New Roman"/>
          <w:noProof/>
          <w:kern w:val="0"/>
          <w:sz w:val="20"/>
          <w:szCs w:val="20"/>
          <w14:ligatures w14:val="none"/>
        </w:rPr>
      </w:pPr>
    </w:p>
    <w:p w14:paraId="5A8AEE94" w14:textId="77777777" w:rsidR="00740F0F" w:rsidRPr="0029070D" w:rsidRDefault="00100B64">
      <w:pPr>
        <w:widowControl w:val="0"/>
        <w:numPr>
          <w:ilvl w:val="2"/>
          <w:numId w:val="58"/>
        </w:numPr>
        <w:tabs>
          <w:tab w:val="left" w:pos="1197"/>
          <w:tab w:val="left" w:pos="1198"/>
        </w:tabs>
        <w:autoSpaceDE w:val="0"/>
        <w:autoSpaceDN w:val="0"/>
        <w:spacing w:before="259" w:after="0" w:line="240" w:lineRule="auto"/>
        <w:ind w:hanging="858"/>
        <w:jc w:val="both"/>
        <w:rPr>
          <w:rFonts w:ascii="Times New Roman" w:eastAsia="Times New Roman" w:hAnsi="Times New Roman" w:cs="Times New Roman"/>
          <w:noProof/>
          <w:kern w:val="0"/>
          <w:szCs w:val="20"/>
          <w14:ligatures w14:val="none"/>
        </w:rPr>
      </w:pPr>
      <w:r>
        <w:rPr>
          <w:rFonts w:ascii="Times New Roman" w:hAnsi="Times New Roman"/>
          <w:noProof/>
        </w:rPr>
        <w:t>Quatrième tranche (soutien non remboursable):</w:t>
      </w:r>
    </w:p>
    <w:p w14:paraId="5A8AEE95" w14:textId="77777777" w:rsidR="00740F0F" w:rsidRPr="0029070D" w:rsidRDefault="00740F0F">
      <w:pPr>
        <w:widowControl w:val="0"/>
        <w:autoSpaceDE w:val="0"/>
        <w:autoSpaceDN w:val="0"/>
        <w:spacing w:after="1" w:line="240" w:lineRule="auto"/>
        <w:rPr>
          <w:rFonts w:ascii="Times New Roman" w:eastAsia="Times New Roman" w:hAnsi="Times New Roman" w:cs="Times New Roman"/>
          <w:noProof/>
          <w:kern w:val="0"/>
          <w:sz w:val="13"/>
          <w:szCs w:val="20"/>
          <w14:ligatures w14:val="none"/>
        </w:rPr>
      </w:pPr>
    </w:p>
    <w:tbl>
      <w:tblPr>
        <w:tblStyle w:val="NormalTable0"/>
        <w:tblW w:w="1006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3"/>
        <w:gridCol w:w="3121"/>
        <w:gridCol w:w="1417"/>
        <w:gridCol w:w="4396"/>
      </w:tblGrid>
      <w:tr w:rsidR="00782477" w:rsidRPr="0029070D" w14:paraId="5A8AEE9A" w14:textId="77777777">
        <w:trPr>
          <w:trHeight w:val="848"/>
          <w:tblHeader/>
          <w:jc w:val="center"/>
        </w:trPr>
        <w:tc>
          <w:tcPr>
            <w:tcW w:w="1133" w:type="dxa"/>
            <w:shd w:val="clear" w:color="auto" w:fill="BBD5EC"/>
            <w:vAlign w:val="center"/>
          </w:tcPr>
          <w:p w14:paraId="5A8AEE96" w14:textId="77777777" w:rsidR="00740F0F" w:rsidRPr="0029070D" w:rsidRDefault="00100B64">
            <w:pPr>
              <w:spacing w:before="1" w:line="271" w:lineRule="auto"/>
              <w:ind w:left="215" w:right="91" w:hanging="89"/>
              <w:jc w:val="center"/>
              <w:rPr>
                <w:rFonts w:ascii="Times New Roman" w:eastAsia="Times New Roman" w:hAnsi="Times New Roman" w:cs="Times New Roman"/>
                <w:b/>
                <w:noProof/>
                <w:sz w:val="20"/>
              </w:rPr>
            </w:pPr>
            <w:r w:rsidRPr="00F84DDA">
              <w:rPr>
                <w:rFonts w:ascii="Times New Roman" w:hAnsi="Times New Roman"/>
                <w:b/>
                <w:noProof/>
                <w:sz w:val="18"/>
                <w:szCs w:val="18"/>
              </w:rPr>
              <w:t>Numéro séquentiel</w:t>
            </w:r>
          </w:p>
        </w:tc>
        <w:tc>
          <w:tcPr>
            <w:tcW w:w="3121" w:type="dxa"/>
            <w:shd w:val="clear" w:color="auto" w:fill="BBD5EC"/>
            <w:vAlign w:val="center"/>
          </w:tcPr>
          <w:p w14:paraId="5A8AEE97" w14:textId="77777777" w:rsidR="00740F0F" w:rsidRPr="0029070D" w:rsidRDefault="00100B64">
            <w:pPr>
              <w:spacing w:before="1"/>
              <w:ind w:left="361"/>
              <w:jc w:val="center"/>
              <w:rPr>
                <w:rFonts w:ascii="Times New Roman" w:eastAsia="Times New Roman" w:hAnsi="Times New Roman" w:cs="Times New Roman"/>
                <w:b/>
                <w:noProof/>
                <w:sz w:val="20"/>
              </w:rPr>
            </w:pPr>
            <w:r>
              <w:rPr>
                <w:rFonts w:ascii="Times New Roman" w:hAnsi="Times New Roman"/>
                <w:b/>
                <w:noProof/>
                <w:sz w:val="20"/>
              </w:rPr>
              <w:t xml:space="preserve">Mesure connexe (réforme </w:t>
            </w:r>
            <w:r>
              <w:rPr>
                <w:rFonts w:ascii="Times New Roman" w:hAnsi="Times New Roman"/>
                <w:b/>
                <w:noProof/>
                <w:sz w:val="20"/>
              </w:rPr>
              <w:br/>
              <w:t>ou investissement)</w:t>
            </w:r>
          </w:p>
        </w:tc>
        <w:tc>
          <w:tcPr>
            <w:tcW w:w="1417" w:type="dxa"/>
            <w:shd w:val="clear" w:color="auto" w:fill="BBD5EC"/>
            <w:vAlign w:val="center"/>
          </w:tcPr>
          <w:p w14:paraId="5A8AEE98" w14:textId="77777777" w:rsidR="00740F0F" w:rsidRPr="0029070D" w:rsidRDefault="00100B64">
            <w:pPr>
              <w:ind w:left="364"/>
              <w:rPr>
                <w:rFonts w:ascii="Times New Roman" w:eastAsia="Times New Roman" w:hAnsi="Times New Roman" w:cs="Times New Roman"/>
                <w:b/>
                <w:noProof/>
                <w:sz w:val="20"/>
              </w:rPr>
            </w:pPr>
            <w:r>
              <w:rPr>
                <w:rFonts w:ascii="Times New Roman" w:hAnsi="Times New Roman"/>
                <w:b/>
                <w:noProof/>
                <w:sz w:val="20"/>
              </w:rPr>
              <w:t>Jalon / Cible</w:t>
            </w:r>
          </w:p>
        </w:tc>
        <w:tc>
          <w:tcPr>
            <w:tcW w:w="4396" w:type="dxa"/>
            <w:shd w:val="clear" w:color="auto" w:fill="BBD5EC"/>
            <w:vAlign w:val="center"/>
          </w:tcPr>
          <w:p w14:paraId="5A8AEE99" w14:textId="77777777" w:rsidR="00740F0F" w:rsidRPr="0029070D" w:rsidRDefault="00100B64">
            <w:pPr>
              <w:ind w:left="2176" w:right="1664"/>
              <w:jc w:val="center"/>
              <w:rPr>
                <w:rFonts w:ascii="Times New Roman" w:eastAsia="Times New Roman" w:hAnsi="Times New Roman" w:cs="Times New Roman"/>
                <w:b/>
                <w:noProof/>
                <w:sz w:val="20"/>
              </w:rPr>
            </w:pPr>
            <w:r>
              <w:rPr>
                <w:rFonts w:ascii="Times New Roman" w:hAnsi="Times New Roman"/>
                <w:b/>
                <w:noProof/>
                <w:sz w:val="20"/>
              </w:rPr>
              <w:t>Dénomination</w:t>
            </w:r>
          </w:p>
        </w:tc>
      </w:tr>
      <w:tr w:rsidR="00782477" w:rsidRPr="0029070D" w14:paraId="5A8AEE9F" w14:textId="77777777">
        <w:trPr>
          <w:trHeight w:val="796"/>
          <w:jc w:val="center"/>
        </w:trPr>
        <w:tc>
          <w:tcPr>
            <w:tcW w:w="1133" w:type="dxa"/>
            <w:shd w:val="clear" w:color="auto" w:fill="C5EDCE"/>
          </w:tcPr>
          <w:p w14:paraId="5A8AEE9B" w14:textId="77777777" w:rsidR="00740F0F" w:rsidRPr="0029070D" w:rsidRDefault="00100B64">
            <w:pPr>
              <w:ind w:left="371" w:right="357"/>
              <w:jc w:val="center"/>
              <w:rPr>
                <w:rFonts w:ascii="Times New Roman" w:eastAsia="Times New Roman" w:hAnsi="Times New Roman" w:cs="Times New Roman"/>
                <w:noProof/>
                <w:sz w:val="19"/>
              </w:rPr>
            </w:pPr>
            <w:r>
              <w:rPr>
                <w:rFonts w:ascii="Times New Roman" w:hAnsi="Times New Roman"/>
                <w:noProof/>
                <w:color w:val="005F00"/>
                <w:sz w:val="19"/>
              </w:rPr>
              <w:t>1-11</w:t>
            </w:r>
          </w:p>
        </w:tc>
        <w:tc>
          <w:tcPr>
            <w:tcW w:w="3121" w:type="dxa"/>
            <w:shd w:val="clear" w:color="auto" w:fill="C5EDCE"/>
          </w:tcPr>
          <w:p w14:paraId="5A8AEE9C" w14:textId="77777777" w:rsidR="00740F0F" w:rsidRPr="0029070D" w:rsidRDefault="00100B64">
            <w:pPr>
              <w:spacing w:line="297" w:lineRule="auto"/>
              <w:ind w:left="105" w:right="346"/>
              <w:rPr>
                <w:rFonts w:ascii="Times New Roman" w:eastAsia="Times New Roman" w:hAnsi="Times New Roman" w:cs="Times New Roman"/>
                <w:noProof/>
                <w:sz w:val="19"/>
              </w:rPr>
            </w:pPr>
            <w:r>
              <w:rPr>
                <w:rFonts w:ascii="Times New Roman" w:hAnsi="Times New Roman"/>
                <w:noProof/>
                <w:color w:val="005F00"/>
                <w:sz w:val="19"/>
              </w:rPr>
              <w:t>C1.I3 Rénovation énergétique des bâtiments publics</w:t>
            </w:r>
          </w:p>
        </w:tc>
        <w:tc>
          <w:tcPr>
            <w:tcW w:w="1417" w:type="dxa"/>
            <w:shd w:val="clear" w:color="auto" w:fill="C5EDCE"/>
          </w:tcPr>
          <w:p w14:paraId="5A8AEE9D" w14:textId="77777777" w:rsidR="00740F0F" w:rsidRPr="0029070D" w:rsidRDefault="00100B64">
            <w:pPr>
              <w:ind w:right="447"/>
              <w:jc w:val="right"/>
              <w:rPr>
                <w:rFonts w:ascii="Times New Roman" w:eastAsia="Times New Roman" w:hAnsi="Times New Roman" w:cs="Times New Roman"/>
                <w:noProof/>
                <w:sz w:val="19"/>
              </w:rPr>
            </w:pPr>
            <w:r>
              <w:rPr>
                <w:rFonts w:ascii="Times New Roman" w:hAnsi="Times New Roman"/>
                <w:noProof/>
                <w:color w:val="005F00"/>
                <w:sz w:val="19"/>
              </w:rPr>
              <w:t>Cible</w:t>
            </w:r>
          </w:p>
        </w:tc>
        <w:tc>
          <w:tcPr>
            <w:tcW w:w="4396" w:type="dxa"/>
            <w:shd w:val="clear" w:color="auto" w:fill="C5EDCE"/>
          </w:tcPr>
          <w:p w14:paraId="5A8AEE9E" w14:textId="77777777" w:rsidR="00740F0F" w:rsidRPr="0029070D" w:rsidRDefault="00100B64">
            <w:pPr>
              <w:ind w:left="118"/>
              <w:rPr>
                <w:rFonts w:ascii="Times New Roman" w:eastAsia="Times New Roman" w:hAnsi="Times New Roman" w:cs="Times New Roman"/>
                <w:noProof/>
                <w:sz w:val="19"/>
              </w:rPr>
            </w:pPr>
            <w:r>
              <w:rPr>
                <w:rFonts w:ascii="Times New Roman" w:hAnsi="Times New Roman"/>
                <w:noProof/>
                <w:color w:val="005F00"/>
                <w:sz w:val="19"/>
              </w:rPr>
              <w:t>Nombre de m² de planchers des sites publics appartenant à l’État sur lesquels des travaux de rénovation énergétique ont été réalisés</w:t>
            </w:r>
          </w:p>
        </w:tc>
      </w:tr>
      <w:tr w:rsidR="00782477" w:rsidRPr="0029070D" w14:paraId="5A8AEEA4" w14:textId="77777777">
        <w:trPr>
          <w:trHeight w:val="794"/>
          <w:jc w:val="center"/>
        </w:trPr>
        <w:tc>
          <w:tcPr>
            <w:tcW w:w="1133" w:type="dxa"/>
            <w:shd w:val="clear" w:color="auto" w:fill="C5EDCE"/>
          </w:tcPr>
          <w:p w14:paraId="5A8AEEA0" w14:textId="77777777" w:rsidR="00740F0F" w:rsidRPr="0029070D" w:rsidRDefault="00100B64">
            <w:pPr>
              <w:spacing w:line="216" w:lineRule="exact"/>
              <w:ind w:left="371" w:right="357"/>
              <w:jc w:val="center"/>
              <w:rPr>
                <w:rFonts w:ascii="Times New Roman" w:eastAsia="Times New Roman" w:hAnsi="Times New Roman" w:cs="Times New Roman"/>
                <w:noProof/>
                <w:sz w:val="19"/>
              </w:rPr>
            </w:pPr>
            <w:r>
              <w:rPr>
                <w:rFonts w:ascii="Times New Roman" w:hAnsi="Times New Roman"/>
                <w:noProof/>
                <w:color w:val="005F00"/>
                <w:sz w:val="19"/>
              </w:rPr>
              <w:t>1-12</w:t>
            </w:r>
          </w:p>
        </w:tc>
        <w:tc>
          <w:tcPr>
            <w:tcW w:w="3121" w:type="dxa"/>
            <w:shd w:val="clear" w:color="auto" w:fill="C5EDCE"/>
          </w:tcPr>
          <w:p w14:paraId="5A8AEEA1" w14:textId="77777777" w:rsidR="00740F0F" w:rsidRPr="0029070D" w:rsidRDefault="00100B64">
            <w:pPr>
              <w:spacing w:line="280" w:lineRule="auto"/>
              <w:ind w:left="105" w:right="214"/>
              <w:rPr>
                <w:rFonts w:ascii="Times New Roman" w:eastAsia="Times New Roman" w:hAnsi="Times New Roman" w:cs="Times New Roman"/>
                <w:noProof/>
                <w:sz w:val="19"/>
              </w:rPr>
            </w:pPr>
            <w:r>
              <w:rPr>
                <w:rFonts w:ascii="Times New Roman" w:hAnsi="Times New Roman"/>
                <w:noProof/>
                <w:color w:val="005F00"/>
                <w:sz w:val="19"/>
              </w:rPr>
              <w:t>C1.I3 Rénovation thermique des bâtiments publics</w:t>
            </w:r>
          </w:p>
        </w:tc>
        <w:tc>
          <w:tcPr>
            <w:tcW w:w="1417" w:type="dxa"/>
            <w:shd w:val="clear" w:color="auto" w:fill="C5EDCE"/>
          </w:tcPr>
          <w:p w14:paraId="5A8AEEA2" w14:textId="77777777" w:rsidR="00740F0F" w:rsidRPr="0029070D" w:rsidRDefault="00100B64">
            <w:pPr>
              <w:spacing w:line="216" w:lineRule="exact"/>
              <w:ind w:right="447"/>
              <w:jc w:val="right"/>
              <w:rPr>
                <w:rFonts w:ascii="Times New Roman" w:eastAsia="Times New Roman" w:hAnsi="Times New Roman" w:cs="Times New Roman"/>
                <w:noProof/>
                <w:sz w:val="19"/>
              </w:rPr>
            </w:pPr>
            <w:r>
              <w:rPr>
                <w:rFonts w:ascii="Times New Roman" w:hAnsi="Times New Roman"/>
                <w:noProof/>
                <w:color w:val="005F00"/>
                <w:sz w:val="19"/>
              </w:rPr>
              <w:t>Cible</w:t>
            </w:r>
          </w:p>
        </w:tc>
        <w:tc>
          <w:tcPr>
            <w:tcW w:w="4396" w:type="dxa"/>
            <w:shd w:val="clear" w:color="auto" w:fill="C5EDCE"/>
          </w:tcPr>
          <w:p w14:paraId="5A8AEEA3" w14:textId="77777777" w:rsidR="00740F0F" w:rsidRPr="0029070D" w:rsidRDefault="00100B64">
            <w:pPr>
              <w:spacing w:line="280" w:lineRule="auto"/>
              <w:ind w:left="118"/>
              <w:rPr>
                <w:rFonts w:ascii="Times New Roman" w:eastAsia="Times New Roman" w:hAnsi="Times New Roman" w:cs="Times New Roman"/>
                <w:noProof/>
                <w:sz w:val="19"/>
              </w:rPr>
            </w:pPr>
            <w:r>
              <w:rPr>
                <w:rFonts w:ascii="Times New Roman" w:hAnsi="Times New Roman"/>
                <w:noProof/>
                <w:color w:val="005F00"/>
                <w:sz w:val="19"/>
              </w:rPr>
              <w:t>Nombre d’écoles, de collèges ou de lycées ayant fait l’objet de travaux de rénovation énergétique</w:t>
            </w:r>
          </w:p>
        </w:tc>
      </w:tr>
      <w:tr w:rsidR="00782477" w:rsidRPr="0029070D" w14:paraId="5A8AEEA9" w14:textId="77777777">
        <w:trPr>
          <w:trHeight w:val="796"/>
          <w:jc w:val="center"/>
        </w:trPr>
        <w:tc>
          <w:tcPr>
            <w:tcW w:w="1133" w:type="dxa"/>
            <w:shd w:val="clear" w:color="auto" w:fill="C5EDCE"/>
          </w:tcPr>
          <w:p w14:paraId="5A8AEEA5" w14:textId="77777777" w:rsidR="00740F0F" w:rsidRPr="0029070D" w:rsidRDefault="00100B64">
            <w:pPr>
              <w:spacing w:line="209" w:lineRule="exact"/>
              <w:ind w:left="371" w:right="277"/>
              <w:jc w:val="center"/>
              <w:rPr>
                <w:rFonts w:ascii="Times New Roman" w:eastAsia="Times New Roman" w:hAnsi="Times New Roman" w:cs="Times New Roman"/>
                <w:noProof/>
                <w:sz w:val="19"/>
              </w:rPr>
            </w:pPr>
            <w:r>
              <w:rPr>
                <w:rFonts w:ascii="Times New Roman" w:hAnsi="Times New Roman"/>
                <w:noProof/>
                <w:color w:val="005F00"/>
                <w:sz w:val="19"/>
              </w:rPr>
              <w:t>2-2</w:t>
            </w:r>
          </w:p>
        </w:tc>
        <w:tc>
          <w:tcPr>
            <w:tcW w:w="3121" w:type="dxa"/>
            <w:shd w:val="clear" w:color="auto" w:fill="C5EDCE"/>
          </w:tcPr>
          <w:p w14:paraId="5A8AEEA6" w14:textId="77777777" w:rsidR="00740F0F" w:rsidRPr="0029070D" w:rsidRDefault="00100B64">
            <w:pPr>
              <w:spacing w:line="209" w:lineRule="exact"/>
              <w:ind w:left="121"/>
              <w:rPr>
                <w:rFonts w:ascii="Times New Roman" w:eastAsia="Times New Roman" w:hAnsi="Times New Roman" w:cs="Times New Roman"/>
                <w:noProof/>
                <w:sz w:val="19"/>
              </w:rPr>
            </w:pPr>
            <w:r>
              <w:rPr>
                <w:rFonts w:ascii="Times New Roman" w:hAnsi="Times New Roman"/>
                <w:noProof/>
                <w:color w:val="005F00"/>
                <w:sz w:val="19"/>
              </w:rPr>
              <w:t>C2.R1 Loi Climat et Résilience</w:t>
            </w:r>
          </w:p>
        </w:tc>
        <w:tc>
          <w:tcPr>
            <w:tcW w:w="1417" w:type="dxa"/>
            <w:shd w:val="clear" w:color="auto" w:fill="C5EDCE"/>
          </w:tcPr>
          <w:p w14:paraId="5A8AEEA7" w14:textId="77777777" w:rsidR="00740F0F" w:rsidRPr="0029070D" w:rsidRDefault="00100B64" w:rsidP="003A51C1">
            <w:pPr>
              <w:spacing w:before="2" w:line="223" w:lineRule="auto"/>
              <w:ind w:left="570" w:right="196" w:hanging="334"/>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396" w:type="dxa"/>
            <w:shd w:val="clear" w:color="auto" w:fill="C5EDCE"/>
          </w:tcPr>
          <w:p w14:paraId="5A8AEEA8" w14:textId="77777777" w:rsidR="00740F0F" w:rsidRPr="0029070D" w:rsidRDefault="00100B64">
            <w:pPr>
              <w:spacing w:line="209" w:lineRule="exact"/>
              <w:ind w:left="118"/>
              <w:rPr>
                <w:rFonts w:ascii="Times New Roman" w:eastAsia="Times New Roman" w:hAnsi="Times New Roman" w:cs="Times New Roman"/>
                <w:noProof/>
                <w:sz w:val="19"/>
              </w:rPr>
            </w:pPr>
            <w:r>
              <w:rPr>
                <w:rFonts w:ascii="Times New Roman" w:hAnsi="Times New Roman"/>
                <w:noProof/>
                <w:color w:val="005F00"/>
                <w:sz w:val="19"/>
              </w:rPr>
              <w:t>Loi sur la résilience face au changement climatique – zones à faibles émissions de gaz à effet de serre</w:t>
            </w:r>
          </w:p>
        </w:tc>
      </w:tr>
      <w:tr w:rsidR="00782477" w:rsidRPr="0029070D" w14:paraId="5A8AEEAE" w14:textId="77777777">
        <w:trPr>
          <w:trHeight w:val="493"/>
          <w:jc w:val="center"/>
        </w:trPr>
        <w:tc>
          <w:tcPr>
            <w:tcW w:w="1133" w:type="dxa"/>
            <w:shd w:val="clear" w:color="auto" w:fill="C5EDCE"/>
          </w:tcPr>
          <w:p w14:paraId="5A8AEEAA" w14:textId="77777777" w:rsidR="00740F0F" w:rsidRPr="0029070D" w:rsidRDefault="00100B64">
            <w:pPr>
              <w:spacing w:line="206" w:lineRule="exact"/>
              <w:ind w:left="371" w:right="357"/>
              <w:jc w:val="center"/>
              <w:rPr>
                <w:rFonts w:ascii="Times New Roman" w:eastAsia="Times New Roman" w:hAnsi="Times New Roman" w:cs="Times New Roman"/>
                <w:noProof/>
                <w:sz w:val="19"/>
              </w:rPr>
            </w:pPr>
            <w:r>
              <w:rPr>
                <w:rFonts w:ascii="Times New Roman" w:hAnsi="Times New Roman"/>
                <w:noProof/>
                <w:color w:val="005F00"/>
                <w:sz w:val="19"/>
              </w:rPr>
              <w:t>3-19</w:t>
            </w:r>
          </w:p>
        </w:tc>
        <w:tc>
          <w:tcPr>
            <w:tcW w:w="3121" w:type="dxa"/>
            <w:shd w:val="clear" w:color="auto" w:fill="C5EDCE"/>
          </w:tcPr>
          <w:p w14:paraId="5A8AEEAB" w14:textId="77777777" w:rsidR="00740F0F" w:rsidRPr="0029070D" w:rsidRDefault="00100B64">
            <w:pPr>
              <w:spacing w:line="206" w:lineRule="exact"/>
              <w:ind w:left="105"/>
              <w:rPr>
                <w:rFonts w:ascii="Times New Roman" w:eastAsia="Times New Roman" w:hAnsi="Times New Roman" w:cs="Times New Roman"/>
                <w:noProof/>
                <w:sz w:val="19"/>
              </w:rPr>
            </w:pPr>
            <w:r>
              <w:rPr>
                <w:rFonts w:ascii="Times New Roman" w:hAnsi="Times New Roman"/>
                <w:noProof/>
                <w:color w:val="005F00"/>
                <w:sz w:val="19"/>
              </w:rPr>
              <w:t>C3.I3 Mobilités du quotidien</w:t>
            </w:r>
          </w:p>
        </w:tc>
        <w:tc>
          <w:tcPr>
            <w:tcW w:w="1417" w:type="dxa"/>
            <w:shd w:val="clear" w:color="auto" w:fill="C5EDCE"/>
          </w:tcPr>
          <w:p w14:paraId="5A8AEEAC" w14:textId="77777777" w:rsidR="00740F0F" w:rsidRPr="0029070D" w:rsidRDefault="00100B64">
            <w:pPr>
              <w:spacing w:line="206" w:lineRule="exact"/>
              <w:ind w:right="447"/>
              <w:jc w:val="right"/>
              <w:rPr>
                <w:rFonts w:ascii="Times New Roman" w:eastAsia="Times New Roman" w:hAnsi="Times New Roman" w:cs="Times New Roman"/>
                <w:noProof/>
                <w:sz w:val="19"/>
              </w:rPr>
            </w:pPr>
            <w:r>
              <w:rPr>
                <w:rFonts w:ascii="Times New Roman" w:hAnsi="Times New Roman"/>
                <w:noProof/>
                <w:color w:val="005F00"/>
                <w:sz w:val="19"/>
              </w:rPr>
              <w:t>Cible</w:t>
            </w:r>
          </w:p>
        </w:tc>
        <w:tc>
          <w:tcPr>
            <w:tcW w:w="4396" w:type="dxa"/>
            <w:shd w:val="clear" w:color="auto" w:fill="C5EDCE"/>
          </w:tcPr>
          <w:p w14:paraId="5A8AEEAD" w14:textId="77777777" w:rsidR="00740F0F" w:rsidRPr="0029070D" w:rsidRDefault="00100B64">
            <w:pPr>
              <w:spacing w:line="206" w:lineRule="exact"/>
              <w:ind w:left="118"/>
              <w:rPr>
                <w:rFonts w:ascii="Times New Roman" w:eastAsia="Times New Roman" w:hAnsi="Times New Roman" w:cs="Times New Roman"/>
                <w:noProof/>
                <w:sz w:val="19"/>
              </w:rPr>
            </w:pPr>
            <w:r>
              <w:rPr>
                <w:rFonts w:ascii="Times New Roman" w:hAnsi="Times New Roman"/>
                <w:noProof/>
                <w:color w:val="005F00"/>
                <w:sz w:val="19"/>
              </w:rPr>
              <w:t>Infrastructures de transports en commun</w:t>
            </w:r>
          </w:p>
        </w:tc>
      </w:tr>
      <w:tr w:rsidR="00782477" w:rsidRPr="0029070D" w14:paraId="5A8AEEB3" w14:textId="77777777">
        <w:trPr>
          <w:trHeight w:val="527"/>
          <w:jc w:val="center"/>
        </w:trPr>
        <w:tc>
          <w:tcPr>
            <w:tcW w:w="1133" w:type="dxa"/>
            <w:shd w:val="clear" w:color="auto" w:fill="C5EDCE"/>
          </w:tcPr>
          <w:p w14:paraId="5A8AEEAF" w14:textId="77777777" w:rsidR="00740F0F" w:rsidRPr="0029070D" w:rsidRDefault="00100B64">
            <w:pPr>
              <w:ind w:left="371" w:right="357"/>
              <w:jc w:val="center"/>
              <w:rPr>
                <w:rFonts w:ascii="Times New Roman" w:eastAsia="Times New Roman" w:hAnsi="Times New Roman" w:cs="Times New Roman"/>
                <w:noProof/>
                <w:sz w:val="19"/>
              </w:rPr>
            </w:pPr>
            <w:r>
              <w:rPr>
                <w:rFonts w:ascii="Times New Roman" w:hAnsi="Times New Roman"/>
                <w:noProof/>
                <w:color w:val="005F00"/>
                <w:sz w:val="19"/>
              </w:rPr>
              <w:t>3-25</w:t>
            </w:r>
          </w:p>
        </w:tc>
        <w:tc>
          <w:tcPr>
            <w:tcW w:w="3121" w:type="dxa"/>
            <w:shd w:val="clear" w:color="auto" w:fill="C5EDCE"/>
          </w:tcPr>
          <w:p w14:paraId="5A8AEEB0" w14:textId="77777777" w:rsidR="00740F0F" w:rsidRPr="0029070D" w:rsidRDefault="00100B64">
            <w:pPr>
              <w:ind w:left="105"/>
              <w:rPr>
                <w:rFonts w:ascii="Times New Roman" w:eastAsia="Times New Roman" w:hAnsi="Times New Roman" w:cs="Times New Roman"/>
                <w:noProof/>
                <w:sz w:val="19"/>
              </w:rPr>
            </w:pPr>
            <w:r>
              <w:rPr>
                <w:rFonts w:ascii="Times New Roman" w:hAnsi="Times New Roman"/>
                <w:noProof/>
                <w:color w:val="005F00"/>
                <w:sz w:val="19"/>
              </w:rPr>
              <w:t>C3.I4 Accélération des travaux sur les infrastructures de transports</w:t>
            </w:r>
          </w:p>
        </w:tc>
        <w:tc>
          <w:tcPr>
            <w:tcW w:w="1417" w:type="dxa"/>
            <w:shd w:val="clear" w:color="auto" w:fill="C5EDCE"/>
          </w:tcPr>
          <w:p w14:paraId="5A8AEEB1" w14:textId="77777777" w:rsidR="00740F0F" w:rsidRPr="0029070D" w:rsidRDefault="00100B64">
            <w:pPr>
              <w:ind w:right="447"/>
              <w:jc w:val="right"/>
              <w:rPr>
                <w:rFonts w:ascii="Times New Roman" w:eastAsia="Times New Roman" w:hAnsi="Times New Roman" w:cs="Times New Roman"/>
                <w:noProof/>
                <w:sz w:val="19"/>
              </w:rPr>
            </w:pPr>
            <w:r>
              <w:rPr>
                <w:rFonts w:ascii="Times New Roman" w:hAnsi="Times New Roman"/>
                <w:noProof/>
                <w:color w:val="005F00"/>
                <w:sz w:val="19"/>
              </w:rPr>
              <w:t>Cible</w:t>
            </w:r>
          </w:p>
        </w:tc>
        <w:tc>
          <w:tcPr>
            <w:tcW w:w="4396" w:type="dxa"/>
            <w:shd w:val="clear" w:color="auto" w:fill="C5EDCE"/>
          </w:tcPr>
          <w:p w14:paraId="5A8AEEB2" w14:textId="77777777" w:rsidR="00740F0F" w:rsidRPr="0029070D" w:rsidRDefault="00100B64">
            <w:pPr>
              <w:ind w:left="118"/>
              <w:rPr>
                <w:rFonts w:ascii="Times New Roman" w:eastAsia="Times New Roman" w:hAnsi="Times New Roman" w:cs="Times New Roman"/>
                <w:noProof/>
                <w:sz w:val="19"/>
              </w:rPr>
            </w:pPr>
            <w:r>
              <w:rPr>
                <w:rFonts w:ascii="Times New Roman" w:hAnsi="Times New Roman"/>
                <w:noProof/>
                <w:color w:val="005F00"/>
                <w:sz w:val="19"/>
              </w:rPr>
              <w:t>Projets réalisés sur les voies navigables</w:t>
            </w:r>
          </w:p>
        </w:tc>
      </w:tr>
      <w:tr w:rsidR="00782477" w:rsidRPr="0029070D" w14:paraId="5A8AEEB8" w14:textId="77777777">
        <w:trPr>
          <w:trHeight w:val="525"/>
          <w:jc w:val="center"/>
        </w:trPr>
        <w:tc>
          <w:tcPr>
            <w:tcW w:w="1133" w:type="dxa"/>
            <w:shd w:val="clear" w:color="auto" w:fill="C5EDCE"/>
          </w:tcPr>
          <w:p w14:paraId="5A8AEEB4" w14:textId="77777777" w:rsidR="00740F0F" w:rsidRPr="0029070D" w:rsidRDefault="00100B64">
            <w:pPr>
              <w:spacing w:line="204" w:lineRule="exact"/>
              <w:ind w:left="390"/>
              <w:rPr>
                <w:rFonts w:ascii="Times New Roman" w:eastAsia="Times New Roman" w:hAnsi="Times New Roman" w:cs="Times New Roman"/>
                <w:noProof/>
                <w:sz w:val="19"/>
              </w:rPr>
            </w:pPr>
            <w:r>
              <w:rPr>
                <w:rFonts w:ascii="Times New Roman" w:hAnsi="Times New Roman"/>
                <w:noProof/>
                <w:color w:val="005F00"/>
                <w:sz w:val="19"/>
              </w:rPr>
              <w:t>3-26</w:t>
            </w:r>
          </w:p>
        </w:tc>
        <w:tc>
          <w:tcPr>
            <w:tcW w:w="3121" w:type="dxa"/>
            <w:shd w:val="clear" w:color="auto" w:fill="C5EDCE"/>
          </w:tcPr>
          <w:p w14:paraId="5A8AEEB5" w14:textId="77777777" w:rsidR="00740F0F" w:rsidRPr="0029070D" w:rsidRDefault="00100B64">
            <w:pPr>
              <w:spacing w:before="21"/>
              <w:ind w:left="121" w:right="590"/>
              <w:rPr>
                <w:rFonts w:ascii="Times New Roman" w:eastAsia="Times New Roman" w:hAnsi="Times New Roman" w:cs="Times New Roman"/>
                <w:noProof/>
                <w:sz w:val="19"/>
              </w:rPr>
            </w:pPr>
            <w:r>
              <w:rPr>
                <w:rFonts w:ascii="Times New Roman" w:hAnsi="Times New Roman"/>
                <w:noProof/>
                <w:color w:val="005F00"/>
                <w:sz w:val="19"/>
              </w:rPr>
              <w:t>C3.I4 Accélération des travaux sur les infrastructures de transports</w:t>
            </w:r>
          </w:p>
        </w:tc>
        <w:tc>
          <w:tcPr>
            <w:tcW w:w="1417" w:type="dxa"/>
            <w:shd w:val="clear" w:color="auto" w:fill="C5EDCE"/>
          </w:tcPr>
          <w:p w14:paraId="5A8AEEB6" w14:textId="77777777" w:rsidR="00740F0F" w:rsidRPr="0029070D" w:rsidRDefault="00100B64">
            <w:pPr>
              <w:spacing w:line="206" w:lineRule="exact"/>
              <w:ind w:left="318" w:right="284"/>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396" w:type="dxa"/>
            <w:shd w:val="clear" w:color="auto" w:fill="C5EDCE"/>
          </w:tcPr>
          <w:p w14:paraId="5A8AEEB7" w14:textId="77777777" w:rsidR="00740F0F" w:rsidRPr="0029070D" w:rsidRDefault="00100B64">
            <w:pPr>
              <w:spacing w:line="206" w:lineRule="exact"/>
              <w:ind w:left="118"/>
              <w:rPr>
                <w:rFonts w:ascii="Times New Roman" w:eastAsia="Times New Roman" w:hAnsi="Times New Roman" w:cs="Times New Roman"/>
                <w:noProof/>
                <w:sz w:val="19"/>
              </w:rPr>
            </w:pPr>
            <w:r>
              <w:rPr>
                <w:rFonts w:ascii="Times New Roman" w:hAnsi="Times New Roman"/>
                <w:noProof/>
                <w:color w:val="005F00"/>
                <w:sz w:val="19"/>
              </w:rPr>
              <w:t>Modernisation du réseau des CROSS et du système numérique des affaires maritimes</w:t>
            </w:r>
          </w:p>
        </w:tc>
      </w:tr>
      <w:tr w:rsidR="00782477" w:rsidRPr="0029070D" w14:paraId="5A8AEEBD" w14:textId="77777777">
        <w:trPr>
          <w:trHeight w:val="525"/>
          <w:jc w:val="center"/>
        </w:trPr>
        <w:tc>
          <w:tcPr>
            <w:tcW w:w="1133" w:type="dxa"/>
            <w:shd w:val="clear" w:color="auto" w:fill="C5EDCE"/>
          </w:tcPr>
          <w:p w14:paraId="5A8AEEB9" w14:textId="77777777" w:rsidR="00740F0F" w:rsidRPr="0029070D" w:rsidRDefault="00100B64">
            <w:pPr>
              <w:spacing w:line="206" w:lineRule="exact"/>
              <w:ind w:left="450"/>
              <w:rPr>
                <w:rFonts w:ascii="Times New Roman" w:eastAsia="Times New Roman" w:hAnsi="Times New Roman" w:cs="Times New Roman"/>
                <w:noProof/>
                <w:sz w:val="19"/>
              </w:rPr>
            </w:pPr>
            <w:r>
              <w:rPr>
                <w:rFonts w:ascii="Times New Roman" w:hAnsi="Times New Roman"/>
                <w:noProof/>
                <w:color w:val="005F00"/>
                <w:sz w:val="19"/>
              </w:rPr>
              <w:t>6-7</w:t>
            </w:r>
          </w:p>
        </w:tc>
        <w:tc>
          <w:tcPr>
            <w:tcW w:w="3121" w:type="dxa"/>
            <w:shd w:val="clear" w:color="auto" w:fill="C5EDCE"/>
          </w:tcPr>
          <w:p w14:paraId="5A8AEEBA" w14:textId="77777777" w:rsidR="00740F0F" w:rsidRPr="0029070D" w:rsidRDefault="00100B64">
            <w:pPr>
              <w:spacing w:line="206" w:lineRule="exact"/>
              <w:ind w:left="105"/>
              <w:rPr>
                <w:rFonts w:ascii="Times New Roman" w:eastAsia="Times New Roman" w:hAnsi="Times New Roman" w:cs="Times New Roman"/>
                <w:noProof/>
                <w:sz w:val="19"/>
              </w:rPr>
            </w:pPr>
            <w:r>
              <w:rPr>
                <w:rFonts w:ascii="Times New Roman" w:hAnsi="Times New Roman"/>
                <w:noProof/>
                <w:color w:val="005F00"/>
                <w:sz w:val="19"/>
              </w:rPr>
              <w:t>C6.I2 PIA - technologies numériques clés</w:t>
            </w:r>
          </w:p>
        </w:tc>
        <w:tc>
          <w:tcPr>
            <w:tcW w:w="1417" w:type="dxa"/>
            <w:shd w:val="clear" w:color="auto" w:fill="C5EDCE"/>
          </w:tcPr>
          <w:p w14:paraId="5A8AEEBB" w14:textId="77777777" w:rsidR="00740F0F" w:rsidRPr="0029070D" w:rsidRDefault="00100B64">
            <w:pPr>
              <w:spacing w:line="206" w:lineRule="exact"/>
              <w:ind w:left="318" w:right="284"/>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396" w:type="dxa"/>
            <w:shd w:val="clear" w:color="auto" w:fill="C5EDCE"/>
          </w:tcPr>
          <w:p w14:paraId="5A8AEEBC" w14:textId="77777777" w:rsidR="00740F0F" w:rsidRPr="0029070D" w:rsidRDefault="00100B64">
            <w:pPr>
              <w:spacing w:line="206" w:lineRule="exact"/>
              <w:ind w:left="118"/>
              <w:rPr>
                <w:rFonts w:ascii="Times New Roman" w:eastAsia="Times New Roman" w:hAnsi="Times New Roman" w:cs="Times New Roman"/>
                <w:noProof/>
                <w:sz w:val="19"/>
              </w:rPr>
            </w:pPr>
            <w:r>
              <w:rPr>
                <w:rFonts w:ascii="Times New Roman" w:hAnsi="Times New Roman"/>
                <w:noProof/>
                <w:color w:val="005F00"/>
                <w:sz w:val="19"/>
              </w:rPr>
              <w:t>Attribution des marchés – décision d’exécution du Premier ministre</w:t>
            </w:r>
          </w:p>
        </w:tc>
      </w:tr>
      <w:tr w:rsidR="00782477" w:rsidRPr="0029070D" w14:paraId="5A8AEEC2" w14:textId="77777777">
        <w:trPr>
          <w:trHeight w:val="525"/>
          <w:jc w:val="center"/>
        </w:trPr>
        <w:tc>
          <w:tcPr>
            <w:tcW w:w="1133" w:type="dxa"/>
            <w:shd w:val="clear" w:color="auto" w:fill="C5EDCE"/>
          </w:tcPr>
          <w:p w14:paraId="5A8AEEBE" w14:textId="77777777" w:rsidR="00740F0F" w:rsidRPr="0029070D" w:rsidRDefault="00100B64">
            <w:pPr>
              <w:spacing w:line="206" w:lineRule="exact"/>
              <w:ind w:left="450"/>
              <w:rPr>
                <w:rFonts w:ascii="Times New Roman" w:eastAsia="Times New Roman" w:hAnsi="Times New Roman" w:cs="Times New Roman"/>
                <w:noProof/>
                <w:sz w:val="19"/>
              </w:rPr>
            </w:pPr>
            <w:r>
              <w:rPr>
                <w:rFonts w:ascii="Times New Roman" w:hAnsi="Times New Roman"/>
                <w:noProof/>
                <w:color w:val="005F00"/>
                <w:sz w:val="19"/>
              </w:rPr>
              <w:t>6-9</w:t>
            </w:r>
          </w:p>
        </w:tc>
        <w:tc>
          <w:tcPr>
            <w:tcW w:w="3121" w:type="dxa"/>
            <w:shd w:val="clear" w:color="auto" w:fill="C5EDCE"/>
          </w:tcPr>
          <w:p w14:paraId="5A8AEEBF" w14:textId="77777777" w:rsidR="00740F0F" w:rsidRPr="009447E5" w:rsidRDefault="00100B64">
            <w:pPr>
              <w:spacing w:line="206" w:lineRule="exact"/>
              <w:ind w:left="105"/>
              <w:rPr>
                <w:rFonts w:ascii="Times New Roman" w:eastAsia="Times New Roman" w:hAnsi="Times New Roman" w:cs="Times New Roman"/>
                <w:noProof/>
                <w:sz w:val="19"/>
              </w:rPr>
            </w:pPr>
            <w:r>
              <w:rPr>
                <w:rFonts w:ascii="Times New Roman" w:hAnsi="Times New Roman"/>
                <w:noProof/>
                <w:color w:val="005F00"/>
                <w:sz w:val="19"/>
              </w:rPr>
              <w:t>C6.I3 PIA - entreprises innovantes</w:t>
            </w:r>
          </w:p>
        </w:tc>
        <w:tc>
          <w:tcPr>
            <w:tcW w:w="1417" w:type="dxa"/>
            <w:shd w:val="clear" w:color="auto" w:fill="C5EDCE"/>
          </w:tcPr>
          <w:p w14:paraId="5A8AEEC0" w14:textId="77777777" w:rsidR="00740F0F" w:rsidRPr="0029070D" w:rsidRDefault="00100B64">
            <w:pPr>
              <w:spacing w:line="206" w:lineRule="exact"/>
              <w:ind w:left="318" w:right="284"/>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396" w:type="dxa"/>
            <w:shd w:val="clear" w:color="auto" w:fill="C5EDCE"/>
          </w:tcPr>
          <w:p w14:paraId="5A8AEEC1" w14:textId="77777777" w:rsidR="00740F0F" w:rsidRPr="0029070D" w:rsidRDefault="00100B64">
            <w:pPr>
              <w:spacing w:line="206" w:lineRule="exact"/>
              <w:ind w:left="118"/>
              <w:rPr>
                <w:rFonts w:ascii="Times New Roman" w:eastAsia="Times New Roman" w:hAnsi="Times New Roman" w:cs="Times New Roman"/>
                <w:noProof/>
                <w:sz w:val="19"/>
              </w:rPr>
            </w:pPr>
            <w:r>
              <w:rPr>
                <w:rFonts w:ascii="Times New Roman" w:hAnsi="Times New Roman"/>
                <w:noProof/>
                <w:color w:val="005F00"/>
                <w:sz w:val="19"/>
              </w:rPr>
              <w:t>Attribution des marchés – décision d’exécution du Premier ministre</w:t>
            </w:r>
          </w:p>
        </w:tc>
      </w:tr>
      <w:tr w:rsidR="00782477" w:rsidRPr="0029070D" w14:paraId="5A8AEEC7" w14:textId="77777777">
        <w:trPr>
          <w:trHeight w:val="508"/>
          <w:jc w:val="center"/>
        </w:trPr>
        <w:tc>
          <w:tcPr>
            <w:tcW w:w="1133" w:type="dxa"/>
            <w:shd w:val="clear" w:color="auto" w:fill="C5EDCE"/>
          </w:tcPr>
          <w:p w14:paraId="5A8AEEC3" w14:textId="77777777" w:rsidR="00740F0F" w:rsidRPr="0029070D" w:rsidRDefault="00100B64">
            <w:pPr>
              <w:spacing w:line="206" w:lineRule="exact"/>
              <w:ind w:left="402"/>
              <w:rPr>
                <w:rFonts w:ascii="Times New Roman" w:eastAsia="Times New Roman" w:hAnsi="Times New Roman" w:cs="Times New Roman"/>
                <w:noProof/>
                <w:sz w:val="19"/>
              </w:rPr>
            </w:pPr>
            <w:r>
              <w:rPr>
                <w:rFonts w:ascii="Times New Roman" w:hAnsi="Times New Roman"/>
                <w:noProof/>
                <w:color w:val="005F00"/>
                <w:sz w:val="19"/>
              </w:rPr>
              <w:t>6-12</w:t>
            </w:r>
          </w:p>
        </w:tc>
        <w:tc>
          <w:tcPr>
            <w:tcW w:w="3121" w:type="dxa"/>
            <w:shd w:val="clear" w:color="auto" w:fill="C5EDCE"/>
          </w:tcPr>
          <w:p w14:paraId="5A8AEEC4" w14:textId="77777777" w:rsidR="00740F0F" w:rsidRPr="0029070D" w:rsidRDefault="00100B64">
            <w:pPr>
              <w:spacing w:line="206" w:lineRule="exact"/>
              <w:ind w:left="105"/>
              <w:rPr>
                <w:rFonts w:ascii="Times New Roman" w:eastAsia="Times New Roman" w:hAnsi="Times New Roman" w:cs="Times New Roman"/>
                <w:noProof/>
                <w:sz w:val="19"/>
              </w:rPr>
            </w:pPr>
            <w:r>
              <w:rPr>
                <w:rFonts w:ascii="Times New Roman" w:hAnsi="Times New Roman"/>
                <w:noProof/>
                <w:color w:val="005F00"/>
                <w:sz w:val="19"/>
              </w:rPr>
              <w:t>C6.I4 Spatial</w:t>
            </w:r>
          </w:p>
        </w:tc>
        <w:tc>
          <w:tcPr>
            <w:tcW w:w="1417" w:type="dxa"/>
            <w:shd w:val="clear" w:color="auto" w:fill="C5EDCE"/>
          </w:tcPr>
          <w:p w14:paraId="5A8AEEC5" w14:textId="77777777" w:rsidR="00740F0F" w:rsidRPr="0029070D" w:rsidRDefault="00100B64">
            <w:pPr>
              <w:spacing w:line="206" w:lineRule="exact"/>
              <w:ind w:left="318" w:right="284"/>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396" w:type="dxa"/>
            <w:shd w:val="clear" w:color="auto" w:fill="C5EDCE"/>
          </w:tcPr>
          <w:p w14:paraId="5A8AEEC6" w14:textId="77777777" w:rsidR="00740F0F" w:rsidRPr="0029070D" w:rsidRDefault="00100B64">
            <w:pPr>
              <w:spacing w:line="206" w:lineRule="exact"/>
              <w:ind w:left="118"/>
              <w:rPr>
                <w:rFonts w:ascii="Times New Roman" w:eastAsia="Times New Roman" w:hAnsi="Times New Roman" w:cs="Times New Roman"/>
                <w:noProof/>
                <w:sz w:val="19"/>
              </w:rPr>
            </w:pPr>
            <w:r>
              <w:rPr>
                <w:rFonts w:ascii="Times New Roman" w:hAnsi="Times New Roman"/>
                <w:noProof/>
                <w:color w:val="005F00"/>
                <w:sz w:val="19"/>
              </w:rPr>
              <w:t>Investissements dans Ariane 6</w:t>
            </w:r>
          </w:p>
        </w:tc>
      </w:tr>
      <w:tr w:rsidR="00782477" w:rsidRPr="0029070D" w14:paraId="5A8AEECC" w14:textId="77777777">
        <w:trPr>
          <w:trHeight w:val="781"/>
          <w:jc w:val="center"/>
        </w:trPr>
        <w:tc>
          <w:tcPr>
            <w:tcW w:w="1133" w:type="dxa"/>
            <w:shd w:val="clear" w:color="auto" w:fill="C5EDCE"/>
          </w:tcPr>
          <w:p w14:paraId="5A8AEEC8" w14:textId="77777777" w:rsidR="00740F0F" w:rsidRPr="0029070D" w:rsidRDefault="00100B64">
            <w:pPr>
              <w:spacing w:line="199" w:lineRule="exact"/>
              <w:ind w:left="402"/>
              <w:rPr>
                <w:rFonts w:ascii="Times New Roman" w:eastAsia="Times New Roman" w:hAnsi="Times New Roman" w:cs="Times New Roman"/>
                <w:noProof/>
                <w:sz w:val="19"/>
              </w:rPr>
            </w:pPr>
            <w:r>
              <w:rPr>
                <w:rFonts w:ascii="Times New Roman" w:hAnsi="Times New Roman"/>
                <w:noProof/>
                <w:color w:val="005F00"/>
                <w:sz w:val="19"/>
              </w:rPr>
              <w:t>7-14</w:t>
            </w:r>
          </w:p>
        </w:tc>
        <w:tc>
          <w:tcPr>
            <w:tcW w:w="3121" w:type="dxa"/>
            <w:shd w:val="clear" w:color="auto" w:fill="C5EDCE"/>
          </w:tcPr>
          <w:p w14:paraId="5A8AEEC9" w14:textId="77777777" w:rsidR="00740F0F" w:rsidRPr="0029070D" w:rsidRDefault="00100B64">
            <w:pPr>
              <w:spacing w:line="223" w:lineRule="auto"/>
              <w:ind w:left="105"/>
              <w:rPr>
                <w:rFonts w:ascii="Times New Roman" w:eastAsia="Times New Roman" w:hAnsi="Times New Roman" w:cs="Times New Roman"/>
                <w:noProof/>
                <w:sz w:val="19"/>
              </w:rPr>
            </w:pPr>
            <w:r>
              <w:rPr>
                <w:rFonts w:ascii="Times New Roman" w:hAnsi="Times New Roman"/>
                <w:noProof/>
                <w:color w:val="005F00"/>
                <w:sz w:val="19"/>
              </w:rPr>
              <w:t>C7.R5 Évaluation de la qualité des dépenses publiques</w:t>
            </w:r>
          </w:p>
        </w:tc>
        <w:tc>
          <w:tcPr>
            <w:tcW w:w="1417" w:type="dxa"/>
            <w:shd w:val="clear" w:color="auto" w:fill="C5EDCE"/>
          </w:tcPr>
          <w:p w14:paraId="5A8AEECA" w14:textId="77777777" w:rsidR="00740F0F" w:rsidRPr="0029070D" w:rsidRDefault="00100B64">
            <w:pPr>
              <w:spacing w:line="199" w:lineRule="exact"/>
              <w:ind w:left="318" w:right="284"/>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396" w:type="dxa"/>
            <w:shd w:val="clear" w:color="auto" w:fill="C5EDCE"/>
          </w:tcPr>
          <w:p w14:paraId="5A8AEECB" w14:textId="77777777" w:rsidR="00740F0F" w:rsidRPr="0029070D" w:rsidRDefault="00100B64">
            <w:pPr>
              <w:spacing w:line="225" w:lineRule="auto"/>
              <w:ind w:left="118"/>
              <w:rPr>
                <w:rFonts w:ascii="Times New Roman" w:eastAsia="Times New Roman" w:hAnsi="Times New Roman" w:cs="Times New Roman"/>
                <w:noProof/>
                <w:sz w:val="19"/>
              </w:rPr>
            </w:pPr>
            <w:r>
              <w:rPr>
                <w:rFonts w:ascii="Times New Roman" w:hAnsi="Times New Roman"/>
                <w:noProof/>
                <w:color w:val="005F00"/>
                <w:sz w:val="19"/>
              </w:rPr>
              <w:t>Évaluation annuelle des mesures prises pour améliorer la qualité des dépenses publiques adoptées depuis la loi de finances 2023</w:t>
            </w:r>
          </w:p>
        </w:tc>
      </w:tr>
      <w:tr w:rsidR="00782477" w:rsidRPr="0029070D" w14:paraId="5A8AEED1" w14:textId="77777777">
        <w:trPr>
          <w:trHeight w:val="525"/>
          <w:jc w:val="center"/>
        </w:trPr>
        <w:tc>
          <w:tcPr>
            <w:tcW w:w="1133" w:type="dxa"/>
            <w:shd w:val="clear" w:color="auto" w:fill="C5EDCE"/>
          </w:tcPr>
          <w:p w14:paraId="5A8AEECD" w14:textId="77777777" w:rsidR="00740F0F" w:rsidRPr="0029070D" w:rsidRDefault="00100B64">
            <w:pPr>
              <w:spacing w:line="206" w:lineRule="exact"/>
              <w:ind w:left="402"/>
              <w:rPr>
                <w:rFonts w:ascii="Times New Roman" w:eastAsia="Times New Roman" w:hAnsi="Times New Roman" w:cs="Times New Roman"/>
                <w:noProof/>
                <w:sz w:val="19"/>
              </w:rPr>
            </w:pPr>
            <w:r>
              <w:rPr>
                <w:rFonts w:ascii="Times New Roman" w:hAnsi="Times New Roman"/>
                <w:noProof/>
                <w:color w:val="005F00"/>
                <w:sz w:val="19"/>
              </w:rPr>
              <w:t>7-19</w:t>
            </w:r>
          </w:p>
        </w:tc>
        <w:tc>
          <w:tcPr>
            <w:tcW w:w="3121" w:type="dxa"/>
            <w:shd w:val="clear" w:color="auto" w:fill="C5EDCE"/>
          </w:tcPr>
          <w:p w14:paraId="5A8AEECE" w14:textId="77777777" w:rsidR="00740F0F" w:rsidRPr="0029070D" w:rsidRDefault="00100B64">
            <w:pPr>
              <w:spacing w:before="36"/>
              <w:ind w:left="105"/>
              <w:rPr>
                <w:rFonts w:ascii="Times New Roman" w:eastAsia="Times New Roman" w:hAnsi="Times New Roman" w:cs="Times New Roman"/>
                <w:noProof/>
                <w:sz w:val="19"/>
              </w:rPr>
            </w:pPr>
            <w:r>
              <w:rPr>
                <w:rFonts w:ascii="Times New Roman" w:hAnsi="Times New Roman"/>
                <w:noProof/>
                <w:color w:val="005F00"/>
                <w:sz w:val="19"/>
              </w:rPr>
              <w:t>C7.I3 Cybersécurité des services de l’État</w:t>
            </w:r>
          </w:p>
        </w:tc>
        <w:tc>
          <w:tcPr>
            <w:tcW w:w="1417" w:type="dxa"/>
            <w:shd w:val="clear" w:color="auto" w:fill="C5EDCE"/>
          </w:tcPr>
          <w:p w14:paraId="5A8AEECF" w14:textId="77777777" w:rsidR="00740F0F" w:rsidRPr="0029070D" w:rsidRDefault="00100B64">
            <w:pPr>
              <w:spacing w:line="206" w:lineRule="exact"/>
              <w:ind w:left="318" w:right="284"/>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396" w:type="dxa"/>
            <w:shd w:val="clear" w:color="auto" w:fill="C5EDCE"/>
          </w:tcPr>
          <w:p w14:paraId="5A8AEED0" w14:textId="77777777" w:rsidR="00740F0F" w:rsidRPr="0029070D" w:rsidRDefault="00100B64">
            <w:pPr>
              <w:spacing w:line="206" w:lineRule="exact"/>
              <w:ind w:left="118"/>
              <w:rPr>
                <w:rFonts w:ascii="Times New Roman" w:eastAsia="Times New Roman" w:hAnsi="Times New Roman" w:cs="Times New Roman"/>
                <w:noProof/>
                <w:sz w:val="19"/>
              </w:rPr>
            </w:pPr>
            <w:r>
              <w:rPr>
                <w:rFonts w:ascii="Times New Roman" w:hAnsi="Times New Roman"/>
                <w:noProof/>
                <w:color w:val="005F00"/>
                <w:sz w:val="19"/>
              </w:rPr>
              <w:t>Investissement visant à renforcer la cybersécurité des services de l’État</w:t>
            </w:r>
          </w:p>
        </w:tc>
      </w:tr>
      <w:tr w:rsidR="00782477" w:rsidRPr="0029070D" w14:paraId="5A8AEED6" w14:textId="77777777">
        <w:trPr>
          <w:trHeight w:val="525"/>
          <w:jc w:val="center"/>
        </w:trPr>
        <w:tc>
          <w:tcPr>
            <w:tcW w:w="1133" w:type="dxa"/>
            <w:shd w:val="clear" w:color="auto" w:fill="C5EDCE"/>
          </w:tcPr>
          <w:p w14:paraId="5A8AEED2" w14:textId="77777777" w:rsidR="00740F0F" w:rsidRPr="0029070D" w:rsidRDefault="00100B64">
            <w:pPr>
              <w:spacing w:line="206" w:lineRule="exact"/>
              <w:ind w:left="402"/>
              <w:rPr>
                <w:rFonts w:ascii="Times New Roman" w:eastAsia="Times New Roman" w:hAnsi="Times New Roman" w:cs="Times New Roman"/>
                <w:noProof/>
                <w:sz w:val="19"/>
              </w:rPr>
            </w:pPr>
            <w:r>
              <w:rPr>
                <w:rFonts w:ascii="Times New Roman" w:hAnsi="Times New Roman"/>
                <w:noProof/>
                <w:color w:val="005F00"/>
                <w:sz w:val="19"/>
              </w:rPr>
              <w:t>7-27</w:t>
            </w:r>
          </w:p>
        </w:tc>
        <w:tc>
          <w:tcPr>
            <w:tcW w:w="3121" w:type="dxa"/>
            <w:shd w:val="clear" w:color="auto" w:fill="C5EDCE"/>
          </w:tcPr>
          <w:p w14:paraId="5A8AEED3" w14:textId="77777777" w:rsidR="00740F0F" w:rsidRPr="0029070D" w:rsidRDefault="00100B64">
            <w:pPr>
              <w:spacing w:before="36"/>
              <w:ind w:left="105"/>
              <w:rPr>
                <w:rFonts w:ascii="Times New Roman" w:eastAsia="Times New Roman" w:hAnsi="Times New Roman" w:cs="Times New Roman"/>
                <w:noProof/>
                <w:sz w:val="19"/>
              </w:rPr>
            </w:pPr>
            <w:r>
              <w:rPr>
                <w:rFonts w:ascii="Times New Roman" w:hAnsi="Times New Roman"/>
                <w:noProof/>
                <w:color w:val="005F00"/>
                <w:sz w:val="19"/>
              </w:rPr>
              <w:t>C7.I10 Accès au numérique dans l’enseignement supérieur</w:t>
            </w:r>
          </w:p>
        </w:tc>
        <w:tc>
          <w:tcPr>
            <w:tcW w:w="1417" w:type="dxa"/>
            <w:shd w:val="clear" w:color="auto" w:fill="C5EDCE"/>
          </w:tcPr>
          <w:p w14:paraId="5A8AEED4" w14:textId="77777777" w:rsidR="00740F0F" w:rsidRPr="0029070D" w:rsidRDefault="00100B64">
            <w:pPr>
              <w:spacing w:line="206" w:lineRule="exact"/>
              <w:ind w:left="301" w:right="284"/>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396" w:type="dxa"/>
            <w:shd w:val="clear" w:color="auto" w:fill="C5EDCE"/>
          </w:tcPr>
          <w:p w14:paraId="5A8AEED5" w14:textId="77777777" w:rsidR="00740F0F" w:rsidRPr="0029070D" w:rsidRDefault="00100B64">
            <w:pPr>
              <w:spacing w:line="206" w:lineRule="exact"/>
              <w:ind w:left="118"/>
              <w:rPr>
                <w:rFonts w:ascii="Times New Roman" w:eastAsia="Times New Roman" w:hAnsi="Times New Roman" w:cs="Times New Roman"/>
                <w:noProof/>
                <w:sz w:val="19"/>
              </w:rPr>
            </w:pPr>
            <w:r>
              <w:rPr>
                <w:rFonts w:ascii="Times New Roman" w:hAnsi="Times New Roman"/>
                <w:noProof/>
                <w:color w:val="005F00"/>
                <w:sz w:val="19"/>
              </w:rPr>
              <w:t>Nombre d’étudiants ayant accès à une formation numérique</w:t>
            </w:r>
          </w:p>
        </w:tc>
      </w:tr>
      <w:tr w:rsidR="00782477" w:rsidRPr="0029070D" w14:paraId="5A8AEEDB" w14:textId="77777777">
        <w:trPr>
          <w:trHeight w:val="508"/>
          <w:jc w:val="center"/>
        </w:trPr>
        <w:tc>
          <w:tcPr>
            <w:tcW w:w="1133" w:type="dxa"/>
            <w:shd w:val="clear" w:color="auto" w:fill="C5EDCE"/>
          </w:tcPr>
          <w:p w14:paraId="5A8AEED7" w14:textId="77777777" w:rsidR="00740F0F" w:rsidRPr="0029070D" w:rsidRDefault="00100B64">
            <w:pPr>
              <w:spacing w:line="206" w:lineRule="exact"/>
              <w:ind w:left="402"/>
              <w:rPr>
                <w:rFonts w:ascii="Times New Roman" w:eastAsia="Times New Roman" w:hAnsi="Times New Roman" w:cs="Times New Roman"/>
                <w:noProof/>
                <w:sz w:val="19"/>
              </w:rPr>
            </w:pPr>
            <w:r>
              <w:rPr>
                <w:rFonts w:ascii="Times New Roman" w:hAnsi="Times New Roman"/>
                <w:noProof/>
                <w:color w:val="005F00"/>
                <w:sz w:val="19"/>
              </w:rPr>
              <w:t>7-31</w:t>
            </w:r>
          </w:p>
        </w:tc>
        <w:tc>
          <w:tcPr>
            <w:tcW w:w="3121" w:type="dxa"/>
            <w:shd w:val="clear" w:color="auto" w:fill="C5EDCE"/>
          </w:tcPr>
          <w:p w14:paraId="5A8AEED8" w14:textId="77777777" w:rsidR="00740F0F" w:rsidRPr="0029070D" w:rsidRDefault="00100B64">
            <w:pPr>
              <w:spacing w:line="206" w:lineRule="exact"/>
              <w:ind w:left="105"/>
              <w:rPr>
                <w:rFonts w:ascii="Times New Roman" w:eastAsia="Times New Roman" w:hAnsi="Times New Roman" w:cs="Times New Roman"/>
                <w:noProof/>
                <w:sz w:val="19"/>
              </w:rPr>
            </w:pPr>
            <w:r>
              <w:rPr>
                <w:rFonts w:ascii="Times New Roman" w:hAnsi="Times New Roman"/>
                <w:noProof/>
                <w:color w:val="005F00"/>
                <w:sz w:val="19"/>
              </w:rPr>
              <w:t>C7.I11 Culture</w:t>
            </w:r>
          </w:p>
        </w:tc>
        <w:tc>
          <w:tcPr>
            <w:tcW w:w="1417" w:type="dxa"/>
            <w:shd w:val="clear" w:color="auto" w:fill="C5EDCE"/>
          </w:tcPr>
          <w:p w14:paraId="5A8AEED9" w14:textId="77777777" w:rsidR="00740F0F" w:rsidRPr="0029070D" w:rsidRDefault="00100B64">
            <w:pPr>
              <w:spacing w:line="206" w:lineRule="exact"/>
              <w:ind w:left="318" w:right="284"/>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396" w:type="dxa"/>
            <w:shd w:val="clear" w:color="auto" w:fill="C5EDCE"/>
          </w:tcPr>
          <w:p w14:paraId="5A8AEEDA" w14:textId="77777777" w:rsidR="00740F0F" w:rsidRPr="0029070D" w:rsidRDefault="00100B64">
            <w:pPr>
              <w:spacing w:line="206" w:lineRule="exact"/>
              <w:ind w:left="118"/>
              <w:rPr>
                <w:rFonts w:ascii="Times New Roman" w:eastAsia="Times New Roman" w:hAnsi="Times New Roman" w:cs="Times New Roman"/>
                <w:noProof/>
                <w:sz w:val="19"/>
              </w:rPr>
            </w:pPr>
            <w:r>
              <w:rPr>
                <w:rFonts w:ascii="Times New Roman" w:hAnsi="Times New Roman"/>
                <w:noProof/>
                <w:color w:val="005F00"/>
                <w:sz w:val="19"/>
              </w:rPr>
              <w:t>Dispositifs de soutien à la création artistique</w:t>
            </w:r>
          </w:p>
        </w:tc>
      </w:tr>
      <w:tr w:rsidR="00782477" w:rsidRPr="0029070D" w14:paraId="5A8AEEE0" w14:textId="77777777">
        <w:trPr>
          <w:trHeight w:val="510"/>
          <w:jc w:val="center"/>
        </w:trPr>
        <w:tc>
          <w:tcPr>
            <w:tcW w:w="1133" w:type="dxa"/>
            <w:shd w:val="clear" w:color="auto" w:fill="C5EDCE"/>
          </w:tcPr>
          <w:p w14:paraId="5A8AEEDC" w14:textId="77777777" w:rsidR="00740F0F" w:rsidRPr="0029070D" w:rsidRDefault="00100B64">
            <w:pPr>
              <w:spacing w:line="199" w:lineRule="exact"/>
              <w:ind w:left="450"/>
              <w:rPr>
                <w:rFonts w:ascii="Times New Roman" w:eastAsia="Times New Roman" w:hAnsi="Times New Roman" w:cs="Times New Roman"/>
                <w:noProof/>
                <w:sz w:val="19"/>
              </w:rPr>
            </w:pPr>
            <w:r>
              <w:rPr>
                <w:rFonts w:ascii="Times New Roman" w:hAnsi="Times New Roman"/>
                <w:noProof/>
                <w:color w:val="005F00"/>
                <w:sz w:val="19"/>
              </w:rPr>
              <w:t>9-4</w:t>
            </w:r>
          </w:p>
        </w:tc>
        <w:tc>
          <w:tcPr>
            <w:tcW w:w="3121" w:type="dxa"/>
            <w:shd w:val="clear" w:color="auto" w:fill="C5EDCE"/>
          </w:tcPr>
          <w:p w14:paraId="5A8AEEDD" w14:textId="77777777" w:rsidR="00740F0F" w:rsidRPr="0029070D" w:rsidRDefault="00100B64">
            <w:pPr>
              <w:spacing w:before="45"/>
              <w:ind w:left="105"/>
              <w:rPr>
                <w:rFonts w:ascii="Times New Roman" w:eastAsia="Times New Roman" w:hAnsi="Times New Roman" w:cs="Times New Roman"/>
                <w:noProof/>
                <w:sz w:val="19"/>
              </w:rPr>
            </w:pPr>
            <w:r>
              <w:rPr>
                <w:rFonts w:ascii="Times New Roman" w:hAnsi="Times New Roman"/>
                <w:noProof/>
                <w:color w:val="005F00"/>
                <w:sz w:val="19"/>
              </w:rPr>
              <w:t>C9.I1 Rattrapage du retard sur les standards techniques pour le numérique en santé</w:t>
            </w:r>
          </w:p>
        </w:tc>
        <w:tc>
          <w:tcPr>
            <w:tcW w:w="1417" w:type="dxa"/>
            <w:shd w:val="clear" w:color="auto" w:fill="C5EDCE"/>
          </w:tcPr>
          <w:p w14:paraId="5A8AEEDE" w14:textId="77777777" w:rsidR="00740F0F" w:rsidRPr="0029070D" w:rsidRDefault="00100B64">
            <w:pPr>
              <w:spacing w:line="199" w:lineRule="exact"/>
              <w:ind w:left="301" w:right="284"/>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396" w:type="dxa"/>
            <w:shd w:val="clear" w:color="auto" w:fill="C5EDCE"/>
          </w:tcPr>
          <w:p w14:paraId="5A8AEEDF" w14:textId="77777777" w:rsidR="00740F0F" w:rsidRPr="0029070D" w:rsidRDefault="00100B64">
            <w:pPr>
              <w:spacing w:line="199" w:lineRule="exact"/>
              <w:ind w:left="118"/>
              <w:rPr>
                <w:rFonts w:ascii="Times New Roman" w:eastAsia="Times New Roman" w:hAnsi="Times New Roman" w:cs="Times New Roman"/>
                <w:noProof/>
                <w:sz w:val="19"/>
              </w:rPr>
            </w:pPr>
            <w:r>
              <w:rPr>
                <w:rFonts w:ascii="Times New Roman" w:hAnsi="Times New Roman"/>
                <w:noProof/>
                <w:color w:val="005F00"/>
                <w:sz w:val="19"/>
              </w:rPr>
              <w:t>Infrastructure numérique de l’État dans le domaine de la santé</w:t>
            </w:r>
          </w:p>
        </w:tc>
      </w:tr>
      <w:tr w:rsidR="00782477" w:rsidRPr="0029070D" w14:paraId="5A8AEEE5" w14:textId="77777777">
        <w:trPr>
          <w:trHeight w:val="796"/>
          <w:jc w:val="center"/>
        </w:trPr>
        <w:tc>
          <w:tcPr>
            <w:tcW w:w="1133" w:type="dxa"/>
            <w:shd w:val="clear" w:color="auto" w:fill="C5EDCE"/>
          </w:tcPr>
          <w:p w14:paraId="5A8AEEE1" w14:textId="77777777" w:rsidR="00740F0F" w:rsidRPr="0029070D" w:rsidRDefault="00100B64">
            <w:pPr>
              <w:spacing w:line="206" w:lineRule="exact"/>
              <w:ind w:left="450"/>
              <w:rPr>
                <w:rFonts w:ascii="Times New Roman" w:eastAsia="Times New Roman" w:hAnsi="Times New Roman" w:cs="Times New Roman"/>
                <w:noProof/>
                <w:sz w:val="19"/>
              </w:rPr>
            </w:pPr>
            <w:r>
              <w:rPr>
                <w:rFonts w:ascii="Times New Roman" w:hAnsi="Times New Roman"/>
                <w:noProof/>
                <w:color w:val="005F00"/>
                <w:sz w:val="19"/>
              </w:rPr>
              <w:t>9-5</w:t>
            </w:r>
          </w:p>
        </w:tc>
        <w:tc>
          <w:tcPr>
            <w:tcW w:w="3121" w:type="dxa"/>
            <w:shd w:val="clear" w:color="auto" w:fill="C5EDCE"/>
          </w:tcPr>
          <w:p w14:paraId="5A8AEEE2" w14:textId="77777777" w:rsidR="00740F0F" w:rsidRPr="0029070D" w:rsidRDefault="00100B64">
            <w:pPr>
              <w:spacing w:before="55"/>
              <w:ind w:left="105"/>
              <w:rPr>
                <w:rFonts w:ascii="Times New Roman" w:eastAsia="Times New Roman" w:hAnsi="Times New Roman" w:cs="Times New Roman"/>
                <w:noProof/>
                <w:sz w:val="19"/>
              </w:rPr>
            </w:pPr>
            <w:r>
              <w:rPr>
                <w:rFonts w:ascii="Times New Roman" w:hAnsi="Times New Roman"/>
                <w:noProof/>
                <w:color w:val="005F00"/>
                <w:sz w:val="19"/>
              </w:rPr>
              <w:t>C9.I1 Rattrapage du retard sur les standards techniques pour le numérique en santé</w:t>
            </w:r>
          </w:p>
        </w:tc>
        <w:tc>
          <w:tcPr>
            <w:tcW w:w="1417" w:type="dxa"/>
            <w:shd w:val="clear" w:color="auto" w:fill="C5EDCE"/>
          </w:tcPr>
          <w:p w14:paraId="5A8AEEE3" w14:textId="77777777" w:rsidR="00740F0F" w:rsidRPr="0029070D" w:rsidRDefault="00100B64">
            <w:pPr>
              <w:spacing w:line="206" w:lineRule="exact"/>
              <w:ind w:left="301" w:right="284"/>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396" w:type="dxa"/>
            <w:shd w:val="clear" w:color="auto" w:fill="C5EDCE"/>
          </w:tcPr>
          <w:p w14:paraId="5A8AEEE4" w14:textId="77777777" w:rsidR="00740F0F" w:rsidRPr="0029070D" w:rsidRDefault="00100B64">
            <w:pPr>
              <w:ind w:left="118" w:right="313"/>
              <w:rPr>
                <w:rFonts w:ascii="Times New Roman" w:eastAsia="Times New Roman" w:hAnsi="Times New Roman" w:cs="Times New Roman"/>
                <w:noProof/>
                <w:sz w:val="19"/>
              </w:rPr>
            </w:pPr>
            <w:r>
              <w:rPr>
                <w:rFonts w:ascii="Times New Roman" w:hAnsi="Times New Roman"/>
                <w:noProof/>
                <w:color w:val="005F00"/>
                <w:sz w:val="19"/>
              </w:rPr>
              <w:t>Finalisation de l’interopérabilité et de la sécurité des logiciels du parc installé et accompagnement et incitation à l’usage</w:t>
            </w:r>
          </w:p>
        </w:tc>
      </w:tr>
      <w:tr w:rsidR="00782477" w:rsidRPr="0029070D" w14:paraId="5A8AEEEA" w14:textId="77777777">
        <w:trPr>
          <w:trHeight w:val="525"/>
          <w:jc w:val="center"/>
        </w:trPr>
        <w:tc>
          <w:tcPr>
            <w:tcW w:w="1133" w:type="dxa"/>
            <w:shd w:val="clear" w:color="auto" w:fill="C5EDCE"/>
          </w:tcPr>
          <w:p w14:paraId="5A8AEEE6" w14:textId="77777777" w:rsidR="00740F0F" w:rsidRPr="0029070D" w:rsidRDefault="00100B64">
            <w:pPr>
              <w:spacing w:line="206" w:lineRule="exact"/>
              <w:ind w:left="450"/>
              <w:rPr>
                <w:rFonts w:ascii="Times New Roman" w:eastAsia="Times New Roman" w:hAnsi="Times New Roman" w:cs="Times New Roman"/>
                <w:noProof/>
                <w:sz w:val="19"/>
              </w:rPr>
            </w:pPr>
            <w:r>
              <w:rPr>
                <w:rFonts w:ascii="Times New Roman" w:hAnsi="Times New Roman"/>
                <w:noProof/>
                <w:color w:val="005F00"/>
                <w:sz w:val="19"/>
              </w:rPr>
              <w:t>9-6</w:t>
            </w:r>
          </w:p>
        </w:tc>
        <w:tc>
          <w:tcPr>
            <w:tcW w:w="3121" w:type="dxa"/>
            <w:shd w:val="clear" w:color="auto" w:fill="C5EDCE"/>
          </w:tcPr>
          <w:p w14:paraId="5A8AEEE7" w14:textId="77777777" w:rsidR="00740F0F" w:rsidRPr="0029070D" w:rsidRDefault="00100B64">
            <w:pPr>
              <w:spacing w:before="36"/>
              <w:ind w:left="105"/>
              <w:rPr>
                <w:rFonts w:ascii="Times New Roman" w:eastAsia="Times New Roman" w:hAnsi="Times New Roman" w:cs="Times New Roman"/>
                <w:noProof/>
                <w:sz w:val="19"/>
              </w:rPr>
            </w:pPr>
            <w:r>
              <w:rPr>
                <w:rFonts w:ascii="Times New Roman" w:hAnsi="Times New Roman"/>
                <w:noProof/>
                <w:color w:val="005F00"/>
                <w:sz w:val="19"/>
              </w:rPr>
              <w:t>C9.I1 Rattrapage du retard sur les standards techniques pour le numérique en santé</w:t>
            </w:r>
          </w:p>
        </w:tc>
        <w:tc>
          <w:tcPr>
            <w:tcW w:w="1417" w:type="dxa"/>
            <w:shd w:val="clear" w:color="auto" w:fill="C5EDCE"/>
          </w:tcPr>
          <w:p w14:paraId="5A8AEEE8" w14:textId="77777777" w:rsidR="00740F0F" w:rsidRPr="0029070D" w:rsidRDefault="00100B64">
            <w:pPr>
              <w:spacing w:line="206" w:lineRule="exact"/>
              <w:ind w:left="301" w:right="284"/>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396" w:type="dxa"/>
            <w:shd w:val="clear" w:color="auto" w:fill="C5EDCE"/>
          </w:tcPr>
          <w:p w14:paraId="5A8AEEE9" w14:textId="77777777" w:rsidR="00740F0F" w:rsidRPr="0029070D" w:rsidRDefault="00100B64">
            <w:pPr>
              <w:spacing w:line="206" w:lineRule="exact"/>
              <w:ind w:left="118"/>
              <w:rPr>
                <w:rFonts w:ascii="Times New Roman" w:eastAsia="Times New Roman" w:hAnsi="Times New Roman" w:cs="Times New Roman"/>
                <w:noProof/>
                <w:sz w:val="19"/>
              </w:rPr>
            </w:pPr>
            <w:r>
              <w:rPr>
                <w:rFonts w:ascii="Times New Roman" w:hAnsi="Times New Roman"/>
                <w:noProof/>
                <w:color w:val="005F00"/>
                <w:sz w:val="19"/>
              </w:rPr>
              <w:t>Rattrapage numérique du secteur médico-social</w:t>
            </w:r>
          </w:p>
        </w:tc>
      </w:tr>
      <w:tr w:rsidR="00782477" w:rsidRPr="0029070D" w14:paraId="5A8AEEEF" w14:textId="77777777">
        <w:trPr>
          <w:trHeight w:val="1048"/>
          <w:jc w:val="center"/>
        </w:trPr>
        <w:tc>
          <w:tcPr>
            <w:tcW w:w="1133" w:type="dxa"/>
            <w:shd w:val="clear" w:color="auto" w:fill="C5EDCE"/>
          </w:tcPr>
          <w:p w14:paraId="5A8AEEEB" w14:textId="77777777" w:rsidR="00740F0F" w:rsidRPr="0029070D" w:rsidRDefault="00100B64">
            <w:pPr>
              <w:spacing w:line="206" w:lineRule="exact"/>
              <w:ind w:left="450"/>
              <w:rPr>
                <w:rFonts w:ascii="Times New Roman" w:eastAsia="Times New Roman" w:hAnsi="Times New Roman" w:cs="Times New Roman"/>
                <w:noProof/>
                <w:sz w:val="19"/>
              </w:rPr>
            </w:pPr>
            <w:r>
              <w:rPr>
                <w:rFonts w:ascii="Times New Roman" w:hAnsi="Times New Roman"/>
                <w:noProof/>
                <w:color w:val="005F00"/>
                <w:sz w:val="19"/>
              </w:rPr>
              <w:t>9-8</w:t>
            </w:r>
          </w:p>
        </w:tc>
        <w:tc>
          <w:tcPr>
            <w:tcW w:w="3121" w:type="dxa"/>
            <w:shd w:val="clear" w:color="auto" w:fill="C5EDCE"/>
          </w:tcPr>
          <w:p w14:paraId="5A8AEEEC" w14:textId="77777777" w:rsidR="00740F0F" w:rsidRPr="0029070D" w:rsidRDefault="00100B64">
            <w:pPr>
              <w:ind w:left="105"/>
              <w:rPr>
                <w:rFonts w:ascii="Times New Roman" w:eastAsia="Times New Roman" w:hAnsi="Times New Roman" w:cs="Times New Roman"/>
                <w:noProof/>
                <w:sz w:val="19"/>
              </w:rPr>
            </w:pPr>
            <w:r>
              <w:rPr>
                <w:rFonts w:ascii="Times New Roman" w:hAnsi="Times New Roman"/>
                <w:noProof/>
                <w:color w:val="005F00"/>
                <w:sz w:val="19"/>
              </w:rPr>
              <w:t>C9.I2 Modernisation et restructuration des hôpitaux et de l’offre de soins</w:t>
            </w:r>
          </w:p>
        </w:tc>
        <w:tc>
          <w:tcPr>
            <w:tcW w:w="1417" w:type="dxa"/>
            <w:shd w:val="clear" w:color="auto" w:fill="C5EDCE"/>
          </w:tcPr>
          <w:p w14:paraId="5A8AEEED" w14:textId="77777777" w:rsidR="00740F0F" w:rsidRPr="0029070D" w:rsidRDefault="00100B64">
            <w:pPr>
              <w:spacing w:line="206" w:lineRule="exact"/>
              <w:ind w:left="301" w:right="284"/>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396" w:type="dxa"/>
            <w:shd w:val="clear" w:color="auto" w:fill="C5EDCE"/>
          </w:tcPr>
          <w:p w14:paraId="5A8AEEEE" w14:textId="77777777" w:rsidR="00740F0F" w:rsidRPr="0029070D" w:rsidRDefault="00100B64">
            <w:pPr>
              <w:spacing w:before="36"/>
              <w:ind w:left="118" w:right="603"/>
              <w:rPr>
                <w:rFonts w:ascii="Times New Roman" w:eastAsia="Times New Roman" w:hAnsi="Times New Roman" w:cs="Times New Roman"/>
                <w:noProof/>
                <w:sz w:val="19"/>
              </w:rPr>
            </w:pPr>
            <w:r>
              <w:rPr>
                <w:rFonts w:ascii="Times New Roman" w:hAnsi="Times New Roman"/>
                <w:noProof/>
                <w:color w:val="005F00"/>
                <w:sz w:val="19"/>
              </w:rPr>
              <w:t>Nombre de projets d’investissement dans la construction, la rénovation énergétique ou la modernisation d’établissements médicaux (&gt; 20 millions d’EUR) (en cumulé)</w:t>
            </w:r>
          </w:p>
        </w:tc>
      </w:tr>
      <w:tr w:rsidR="00782477" w:rsidRPr="0029070D" w14:paraId="5A8AEEF4" w14:textId="77777777">
        <w:trPr>
          <w:trHeight w:val="685"/>
          <w:jc w:val="center"/>
        </w:trPr>
        <w:tc>
          <w:tcPr>
            <w:tcW w:w="1133" w:type="dxa"/>
            <w:shd w:val="clear" w:color="auto" w:fill="C5EDCE"/>
          </w:tcPr>
          <w:p w14:paraId="5A8AEEF0" w14:textId="77777777" w:rsidR="00740F0F" w:rsidRPr="0029070D" w:rsidRDefault="00740F0F">
            <w:pPr>
              <w:rPr>
                <w:rFonts w:ascii="Times New Roman" w:eastAsia="Times New Roman" w:hAnsi="Times New Roman" w:cs="Times New Roman"/>
                <w:noProof/>
                <w:sz w:val="18"/>
              </w:rPr>
            </w:pPr>
          </w:p>
        </w:tc>
        <w:tc>
          <w:tcPr>
            <w:tcW w:w="3121" w:type="dxa"/>
            <w:shd w:val="clear" w:color="auto" w:fill="C5EDCE"/>
          </w:tcPr>
          <w:p w14:paraId="5A8AEEF1" w14:textId="77777777" w:rsidR="00740F0F" w:rsidRPr="0029070D" w:rsidRDefault="00740F0F">
            <w:pPr>
              <w:rPr>
                <w:rFonts w:ascii="Times New Roman" w:eastAsia="Times New Roman" w:hAnsi="Times New Roman" w:cs="Times New Roman"/>
                <w:noProof/>
                <w:sz w:val="18"/>
              </w:rPr>
            </w:pPr>
          </w:p>
        </w:tc>
        <w:tc>
          <w:tcPr>
            <w:tcW w:w="1417" w:type="dxa"/>
            <w:shd w:val="clear" w:color="auto" w:fill="C5EDCE"/>
          </w:tcPr>
          <w:p w14:paraId="5A8AEEF2" w14:textId="77777777" w:rsidR="00740F0F" w:rsidRPr="0029070D" w:rsidRDefault="00100B64">
            <w:pPr>
              <w:spacing w:before="21" w:line="242" w:lineRule="auto"/>
              <w:ind w:left="203" w:right="346" w:hanging="24"/>
              <w:rPr>
                <w:rFonts w:ascii="Times New Roman" w:eastAsia="Times New Roman" w:hAnsi="Times New Roman" w:cs="Times New Roman"/>
                <w:b/>
                <w:noProof/>
                <w:sz w:val="19"/>
              </w:rPr>
            </w:pPr>
            <w:r>
              <w:rPr>
                <w:rFonts w:ascii="Times New Roman" w:hAnsi="Times New Roman"/>
                <w:b/>
                <w:noProof/>
                <w:color w:val="005F00"/>
                <w:sz w:val="19"/>
              </w:rPr>
              <w:t>Montant de la tranche</w:t>
            </w:r>
          </w:p>
        </w:tc>
        <w:tc>
          <w:tcPr>
            <w:tcW w:w="4396" w:type="dxa"/>
            <w:shd w:val="clear" w:color="auto" w:fill="C5EDCE"/>
          </w:tcPr>
          <w:p w14:paraId="5A8AEEF3" w14:textId="77777777" w:rsidR="00740F0F" w:rsidRPr="0029070D" w:rsidRDefault="00100B64">
            <w:pPr>
              <w:spacing w:line="211" w:lineRule="exact"/>
              <w:ind w:left="8"/>
              <w:rPr>
                <w:rFonts w:ascii="Times New Roman" w:eastAsia="Times New Roman" w:hAnsi="Times New Roman" w:cs="Times New Roman"/>
                <w:b/>
                <w:noProof/>
                <w:sz w:val="19"/>
              </w:rPr>
            </w:pPr>
            <w:r>
              <w:rPr>
                <w:rFonts w:ascii="Times New Roman" w:hAnsi="Times New Roman"/>
                <w:b/>
                <w:noProof/>
                <w:color w:val="005F00"/>
                <w:sz w:val="19"/>
              </w:rPr>
              <w:t>3</w:t>
            </w:r>
            <w:r>
              <w:rPr>
                <w:rFonts w:ascii="Times New Roman" w:hAnsi="Times New Roman"/>
                <w:noProof/>
                <w:sz w:val="18"/>
              </w:rPr>
              <w:t> </w:t>
            </w:r>
            <w:r>
              <w:rPr>
                <w:rFonts w:ascii="Times New Roman" w:hAnsi="Times New Roman"/>
                <w:b/>
                <w:noProof/>
                <w:color w:val="005F00"/>
                <w:sz w:val="19"/>
              </w:rPr>
              <w:t>776</w:t>
            </w:r>
            <w:r>
              <w:rPr>
                <w:rFonts w:ascii="Times New Roman" w:hAnsi="Times New Roman"/>
                <w:noProof/>
                <w:sz w:val="18"/>
              </w:rPr>
              <w:t> </w:t>
            </w:r>
            <w:r>
              <w:rPr>
                <w:rFonts w:ascii="Times New Roman" w:hAnsi="Times New Roman"/>
                <w:b/>
                <w:noProof/>
                <w:color w:val="005F00"/>
                <w:sz w:val="19"/>
              </w:rPr>
              <w:t>166</w:t>
            </w:r>
            <w:r>
              <w:rPr>
                <w:rFonts w:ascii="Times New Roman" w:hAnsi="Times New Roman"/>
                <w:noProof/>
                <w:sz w:val="18"/>
              </w:rPr>
              <w:t> </w:t>
            </w:r>
            <w:r>
              <w:rPr>
                <w:rFonts w:ascii="Times New Roman" w:hAnsi="Times New Roman"/>
                <w:b/>
                <w:noProof/>
                <w:color w:val="005F00"/>
                <w:sz w:val="19"/>
              </w:rPr>
              <w:t>734</w:t>
            </w:r>
            <w:r>
              <w:rPr>
                <w:rFonts w:ascii="Times New Roman" w:hAnsi="Times New Roman"/>
                <w:noProof/>
              </w:rPr>
              <w:t> </w:t>
            </w:r>
            <w:r>
              <w:rPr>
                <w:rFonts w:ascii="Times New Roman" w:hAnsi="Times New Roman"/>
                <w:b/>
                <w:noProof/>
                <w:color w:val="005F00"/>
                <w:sz w:val="19"/>
              </w:rPr>
              <w:t>EUR</w:t>
            </w:r>
          </w:p>
        </w:tc>
      </w:tr>
    </w:tbl>
    <w:p w14:paraId="5A8AEEF5" w14:textId="77777777" w:rsidR="00740F0F" w:rsidRPr="0029070D" w:rsidRDefault="00740F0F">
      <w:pPr>
        <w:widowControl w:val="0"/>
        <w:autoSpaceDE w:val="0"/>
        <w:autoSpaceDN w:val="0"/>
        <w:spacing w:after="0" w:line="240" w:lineRule="auto"/>
        <w:rPr>
          <w:rFonts w:ascii="Times New Roman" w:eastAsia="Times New Roman" w:hAnsi="Times New Roman" w:cs="Times New Roman"/>
          <w:noProof/>
          <w:kern w:val="0"/>
          <w:szCs w:val="20"/>
          <w14:ligatures w14:val="none"/>
        </w:rPr>
      </w:pPr>
    </w:p>
    <w:p w14:paraId="5A8AEEF6" w14:textId="77777777" w:rsidR="00740F0F" w:rsidRPr="0029070D" w:rsidRDefault="00100B64">
      <w:pPr>
        <w:widowControl w:val="0"/>
        <w:numPr>
          <w:ilvl w:val="2"/>
          <w:numId w:val="58"/>
        </w:numPr>
        <w:tabs>
          <w:tab w:val="left" w:pos="1197"/>
          <w:tab w:val="left" w:pos="1198"/>
        </w:tabs>
        <w:autoSpaceDE w:val="0"/>
        <w:autoSpaceDN w:val="0"/>
        <w:spacing w:before="125" w:after="0" w:line="240" w:lineRule="auto"/>
        <w:ind w:hanging="858"/>
        <w:jc w:val="both"/>
        <w:rPr>
          <w:rFonts w:ascii="Times New Roman" w:eastAsia="Times New Roman" w:hAnsi="Times New Roman" w:cs="Times New Roman"/>
          <w:noProof/>
          <w:kern w:val="0"/>
          <w:szCs w:val="20"/>
          <w14:ligatures w14:val="none"/>
        </w:rPr>
      </w:pPr>
      <w:r>
        <w:rPr>
          <w:rFonts w:ascii="Times New Roman" w:hAnsi="Times New Roman"/>
          <w:noProof/>
        </w:rPr>
        <w:t>Cinquième tranche (soutien non remboursable):</w:t>
      </w:r>
    </w:p>
    <w:p w14:paraId="5A8AEEF7" w14:textId="77777777" w:rsidR="00740F0F" w:rsidRPr="0029070D" w:rsidRDefault="00740F0F">
      <w:pPr>
        <w:widowControl w:val="0"/>
        <w:autoSpaceDE w:val="0"/>
        <w:autoSpaceDN w:val="0"/>
        <w:spacing w:before="9" w:after="0" w:line="240" w:lineRule="auto"/>
        <w:rPr>
          <w:rFonts w:ascii="Times New Roman" w:eastAsia="Times New Roman" w:hAnsi="Times New Roman" w:cs="Times New Roman"/>
          <w:noProof/>
          <w:kern w:val="0"/>
          <w:sz w:val="11"/>
          <w:szCs w:val="20"/>
          <w14:ligatures w14:val="none"/>
        </w:rPr>
      </w:pPr>
    </w:p>
    <w:tbl>
      <w:tblPr>
        <w:tblStyle w:val="NormalTable0"/>
        <w:tblW w:w="1006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8"/>
        <w:gridCol w:w="2758"/>
        <w:gridCol w:w="1441"/>
        <w:gridCol w:w="4600"/>
      </w:tblGrid>
      <w:tr w:rsidR="00782477" w:rsidRPr="0029070D" w14:paraId="5A8AEEFC" w14:textId="77777777" w:rsidTr="00F84DDA">
        <w:trPr>
          <w:trHeight w:val="651"/>
          <w:tblHeader/>
          <w:jc w:val="center"/>
        </w:trPr>
        <w:tc>
          <w:tcPr>
            <w:tcW w:w="1268" w:type="dxa"/>
            <w:shd w:val="clear" w:color="auto" w:fill="BBD5EC"/>
          </w:tcPr>
          <w:p w14:paraId="5A8AEEF8" w14:textId="77777777" w:rsidR="00740F0F" w:rsidRPr="0029070D" w:rsidRDefault="00100B64">
            <w:pPr>
              <w:spacing w:line="271" w:lineRule="auto"/>
              <w:ind w:left="326" w:right="43" w:hanging="135"/>
              <w:rPr>
                <w:rFonts w:ascii="Times New Roman" w:eastAsia="Times New Roman" w:hAnsi="Times New Roman" w:cs="Times New Roman"/>
                <w:b/>
                <w:noProof/>
                <w:sz w:val="20"/>
              </w:rPr>
            </w:pPr>
            <w:r w:rsidRPr="00F84DDA">
              <w:rPr>
                <w:rFonts w:ascii="Times New Roman" w:hAnsi="Times New Roman"/>
                <w:b/>
                <w:noProof/>
                <w:sz w:val="18"/>
                <w:szCs w:val="18"/>
              </w:rPr>
              <w:t>Numéro séquentiel</w:t>
            </w:r>
          </w:p>
        </w:tc>
        <w:tc>
          <w:tcPr>
            <w:tcW w:w="2758" w:type="dxa"/>
            <w:shd w:val="clear" w:color="auto" w:fill="BBD5EC"/>
          </w:tcPr>
          <w:p w14:paraId="5A8AEEF9" w14:textId="77777777" w:rsidR="00740F0F" w:rsidRPr="0029070D" w:rsidRDefault="00100B64">
            <w:pPr>
              <w:ind w:left="289"/>
              <w:jc w:val="center"/>
              <w:rPr>
                <w:rFonts w:ascii="Times New Roman" w:eastAsia="Times New Roman" w:hAnsi="Times New Roman" w:cs="Times New Roman"/>
                <w:b/>
                <w:noProof/>
                <w:sz w:val="20"/>
              </w:rPr>
            </w:pPr>
            <w:r>
              <w:rPr>
                <w:rFonts w:ascii="Times New Roman" w:hAnsi="Times New Roman"/>
                <w:b/>
                <w:noProof/>
                <w:sz w:val="20"/>
              </w:rPr>
              <w:t xml:space="preserve">Mesure connexe (réforme </w:t>
            </w:r>
            <w:r>
              <w:rPr>
                <w:rFonts w:ascii="Times New Roman" w:hAnsi="Times New Roman"/>
                <w:b/>
                <w:noProof/>
                <w:sz w:val="20"/>
              </w:rPr>
              <w:br/>
              <w:t>ou investissement)</w:t>
            </w:r>
          </w:p>
        </w:tc>
        <w:tc>
          <w:tcPr>
            <w:tcW w:w="1441" w:type="dxa"/>
            <w:shd w:val="clear" w:color="auto" w:fill="BBD5EC"/>
          </w:tcPr>
          <w:p w14:paraId="5A8AEEFA" w14:textId="77777777" w:rsidR="00740F0F" w:rsidRPr="0029070D" w:rsidRDefault="00100B64">
            <w:pPr>
              <w:ind w:left="376"/>
              <w:rPr>
                <w:rFonts w:ascii="Times New Roman" w:eastAsia="Times New Roman" w:hAnsi="Times New Roman" w:cs="Times New Roman"/>
                <w:b/>
                <w:noProof/>
                <w:sz w:val="20"/>
              </w:rPr>
            </w:pPr>
            <w:r>
              <w:rPr>
                <w:rFonts w:ascii="Times New Roman" w:hAnsi="Times New Roman"/>
                <w:b/>
                <w:noProof/>
                <w:sz w:val="20"/>
              </w:rPr>
              <w:t>Jalon / Cible</w:t>
            </w:r>
          </w:p>
        </w:tc>
        <w:tc>
          <w:tcPr>
            <w:tcW w:w="4600" w:type="dxa"/>
            <w:shd w:val="clear" w:color="auto" w:fill="BBD5EC"/>
          </w:tcPr>
          <w:p w14:paraId="5A8AEEFB" w14:textId="77777777" w:rsidR="00740F0F" w:rsidRPr="0029070D" w:rsidRDefault="00100B64">
            <w:pPr>
              <w:spacing w:before="1"/>
              <w:ind w:left="1183" w:right="1753"/>
              <w:jc w:val="center"/>
              <w:rPr>
                <w:rFonts w:ascii="Times New Roman" w:eastAsia="Times New Roman" w:hAnsi="Times New Roman" w:cs="Times New Roman"/>
                <w:b/>
                <w:noProof/>
                <w:sz w:val="20"/>
              </w:rPr>
            </w:pPr>
            <w:r>
              <w:rPr>
                <w:rFonts w:ascii="Times New Roman" w:hAnsi="Times New Roman"/>
                <w:b/>
                <w:noProof/>
                <w:sz w:val="20"/>
              </w:rPr>
              <w:t>Dénomination</w:t>
            </w:r>
          </w:p>
        </w:tc>
      </w:tr>
      <w:tr w:rsidR="00782477" w:rsidRPr="0029070D" w14:paraId="5A8AEF01" w14:textId="77777777" w:rsidTr="00F84DDA">
        <w:trPr>
          <w:trHeight w:val="525"/>
          <w:jc w:val="center"/>
        </w:trPr>
        <w:tc>
          <w:tcPr>
            <w:tcW w:w="1268" w:type="dxa"/>
            <w:shd w:val="clear" w:color="auto" w:fill="C5EDCE"/>
          </w:tcPr>
          <w:p w14:paraId="5A8AEEFD" w14:textId="77777777" w:rsidR="00740F0F" w:rsidRPr="0029070D" w:rsidRDefault="00100B64">
            <w:pPr>
              <w:spacing w:line="206" w:lineRule="exact"/>
              <w:ind w:left="367" w:right="313"/>
              <w:jc w:val="center"/>
              <w:rPr>
                <w:rFonts w:ascii="Times New Roman" w:eastAsia="Times New Roman" w:hAnsi="Times New Roman" w:cs="Times New Roman"/>
                <w:noProof/>
                <w:sz w:val="19"/>
              </w:rPr>
            </w:pPr>
            <w:r>
              <w:rPr>
                <w:rFonts w:ascii="Times New Roman" w:hAnsi="Times New Roman"/>
                <w:noProof/>
                <w:color w:val="005F00"/>
                <w:sz w:val="19"/>
              </w:rPr>
              <w:t>1-3b</w:t>
            </w:r>
          </w:p>
        </w:tc>
        <w:tc>
          <w:tcPr>
            <w:tcW w:w="2758" w:type="dxa"/>
            <w:shd w:val="clear" w:color="auto" w:fill="C5EDCE"/>
          </w:tcPr>
          <w:p w14:paraId="5A8AEEFE" w14:textId="77777777" w:rsidR="00740F0F" w:rsidRPr="0029070D" w:rsidRDefault="00100B64">
            <w:pPr>
              <w:spacing w:line="225" w:lineRule="auto"/>
              <w:ind w:left="121" w:right="123"/>
              <w:rPr>
                <w:rFonts w:ascii="Times New Roman" w:eastAsia="Times New Roman" w:hAnsi="Times New Roman" w:cs="Times New Roman"/>
                <w:noProof/>
                <w:sz w:val="19"/>
              </w:rPr>
            </w:pPr>
            <w:r>
              <w:rPr>
                <w:rFonts w:ascii="Times New Roman" w:hAnsi="Times New Roman"/>
                <w:noProof/>
                <w:color w:val="005F00"/>
                <w:sz w:val="19"/>
              </w:rPr>
              <w:t>C1.R2 Révision de la réglementation thermique avec la RE2020</w:t>
            </w:r>
          </w:p>
        </w:tc>
        <w:tc>
          <w:tcPr>
            <w:tcW w:w="1441" w:type="dxa"/>
            <w:shd w:val="clear" w:color="auto" w:fill="C5EDCE"/>
          </w:tcPr>
          <w:p w14:paraId="5A8AEEFF" w14:textId="77777777" w:rsidR="00740F0F" w:rsidRPr="0029070D" w:rsidRDefault="00100B64">
            <w:pPr>
              <w:spacing w:line="206" w:lineRule="exact"/>
              <w:ind w:right="277"/>
              <w:jc w:val="right"/>
              <w:rPr>
                <w:rFonts w:ascii="Times New Roman" w:eastAsia="Times New Roman" w:hAnsi="Times New Roman" w:cs="Times New Roman"/>
                <w:noProof/>
                <w:sz w:val="19"/>
              </w:rPr>
            </w:pPr>
            <w:r>
              <w:rPr>
                <w:rFonts w:ascii="Times New Roman" w:hAnsi="Times New Roman"/>
                <w:noProof/>
                <w:color w:val="005F00"/>
                <w:sz w:val="19"/>
              </w:rPr>
              <w:t>Jalon</w:t>
            </w:r>
          </w:p>
        </w:tc>
        <w:tc>
          <w:tcPr>
            <w:tcW w:w="4600" w:type="dxa"/>
            <w:shd w:val="clear" w:color="auto" w:fill="C5EDCE"/>
          </w:tcPr>
          <w:p w14:paraId="5A8AEF00" w14:textId="77777777" w:rsidR="00740F0F" w:rsidRPr="0029070D" w:rsidRDefault="00100B64">
            <w:pPr>
              <w:spacing w:line="225" w:lineRule="auto"/>
              <w:ind w:left="116"/>
              <w:rPr>
                <w:rFonts w:ascii="Times New Roman" w:eastAsia="Times New Roman" w:hAnsi="Times New Roman" w:cs="Times New Roman"/>
                <w:noProof/>
                <w:sz w:val="19"/>
              </w:rPr>
            </w:pPr>
            <w:r>
              <w:rPr>
                <w:rFonts w:ascii="Times New Roman" w:hAnsi="Times New Roman"/>
                <w:noProof/>
                <w:color w:val="005F00"/>
                <w:sz w:val="19"/>
              </w:rPr>
              <w:t>Révision de la réglementation thermique avec la RE2020 pour certains bâtiments tertiaires</w:t>
            </w:r>
          </w:p>
        </w:tc>
      </w:tr>
      <w:tr w:rsidR="00782477" w:rsidRPr="0029070D" w14:paraId="5A8AEF06" w14:textId="77777777" w:rsidTr="00F84DDA">
        <w:trPr>
          <w:trHeight w:val="525"/>
          <w:jc w:val="center"/>
        </w:trPr>
        <w:tc>
          <w:tcPr>
            <w:tcW w:w="1268" w:type="dxa"/>
            <w:shd w:val="clear" w:color="auto" w:fill="C5EDCE"/>
          </w:tcPr>
          <w:p w14:paraId="5A8AEF02" w14:textId="77777777" w:rsidR="00740F0F" w:rsidRPr="0029070D" w:rsidRDefault="00100B64">
            <w:pPr>
              <w:spacing w:line="206" w:lineRule="exact"/>
              <w:ind w:left="328" w:right="313"/>
              <w:jc w:val="center"/>
              <w:rPr>
                <w:rFonts w:ascii="Times New Roman" w:eastAsia="Times New Roman" w:hAnsi="Times New Roman" w:cs="Times New Roman"/>
                <w:noProof/>
                <w:sz w:val="19"/>
              </w:rPr>
            </w:pPr>
            <w:r>
              <w:rPr>
                <w:rFonts w:ascii="Times New Roman" w:hAnsi="Times New Roman"/>
                <w:noProof/>
                <w:color w:val="005F00"/>
                <w:sz w:val="19"/>
              </w:rPr>
              <w:t>2-3a</w:t>
            </w:r>
          </w:p>
        </w:tc>
        <w:tc>
          <w:tcPr>
            <w:tcW w:w="2758" w:type="dxa"/>
            <w:shd w:val="clear" w:color="auto" w:fill="C5EDCE"/>
          </w:tcPr>
          <w:p w14:paraId="5A8AEF03"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C2.R2 Loi relative à l’économie circulaire</w:t>
            </w:r>
          </w:p>
        </w:tc>
        <w:tc>
          <w:tcPr>
            <w:tcW w:w="1441" w:type="dxa"/>
            <w:shd w:val="clear" w:color="auto" w:fill="C5EDCE"/>
          </w:tcPr>
          <w:p w14:paraId="5A8AEF04" w14:textId="77777777" w:rsidR="00740F0F" w:rsidRPr="0029070D" w:rsidRDefault="00100B64">
            <w:pPr>
              <w:spacing w:line="206" w:lineRule="exact"/>
              <w:ind w:right="323"/>
              <w:jc w:val="right"/>
              <w:rPr>
                <w:rFonts w:ascii="Times New Roman" w:eastAsia="Times New Roman" w:hAnsi="Times New Roman" w:cs="Times New Roman"/>
                <w:noProof/>
                <w:sz w:val="19"/>
              </w:rPr>
            </w:pPr>
            <w:r>
              <w:rPr>
                <w:rFonts w:ascii="Times New Roman" w:hAnsi="Times New Roman"/>
                <w:noProof/>
                <w:color w:val="005F00"/>
                <w:sz w:val="19"/>
              </w:rPr>
              <w:t>Jalon</w:t>
            </w:r>
          </w:p>
        </w:tc>
        <w:tc>
          <w:tcPr>
            <w:tcW w:w="4600" w:type="dxa"/>
            <w:shd w:val="clear" w:color="auto" w:fill="C5EDCE"/>
          </w:tcPr>
          <w:p w14:paraId="5A8AEF05" w14:textId="77777777" w:rsidR="00740F0F" w:rsidRPr="0029070D" w:rsidRDefault="00100B64">
            <w:pPr>
              <w:spacing w:line="225" w:lineRule="auto"/>
              <w:ind w:left="118" w:right="675"/>
              <w:rPr>
                <w:rFonts w:ascii="Times New Roman" w:eastAsia="Times New Roman" w:hAnsi="Times New Roman" w:cs="Times New Roman"/>
                <w:noProof/>
                <w:sz w:val="19"/>
              </w:rPr>
            </w:pPr>
            <w:r>
              <w:rPr>
                <w:rFonts w:ascii="Times New Roman" w:hAnsi="Times New Roman"/>
                <w:noProof/>
                <w:color w:val="005F00"/>
                <w:sz w:val="19"/>
              </w:rPr>
              <w:t>Décrets d’application de la loi anti-gaspillage pour une économie circulaire</w:t>
            </w:r>
          </w:p>
        </w:tc>
      </w:tr>
      <w:tr w:rsidR="00782477" w:rsidRPr="0029070D" w14:paraId="5A8AEF0B" w14:textId="77777777" w:rsidTr="00F84DDA">
        <w:trPr>
          <w:trHeight w:val="525"/>
          <w:jc w:val="center"/>
        </w:trPr>
        <w:tc>
          <w:tcPr>
            <w:tcW w:w="1268" w:type="dxa"/>
            <w:shd w:val="clear" w:color="auto" w:fill="C5EDCE"/>
          </w:tcPr>
          <w:p w14:paraId="5A8AEF07" w14:textId="77777777" w:rsidR="00740F0F" w:rsidRPr="0029070D" w:rsidRDefault="00100B64">
            <w:pPr>
              <w:spacing w:line="206" w:lineRule="exact"/>
              <w:ind w:left="372" w:right="313"/>
              <w:jc w:val="center"/>
              <w:rPr>
                <w:rFonts w:ascii="Times New Roman" w:eastAsia="Times New Roman" w:hAnsi="Times New Roman" w:cs="Times New Roman"/>
                <w:noProof/>
                <w:sz w:val="19"/>
              </w:rPr>
            </w:pPr>
            <w:r>
              <w:rPr>
                <w:rFonts w:ascii="Times New Roman" w:hAnsi="Times New Roman"/>
                <w:noProof/>
                <w:color w:val="005F00"/>
                <w:sz w:val="19"/>
              </w:rPr>
              <w:t>2-14</w:t>
            </w:r>
          </w:p>
        </w:tc>
        <w:tc>
          <w:tcPr>
            <w:tcW w:w="2758" w:type="dxa"/>
            <w:shd w:val="clear" w:color="auto" w:fill="C5EDCE"/>
          </w:tcPr>
          <w:p w14:paraId="5A8AEF08" w14:textId="77777777" w:rsidR="00740F0F" w:rsidRPr="0029070D" w:rsidRDefault="00100B64">
            <w:pPr>
              <w:spacing w:line="225" w:lineRule="auto"/>
              <w:ind w:left="121" w:right="294"/>
              <w:rPr>
                <w:rFonts w:ascii="Times New Roman" w:eastAsia="Times New Roman" w:hAnsi="Times New Roman" w:cs="Times New Roman"/>
                <w:noProof/>
                <w:sz w:val="19"/>
              </w:rPr>
            </w:pPr>
            <w:r>
              <w:rPr>
                <w:rFonts w:ascii="Times New Roman" w:hAnsi="Times New Roman"/>
                <w:noProof/>
                <w:color w:val="005F00"/>
                <w:sz w:val="19"/>
              </w:rPr>
              <w:t>C2.I7 Modernisation des centres de tri, des systèmes de recyclage et des systèmes de gestion des déchets</w:t>
            </w:r>
          </w:p>
        </w:tc>
        <w:tc>
          <w:tcPr>
            <w:tcW w:w="1441" w:type="dxa"/>
            <w:shd w:val="clear" w:color="auto" w:fill="C5EDCE"/>
          </w:tcPr>
          <w:p w14:paraId="5A8AEF09" w14:textId="77777777" w:rsidR="00740F0F" w:rsidRPr="0029070D" w:rsidRDefault="00100B64">
            <w:pPr>
              <w:spacing w:line="206" w:lineRule="exact"/>
              <w:ind w:left="479"/>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F0A" w14:textId="77777777" w:rsidR="00740F0F" w:rsidRPr="0029070D" w:rsidRDefault="00100B64">
            <w:pPr>
              <w:spacing w:line="206" w:lineRule="exact"/>
              <w:ind w:left="116"/>
              <w:rPr>
                <w:rFonts w:ascii="Times New Roman" w:eastAsia="Times New Roman" w:hAnsi="Times New Roman" w:cs="Times New Roman"/>
                <w:noProof/>
                <w:sz w:val="19"/>
              </w:rPr>
            </w:pPr>
            <w:r>
              <w:rPr>
                <w:rFonts w:ascii="Times New Roman" w:hAnsi="Times New Roman"/>
                <w:noProof/>
                <w:color w:val="005F00"/>
                <w:sz w:val="19"/>
              </w:rPr>
              <w:t>Nombre de centres de tri modernisés</w:t>
            </w:r>
          </w:p>
        </w:tc>
      </w:tr>
      <w:tr w:rsidR="00782477" w:rsidRPr="0029070D" w14:paraId="5A8AEF10" w14:textId="77777777" w:rsidTr="00F84DDA">
        <w:trPr>
          <w:trHeight w:val="493"/>
          <w:jc w:val="center"/>
        </w:trPr>
        <w:tc>
          <w:tcPr>
            <w:tcW w:w="1268" w:type="dxa"/>
            <w:shd w:val="clear" w:color="auto" w:fill="C5EDCE"/>
          </w:tcPr>
          <w:p w14:paraId="5A8AEF0C" w14:textId="77777777" w:rsidR="00740F0F" w:rsidRPr="0029070D" w:rsidRDefault="00100B64">
            <w:pPr>
              <w:spacing w:line="197" w:lineRule="exact"/>
              <w:ind w:right="372"/>
              <w:jc w:val="right"/>
              <w:rPr>
                <w:rFonts w:ascii="Times New Roman" w:eastAsia="Times New Roman" w:hAnsi="Times New Roman" w:cs="Times New Roman"/>
                <w:noProof/>
                <w:sz w:val="19"/>
              </w:rPr>
            </w:pPr>
            <w:r>
              <w:rPr>
                <w:rFonts w:ascii="Times New Roman" w:hAnsi="Times New Roman"/>
                <w:noProof/>
                <w:color w:val="005F00"/>
                <w:sz w:val="19"/>
              </w:rPr>
              <w:t>2-15</w:t>
            </w:r>
          </w:p>
        </w:tc>
        <w:tc>
          <w:tcPr>
            <w:tcW w:w="2758" w:type="dxa"/>
            <w:shd w:val="clear" w:color="auto" w:fill="C5EDCE"/>
          </w:tcPr>
          <w:p w14:paraId="5A8AEF0D" w14:textId="77777777" w:rsidR="00740F0F" w:rsidRPr="0029070D" w:rsidRDefault="00100B64">
            <w:pPr>
              <w:spacing w:line="197" w:lineRule="exact"/>
              <w:ind w:left="121"/>
              <w:rPr>
                <w:rFonts w:ascii="Times New Roman" w:eastAsia="Times New Roman" w:hAnsi="Times New Roman" w:cs="Times New Roman"/>
                <w:noProof/>
                <w:sz w:val="19"/>
              </w:rPr>
            </w:pPr>
            <w:r>
              <w:rPr>
                <w:rFonts w:ascii="Times New Roman" w:hAnsi="Times New Roman"/>
                <w:noProof/>
                <w:color w:val="005F00"/>
                <w:sz w:val="19"/>
              </w:rPr>
              <w:t>C2.I8 Recyclage et réemploi</w:t>
            </w:r>
          </w:p>
        </w:tc>
        <w:tc>
          <w:tcPr>
            <w:tcW w:w="1441" w:type="dxa"/>
            <w:shd w:val="clear" w:color="auto" w:fill="C5EDCE"/>
          </w:tcPr>
          <w:p w14:paraId="5A8AEF0E" w14:textId="77777777" w:rsidR="00740F0F" w:rsidRPr="0029070D" w:rsidRDefault="00100B64">
            <w:pPr>
              <w:spacing w:line="197" w:lineRule="exact"/>
              <w:ind w:left="308"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F0F" w14:textId="77777777" w:rsidR="00740F0F" w:rsidRPr="0029070D" w:rsidRDefault="00100B64">
            <w:pPr>
              <w:spacing w:line="197" w:lineRule="exact"/>
              <w:ind w:left="116"/>
              <w:rPr>
                <w:rFonts w:ascii="Times New Roman" w:eastAsia="Times New Roman" w:hAnsi="Times New Roman" w:cs="Times New Roman"/>
                <w:noProof/>
                <w:sz w:val="19"/>
              </w:rPr>
            </w:pPr>
            <w:r>
              <w:rPr>
                <w:rFonts w:ascii="Times New Roman" w:hAnsi="Times New Roman"/>
                <w:noProof/>
                <w:color w:val="005F00"/>
                <w:sz w:val="19"/>
              </w:rPr>
              <w:t>Quantité de matières premières de recyclage (MPR) plastiques produites ou incorporées</w:t>
            </w:r>
          </w:p>
        </w:tc>
      </w:tr>
      <w:tr w:rsidR="00782477" w:rsidRPr="0029070D" w14:paraId="5A8AEF15" w14:textId="77777777" w:rsidTr="00F84DDA">
        <w:trPr>
          <w:trHeight w:val="510"/>
          <w:jc w:val="center"/>
        </w:trPr>
        <w:tc>
          <w:tcPr>
            <w:tcW w:w="1268" w:type="dxa"/>
            <w:shd w:val="clear" w:color="auto" w:fill="C5EDCE"/>
          </w:tcPr>
          <w:p w14:paraId="5A8AEF11" w14:textId="77777777" w:rsidR="00740F0F" w:rsidRPr="0029070D" w:rsidRDefault="00100B64">
            <w:pPr>
              <w:spacing w:line="209" w:lineRule="exact"/>
              <w:ind w:right="372"/>
              <w:jc w:val="right"/>
              <w:rPr>
                <w:rFonts w:ascii="Times New Roman" w:eastAsia="Times New Roman" w:hAnsi="Times New Roman" w:cs="Times New Roman"/>
                <w:noProof/>
                <w:sz w:val="19"/>
              </w:rPr>
            </w:pPr>
            <w:r>
              <w:rPr>
                <w:rFonts w:ascii="Times New Roman" w:hAnsi="Times New Roman"/>
                <w:noProof/>
                <w:color w:val="005F00"/>
                <w:sz w:val="19"/>
              </w:rPr>
              <w:t>3-13</w:t>
            </w:r>
          </w:p>
        </w:tc>
        <w:tc>
          <w:tcPr>
            <w:tcW w:w="2758" w:type="dxa"/>
            <w:shd w:val="clear" w:color="auto" w:fill="C5EDCE"/>
          </w:tcPr>
          <w:p w14:paraId="5A8AEF12" w14:textId="77777777" w:rsidR="00740F0F" w:rsidRPr="0029070D" w:rsidRDefault="00100B64">
            <w:pPr>
              <w:spacing w:line="209" w:lineRule="exact"/>
              <w:ind w:left="121"/>
              <w:rPr>
                <w:rFonts w:ascii="Times New Roman" w:eastAsia="Times New Roman" w:hAnsi="Times New Roman" w:cs="Times New Roman"/>
                <w:noProof/>
                <w:sz w:val="19"/>
              </w:rPr>
            </w:pPr>
            <w:r>
              <w:rPr>
                <w:rFonts w:ascii="Times New Roman" w:hAnsi="Times New Roman"/>
                <w:noProof/>
                <w:color w:val="005F00"/>
                <w:sz w:val="19"/>
              </w:rPr>
              <w:t>C3.I1 Soutien au secteur ferroviaire</w:t>
            </w:r>
          </w:p>
        </w:tc>
        <w:tc>
          <w:tcPr>
            <w:tcW w:w="1441" w:type="dxa"/>
            <w:shd w:val="clear" w:color="auto" w:fill="C5EDCE"/>
          </w:tcPr>
          <w:p w14:paraId="5A8AEF13" w14:textId="77777777" w:rsidR="00740F0F" w:rsidRPr="0029070D" w:rsidRDefault="00100B64">
            <w:pPr>
              <w:spacing w:line="209" w:lineRule="exact"/>
              <w:ind w:left="308"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F14" w14:textId="77777777" w:rsidR="00740F0F" w:rsidRPr="0029070D" w:rsidRDefault="00100B64">
            <w:pPr>
              <w:spacing w:line="209" w:lineRule="exact"/>
              <w:ind w:left="116"/>
              <w:rPr>
                <w:rFonts w:ascii="Times New Roman" w:eastAsia="Times New Roman" w:hAnsi="Times New Roman" w:cs="Times New Roman"/>
                <w:noProof/>
                <w:sz w:val="19"/>
              </w:rPr>
            </w:pPr>
            <w:r>
              <w:rPr>
                <w:rFonts w:ascii="Times New Roman" w:hAnsi="Times New Roman"/>
                <w:noProof/>
                <w:color w:val="005F00"/>
                <w:sz w:val="19"/>
              </w:rPr>
              <w:t>Lignes locales de transport de marchandises</w:t>
            </w:r>
          </w:p>
        </w:tc>
      </w:tr>
      <w:tr w:rsidR="00782477" w:rsidRPr="0029070D" w14:paraId="5A8AEF1A" w14:textId="77777777" w:rsidTr="00F84DDA">
        <w:trPr>
          <w:trHeight w:val="510"/>
          <w:jc w:val="center"/>
        </w:trPr>
        <w:tc>
          <w:tcPr>
            <w:tcW w:w="1268" w:type="dxa"/>
            <w:shd w:val="clear" w:color="auto" w:fill="C5EDCE"/>
          </w:tcPr>
          <w:p w14:paraId="5A8AEF16" w14:textId="77777777" w:rsidR="00740F0F" w:rsidRPr="0029070D" w:rsidRDefault="00100B64">
            <w:pPr>
              <w:spacing w:line="206" w:lineRule="exact"/>
              <w:ind w:right="372"/>
              <w:jc w:val="right"/>
              <w:rPr>
                <w:rFonts w:ascii="Times New Roman" w:eastAsia="Times New Roman" w:hAnsi="Times New Roman" w:cs="Times New Roman"/>
                <w:noProof/>
                <w:sz w:val="19"/>
              </w:rPr>
            </w:pPr>
            <w:r>
              <w:rPr>
                <w:rFonts w:ascii="Times New Roman" w:hAnsi="Times New Roman"/>
                <w:noProof/>
                <w:color w:val="005F00"/>
                <w:sz w:val="19"/>
              </w:rPr>
              <w:t>3-14</w:t>
            </w:r>
          </w:p>
        </w:tc>
        <w:tc>
          <w:tcPr>
            <w:tcW w:w="2758" w:type="dxa"/>
            <w:shd w:val="clear" w:color="auto" w:fill="C5EDCE"/>
          </w:tcPr>
          <w:p w14:paraId="5A8AEF17"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C3.I1 Soutien au secteur ferroviaire</w:t>
            </w:r>
          </w:p>
        </w:tc>
        <w:tc>
          <w:tcPr>
            <w:tcW w:w="1441" w:type="dxa"/>
            <w:shd w:val="clear" w:color="auto" w:fill="C5EDCE"/>
          </w:tcPr>
          <w:p w14:paraId="5A8AEF18" w14:textId="77777777" w:rsidR="00740F0F" w:rsidRPr="0029070D" w:rsidRDefault="00100B64">
            <w:pPr>
              <w:spacing w:line="206" w:lineRule="exact"/>
              <w:ind w:left="308"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F19" w14:textId="77777777" w:rsidR="00740F0F" w:rsidRPr="0029070D" w:rsidRDefault="00100B64">
            <w:pPr>
              <w:spacing w:line="206" w:lineRule="exact"/>
              <w:ind w:left="116"/>
              <w:rPr>
                <w:rFonts w:ascii="Times New Roman" w:eastAsia="Times New Roman" w:hAnsi="Times New Roman" w:cs="Times New Roman"/>
                <w:noProof/>
                <w:sz w:val="19"/>
              </w:rPr>
            </w:pPr>
            <w:r>
              <w:rPr>
                <w:rFonts w:ascii="Times New Roman" w:hAnsi="Times New Roman"/>
                <w:noProof/>
                <w:color w:val="005F00"/>
                <w:sz w:val="19"/>
              </w:rPr>
              <w:t>Lignes locales de transport de marchandises</w:t>
            </w:r>
          </w:p>
        </w:tc>
      </w:tr>
      <w:tr w:rsidR="00782477" w:rsidRPr="0029070D" w14:paraId="5A8AEF1F" w14:textId="77777777" w:rsidTr="00F84DDA">
        <w:trPr>
          <w:trHeight w:val="493"/>
          <w:jc w:val="center"/>
        </w:trPr>
        <w:tc>
          <w:tcPr>
            <w:tcW w:w="1268" w:type="dxa"/>
            <w:shd w:val="clear" w:color="auto" w:fill="C5EDCE"/>
          </w:tcPr>
          <w:p w14:paraId="5A8AEF1B" w14:textId="77777777" w:rsidR="00740F0F" w:rsidRPr="0029070D" w:rsidRDefault="00100B64">
            <w:pPr>
              <w:spacing w:line="197" w:lineRule="exact"/>
              <w:ind w:right="372"/>
              <w:jc w:val="right"/>
              <w:rPr>
                <w:rFonts w:ascii="Times New Roman" w:eastAsia="Times New Roman" w:hAnsi="Times New Roman" w:cs="Times New Roman"/>
                <w:noProof/>
                <w:sz w:val="19"/>
              </w:rPr>
            </w:pPr>
            <w:r>
              <w:rPr>
                <w:rFonts w:ascii="Times New Roman" w:hAnsi="Times New Roman"/>
                <w:noProof/>
                <w:color w:val="005F00"/>
                <w:sz w:val="19"/>
              </w:rPr>
              <w:t>3-20</w:t>
            </w:r>
          </w:p>
        </w:tc>
        <w:tc>
          <w:tcPr>
            <w:tcW w:w="2758" w:type="dxa"/>
            <w:shd w:val="clear" w:color="auto" w:fill="C5EDCE"/>
          </w:tcPr>
          <w:p w14:paraId="5A8AEF1C" w14:textId="77777777" w:rsidR="00740F0F" w:rsidRPr="0029070D" w:rsidRDefault="00100B64">
            <w:pPr>
              <w:spacing w:line="197" w:lineRule="exact"/>
              <w:ind w:left="121"/>
              <w:rPr>
                <w:rFonts w:ascii="Times New Roman" w:eastAsia="Times New Roman" w:hAnsi="Times New Roman" w:cs="Times New Roman"/>
                <w:noProof/>
                <w:sz w:val="19"/>
              </w:rPr>
            </w:pPr>
            <w:r>
              <w:rPr>
                <w:rFonts w:ascii="Times New Roman" w:hAnsi="Times New Roman"/>
                <w:noProof/>
                <w:color w:val="005F00"/>
                <w:sz w:val="19"/>
              </w:rPr>
              <w:t>C3.I3 Mobilités du quotidien</w:t>
            </w:r>
          </w:p>
        </w:tc>
        <w:tc>
          <w:tcPr>
            <w:tcW w:w="1441" w:type="dxa"/>
            <w:shd w:val="clear" w:color="auto" w:fill="C5EDCE"/>
          </w:tcPr>
          <w:p w14:paraId="5A8AEF1D" w14:textId="77777777" w:rsidR="00740F0F" w:rsidRPr="0029070D" w:rsidRDefault="00100B64">
            <w:pPr>
              <w:spacing w:line="197" w:lineRule="exact"/>
              <w:ind w:left="308"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F1E" w14:textId="77777777" w:rsidR="00740F0F" w:rsidRPr="0029070D" w:rsidRDefault="00100B64">
            <w:pPr>
              <w:spacing w:line="197" w:lineRule="exact"/>
              <w:ind w:left="116"/>
              <w:rPr>
                <w:rFonts w:ascii="Times New Roman" w:eastAsia="Times New Roman" w:hAnsi="Times New Roman" w:cs="Times New Roman"/>
                <w:noProof/>
                <w:sz w:val="19"/>
              </w:rPr>
            </w:pPr>
            <w:r>
              <w:rPr>
                <w:rFonts w:ascii="Times New Roman" w:hAnsi="Times New Roman"/>
                <w:noProof/>
                <w:color w:val="005F00"/>
                <w:sz w:val="19"/>
              </w:rPr>
              <w:t>Infrastructures de transports en commun</w:t>
            </w:r>
          </w:p>
        </w:tc>
      </w:tr>
      <w:tr w:rsidR="00782477" w:rsidRPr="0029070D" w14:paraId="5A8AEF24" w14:textId="77777777" w:rsidTr="00F84DDA">
        <w:trPr>
          <w:trHeight w:val="496"/>
          <w:jc w:val="center"/>
        </w:trPr>
        <w:tc>
          <w:tcPr>
            <w:tcW w:w="1268" w:type="dxa"/>
            <w:shd w:val="clear" w:color="auto" w:fill="C5EDCE"/>
          </w:tcPr>
          <w:p w14:paraId="5A8AEF20" w14:textId="77777777" w:rsidR="00740F0F" w:rsidRPr="0029070D" w:rsidRDefault="00100B64">
            <w:pPr>
              <w:spacing w:line="209" w:lineRule="exact"/>
              <w:ind w:right="348"/>
              <w:jc w:val="right"/>
              <w:rPr>
                <w:rFonts w:ascii="Times New Roman" w:eastAsia="Times New Roman" w:hAnsi="Times New Roman" w:cs="Times New Roman"/>
                <w:noProof/>
                <w:sz w:val="19"/>
              </w:rPr>
            </w:pPr>
            <w:r>
              <w:rPr>
                <w:rFonts w:ascii="Times New Roman" w:hAnsi="Times New Roman"/>
                <w:noProof/>
                <w:color w:val="005F00"/>
                <w:sz w:val="19"/>
              </w:rPr>
              <w:t>3-31</w:t>
            </w:r>
          </w:p>
        </w:tc>
        <w:tc>
          <w:tcPr>
            <w:tcW w:w="2758" w:type="dxa"/>
            <w:shd w:val="clear" w:color="auto" w:fill="C5EDCE"/>
          </w:tcPr>
          <w:p w14:paraId="5A8AEF21" w14:textId="77777777" w:rsidR="00740F0F" w:rsidRPr="0029070D" w:rsidRDefault="00100B64">
            <w:pPr>
              <w:spacing w:line="209" w:lineRule="exact"/>
              <w:ind w:left="121"/>
              <w:rPr>
                <w:rFonts w:ascii="Times New Roman" w:eastAsia="Times New Roman" w:hAnsi="Times New Roman" w:cs="Times New Roman"/>
                <w:noProof/>
                <w:sz w:val="19"/>
              </w:rPr>
            </w:pPr>
            <w:r>
              <w:rPr>
                <w:rFonts w:ascii="Times New Roman" w:hAnsi="Times New Roman"/>
                <w:noProof/>
                <w:color w:val="005F00"/>
                <w:sz w:val="19"/>
              </w:rPr>
              <w:t>C3.I6 Verdissement des ports</w:t>
            </w:r>
          </w:p>
        </w:tc>
        <w:tc>
          <w:tcPr>
            <w:tcW w:w="1441" w:type="dxa"/>
            <w:shd w:val="clear" w:color="auto" w:fill="C5EDCE"/>
          </w:tcPr>
          <w:p w14:paraId="5A8AEF22" w14:textId="77777777" w:rsidR="00740F0F" w:rsidRPr="0029070D" w:rsidRDefault="00100B64">
            <w:pPr>
              <w:spacing w:line="209" w:lineRule="exact"/>
              <w:ind w:left="320" w:right="286"/>
              <w:jc w:val="center"/>
              <w:rPr>
                <w:rFonts w:ascii="Times New Roman" w:eastAsia="Times New Roman" w:hAnsi="Times New Roman" w:cs="Times New Roman"/>
                <w:noProof/>
                <w:sz w:val="19"/>
                <w:szCs w:val="19"/>
              </w:rPr>
            </w:pPr>
            <w:r>
              <w:rPr>
                <w:rFonts w:ascii="Times New Roman" w:hAnsi="Times New Roman"/>
                <w:noProof/>
                <w:color w:val="005F00"/>
                <w:sz w:val="19"/>
              </w:rPr>
              <w:t>Cible</w:t>
            </w:r>
          </w:p>
        </w:tc>
        <w:tc>
          <w:tcPr>
            <w:tcW w:w="4600" w:type="dxa"/>
            <w:shd w:val="clear" w:color="auto" w:fill="C5EDCE"/>
          </w:tcPr>
          <w:p w14:paraId="5A8AEF23" w14:textId="77777777" w:rsidR="00740F0F" w:rsidRPr="0029070D" w:rsidRDefault="00100B64">
            <w:pPr>
              <w:spacing w:line="209" w:lineRule="exact"/>
              <w:ind w:left="116"/>
              <w:rPr>
                <w:rFonts w:ascii="Times New Roman" w:eastAsia="Times New Roman" w:hAnsi="Times New Roman" w:cs="Times New Roman"/>
                <w:noProof/>
                <w:sz w:val="19"/>
                <w:szCs w:val="19"/>
              </w:rPr>
            </w:pPr>
            <w:r>
              <w:rPr>
                <w:rFonts w:ascii="Times New Roman" w:hAnsi="Times New Roman"/>
                <w:noProof/>
                <w:color w:val="005F00"/>
                <w:sz w:val="19"/>
              </w:rPr>
              <w:t>Enregistrement de navires</w:t>
            </w:r>
          </w:p>
        </w:tc>
      </w:tr>
      <w:tr w:rsidR="00782477" w:rsidRPr="0029070D" w14:paraId="5A8AEF29" w14:textId="77777777" w:rsidTr="00F84DDA">
        <w:trPr>
          <w:trHeight w:val="525"/>
          <w:jc w:val="center"/>
        </w:trPr>
        <w:tc>
          <w:tcPr>
            <w:tcW w:w="1268" w:type="dxa"/>
            <w:shd w:val="clear" w:color="auto" w:fill="C5EDCE"/>
          </w:tcPr>
          <w:p w14:paraId="5A8AEF25" w14:textId="77777777" w:rsidR="00740F0F" w:rsidRPr="0029070D" w:rsidRDefault="00100B64">
            <w:pPr>
              <w:spacing w:line="206" w:lineRule="exact"/>
              <w:ind w:right="414"/>
              <w:jc w:val="right"/>
              <w:rPr>
                <w:rFonts w:ascii="Times New Roman" w:eastAsia="Times New Roman" w:hAnsi="Times New Roman" w:cs="Times New Roman"/>
                <w:noProof/>
                <w:sz w:val="19"/>
              </w:rPr>
            </w:pPr>
            <w:r>
              <w:rPr>
                <w:rFonts w:ascii="Times New Roman" w:hAnsi="Times New Roman"/>
                <w:noProof/>
                <w:color w:val="005F00"/>
                <w:sz w:val="19"/>
              </w:rPr>
              <w:t>4-9</w:t>
            </w:r>
          </w:p>
        </w:tc>
        <w:tc>
          <w:tcPr>
            <w:tcW w:w="2758" w:type="dxa"/>
            <w:shd w:val="clear" w:color="auto" w:fill="C5EDCE"/>
          </w:tcPr>
          <w:p w14:paraId="5A8AEF26"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C4.I2 Développer l’hydrogène décarboné</w:t>
            </w:r>
          </w:p>
        </w:tc>
        <w:tc>
          <w:tcPr>
            <w:tcW w:w="1441" w:type="dxa"/>
            <w:shd w:val="clear" w:color="auto" w:fill="C5EDCE"/>
          </w:tcPr>
          <w:p w14:paraId="5A8AEF27" w14:textId="77777777" w:rsidR="00740F0F" w:rsidRPr="0029070D" w:rsidRDefault="00100B64">
            <w:pPr>
              <w:spacing w:line="206" w:lineRule="exact"/>
              <w:ind w:left="308"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F28" w14:textId="77777777" w:rsidR="00740F0F" w:rsidRPr="0029070D" w:rsidRDefault="00100B64">
            <w:pPr>
              <w:spacing w:line="206" w:lineRule="exact"/>
              <w:ind w:left="116"/>
              <w:rPr>
                <w:rFonts w:ascii="Times New Roman" w:eastAsia="Times New Roman" w:hAnsi="Times New Roman" w:cs="Times New Roman"/>
                <w:noProof/>
                <w:sz w:val="19"/>
              </w:rPr>
            </w:pPr>
            <w:r>
              <w:rPr>
                <w:rFonts w:ascii="Times New Roman" w:hAnsi="Times New Roman"/>
                <w:noProof/>
                <w:color w:val="005F00"/>
                <w:sz w:val="19"/>
              </w:rPr>
              <w:t>Capacité de production d’électrolyseurs</w:t>
            </w:r>
          </w:p>
        </w:tc>
      </w:tr>
      <w:tr w:rsidR="00782477" w:rsidRPr="0029070D" w14:paraId="5A8AEF2E" w14:textId="77777777" w:rsidTr="00F84DDA">
        <w:trPr>
          <w:trHeight w:val="525"/>
          <w:jc w:val="center"/>
        </w:trPr>
        <w:tc>
          <w:tcPr>
            <w:tcW w:w="1268" w:type="dxa"/>
            <w:shd w:val="clear" w:color="auto" w:fill="C5EDCE"/>
          </w:tcPr>
          <w:p w14:paraId="5A8AEF2A" w14:textId="77777777" w:rsidR="00740F0F" w:rsidRPr="0029070D" w:rsidRDefault="00100B64">
            <w:pPr>
              <w:spacing w:line="207" w:lineRule="exact"/>
              <w:ind w:right="372"/>
              <w:jc w:val="right"/>
              <w:rPr>
                <w:rFonts w:ascii="Times New Roman" w:eastAsia="Times New Roman" w:hAnsi="Times New Roman" w:cs="Times New Roman"/>
                <w:noProof/>
                <w:sz w:val="19"/>
              </w:rPr>
            </w:pPr>
            <w:r>
              <w:rPr>
                <w:rFonts w:ascii="Times New Roman" w:hAnsi="Times New Roman"/>
                <w:noProof/>
                <w:color w:val="005F00"/>
                <w:sz w:val="19"/>
              </w:rPr>
              <w:t>4-12</w:t>
            </w:r>
          </w:p>
        </w:tc>
        <w:tc>
          <w:tcPr>
            <w:tcW w:w="2758" w:type="dxa"/>
            <w:shd w:val="clear" w:color="auto" w:fill="C5EDCE"/>
          </w:tcPr>
          <w:p w14:paraId="5A8AEF2B" w14:textId="77777777" w:rsidR="00740F0F" w:rsidRPr="0029070D" w:rsidRDefault="00100B64">
            <w:pPr>
              <w:ind w:left="121"/>
              <w:rPr>
                <w:rFonts w:ascii="Times New Roman" w:eastAsia="Times New Roman" w:hAnsi="Times New Roman" w:cs="Times New Roman"/>
                <w:noProof/>
                <w:sz w:val="19"/>
              </w:rPr>
            </w:pPr>
            <w:r>
              <w:rPr>
                <w:rFonts w:ascii="Times New Roman" w:hAnsi="Times New Roman"/>
                <w:noProof/>
                <w:color w:val="005F00"/>
                <w:sz w:val="19"/>
              </w:rPr>
              <w:t>C4.I3 Plan de soutien au secteur de l’aéronautique</w:t>
            </w:r>
          </w:p>
        </w:tc>
        <w:tc>
          <w:tcPr>
            <w:tcW w:w="1441" w:type="dxa"/>
            <w:shd w:val="clear" w:color="auto" w:fill="C5EDCE"/>
          </w:tcPr>
          <w:p w14:paraId="5A8AEF2C" w14:textId="77777777" w:rsidR="00740F0F" w:rsidRPr="0029070D" w:rsidRDefault="00100B64">
            <w:pPr>
              <w:spacing w:line="207" w:lineRule="exact"/>
              <w:ind w:left="308"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F2D" w14:textId="17DAAD01" w:rsidR="00740F0F" w:rsidRPr="0029070D" w:rsidRDefault="00100B64">
            <w:pPr>
              <w:ind w:left="116" w:right="444"/>
              <w:rPr>
                <w:rFonts w:ascii="Times New Roman" w:eastAsia="Times New Roman" w:hAnsi="Times New Roman" w:cs="Times New Roman"/>
                <w:noProof/>
                <w:sz w:val="19"/>
              </w:rPr>
            </w:pPr>
            <w:r>
              <w:rPr>
                <w:rFonts w:ascii="Times New Roman" w:hAnsi="Times New Roman"/>
                <w:noProof/>
                <w:color w:val="005F00"/>
                <w:sz w:val="19"/>
              </w:rPr>
              <w:t>Nombre de projets soutenus</w:t>
            </w:r>
          </w:p>
        </w:tc>
      </w:tr>
      <w:tr w:rsidR="00782477" w:rsidRPr="0029070D" w14:paraId="5A8AEF33" w14:textId="77777777" w:rsidTr="00F84DDA">
        <w:trPr>
          <w:trHeight w:val="525"/>
          <w:jc w:val="center"/>
        </w:trPr>
        <w:tc>
          <w:tcPr>
            <w:tcW w:w="1268" w:type="dxa"/>
            <w:shd w:val="clear" w:color="auto" w:fill="C5EDCE"/>
          </w:tcPr>
          <w:p w14:paraId="5A8AEF2F" w14:textId="77777777" w:rsidR="00740F0F" w:rsidRPr="0029070D" w:rsidRDefault="00100B64">
            <w:pPr>
              <w:spacing w:line="206" w:lineRule="exact"/>
              <w:ind w:right="414"/>
              <w:jc w:val="right"/>
              <w:rPr>
                <w:rFonts w:ascii="Times New Roman" w:eastAsia="Times New Roman" w:hAnsi="Times New Roman" w:cs="Times New Roman"/>
                <w:noProof/>
                <w:sz w:val="19"/>
              </w:rPr>
            </w:pPr>
            <w:r>
              <w:rPr>
                <w:rFonts w:ascii="Times New Roman" w:hAnsi="Times New Roman"/>
                <w:noProof/>
                <w:color w:val="005F00"/>
                <w:sz w:val="19"/>
              </w:rPr>
              <w:t>6-3</w:t>
            </w:r>
          </w:p>
        </w:tc>
        <w:tc>
          <w:tcPr>
            <w:tcW w:w="2758" w:type="dxa"/>
            <w:shd w:val="clear" w:color="auto" w:fill="C5EDCE"/>
          </w:tcPr>
          <w:p w14:paraId="5A8AEF30"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C6.R1 Loi sur la programmation de la recherche</w:t>
            </w:r>
          </w:p>
        </w:tc>
        <w:tc>
          <w:tcPr>
            <w:tcW w:w="1441" w:type="dxa"/>
            <w:shd w:val="clear" w:color="auto" w:fill="C5EDCE"/>
          </w:tcPr>
          <w:p w14:paraId="5A8AEF31" w14:textId="77777777" w:rsidR="00740F0F" w:rsidRPr="0029070D" w:rsidRDefault="00100B64">
            <w:pPr>
              <w:spacing w:line="206" w:lineRule="exact"/>
              <w:ind w:left="308"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F32" w14:textId="77777777" w:rsidR="00740F0F" w:rsidRPr="0029070D" w:rsidRDefault="00100B64">
            <w:pPr>
              <w:ind w:left="116"/>
              <w:rPr>
                <w:rFonts w:ascii="Times New Roman" w:eastAsia="Times New Roman" w:hAnsi="Times New Roman" w:cs="Times New Roman"/>
                <w:noProof/>
                <w:sz w:val="19"/>
              </w:rPr>
            </w:pPr>
            <w:r>
              <w:rPr>
                <w:rFonts w:ascii="Times New Roman" w:hAnsi="Times New Roman"/>
                <w:noProof/>
                <w:color w:val="005F00"/>
                <w:sz w:val="19"/>
              </w:rPr>
              <w:t>Loi nº 2020-1674 du 24 décembre 2020- augmentation des crédits de la recherche publique</w:t>
            </w:r>
          </w:p>
        </w:tc>
      </w:tr>
      <w:tr w:rsidR="00782477" w:rsidRPr="0029070D" w14:paraId="5A8AEF38" w14:textId="77777777" w:rsidTr="00F84DDA">
        <w:trPr>
          <w:trHeight w:val="510"/>
          <w:jc w:val="center"/>
        </w:trPr>
        <w:tc>
          <w:tcPr>
            <w:tcW w:w="1268" w:type="dxa"/>
            <w:shd w:val="clear" w:color="auto" w:fill="C5EDCE"/>
          </w:tcPr>
          <w:p w14:paraId="5A8AEF34" w14:textId="77777777" w:rsidR="00740F0F" w:rsidRPr="0029070D" w:rsidRDefault="00100B64">
            <w:pPr>
              <w:spacing w:line="206" w:lineRule="exact"/>
              <w:ind w:right="414"/>
              <w:jc w:val="right"/>
              <w:rPr>
                <w:rFonts w:ascii="Times New Roman" w:eastAsia="Times New Roman" w:hAnsi="Times New Roman" w:cs="Times New Roman"/>
                <w:noProof/>
                <w:sz w:val="19"/>
              </w:rPr>
            </w:pPr>
            <w:r>
              <w:rPr>
                <w:rFonts w:ascii="Times New Roman" w:hAnsi="Times New Roman"/>
                <w:noProof/>
                <w:color w:val="005F00"/>
                <w:sz w:val="19"/>
              </w:rPr>
              <w:t>7-2</w:t>
            </w:r>
          </w:p>
        </w:tc>
        <w:tc>
          <w:tcPr>
            <w:tcW w:w="2758" w:type="dxa"/>
            <w:shd w:val="clear" w:color="auto" w:fill="C5EDCE"/>
          </w:tcPr>
          <w:p w14:paraId="5A8AEF35"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C7.R1 Loi 3DS</w:t>
            </w:r>
          </w:p>
        </w:tc>
        <w:tc>
          <w:tcPr>
            <w:tcW w:w="1441" w:type="dxa"/>
            <w:shd w:val="clear" w:color="auto" w:fill="C5EDCE"/>
          </w:tcPr>
          <w:p w14:paraId="5A8AEF36" w14:textId="77777777" w:rsidR="00740F0F" w:rsidRPr="0029070D" w:rsidRDefault="00100B64">
            <w:pPr>
              <w:spacing w:line="206" w:lineRule="exact"/>
              <w:ind w:left="320" w:right="286"/>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600" w:type="dxa"/>
            <w:shd w:val="clear" w:color="auto" w:fill="C5EDCE"/>
          </w:tcPr>
          <w:p w14:paraId="5A8AEF37" w14:textId="48BFFAFE" w:rsidR="00740F0F" w:rsidRPr="0029070D" w:rsidRDefault="009447E5">
            <w:pPr>
              <w:spacing w:line="206" w:lineRule="exact"/>
              <w:ind w:left="116"/>
              <w:rPr>
                <w:rFonts w:ascii="Times New Roman" w:eastAsia="Times New Roman" w:hAnsi="Times New Roman" w:cs="Times New Roman"/>
                <w:noProof/>
                <w:sz w:val="19"/>
              </w:rPr>
            </w:pPr>
            <w:r>
              <w:rPr>
                <w:rFonts w:ascii="Times New Roman" w:hAnsi="Times New Roman"/>
                <w:noProof/>
                <w:color w:val="005F00"/>
                <w:sz w:val="19"/>
              </w:rPr>
              <w:t>Évaluation du principe de différenciation dans le cadre de la loi 3DS</w:t>
            </w:r>
          </w:p>
        </w:tc>
      </w:tr>
      <w:tr w:rsidR="00782477" w:rsidRPr="0029070D" w14:paraId="5A8AEF3D" w14:textId="77777777" w:rsidTr="00F84DDA">
        <w:trPr>
          <w:trHeight w:val="508"/>
          <w:jc w:val="center"/>
        </w:trPr>
        <w:tc>
          <w:tcPr>
            <w:tcW w:w="1268" w:type="dxa"/>
            <w:shd w:val="clear" w:color="auto" w:fill="C5EDCE"/>
          </w:tcPr>
          <w:p w14:paraId="5A8AEF39" w14:textId="77777777" w:rsidR="00740F0F" w:rsidRPr="0029070D" w:rsidRDefault="00100B64">
            <w:pPr>
              <w:spacing w:line="197" w:lineRule="exact"/>
              <w:ind w:right="414"/>
              <w:jc w:val="right"/>
              <w:rPr>
                <w:rFonts w:ascii="Times New Roman" w:eastAsia="Times New Roman" w:hAnsi="Times New Roman" w:cs="Times New Roman"/>
                <w:noProof/>
                <w:sz w:val="19"/>
              </w:rPr>
            </w:pPr>
            <w:r>
              <w:rPr>
                <w:rFonts w:ascii="Times New Roman" w:hAnsi="Times New Roman"/>
                <w:noProof/>
                <w:color w:val="005F00"/>
                <w:sz w:val="19"/>
              </w:rPr>
              <w:t>7-4</w:t>
            </w:r>
          </w:p>
        </w:tc>
        <w:tc>
          <w:tcPr>
            <w:tcW w:w="2758" w:type="dxa"/>
            <w:shd w:val="clear" w:color="auto" w:fill="C5EDCE"/>
          </w:tcPr>
          <w:p w14:paraId="5A8AEF3A" w14:textId="77777777" w:rsidR="00740F0F" w:rsidRPr="0029070D" w:rsidRDefault="00100B64">
            <w:pPr>
              <w:spacing w:line="225" w:lineRule="auto"/>
              <w:ind w:left="121" w:right="1220"/>
              <w:rPr>
                <w:rFonts w:ascii="Times New Roman" w:eastAsia="Times New Roman" w:hAnsi="Times New Roman" w:cs="Times New Roman"/>
                <w:noProof/>
                <w:sz w:val="19"/>
              </w:rPr>
            </w:pPr>
            <w:r>
              <w:rPr>
                <w:rFonts w:ascii="Times New Roman" w:hAnsi="Times New Roman"/>
                <w:noProof/>
                <w:color w:val="005F00"/>
                <w:sz w:val="19"/>
              </w:rPr>
              <w:t>C7.R2 Loi organique Expérimentation</w:t>
            </w:r>
          </w:p>
        </w:tc>
        <w:tc>
          <w:tcPr>
            <w:tcW w:w="1441" w:type="dxa"/>
            <w:shd w:val="clear" w:color="auto" w:fill="C5EDCE"/>
          </w:tcPr>
          <w:p w14:paraId="5A8AEF3B" w14:textId="77777777" w:rsidR="00740F0F" w:rsidRPr="0029070D" w:rsidRDefault="00100B64">
            <w:pPr>
              <w:spacing w:line="197" w:lineRule="exact"/>
              <w:ind w:left="320" w:right="286"/>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600" w:type="dxa"/>
            <w:shd w:val="clear" w:color="auto" w:fill="C5EDCE"/>
          </w:tcPr>
          <w:p w14:paraId="5A8AEF3C" w14:textId="5120EFCD" w:rsidR="00740F0F" w:rsidRPr="0029070D" w:rsidRDefault="00D74432">
            <w:pPr>
              <w:spacing w:line="206" w:lineRule="exact"/>
              <w:ind w:left="116"/>
              <w:rPr>
                <w:rFonts w:ascii="Times New Roman" w:eastAsia="Times New Roman" w:hAnsi="Times New Roman" w:cs="Times New Roman"/>
                <w:noProof/>
                <w:sz w:val="19"/>
              </w:rPr>
            </w:pPr>
            <w:r>
              <w:rPr>
                <w:rFonts w:ascii="Times New Roman" w:hAnsi="Times New Roman"/>
                <w:noProof/>
                <w:color w:val="005F00"/>
                <w:sz w:val="19"/>
              </w:rPr>
              <w:t>Évaluation des propositions expérimentales</w:t>
            </w:r>
          </w:p>
        </w:tc>
      </w:tr>
      <w:tr w:rsidR="00782477" w:rsidRPr="0029070D" w14:paraId="5A8AEF42" w14:textId="77777777" w:rsidTr="00F84DDA">
        <w:trPr>
          <w:trHeight w:val="659"/>
          <w:jc w:val="center"/>
        </w:trPr>
        <w:tc>
          <w:tcPr>
            <w:tcW w:w="1268" w:type="dxa"/>
            <w:shd w:val="clear" w:color="auto" w:fill="C5EDCE"/>
          </w:tcPr>
          <w:p w14:paraId="5A8AEF3E" w14:textId="77777777" w:rsidR="00740F0F" w:rsidRPr="0029070D" w:rsidRDefault="00100B64">
            <w:pPr>
              <w:spacing w:line="199" w:lineRule="exact"/>
              <w:ind w:right="339"/>
              <w:jc w:val="right"/>
              <w:rPr>
                <w:rFonts w:ascii="Times New Roman" w:eastAsia="Times New Roman" w:hAnsi="Times New Roman" w:cs="Times New Roman"/>
                <w:noProof/>
                <w:sz w:val="19"/>
              </w:rPr>
            </w:pPr>
            <w:r>
              <w:rPr>
                <w:rFonts w:ascii="Times New Roman" w:hAnsi="Times New Roman"/>
                <w:noProof/>
                <w:color w:val="005F00"/>
                <w:sz w:val="19"/>
              </w:rPr>
              <w:t>7-14a</w:t>
            </w:r>
          </w:p>
        </w:tc>
        <w:tc>
          <w:tcPr>
            <w:tcW w:w="2758" w:type="dxa"/>
            <w:shd w:val="clear" w:color="auto" w:fill="C5EDCE"/>
          </w:tcPr>
          <w:p w14:paraId="5A8AEF3F" w14:textId="77777777" w:rsidR="00740F0F" w:rsidRPr="0029070D" w:rsidRDefault="00100B64">
            <w:pPr>
              <w:spacing w:line="223" w:lineRule="auto"/>
              <w:ind w:left="121" w:right="35"/>
              <w:rPr>
                <w:rFonts w:ascii="Times New Roman" w:eastAsia="Times New Roman" w:hAnsi="Times New Roman" w:cs="Times New Roman"/>
                <w:noProof/>
                <w:sz w:val="19"/>
              </w:rPr>
            </w:pPr>
            <w:r>
              <w:rPr>
                <w:rFonts w:ascii="Times New Roman" w:hAnsi="Times New Roman"/>
                <w:noProof/>
                <w:color w:val="005F00"/>
                <w:sz w:val="19"/>
              </w:rPr>
              <w:t>C7.R5 Évaluation de la qualité des dépenses publiques</w:t>
            </w:r>
          </w:p>
        </w:tc>
        <w:tc>
          <w:tcPr>
            <w:tcW w:w="1441" w:type="dxa"/>
            <w:shd w:val="clear" w:color="auto" w:fill="C5EDCE"/>
          </w:tcPr>
          <w:p w14:paraId="5A8AEF40" w14:textId="77777777" w:rsidR="00740F0F" w:rsidRPr="0029070D" w:rsidRDefault="00100B64">
            <w:pPr>
              <w:spacing w:line="199" w:lineRule="exact"/>
              <w:ind w:left="305" w:right="291"/>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600" w:type="dxa"/>
            <w:shd w:val="clear" w:color="auto" w:fill="C5EDCE"/>
          </w:tcPr>
          <w:p w14:paraId="5A8AEF41" w14:textId="4597035B" w:rsidR="00740F0F" w:rsidRPr="0029070D" w:rsidRDefault="00100B64">
            <w:pPr>
              <w:spacing w:line="212" w:lineRule="exact"/>
              <w:ind w:left="116"/>
              <w:rPr>
                <w:rFonts w:ascii="Times New Roman" w:eastAsia="Times New Roman" w:hAnsi="Times New Roman" w:cs="Times New Roman"/>
                <w:noProof/>
                <w:sz w:val="19"/>
              </w:rPr>
            </w:pPr>
            <w:r>
              <w:rPr>
                <w:rFonts w:ascii="Times New Roman" w:hAnsi="Times New Roman"/>
                <w:noProof/>
                <w:color w:val="005F00"/>
                <w:sz w:val="19"/>
              </w:rPr>
              <w:t xml:space="preserve"> Évaluation des mesures prises pour améliorer la qualité des dépenses publiques et adoptées depuis la loi de finances 2023</w:t>
            </w:r>
          </w:p>
        </w:tc>
      </w:tr>
      <w:tr w:rsidR="00782477" w:rsidRPr="0029070D" w14:paraId="5A8AEF4C" w14:textId="77777777" w:rsidTr="00F84DDA">
        <w:trPr>
          <w:trHeight w:val="525"/>
          <w:jc w:val="center"/>
        </w:trPr>
        <w:tc>
          <w:tcPr>
            <w:tcW w:w="1268" w:type="dxa"/>
            <w:shd w:val="clear" w:color="auto" w:fill="C5EDCE"/>
          </w:tcPr>
          <w:p w14:paraId="5A8AEF48" w14:textId="77777777" w:rsidR="00740F0F" w:rsidRPr="0029070D" w:rsidRDefault="00100B64">
            <w:pPr>
              <w:spacing w:line="206" w:lineRule="exact"/>
              <w:ind w:right="372"/>
              <w:jc w:val="right"/>
              <w:rPr>
                <w:rFonts w:ascii="Times New Roman" w:eastAsia="Times New Roman" w:hAnsi="Times New Roman" w:cs="Times New Roman"/>
                <w:noProof/>
                <w:sz w:val="19"/>
              </w:rPr>
            </w:pPr>
            <w:r>
              <w:rPr>
                <w:rFonts w:ascii="Times New Roman" w:hAnsi="Times New Roman"/>
                <w:noProof/>
                <w:color w:val="005F00"/>
                <w:sz w:val="19"/>
              </w:rPr>
              <w:t>7-23</w:t>
            </w:r>
          </w:p>
        </w:tc>
        <w:tc>
          <w:tcPr>
            <w:tcW w:w="2758" w:type="dxa"/>
            <w:shd w:val="clear" w:color="auto" w:fill="C5EDCE"/>
          </w:tcPr>
          <w:p w14:paraId="5A8AEF49"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C7.I6 Applications du ministère de l’intérieur</w:t>
            </w:r>
          </w:p>
        </w:tc>
        <w:tc>
          <w:tcPr>
            <w:tcW w:w="1441" w:type="dxa"/>
            <w:shd w:val="clear" w:color="auto" w:fill="C5EDCE"/>
          </w:tcPr>
          <w:p w14:paraId="5A8AEF4A" w14:textId="77777777" w:rsidR="00740F0F" w:rsidRPr="0029070D" w:rsidRDefault="00100B64">
            <w:pPr>
              <w:spacing w:line="206" w:lineRule="exact"/>
              <w:ind w:left="320" w:right="286"/>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600" w:type="dxa"/>
            <w:shd w:val="clear" w:color="auto" w:fill="C5EDCE"/>
          </w:tcPr>
          <w:p w14:paraId="5A8AEF4B" w14:textId="69959BE1" w:rsidR="00740F0F" w:rsidRPr="0029070D" w:rsidRDefault="00100B64">
            <w:pPr>
              <w:ind w:left="116"/>
              <w:rPr>
                <w:rFonts w:ascii="Times New Roman" w:eastAsia="Times New Roman" w:hAnsi="Times New Roman" w:cs="Times New Roman"/>
                <w:noProof/>
                <w:sz w:val="19"/>
              </w:rPr>
            </w:pPr>
            <w:r>
              <w:rPr>
                <w:rFonts w:ascii="Times New Roman" w:hAnsi="Times New Roman"/>
                <w:noProof/>
                <w:color w:val="005F00"/>
                <w:sz w:val="19"/>
              </w:rPr>
              <w:t>Investissement dans les applications numériques, ou logiciels, ou systèmes développés pour le ministère de l’intérieur</w:t>
            </w:r>
          </w:p>
        </w:tc>
      </w:tr>
      <w:tr w:rsidR="00782477" w:rsidRPr="0029070D" w14:paraId="5A8AEF51" w14:textId="77777777" w:rsidTr="00F84DDA">
        <w:trPr>
          <w:trHeight w:val="496"/>
          <w:jc w:val="center"/>
        </w:trPr>
        <w:tc>
          <w:tcPr>
            <w:tcW w:w="1268" w:type="dxa"/>
            <w:shd w:val="clear" w:color="auto" w:fill="C5EDCE"/>
          </w:tcPr>
          <w:p w14:paraId="5A8AEF4D" w14:textId="77777777" w:rsidR="00740F0F" w:rsidRPr="0029070D" w:rsidRDefault="00100B64">
            <w:pPr>
              <w:spacing w:line="197" w:lineRule="exact"/>
              <w:ind w:right="372"/>
              <w:jc w:val="right"/>
              <w:rPr>
                <w:rFonts w:ascii="Times New Roman" w:eastAsia="Times New Roman" w:hAnsi="Times New Roman" w:cs="Times New Roman"/>
                <w:noProof/>
                <w:sz w:val="19"/>
              </w:rPr>
            </w:pPr>
            <w:r>
              <w:rPr>
                <w:rFonts w:ascii="Times New Roman" w:hAnsi="Times New Roman"/>
                <w:noProof/>
                <w:color w:val="005F00"/>
                <w:sz w:val="19"/>
              </w:rPr>
              <w:t>7-28</w:t>
            </w:r>
          </w:p>
        </w:tc>
        <w:tc>
          <w:tcPr>
            <w:tcW w:w="2758" w:type="dxa"/>
            <w:shd w:val="clear" w:color="auto" w:fill="C5EDCE"/>
          </w:tcPr>
          <w:p w14:paraId="5A8AEF4E" w14:textId="77777777" w:rsidR="00740F0F" w:rsidRPr="0029070D" w:rsidRDefault="00100B64">
            <w:pPr>
              <w:spacing w:line="197" w:lineRule="exact"/>
              <w:ind w:left="121"/>
              <w:rPr>
                <w:rFonts w:ascii="Times New Roman" w:eastAsia="Times New Roman" w:hAnsi="Times New Roman" w:cs="Times New Roman"/>
                <w:noProof/>
                <w:sz w:val="19"/>
              </w:rPr>
            </w:pPr>
            <w:r>
              <w:rPr>
                <w:rFonts w:ascii="Times New Roman" w:hAnsi="Times New Roman"/>
                <w:noProof/>
                <w:color w:val="005F00"/>
                <w:sz w:val="19"/>
              </w:rPr>
              <w:t>C7.I11 Culture</w:t>
            </w:r>
          </w:p>
        </w:tc>
        <w:tc>
          <w:tcPr>
            <w:tcW w:w="1441" w:type="dxa"/>
            <w:shd w:val="clear" w:color="auto" w:fill="C5EDCE"/>
          </w:tcPr>
          <w:p w14:paraId="5A8AEF4F" w14:textId="77777777" w:rsidR="00740F0F" w:rsidRPr="0029070D" w:rsidRDefault="00100B64">
            <w:pPr>
              <w:spacing w:line="197" w:lineRule="exact"/>
              <w:ind w:left="308"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F50" w14:textId="77777777" w:rsidR="00740F0F" w:rsidRPr="0029070D" w:rsidRDefault="00100B64">
            <w:pPr>
              <w:spacing w:line="197" w:lineRule="exact"/>
              <w:ind w:left="116"/>
              <w:rPr>
                <w:rFonts w:ascii="Times New Roman" w:eastAsia="Times New Roman" w:hAnsi="Times New Roman" w:cs="Times New Roman"/>
                <w:noProof/>
                <w:sz w:val="19"/>
              </w:rPr>
            </w:pPr>
            <w:r>
              <w:rPr>
                <w:rFonts w:ascii="Times New Roman" w:hAnsi="Times New Roman"/>
                <w:noProof/>
                <w:color w:val="005F00"/>
                <w:sz w:val="19"/>
              </w:rPr>
              <w:t>Cathédrales et monuments historiques nationaux</w:t>
            </w:r>
          </w:p>
        </w:tc>
      </w:tr>
      <w:tr w:rsidR="00782477" w:rsidRPr="0029070D" w14:paraId="5A8AEF56" w14:textId="77777777" w:rsidTr="00F84DDA">
        <w:trPr>
          <w:trHeight w:val="524"/>
          <w:jc w:val="center"/>
        </w:trPr>
        <w:tc>
          <w:tcPr>
            <w:tcW w:w="1268" w:type="dxa"/>
            <w:shd w:val="clear" w:color="auto" w:fill="C5EDCE"/>
          </w:tcPr>
          <w:p w14:paraId="5A8AEF52" w14:textId="77777777" w:rsidR="00740F0F" w:rsidRPr="0029070D" w:rsidRDefault="00100B64">
            <w:pPr>
              <w:spacing w:line="206" w:lineRule="exact"/>
              <w:ind w:right="372"/>
              <w:jc w:val="right"/>
              <w:rPr>
                <w:rFonts w:ascii="Times New Roman" w:eastAsia="Times New Roman" w:hAnsi="Times New Roman" w:cs="Times New Roman"/>
                <w:noProof/>
                <w:sz w:val="19"/>
              </w:rPr>
            </w:pPr>
            <w:r>
              <w:rPr>
                <w:rFonts w:ascii="Times New Roman" w:hAnsi="Times New Roman"/>
                <w:noProof/>
                <w:color w:val="005F00"/>
                <w:sz w:val="19"/>
              </w:rPr>
              <w:t>7-29</w:t>
            </w:r>
          </w:p>
        </w:tc>
        <w:tc>
          <w:tcPr>
            <w:tcW w:w="2758" w:type="dxa"/>
            <w:shd w:val="clear" w:color="auto" w:fill="C5EDCE"/>
          </w:tcPr>
          <w:p w14:paraId="5A8AEF53"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C7.I11 Culture</w:t>
            </w:r>
          </w:p>
        </w:tc>
        <w:tc>
          <w:tcPr>
            <w:tcW w:w="1441" w:type="dxa"/>
            <w:shd w:val="clear" w:color="auto" w:fill="C5EDCE"/>
          </w:tcPr>
          <w:p w14:paraId="5A8AEF54" w14:textId="77777777" w:rsidR="00740F0F" w:rsidRPr="0029070D" w:rsidRDefault="00100B64">
            <w:pPr>
              <w:spacing w:line="206" w:lineRule="exact"/>
              <w:ind w:left="320" w:right="286"/>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F55" w14:textId="7421A508" w:rsidR="00740F0F" w:rsidRPr="0029070D" w:rsidRDefault="00100B64">
            <w:pPr>
              <w:ind w:left="116"/>
              <w:rPr>
                <w:rFonts w:ascii="Times New Roman" w:eastAsia="Times New Roman" w:hAnsi="Times New Roman" w:cs="Times New Roman"/>
                <w:noProof/>
                <w:sz w:val="19"/>
              </w:rPr>
            </w:pPr>
            <w:r>
              <w:rPr>
                <w:rFonts w:ascii="Times New Roman" w:hAnsi="Times New Roman"/>
                <w:noProof/>
                <w:color w:val="005F00"/>
                <w:sz w:val="19"/>
              </w:rPr>
              <w:t>Monuments appartenant aux autorités locales ou à des propriétaires privés</w:t>
            </w:r>
          </w:p>
        </w:tc>
      </w:tr>
      <w:tr w:rsidR="00782477" w:rsidRPr="0029070D" w14:paraId="5A8AEF5B" w14:textId="77777777" w:rsidTr="00F84DDA">
        <w:trPr>
          <w:trHeight w:val="525"/>
          <w:jc w:val="center"/>
        </w:trPr>
        <w:tc>
          <w:tcPr>
            <w:tcW w:w="1268" w:type="dxa"/>
            <w:shd w:val="clear" w:color="auto" w:fill="C5EDCE"/>
          </w:tcPr>
          <w:p w14:paraId="5A8AEF57" w14:textId="77777777" w:rsidR="00740F0F" w:rsidRPr="0029070D" w:rsidRDefault="00100B64">
            <w:pPr>
              <w:spacing w:line="206" w:lineRule="exact"/>
              <w:ind w:right="382"/>
              <w:jc w:val="right"/>
              <w:rPr>
                <w:rFonts w:ascii="Times New Roman" w:eastAsia="Times New Roman" w:hAnsi="Times New Roman" w:cs="Times New Roman"/>
                <w:noProof/>
                <w:sz w:val="19"/>
              </w:rPr>
            </w:pPr>
            <w:r>
              <w:rPr>
                <w:rFonts w:ascii="Times New Roman" w:hAnsi="Times New Roman"/>
                <w:noProof/>
                <w:color w:val="005F00"/>
                <w:sz w:val="19"/>
              </w:rPr>
              <w:t>7-30</w:t>
            </w:r>
          </w:p>
        </w:tc>
        <w:tc>
          <w:tcPr>
            <w:tcW w:w="2758" w:type="dxa"/>
            <w:shd w:val="clear" w:color="auto" w:fill="C5EDCE"/>
          </w:tcPr>
          <w:p w14:paraId="5A8AEF58" w14:textId="77777777" w:rsidR="00740F0F" w:rsidRPr="0029070D" w:rsidRDefault="00100B64">
            <w:pPr>
              <w:spacing w:line="206" w:lineRule="exact"/>
              <w:ind w:left="104"/>
              <w:rPr>
                <w:rFonts w:ascii="Times New Roman" w:eastAsia="Times New Roman" w:hAnsi="Times New Roman" w:cs="Times New Roman"/>
                <w:noProof/>
                <w:sz w:val="19"/>
              </w:rPr>
            </w:pPr>
            <w:r>
              <w:rPr>
                <w:rFonts w:ascii="Times New Roman" w:hAnsi="Times New Roman"/>
                <w:noProof/>
                <w:color w:val="005F00"/>
                <w:sz w:val="19"/>
              </w:rPr>
              <w:t>C7.I11 Culture</w:t>
            </w:r>
          </w:p>
        </w:tc>
        <w:tc>
          <w:tcPr>
            <w:tcW w:w="1441" w:type="dxa"/>
            <w:shd w:val="clear" w:color="auto" w:fill="C5EDCE"/>
          </w:tcPr>
          <w:p w14:paraId="5A8AEF59" w14:textId="77777777" w:rsidR="00740F0F" w:rsidRPr="0029070D" w:rsidRDefault="00100B64">
            <w:pPr>
              <w:spacing w:line="206" w:lineRule="exact"/>
              <w:ind w:left="308"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F5A" w14:textId="77777777" w:rsidR="00740F0F" w:rsidRPr="0029070D" w:rsidRDefault="00100B64">
            <w:pPr>
              <w:spacing w:line="206" w:lineRule="exact"/>
              <w:ind w:left="116"/>
              <w:rPr>
                <w:rFonts w:ascii="Times New Roman" w:eastAsia="Times New Roman" w:hAnsi="Times New Roman" w:cs="Times New Roman"/>
                <w:noProof/>
                <w:sz w:val="19"/>
                <w:szCs w:val="19"/>
              </w:rPr>
            </w:pPr>
            <w:r>
              <w:rPr>
                <w:rFonts w:ascii="Times New Roman" w:hAnsi="Times New Roman"/>
                <w:noProof/>
                <w:color w:val="005F00"/>
                <w:sz w:val="19"/>
              </w:rPr>
              <w:t>Écoles d’art et d’architecture</w:t>
            </w:r>
          </w:p>
        </w:tc>
      </w:tr>
      <w:tr w:rsidR="00782477" w:rsidRPr="0029070D" w14:paraId="5A8AEF60" w14:textId="77777777" w:rsidTr="00F84DDA">
        <w:trPr>
          <w:trHeight w:val="570"/>
          <w:jc w:val="center"/>
        </w:trPr>
        <w:tc>
          <w:tcPr>
            <w:tcW w:w="1268" w:type="dxa"/>
            <w:shd w:val="clear" w:color="auto" w:fill="C5EDCE"/>
          </w:tcPr>
          <w:p w14:paraId="5A8AEF5C" w14:textId="77777777" w:rsidR="00740F0F" w:rsidRPr="0029070D" w:rsidRDefault="00100B64">
            <w:pPr>
              <w:spacing w:line="206" w:lineRule="exact"/>
              <w:ind w:right="414"/>
              <w:jc w:val="right"/>
              <w:rPr>
                <w:rFonts w:ascii="Times New Roman" w:eastAsia="Times New Roman" w:hAnsi="Times New Roman" w:cs="Times New Roman"/>
                <w:noProof/>
                <w:sz w:val="19"/>
              </w:rPr>
            </w:pPr>
            <w:r>
              <w:rPr>
                <w:rFonts w:ascii="Times New Roman" w:hAnsi="Times New Roman"/>
                <w:noProof/>
                <w:color w:val="005F00"/>
                <w:sz w:val="19"/>
              </w:rPr>
              <w:t>8-5</w:t>
            </w:r>
          </w:p>
        </w:tc>
        <w:tc>
          <w:tcPr>
            <w:tcW w:w="2758" w:type="dxa"/>
            <w:shd w:val="clear" w:color="auto" w:fill="C5EDCE"/>
          </w:tcPr>
          <w:p w14:paraId="5A8AEF5D" w14:textId="77777777" w:rsidR="00740F0F" w:rsidRPr="0029070D" w:rsidRDefault="00100B64">
            <w:pPr>
              <w:spacing w:before="55"/>
              <w:ind w:left="121"/>
              <w:rPr>
                <w:rFonts w:ascii="Times New Roman" w:eastAsia="Times New Roman" w:hAnsi="Times New Roman" w:cs="Times New Roman"/>
                <w:noProof/>
                <w:sz w:val="19"/>
              </w:rPr>
            </w:pPr>
            <w:r>
              <w:rPr>
                <w:rFonts w:ascii="Times New Roman" w:hAnsi="Times New Roman"/>
                <w:noProof/>
                <w:color w:val="005F00"/>
                <w:sz w:val="19"/>
              </w:rPr>
              <w:t>C8.R3 Réforme de la santé et de la sécurité au travail</w:t>
            </w:r>
          </w:p>
        </w:tc>
        <w:tc>
          <w:tcPr>
            <w:tcW w:w="1441" w:type="dxa"/>
            <w:shd w:val="clear" w:color="auto" w:fill="C5EDCE"/>
          </w:tcPr>
          <w:p w14:paraId="5A8AEF5E" w14:textId="04C8B660" w:rsidR="00740F0F" w:rsidRPr="0029070D" w:rsidRDefault="6B2163BD">
            <w:pPr>
              <w:spacing w:line="206" w:lineRule="exact"/>
              <w:ind w:left="308" w:right="291"/>
              <w:jc w:val="center"/>
              <w:rPr>
                <w:rFonts w:ascii="Times New Roman" w:eastAsia="Times New Roman" w:hAnsi="Times New Roman" w:cs="Times New Roman"/>
                <w:noProof/>
                <w:color w:val="005F00"/>
                <w:sz w:val="19"/>
                <w:szCs w:val="19"/>
              </w:rPr>
            </w:pPr>
            <w:r>
              <w:rPr>
                <w:rFonts w:ascii="Times New Roman" w:hAnsi="Times New Roman"/>
                <w:noProof/>
                <w:color w:val="005F00"/>
                <w:sz w:val="19"/>
              </w:rPr>
              <w:t xml:space="preserve"> Jalon</w:t>
            </w:r>
          </w:p>
        </w:tc>
        <w:tc>
          <w:tcPr>
            <w:tcW w:w="4600" w:type="dxa"/>
            <w:shd w:val="clear" w:color="auto" w:fill="C5EDCE"/>
          </w:tcPr>
          <w:p w14:paraId="5A8AEF5F" w14:textId="34C81FBF" w:rsidR="00740F0F" w:rsidRPr="0029070D" w:rsidRDefault="00FC0247">
            <w:pPr>
              <w:spacing w:before="55"/>
              <w:ind w:left="116"/>
              <w:rPr>
                <w:rFonts w:ascii="Times New Roman" w:eastAsia="Times New Roman" w:hAnsi="Times New Roman" w:cs="Times New Roman"/>
                <w:noProof/>
                <w:sz w:val="19"/>
                <w:szCs w:val="19"/>
              </w:rPr>
            </w:pPr>
            <w:r>
              <w:rPr>
                <w:rFonts w:ascii="Times New Roman" w:hAnsi="Times New Roman"/>
                <w:noProof/>
                <w:color w:val="005F00"/>
                <w:sz w:val="19"/>
              </w:rPr>
              <w:t>Certification des premiers services interentreprises de santé et de sécurité au travail</w:t>
            </w:r>
          </w:p>
        </w:tc>
      </w:tr>
      <w:tr w:rsidR="00782477" w:rsidRPr="0029070D" w14:paraId="5A8AEF6A" w14:textId="77777777" w:rsidTr="00F84DDA">
        <w:trPr>
          <w:trHeight w:val="856"/>
          <w:jc w:val="center"/>
        </w:trPr>
        <w:tc>
          <w:tcPr>
            <w:tcW w:w="1268" w:type="dxa"/>
            <w:shd w:val="clear" w:color="auto" w:fill="C5EDCE"/>
          </w:tcPr>
          <w:p w14:paraId="5A8AEF66" w14:textId="77777777" w:rsidR="00740F0F" w:rsidRPr="0029070D" w:rsidRDefault="00100B64">
            <w:pPr>
              <w:spacing w:line="206" w:lineRule="exact"/>
              <w:ind w:right="414"/>
              <w:jc w:val="right"/>
              <w:rPr>
                <w:rFonts w:ascii="Times New Roman" w:eastAsia="Times New Roman" w:hAnsi="Times New Roman" w:cs="Times New Roman"/>
                <w:noProof/>
                <w:sz w:val="19"/>
              </w:rPr>
            </w:pPr>
            <w:r>
              <w:rPr>
                <w:rFonts w:ascii="Times New Roman" w:hAnsi="Times New Roman"/>
                <w:noProof/>
                <w:color w:val="005F00"/>
                <w:sz w:val="19"/>
              </w:rPr>
              <w:t>9-9</w:t>
            </w:r>
          </w:p>
        </w:tc>
        <w:tc>
          <w:tcPr>
            <w:tcW w:w="2758" w:type="dxa"/>
            <w:shd w:val="clear" w:color="auto" w:fill="C5EDCE"/>
          </w:tcPr>
          <w:p w14:paraId="5A8AEF67"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C9.I2 Modernisation et restructuration des hôpitaux et de l’offre de soins</w:t>
            </w:r>
          </w:p>
        </w:tc>
        <w:tc>
          <w:tcPr>
            <w:tcW w:w="1441" w:type="dxa"/>
            <w:shd w:val="clear" w:color="auto" w:fill="C5EDCE"/>
          </w:tcPr>
          <w:p w14:paraId="5A8AEF68" w14:textId="77777777" w:rsidR="00740F0F" w:rsidRPr="0029070D" w:rsidRDefault="00100B64">
            <w:pPr>
              <w:spacing w:line="206" w:lineRule="exact"/>
              <w:ind w:left="308"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F69" w14:textId="77777777" w:rsidR="00740F0F" w:rsidRPr="0029070D" w:rsidRDefault="00100B64">
            <w:pPr>
              <w:ind w:left="116" w:right="560"/>
              <w:rPr>
                <w:rFonts w:ascii="Times New Roman" w:eastAsia="Times New Roman" w:hAnsi="Times New Roman" w:cs="Times New Roman"/>
                <w:noProof/>
                <w:sz w:val="19"/>
              </w:rPr>
            </w:pPr>
            <w:r>
              <w:rPr>
                <w:rFonts w:ascii="Times New Roman" w:hAnsi="Times New Roman"/>
                <w:noProof/>
                <w:color w:val="005F00"/>
                <w:sz w:val="19"/>
              </w:rPr>
              <w:t>Nombre de projets d’investissement dans la construction, la rénovation énergétique et la modernisation d’établissements médicaux (&gt;</w:t>
            </w:r>
            <w:r>
              <w:rPr>
                <w:rFonts w:ascii="Times New Roman" w:hAnsi="Times New Roman"/>
                <w:noProof/>
                <w:sz w:val="18"/>
              </w:rPr>
              <w:t> </w:t>
            </w:r>
            <w:r>
              <w:rPr>
                <w:rFonts w:ascii="Times New Roman" w:hAnsi="Times New Roman"/>
                <w:noProof/>
                <w:color w:val="005F00"/>
                <w:sz w:val="19"/>
              </w:rPr>
              <w:t>20</w:t>
            </w:r>
            <w:r>
              <w:rPr>
                <w:rFonts w:ascii="Times New Roman" w:hAnsi="Times New Roman"/>
                <w:noProof/>
                <w:sz w:val="18"/>
              </w:rPr>
              <w:t> </w:t>
            </w:r>
            <w:r>
              <w:rPr>
                <w:rFonts w:ascii="Times New Roman" w:hAnsi="Times New Roman"/>
                <w:noProof/>
                <w:color w:val="005F00"/>
                <w:sz w:val="19"/>
              </w:rPr>
              <w:t>millions d’EUR)</w:t>
            </w:r>
          </w:p>
        </w:tc>
      </w:tr>
      <w:tr w:rsidR="00782477" w:rsidRPr="0029070D" w14:paraId="5A8AEF6F" w14:textId="77777777" w:rsidTr="00F84DDA">
        <w:trPr>
          <w:trHeight w:val="796"/>
          <w:jc w:val="center"/>
        </w:trPr>
        <w:tc>
          <w:tcPr>
            <w:tcW w:w="1268" w:type="dxa"/>
            <w:shd w:val="clear" w:color="auto" w:fill="C5EDCE"/>
          </w:tcPr>
          <w:p w14:paraId="5A8AEF6B" w14:textId="77777777" w:rsidR="00740F0F" w:rsidRPr="0029070D" w:rsidRDefault="00100B64">
            <w:pPr>
              <w:spacing w:line="206" w:lineRule="exact"/>
              <w:ind w:right="372"/>
              <w:jc w:val="right"/>
              <w:rPr>
                <w:rFonts w:ascii="Times New Roman" w:eastAsia="Times New Roman" w:hAnsi="Times New Roman" w:cs="Times New Roman"/>
                <w:noProof/>
                <w:sz w:val="19"/>
              </w:rPr>
            </w:pPr>
            <w:r>
              <w:rPr>
                <w:rFonts w:ascii="Times New Roman" w:hAnsi="Times New Roman"/>
                <w:noProof/>
                <w:color w:val="005F00"/>
                <w:sz w:val="19"/>
              </w:rPr>
              <w:t>9-10</w:t>
            </w:r>
          </w:p>
        </w:tc>
        <w:tc>
          <w:tcPr>
            <w:tcW w:w="2758" w:type="dxa"/>
            <w:shd w:val="clear" w:color="auto" w:fill="C5EDCE"/>
          </w:tcPr>
          <w:p w14:paraId="5A8AEF6C"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C9.I2 Modernisation et restructuration des hôpitaux et de l’offre de soins</w:t>
            </w:r>
          </w:p>
        </w:tc>
        <w:tc>
          <w:tcPr>
            <w:tcW w:w="1441" w:type="dxa"/>
            <w:shd w:val="clear" w:color="auto" w:fill="C5EDCE"/>
          </w:tcPr>
          <w:p w14:paraId="5A8AEF6D" w14:textId="77777777" w:rsidR="00740F0F" w:rsidRPr="0029070D" w:rsidRDefault="00100B64">
            <w:pPr>
              <w:spacing w:line="206" w:lineRule="exact"/>
              <w:ind w:left="308" w:right="291"/>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F6E" w14:textId="77777777" w:rsidR="00740F0F" w:rsidRPr="0029070D" w:rsidRDefault="00100B64">
            <w:pPr>
              <w:ind w:left="116"/>
              <w:rPr>
                <w:rFonts w:ascii="Times New Roman" w:eastAsia="Times New Roman" w:hAnsi="Times New Roman" w:cs="Times New Roman"/>
                <w:noProof/>
                <w:sz w:val="19"/>
              </w:rPr>
            </w:pPr>
            <w:r>
              <w:rPr>
                <w:rFonts w:ascii="Times New Roman" w:hAnsi="Times New Roman"/>
                <w:noProof/>
                <w:color w:val="005F00"/>
                <w:sz w:val="19"/>
              </w:rPr>
              <w:t>Nombre d’établissements soutenus dans leurs investissements en installations techniques, équipements ou de rénovation légère</w:t>
            </w:r>
          </w:p>
        </w:tc>
      </w:tr>
      <w:tr w:rsidR="00782477" w:rsidRPr="0029070D" w14:paraId="5A8AEF79" w14:textId="77777777" w:rsidTr="00F84DDA">
        <w:trPr>
          <w:trHeight w:val="796"/>
          <w:jc w:val="center"/>
        </w:trPr>
        <w:tc>
          <w:tcPr>
            <w:tcW w:w="1268" w:type="dxa"/>
            <w:shd w:val="clear" w:color="auto" w:fill="C5EDCE"/>
          </w:tcPr>
          <w:p w14:paraId="5A8AEF75" w14:textId="77777777" w:rsidR="00740F0F" w:rsidRPr="0029070D" w:rsidRDefault="00100B64">
            <w:pPr>
              <w:spacing w:line="206" w:lineRule="exact"/>
              <w:ind w:right="383"/>
              <w:jc w:val="right"/>
              <w:rPr>
                <w:rFonts w:ascii="Times New Roman" w:eastAsia="Times New Roman" w:hAnsi="Times New Roman" w:cs="Times New Roman"/>
                <w:noProof/>
                <w:sz w:val="19"/>
              </w:rPr>
            </w:pPr>
            <w:r>
              <w:rPr>
                <w:rFonts w:ascii="Times New Roman" w:hAnsi="Times New Roman"/>
                <w:noProof/>
                <w:color w:val="005F00"/>
                <w:sz w:val="19"/>
              </w:rPr>
              <w:t>10-5</w:t>
            </w:r>
          </w:p>
        </w:tc>
        <w:tc>
          <w:tcPr>
            <w:tcW w:w="2758" w:type="dxa"/>
            <w:shd w:val="clear" w:color="auto" w:fill="C5EDCE"/>
          </w:tcPr>
          <w:p w14:paraId="5A8AEF76" w14:textId="77777777" w:rsidR="00740F0F" w:rsidRPr="0029070D" w:rsidRDefault="00100B64">
            <w:pPr>
              <w:spacing w:line="209" w:lineRule="exact"/>
              <w:ind w:left="121"/>
              <w:rPr>
                <w:rFonts w:ascii="Times New Roman" w:eastAsia="Times New Roman" w:hAnsi="Times New Roman" w:cs="Times New Roman"/>
                <w:noProof/>
                <w:sz w:val="19"/>
              </w:rPr>
            </w:pPr>
            <w:r>
              <w:rPr>
                <w:rFonts w:ascii="Times New Roman" w:hAnsi="Times New Roman"/>
                <w:noProof/>
                <w:color w:val="005F00"/>
                <w:sz w:val="19"/>
              </w:rPr>
              <w:t>C10.I1 Industrie zéro fossile</w:t>
            </w:r>
          </w:p>
        </w:tc>
        <w:tc>
          <w:tcPr>
            <w:tcW w:w="1441" w:type="dxa"/>
            <w:shd w:val="clear" w:color="auto" w:fill="C5EDCE"/>
          </w:tcPr>
          <w:p w14:paraId="5A8AEF77" w14:textId="77777777" w:rsidR="00740F0F" w:rsidRPr="0029070D" w:rsidRDefault="00100B64">
            <w:pPr>
              <w:spacing w:line="209" w:lineRule="exact"/>
              <w:ind w:left="297"/>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600" w:type="dxa"/>
            <w:shd w:val="clear" w:color="auto" w:fill="C5EDCE"/>
          </w:tcPr>
          <w:p w14:paraId="5A8AEF78" w14:textId="77777777" w:rsidR="00740F0F" w:rsidRPr="0029070D" w:rsidRDefault="00100B64">
            <w:pPr>
              <w:ind w:left="118" w:right="296"/>
              <w:rPr>
                <w:rFonts w:ascii="Times New Roman" w:eastAsia="Times New Roman" w:hAnsi="Times New Roman" w:cs="Times New Roman"/>
                <w:noProof/>
                <w:sz w:val="19"/>
              </w:rPr>
            </w:pPr>
            <w:r>
              <w:rPr>
                <w:rFonts w:ascii="Times New Roman" w:hAnsi="Times New Roman"/>
                <w:noProof/>
                <w:color w:val="005F00"/>
                <w:sz w:val="19"/>
              </w:rPr>
              <w:t>Mise en service des projets contribuant à une réduction prévisionnelle de la consommation d’énergie fossile</w:t>
            </w:r>
          </w:p>
        </w:tc>
      </w:tr>
      <w:tr w:rsidR="00782477" w:rsidRPr="0029070D" w14:paraId="5A8AEF7E" w14:textId="77777777" w:rsidTr="00F84DDA">
        <w:trPr>
          <w:trHeight w:val="796"/>
          <w:jc w:val="center"/>
        </w:trPr>
        <w:tc>
          <w:tcPr>
            <w:tcW w:w="1268" w:type="dxa"/>
            <w:shd w:val="clear" w:color="auto" w:fill="C5EDCE"/>
          </w:tcPr>
          <w:p w14:paraId="5A8AEF7A" w14:textId="77777777" w:rsidR="00740F0F" w:rsidRPr="0029070D" w:rsidRDefault="00100B64">
            <w:pPr>
              <w:spacing w:line="206" w:lineRule="exact"/>
              <w:ind w:right="383"/>
              <w:jc w:val="right"/>
              <w:rPr>
                <w:rFonts w:ascii="Times New Roman" w:eastAsia="Times New Roman" w:hAnsi="Times New Roman" w:cs="Times New Roman"/>
                <w:noProof/>
                <w:sz w:val="19"/>
              </w:rPr>
            </w:pPr>
            <w:r>
              <w:rPr>
                <w:rFonts w:ascii="Times New Roman" w:hAnsi="Times New Roman"/>
                <w:noProof/>
                <w:color w:val="005F00"/>
                <w:sz w:val="19"/>
              </w:rPr>
              <w:t>10-7</w:t>
            </w:r>
          </w:p>
        </w:tc>
        <w:tc>
          <w:tcPr>
            <w:tcW w:w="2758" w:type="dxa"/>
            <w:shd w:val="clear" w:color="auto" w:fill="C5EDCE"/>
          </w:tcPr>
          <w:p w14:paraId="5A8AEF7B" w14:textId="77777777" w:rsidR="00740F0F" w:rsidRPr="0029070D" w:rsidRDefault="00100B64">
            <w:pPr>
              <w:spacing w:line="209" w:lineRule="exact"/>
              <w:ind w:left="121"/>
              <w:rPr>
                <w:rFonts w:ascii="Times New Roman" w:eastAsia="Times New Roman" w:hAnsi="Times New Roman" w:cs="Times New Roman"/>
                <w:noProof/>
                <w:sz w:val="19"/>
              </w:rPr>
            </w:pPr>
            <w:r>
              <w:rPr>
                <w:rFonts w:ascii="Times New Roman" w:hAnsi="Times New Roman"/>
                <w:noProof/>
                <w:color w:val="005F00"/>
                <w:sz w:val="19"/>
              </w:rPr>
              <w:t>C10.I2 PIIEC Hydrogène</w:t>
            </w:r>
          </w:p>
        </w:tc>
        <w:tc>
          <w:tcPr>
            <w:tcW w:w="1441" w:type="dxa"/>
            <w:shd w:val="clear" w:color="auto" w:fill="C5EDCE"/>
          </w:tcPr>
          <w:p w14:paraId="5A8AEF7C" w14:textId="77777777" w:rsidR="00740F0F" w:rsidRPr="0029070D" w:rsidRDefault="00100B64">
            <w:pPr>
              <w:spacing w:line="209" w:lineRule="exact"/>
              <w:ind w:left="121"/>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600" w:type="dxa"/>
            <w:shd w:val="clear" w:color="auto" w:fill="C5EDCE"/>
          </w:tcPr>
          <w:p w14:paraId="5A8AEF7D" w14:textId="77777777" w:rsidR="00740F0F" w:rsidRPr="0029070D" w:rsidRDefault="00100B64">
            <w:pPr>
              <w:ind w:left="118"/>
              <w:rPr>
                <w:rFonts w:ascii="Times New Roman" w:eastAsia="Times New Roman" w:hAnsi="Times New Roman" w:cs="Times New Roman"/>
                <w:noProof/>
                <w:sz w:val="19"/>
              </w:rPr>
            </w:pPr>
            <w:r>
              <w:rPr>
                <w:rFonts w:ascii="Times New Roman" w:hAnsi="Times New Roman"/>
                <w:noProof/>
                <w:color w:val="005F00"/>
                <w:sz w:val="19"/>
              </w:rPr>
              <w:t>Électrolyseur à oxyde solide à haute température (projet Genvia)</w:t>
            </w:r>
          </w:p>
        </w:tc>
      </w:tr>
      <w:tr w:rsidR="00782477" w:rsidRPr="0029070D" w14:paraId="5A8AEF88" w14:textId="77777777" w:rsidTr="00F84DDA">
        <w:trPr>
          <w:trHeight w:val="517"/>
          <w:jc w:val="center"/>
        </w:trPr>
        <w:tc>
          <w:tcPr>
            <w:tcW w:w="1268" w:type="dxa"/>
            <w:shd w:val="clear" w:color="auto" w:fill="C5EDCE"/>
          </w:tcPr>
          <w:p w14:paraId="5A8AEF84" w14:textId="77777777" w:rsidR="00740F0F" w:rsidRPr="0029070D" w:rsidRDefault="00100B64">
            <w:pPr>
              <w:spacing w:line="206" w:lineRule="exact"/>
              <w:ind w:right="383"/>
              <w:jc w:val="right"/>
              <w:rPr>
                <w:rFonts w:ascii="Times New Roman" w:eastAsia="Times New Roman" w:hAnsi="Times New Roman" w:cs="Times New Roman"/>
                <w:noProof/>
                <w:sz w:val="19"/>
              </w:rPr>
            </w:pPr>
            <w:r>
              <w:rPr>
                <w:rFonts w:ascii="Times New Roman" w:hAnsi="Times New Roman"/>
                <w:noProof/>
                <w:color w:val="005F00"/>
                <w:sz w:val="19"/>
              </w:rPr>
              <w:t>10-9</w:t>
            </w:r>
          </w:p>
        </w:tc>
        <w:tc>
          <w:tcPr>
            <w:tcW w:w="2758" w:type="dxa"/>
            <w:shd w:val="clear" w:color="auto" w:fill="C5EDCE"/>
          </w:tcPr>
          <w:p w14:paraId="5A8AEF85" w14:textId="77777777" w:rsidR="00740F0F" w:rsidRPr="0029070D" w:rsidRDefault="00100B64">
            <w:pPr>
              <w:spacing w:line="209" w:lineRule="exact"/>
              <w:ind w:left="121"/>
              <w:rPr>
                <w:rFonts w:ascii="Times New Roman" w:eastAsia="Times New Roman" w:hAnsi="Times New Roman" w:cs="Times New Roman"/>
                <w:noProof/>
                <w:sz w:val="19"/>
              </w:rPr>
            </w:pPr>
            <w:r>
              <w:rPr>
                <w:rFonts w:ascii="Times New Roman" w:hAnsi="Times New Roman"/>
                <w:noProof/>
                <w:color w:val="005F00"/>
                <w:sz w:val="19"/>
              </w:rPr>
              <w:t>C10.I2 PIIEC Hydrogène</w:t>
            </w:r>
          </w:p>
        </w:tc>
        <w:tc>
          <w:tcPr>
            <w:tcW w:w="1441" w:type="dxa"/>
            <w:shd w:val="clear" w:color="auto" w:fill="C5EDCE"/>
          </w:tcPr>
          <w:p w14:paraId="5A8AEF86" w14:textId="77777777" w:rsidR="00740F0F" w:rsidRPr="0029070D" w:rsidRDefault="00100B64">
            <w:pPr>
              <w:spacing w:line="209" w:lineRule="exact"/>
              <w:ind w:left="121"/>
              <w:jc w:val="center"/>
              <w:rPr>
                <w:rFonts w:ascii="Times New Roman" w:eastAsia="Times New Roman" w:hAnsi="Times New Roman" w:cs="Times New Roman"/>
                <w:noProof/>
                <w:sz w:val="19"/>
              </w:rPr>
            </w:pPr>
            <w:r>
              <w:rPr>
                <w:rFonts w:ascii="Times New Roman" w:hAnsi="Times New Roman"/>
                <w:noProof/>
                <w:color w:val="005F00"/>
                <w:sz w:val="19"/>
              </w:rPr>
              <w:t>Jalon</w:t>
            </w:r>
          </w:p>
        </w:tc>
        <w:tc>
          <w:tcPr>
            <w:tcW w:w="4600" w:type="dxa"/>
            <w:shd w:val="clear" w:color="auto" w:fill="C5EDCE"/>
          </w:tcPr>
          <w:p w14:paraId="5A8AEF87" w14:textId="77777777" w:rsidR="00740F0F" w:rsidRPr="0029070D" w:rsidRDefault="00100B64">
            <w:pPr>
              <w:spacing w:line="209" w:lineRule="exact"/>
              <w:ind w:left="118"/>
              <w:rPr>
                <w:rFonts w:ascii="Times New Roman" w:eastAsia="Times New Roman" w:hAnsi="Times New Roman" w:cs="Times New Roman"/>
                <w:noProof/>
                <w:sz w:val="19"/>
              </w:rPr>
            </w:pPr>
            <w:r>
              <w:rPr>
                <w:rFonts w:ascii="Times New Roman" w:hAnsi="Times New Roman"/>
                <w:noProof/>
                <w:color w:val="005F00"/>
                <w:sz w:val="19"/>
              </w:rPr>
              <w:t>Réservoirs à hydrogène gazeux (projet Faurecia)</w:t>
            </w:r>
          </w:p>
        </w:tc>
      </w:tr>
      <w:tr w:rsidR="00782477" w:rsidRPr="0029070D" w14:paraId="5A8AEF8D" w14:textId="77777777" w:rsidTr="00F84DDA">
        <w:trPr>
          <w:trHeight w:val="793"/>
          <w:jc w:val="center"/>
        </w:trPr>
        <w:tc>
          <w:tcPr>
            <w:tcW w:w="1268" w:type="dxa"/>
            <w:shd w:val="clear" w:color="auto" w:fill="C5EDCE"/>
          </w:tcPr>
          <w:p w14:paraId="5A8AEF89" w14:textId="77777777" w:rsidR="00740F0F" w:rsidRPr="0029070D" w:rsidRDefault="00100B64">
            <w:pPr>
              <w:spacing w:line="204" w:lineRule="exact"/>
              <w:ind w:right="334"/>
              <w:jc w:val="right"/>
              <w:rPr>
                <w:rFonts w:ascii="Times New Roman" w:eastAsia="Times New Roman" w:hAnsi="Times New Roman" w:cs="Times New Roman"/>
                <w:noProof/>
                <w:sz w:val="19"/>
              </w:rPr>
            </w:pPr>
            <w:r>
              <w:rPr>
                <w:rFonts w:ascii="Times New Roman" w:hAnsi="Times New Roman"/>
                <w:noProof/>
                <w:color w:val="005F00"/>
                <w:sz w:val="19"/>
              </w:rPr>
              <w:t>10-11</w:t>
            </w:r>
          </w:p>
        </w:tc>
        <w:tc>
          <w:tcPr>
            <w:tcW w:w="2758" w:type="dxa"/>
            <w:shd w:val="clear" w:color="auto" w:fill="C5EDCE"/>
          </w:tcPr>
          <w:p w14:paraId="5A8AEF8A"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C10.I3 Rénovation thermique des bâtiments publics</w:t>
            </w:r>
          </w:p>
        </w:tc>
        <w:tc>
          <w:tcPr>
            <w:tcW w:w="1441" w:type="dxa"/>
            <w:shd w:val="clear" w:color="auto" w:fill="C5EDCE"/>
          </w:tcPr>
          <w:p w14:paraId="5A8AEF8B" w14:textId="77777777" w:rsidR="00740F0F" w:rsidRPr="0029070D" w:rsidRDefault="00100B64">
            <w:pPr>
              <w:spacing w:line="206" w:lineRule="exact"/>
              <w:ind w:left="429"/>
              <w:jc w:val="center"/>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F8C" w14:textId="77777777" w:rsidR="00740F0F" w:rsidRPr="0029070D" w:rsidRDefault="00100B64">
            <w:pPr>
              <w:spacing w:line="206" w:lineRule="exact"/>
              <w:ind w:left="118"/>
              <w:rPr>
                <w:rFonts w:ascii="Times New Roman" w:eastAsia="Times New Roman" w:hAnsi="Times New Roman" w:cs="Times New Roman"/>
                <w:noProof/>
                <w:sz w:val="19"/>
                <w:szCs w:val="19"/>
              </w:rPr>
            </w:pPr>
            <w:r>
              <w:rPr>
                <w:rFonts w:ascii="Times New Roman" w:hAnsi="Times New Roman"/>
                <w:noProof/>
                <w:color w:val="005F00"/>
                <w:sz w:val="19"/>
              </w:rPr>
              <w:t xml:space="preserve">Nombre de projets de rénovation énergétique dans des bâtiments appartenant à l’État </w:t>
            </w:r>
          </w:p>
        </w:tc>
      </w:tr>
      <w:tr w:rsidR="00782477" w:rsidRPr="0029070D" w14:paraId="5A8AEF92" w14:textId="77777777" w:rsidTr="00F84DDA">
        <w:trPr>
          <w:trHeight w:val="796"/>
          <w:jc w:val="center"/>
        </w:trPr>
        <w:tc>
          <w:tcPr>
            <w:tcW w:w="1268" w:type="dxa"/>
            <w:shd w:val="clear" w:color="auto" w:fill="C5EDCE"/>
          </w:tcPr>
          <w:p w14:paraId="5A8AEF8E" w14:textId="77777777" w:rsidR="00740F0F" w:rsidRPr="0029070D" w:rsidRDefault="00100B64">
            <w:pPr>
              <w:spacing w:line="204" w:lineRule="exact"/>
              <w:ind w:right="334"/>
              <w:jc w:val="right"/>
              <w:rPr>
                <w:rFonts w:ascii="Times New Roman" w:eastAsia="Times New Roman" w:hAnsi="Times New Roman" w:cs="Times New Roman"/>
                <w:noProof/>
                <w:sz w:val="19"/>
              </w:rPr>
            </w:pPr>
            <w:r>
              <w:rPr>
                <w:rFonts w:ascii="Times New Roman" w:hAnsi="Times New Roman"/>
                <w:noProof/>
                <w:color w:val="005F00"/>
                <w:sz w:val="19"/>
              </w:rPr>
              <w:t>10-12</w:t>
            </w:r>
          </w:p>
        </w:tc>
        <w:tc>
          <w:tcPr>
            <w:tcW w:w="2758" w:type="dxa"/>
            <w:shd w:val="clear" w:color="auto" w:fill="C5EDCE"/>
          </w:tcPr>
          <w:p w14:paraId="5A8AEF8F" w14:textId="77777777" w:rsidR="00740F0F" w:rsidRPr="0029070D" w:rsidRDefault="00100B64">
            <w:pPr>
              <w:spacing w:line="206" w:lineRule="exact"/>
              <w:ind w:left="121"/>
              <w:rPr>
                <w:rFonts w:ascii="Times New Roman" w:eastAsia="Times New Roman" w:hAnsi="Times New Roman" w:cs="Times New Roman"/>
                <w:noProof/>
                <w:sz w:val="19"/>
              </w:rPr>
            </w:pPr>
            <w:r>
              <w:rPr>
                <w:rFonts w:ascii="Times New Roman" w:hAnsi="Times New Roman"/>
                <w:noProof/>
                <w:color w:val="005F00"/>
                <w:sz w:val="19"/>
              </w:rPr>
              <w:t>C10.I4 Rénovation énergétique des logements privés avec MaPrimeRénov’</w:t>
            </w:r>
          </w:p>
        </w:tc>
        <w:tc>
          <w:tcPr>
            <w:tcW w:w="1441" w:type="dxa"/>
            <w:shd w:val="clear" w:color="auto" w:fill="C5EDCE"/>
          </w:tcPr>
          <w:p w14:paraId="5A8AEF90" w14:textId="77777777" w:rsidR="00740F0F" w:rsidRPr="0029070D" w:rsidRDefault="00100B64">
            <w:pPr>
              <w:spacing w:line="206" w:lineRule="exact"/>
              <w:ind w:left="429"/>
              <w:rPr>
                <w:rFonts w:ascii="Times New Roman" w:eastAsia="Times New Roman" w:hAnsi="Times New Roman" w:cs="Times New Roman"/>
                <w:noProof/>
                <w:sz w:val="19"/>
              </w:rPr>
            </w:pPr>
            <w:r>
              <w:rPr>
                <w:rFonts w:ascii="Times New Roman" w:hAnsi="Times New Roman"/>
                <w:noProof/>
                <w:color w:val="005F00"/>
                <w:sz w:val="19"/>
              </w:rPr>
              <w:t>Cible</w:t>
            </w:r>
          </w:p>
        </w:tc>
        <w:tc>
          <w:tcPr>
            <w:tcW w:w="4600" w:type="dxa"/>
            <w:shd w:val="clear" w:color="auto" w:fill="C5EDCE"/>
          </w:tcPr>
          <w:p w14:paraId="5A8AEF91" w14:textId="77777777" w:rsidR="00740F0F" w:rsidRPr="0029070D" w:rsidRDefault="00100B64">
            <w:pPr>
              <w:spacing w:line="206" w:lineRule="exact"/>
              <w:ind w:left="118"/>
              <w:rPr>
                <w:rFonts w:ascii="Times New Roman" w:eastAsia="Times New Roman" w:hAnsi="Times New Roman" w:cs="Times New Roman"/>
                <w:noProof/>
                <w:color w:val="005F00"/>
                <w:sz w:val="19"/>
                <w:szCs w:val="19"/>
              </w:rPr>
            </w:pPr>
            <w:r>
              <w:rPr>
                <w:rFonts w:ascii="Times New Roman" w:hAnsi="Times New Roman"/>
                <w:noProof/>
                <w:color w:val="005F00"/>
                <w:sz w:val="19"/>
              </w:rPr>
              <w:t>Nombre de dossiers MaPrimeRénov’ accordés aux propriétaires privés</w:t>
            </w:r>
          </w:p>
        </w:tc>
      </w:tr>
      <w:tr w:rsidR="00782477" w:rsidRPr="0029070D" w14:paraId="5A8AEF97" w14:textId="77777777" w:rsidTr="00F84DDA">
        <w:trPr>
          <w:trHeight w:val="796"/>
          <w:jc w:val="center"/>
        </w:trPr>
        <w:tc>
          <w:tcPr>
            <w:tcW w:w="1268" w:type="dxa"/>
            <w:shd w:val="clear" w:color="auto" w:fill="C5EDCE"/>
          </w:tcPr>
          <w:p w14:paraId="5A8AEF93" w14:textId="77777777" w:rsidR="00740F0F" w:rsidRPr="0029070D" w:rsidRDefault="00100B64">
            <w:pPr>
              <w:spacing w:line="204" w:lineRule="exact"/>
              <w:ind w:right="334"/>
              <w:jc w:val="right"/>
              <w:rPr>
                <w:rFonts w:ascii="Times New Roman" w:eastAsia="Times New Roman" w:hAnsi="Times New Roman" w:cs="Times New Roman"/>
                <w:noProof/>
                <w:color w:val="005F00"/>
                <w:sz w:val="19"/>
              </w:rPr>
            </w:pPr>
            <w:r>
              <w:rPr>
                <w:rFonts w:ascii="Times New Roman" w:hAnsi="Times New Roman"/>
                <w:noProof/>
                <w:color w:val="005F00"/>
                <w:sz w:val="19"/>
              </w:rPr>
              <w:t>10-13</w:t>
            </w:r>
          </w:p>
        </w:tc>
        <w:tc>
          <w:tcPr>
            <w:tcW w:w="2758" w:type="dxa"/>
            <w:shd w:val="clear" w:color="auto" w:fill="C5EDCE"/>
          </w:tcPr>
          <w:p w14:paraId="5A8AEF94" w14:textId="77777777" w:rsidR="00740F0F" w:rsidRPr="0029070D" w:rsidRDefault="00100B64">
            <w:pPr>
              <w:spacing w:line="206" w:lineRule="exact"/>
              <w:ind w:left="121"/>
              <w:rPr>
                <w:rFonts w:ascii="Times New Roman" w:eastAsia="Times New Roman" w:hAnsi="Times New Roman" w:cs="Times New Roman"/>
                <w:noProof/>
                <w:color w:val="005F00"/>
                <w:sz w:val="19"/>
              </w:rPr>
            </w:pPr>
            <w:r>
              <w:rPr>
                <w:rFonts w:ascii="Times New Roman" w:hAnsi="Times New Roman"/>
                <w:noProof/>
                <w:color w:val="005F00"/>
                <w:sz w:val="19"/>
              </w:rPr>
              <w:t>C10.I5 Soutien à la demande en véhicules propres</w:t>
            </w:r>
          </w:p>
        </w:tc>
        <w:tc>
          <w:tcPr>
            <w:tcW w:w="1441" w:type="dxa"/>
            <w:shd w:val="clear" w:color="auto" w:fill="C5EDCE"/>
          </w:tcPr>
          <w:p w14:paraId="5A8AEF95" w14:textId="77777777" w:rsidR="00740F0F" w:rsidRPr="0029070D" w:rsidRDefault="00100B64">
            <w:pPr>
              <w:spacing w:line="206" w:lineRule="exact"/>
              <w:ind w:left="429"/>
              <w:rPr>
                <w:rFonts w:ascii="Times New Roman" w:eastAsia="Times New Roman" w:hAnsi="Times New Roman" w:cs="Times New Roman"/>
                <w:noProof/>
                <w:color w:val="005F00"/>
                <w:sz w:val="19"/>
              </w:rPr>
            </w:pPr>
            <w:r>
              <w:rPr>
                <w:rFonts w:ascii="Times New Roman" w:hAnsi="Times New Roman"/>
                <w:noProof/>
                <w:color w:val="005F00"/>
                <w:sz w:val="19"/>
              </w:rPr>
              <w:t>Cible</w:t>
            </w:r>
          </w:p>
        </w:tc>
        <w:tc>
          <w:tcPr>
            <w:tcW w:w="4600" w:type="dxa"/>
            <w:shd w:val="clear" w:color="auto" w:fill="C5EDCE"/>
          </w:tcPr>
          <w:p w14:paraId="5A8AEF96" w14:textId="77777777" w:rsidR="00740F0F" w:rsidRPr="0029070D" w:rsidRDefault="00100B64">
            <w:pPr>
              <w:spacing w:line="206" w:lineRule="exact"/>
              <w:ind w:left="118"/>
              <w:rPr>
                <w:rFonts w:ascii="Times New Roman" w:eastAsia="Times New Roman" w:hAnsi="Times New Roman" w:cs="Times New Roman"/>
                <w:noProof/>
                <w:color w:val="005F00"/>
                <w:sz w:val="19"/>
              </w:rPr>
            </w:pPr>
            <w:r>
              <w:rPr>
                <w:rFonts w:ascii="Times New Roman" w:hAnsi="Times New Roman"/>
                <w:noProof/>
                <w:color w:val="005F00"/>
                <w:sz w:val="19"/>
              </w:rPr>
              <w:t>Bonus écologiques</w:t>
            </w:r>
          </w:p>
        </w:tc>
      </w:tr>
      <w:tr w:rsidR="00782477" w:rsidRPr="0029070D" w14:paraId="5A8AEF9C" w14:textId="77777777" w:rsidTr="00F84DDA">
        <w:trPr>
          <w:trHeight w:val="510"/>
          <w:jc w:val="center"/>
        </w:trPr>
        <w:tc>
          <w:tcPr>
            <w:tcW w:w="1268" w:type="dxa"/>
            <w:shd w:val="clear" w:color="auto" w:fill="C5EDCE"/>
          </w:tcPr>
          <w:p w14:paraId="5A8AEF98" w14:textId="77777777" w:rsidR="00740F0F" w:rsidRPr="0029070D" w:rsidRDefault="00740F0F">
            <w:pPr>
              <w:rPr>
                <w:rFonts w:ascii="Times New Roman" w:eastAsia="Times New Roman" w:hAnsi="Times New Roman" w:cs="Times New Roman"/>
                <w:noProof/>
              </w:rPr>
            </w:pPr>
          </w:p>
        </w:tc>
        <w:tc>
          <w:tcPr>
            <w:tcW w:w="2758" w:type="dxa"/>
            <w:shd w:val="clear" w:color="auto" w:fill="C5EDCE"/>
          </w:tcPr>
          <w:p w14:paraId="5A8AEF99" w14:textId="77777777" w:rsidR="00740F0F" w:rsidRPr="0029070D" w:rsidRDefault="00740F0F">
            <w:pPr>
              <w:rPr>
                <w:rFonts w:ascii="Times New Roman" w:eastAsia="Times New Roman" w:hAnsi="Times New Roman" w:cs="Times New Roman"/>
                <w:noProof/>
              </w:rPr>
            </w:pPr>
          </w:p>
        </w:tc>
        <w:tc>
          <w:tcPr>
            <w:tcW w:w="1441" w:type="dxa"/>
            <w:shd w:val="clear" w:color="auto" w:fill="C5EDCE"/>
          </w:tcPr>
          <w:p w14:paraId="5A8AEF9A" w14:textId="77777777" w:rsidR="00740F0F" w:rsidRPr="0029070D" w:rsidRDefault="00100B64">
            <w:pPr>
              <w:ind w:left="395" w:right="255" w:hanging="101"/>
              <w:rPr>
                <w:rFonts w:ascii="Times New Roman" w:eastAsia="Times New Roman" w:hAnsi="Times New Roman" w:cs="Times New Roman"/>
                <w:b/>
                <w:noProof/>
                <w:sz w:val="19"/>
              </w:rPr>
            </w:pPr>
            <w:r>
              <w:rPr>
                <w:rFonts w:ascii="Times New Roman" w:hAnsi="Times New Roman"/>
                <w:b/>
                <w:noProof/>
                <w:color w:val="005F00"/>
                <w:sz w:val="19"/>
              </w:rPr>
              <w:t>Montant de la tranche</w:t>
            </w:r>
          </w:p>
        </w:tc>
        <w:tc>
          <w:tcPr>
            <w:tcW w:w="4600" w:type="dxa"/>
            <w:shd w:val="clear" w:color="auto" w:fill="C5EDCE"/>
          </w:tcPr>
          <w:p w14:paraId="5A8AEF9B" w14:textId="77777777" w:rsidR="00740F0F" w:rsidRPr="0029070D" w:rsidRDefault="00100B64">
            <w:pPr>
              <w:spacing w:before="38"/>
              <w:ind w:left="5"/>
              <w:rPr>
                <w:rFonts w:ascii="Times New Roman" w:eastAsia="Times New Roman" w:hAnsi="Times New Roman" w:cs="Times New Roman"/>
                <w:b/>
                <w:noProof/>
                <w:sz w:val="19"/>
              </w:rPr>
            </w:pPr>
            <w:r>
              <w:rPr>
                <w:rFonts w:ascii="Times New Roman" w:hAnsi="Times New Roman"/>
                <w:b/>
                <w:noProof/>
                <w:color w:val="005F00"/>
                <w:sz w:val="19"/>
              </w:rPr>
              <w:t>7</w:t>
            </w:r>
            <w:r>
              <w:rPr>
                <w:rFonts w:ascii="Times New Roman" w:hAnsi="Times New Roman"/>
                <w:noProof/>
                <w:sz w:val="18"/>
              </w:rPr>
              <w:t> </w:t>
            </w:r>
            <w:r>
              <w:rPr>
                <w:rFonts w:ascii="Times New Roman" w:hAnsi="Times New Roman"/>
                <w:b/>
                <w:noProof/>
                <w:color w:val="005F00"/>
                <w:sz w:val="19"/>
              </w:rPr>
              <w:t>108</w:t>
            </w:r>
            <w:r>
              <w:rPr>
                <w:rFonts w:ascii="Times New Roman" w:hAnsi="Times New Roman"/>
                <w:noProof/>
                <w:sz w:val="18"/>
              </w:rPr>
              <w:t> </w:t>
            </w:r>
            <w:r>
              <w:rPr>
                <w:rFonts w:ascii="Times New Roman" w:hAnsi="Times New Roman"/>
                <w:b/>
                <w:noProof/>
                <w:color w:val="005F00"/>
                <w:sz w:val="19"/>
              </w:rPr>
              <w:t>078</w:t>
            </w:r>
            <w:r>
              <w:rPr>
                <w:rFonts w:ascii="Times New Roman" w:hAnsi="Times New Roman"/>
                <w:noProof/>
                <w:sz w:val="18"/>
              </w:rPr>
              <w:t> </w:t>
            </w:r>
            <w:r>
              <w:rPr>
                <w:rFonts w:ascii="Times New Roman" w:hAnsi="Times New Roman"/>
                <w:b/>
                <w:noProof/>
                <w:color w:val="005F00"/>
                <w:sz w:val="19"/>
              </w:rPr>
              <w:t>557</w:t>
            </w:r>
            <w:r>
              <w:rPr>
                <w:rFonts w:ascii="Times New Roman" w:hAnsi="Times New Roman"/>
                <w:noProof/>
              </w:rPr>
              <w:t> </w:t>
            </w:r>
            <w:r>
              <w:rPr>
                <w:rFonts w:ascii="Times New Roman" w:hAnsi="Times New Roman"/>
                <w:b/>
                <w:noProof/>
                <w:color w:val="005F00"/>
                <w:sz w:val="19"/>
              </w:rPr>
              <w:t>EUR</w:t>
            </w:r>
          </w:p>
        </w:tc>
      </w:tr>
    </w:tbl>
    <w:p w14:paraId="5A8AEF9D" w14:textId="77777777" w:rsidR="00740F0F" w:rsidRPr="0029070D" w:rsidRDefault="00740F0F">
      <w:pPr>
        <w:widowControl w:val="0"/>
        <w:autoSpaceDE w:val="0"/>
        <w:autoSpaceDN w:val="0"/>
        <w:spacing w:before="6" w:after="0" w:line="240" w:lineRule="auto"/>
        <w:rPr>
          <w:rFonts w:ascii="Times New Roman" w:eastAsia="Times New Roman" w:hAnsi="Times New Roman" w:cs="Times New Roman"/>
          <w:noProof/>
          <w:kern w:val="0"/>
          <w:sz w:val="19"/>
          <w:szCs w:val="20"/>
          <w14:ligatures w14:val="none"/>
        </w:rPr>
      </w:pPr>
    </w:p>
    <w:p w14:paraId="5A8AEF9E" w14:textId="77777777" w:rsidR="00740F0F" w:rsidRPr="0029070D" w:rsidRDefault="00740F0F">
      <w:pPr>
        <w:widowControl w:val="0"/>
        <w:autoSpaceDE w:val="0"/>
        <w:autoSpaceDN w:val="0"/>
        <w:spacing w:before="130" w:after="0" w:line="240" w:lineRule="auto"/>
        <w:ind w:left="340"/>
        <w:jc w:val="both"/>
        <w:outlineLvl w:val="1"/>
        <w:rPr>
          <w:rFonts w:ascii="Times New Roman" w:eastAsia="Times New Roman" w:hAnsi="Times New Roman" w:cs="Times New Roman"/>
          <w:b/>
          <w:noProof/>
          <w:spacing w:val="-1"/>
          <w:kern w:val="0"/>
          <w:szCs w:val="20"/>
          <w:u w:color="000000"/>
          <w14:ligatures w14:val="none"/>
        </w:rPr>
        <w:sectPr w:rsidR="00740F0F" w:rsidRPr="0029070D">
          <w:headerReference w:type="even" r:id="rId138"/>
          <w:headerReference w:type="default" r:id="rId139"/>
          <w:footerReference w:type="even" r:id="rId140"/>
          <w:footerReference w:type="default" r:id="rId141"/>
          <w:headerReference w:type="first" r:id="rId142"/>
          <w:footerReference w:type="first" r:id="rId143"/>
          <w:pgSz w:w="11920" w:h="16860"/>
          <w:pgMar w:top="1134" w:right="1134" w:bottom="1134" w:left="1134" w:header="567" w:footer="567" w:gutter="0"/>
          <w:cols w:space="720"/>
          <w:docGrid w:linePitch="326"/>
        </w:sectPr>
      </w:pPr>
    </w:p>
    <w:p w14:paraId="5A8AEF9F" w14:textId="77777777" w:rsidR="00740F0F" w:rsidRPr="0029070D" w:rsidRDefault="00100B64">
      <w:pPr>
        <w:widowControl w:val="0"/>
        <w:autoSpaceDE w:val="0"/>
        <w:autoSpaceDN w:val="0"/>
        <w:spacing w:before="130" w:after="0" w:line="240" w:lineRule="auto"/>
        <w:ind w:left="340"/>
        <w:jc w:val="both"/>
        <w:outlineLvl w:val="1"/>
        <w:rPr>
          <w:rFonts w:ascii="Times New Roman" w:eastAsia="Times New Roman" w:hAnsi="Times New Roman" w:cs="Times New Roman"/>
          <w:b/>
          <w:noProof/>
          <w:kern w:val="0"/>
          <w:szCs w:val="20"/>
          <w:u w:color="000000"/>
          <w14:ligatures w14:val="none"/>
        </w:rPr>
      </w:pPr>
      <w:r>
        <w:rPr>
          <w:rFonts w:ascii="Times New Roman" w:hAnsi="Times New Roman"/>
          <w:b/>
          <w:noProof/>
          <w:u w:color="000000"/>
        </w:rPr>
        <w:t>PARTIE 3: MODALITÉS COMPLÉMENTAIRES</w:t>
      </w:r>
    </w:p>
    <w:p w14:paraId="5A8AEFA0" w14:textId="77777777" w:rsidR="00740F0F" w:rsidRPr="0029070D" w:rsidRDefault="00100B64">
      <w:pPr>
        <w:widowControl w:val="0"/>
        <w:numPr>
          <w:ilvl w:val="0"/>
          <w:numId w:val="59"/>
        </w:numPr>
        <w:tabs>
          <w:tab w:val="left" w:pos="703"/>
        </w:tabs>
        <w:autoSpaceDE w:val="0"/>
        <w:autoSpaceDN w:val="0"/>
        <w:spacing w:before="250" w:after="0" w:line="240" w:lineRule="auto"/>
        <w:jc w:val="both"/>
        <w:rPr>
          <w:rFonts w:ascii="Times New Roman" w:eastAsia="Times New Roman" w:hAnsi="Times New Roman" w:cs="Times New Roman"/>
          <w:b/>
          <w:noProof/>
          <w:kern w:val="0"/>
          <w:szCs w:val="20"/>
          <w14:ligatures w14:val="none"/>
        </w:rPr>
      </w:pPr>
      <w:r>
        <w:rPr>
          <w:rFonts w:ascii="Times New Roman" w:hAnsi="Times New Roman"/>
          <w:b/>
          <w:noProof/>
        </w:rPr>
        <w:t>Modalités de suivi et de mise en œuvre du plan pour la reprise et la résilience</w:t>
      </w:r>
    </w:p>
    <w:p w14:paraId="5A8AEFA1" w14:textId="77777777" w:rsidR="00740F0F" w:rsidRPr="0029070D" w:rsidRDefault="00100B64">
      <w:pPr>
        <w:widowControl w:val="0"/>
        <w:autoSpaceDE w:val="0"/>
        <w:autoSpaceDN w:val="0"/>
        <w:spacing w:before="110" w:after="0" w:line="276" w:lineRule="auto"/>
        <w:ind w:left="340" w:right="-1"/>
        <w:jc w:val="both"/>
        <w:rPr>
          <w:rFonts w:ascii="Times New Roman" w:eastAsia="Times New Roman" w:hAnsi="Times New Roman" w:cs="Times New Roman"/>
          <w:noProof/>
          <w:kern w:val="0"/>
          <w:szCs w:val="20"/>
          <w14:ligatures w14:val="none"/>
        </w:rPr>
      </w:pPr>
      <w:r>
        <w:rPr>
          <w:rFonts w:ascii="Times New Roman" w:hAnsi="Times New Roman"/>
          <w:noProof/>
        </w:rPr>
        <w:t>La mise en œuvre du plan national de relance et de résilience français est pilotée administrativement par le ministère de l’économie, des finances et de la souveraineté industrielle et numérique, en étroite collaboration avec le secrétariat général des affaires européennes (SGAE), rattaché au Premier ministre. Le SGAE coordonne les administrations centrales intervenant dans le plan et est soutenu par le pôle PNRR (Plan national de relance et de résilience) de la direction générale du Trésor (qui doit remplacer l’ancien secrétariat général chargé du plan de relance France Relance, dont font partie les investissements du plan national de relance et de résilience français) dans le cadre du processus de mise en œuvre et de suivi. Le pôle PNRR assure le suivi de la mise en œuvre du plan au niveau de chaque mesure, en étroite coopération avec les responsables de chaque ministère.</w:t>
      </w:r>
    </w:p>
    <w:p w14:paraId="5A8AEFA2" w14:textId="77777777" w:rsidR="00740F0F" w:rsidRPr="0029070D" w:rsidRDefault="00100B64">
      <w:pPr>
        <w:widowControl w:val="0"/>
        <w:autoSpaceDE w:val="0"/>
        <w:autoSpaceDN w:val="0"/>
        <w:spacing w:before="207" w:after="0" w:line="276" w:lineRule="auto"/>
        <w:ind w:left="340" w:right="-1"/>
        <w:jc w:val="both"/>
        <w:rPr>
          <w:rFonts w:ascii="Times New Roman" w:eastAsia="Times New Roman" w:hAnsi="Times New Roman" w:cs="Times New Roman"/>
          <w:noProof/>
          <w:kern w:val="0"/>
          <w:szCs w:val="20"/>
          <w14:ligatures w14:val="none"/>
        </w:rPr>
      </w:pPr>
      <w:r>
        <w:rPr>
          <w:rFonts w:ascii="Times New Roman" w:hAnsi="Times New Roman"/>
          <w:noProof/>
        </w:rPr>
        <w:t>La mise en œuvre des réformes fait l’objet d’un suivi spécifique par chaque ministère concerné. Un référent, rattaché à chaque ministre, est spécialement chargé du suivi, de la mise en œuvre et de l’établissement de rapports en ce qui concerne les réformes prévues dans le plan national de relance et de résilience. La coordination interministérielle est assurée par le SGAE qui se charge de collecter, en collaboration avec le ministère de l’économie, des finances et de la souveraineté industrielle et numérique, les pièces justificatives démontrant l’atteinte des jalons des réformes prévues dans le cadre du plan national de relance et de résilience.</w:t>
      </w:r>
    </w:p>
    <w:p w14:paraId="5A8AEFA3" w14:textId="77777777" w:rsidR="00740F0F" w:rsidRPr="0029070D" w:rsidRDefault="00100B64">
      <w:pPr>
        <w:spacing w:before="104" w:after="120"/>
        <w:ind w:left="340" w:right="-1"/>
        <w:jc w:val="both"/>
        <w:rPr>
          <w:rFonts w:ascii="Times New Roman" w:eastAsia="Times New Roman" w:hAnsi="Times New Roman" w:cs="Times New Roman"/>
          <w:noProof/>
          <w:kern w:val="0"/>
          <w:szCs w:val="20"/>
          <w14:ligatures w14:val="none"/>
        </w:rPr>
      </w:pPr>
      <w:r>
        <w:rPr>
          <w:rFonts w:ascii="Times New Roman" w:hAnsi="Times New Roman"/>
          <w:noProof/>
        </w:rPr>
        <w:t>Les contrôles portant sur les jalons et les cibles, ainsi que les vérifications effectuées dans le cadre du système de contrôle interne des ministères concernés, sont délégués aux ministères chargés de la mise en œuvre des composantes au moyen de la circulaire nº 6369/SG de la Première ministre du 5 août 2022. Des missions de vérification, d’inspection et d’audit sont organisées pour s’assurer de l’efficacité de ces systèmes et pour contrôler la qualité des données transmises.</w:t>
      </w:r>
    </w:p>
    <w:p w14:paraId="5A8AEFA4" w14:textId="77777777" w:rsidR="00740F0F" w:rsidRPr="0029070D" w:rsidRDefault="00100B64">
      <w:pPr>
        <w:widowControl w:val="0"/>
        <w:numPr>
          <w:ilvl w:val="0"/>
          <w:numId w:val="59"/>
        </w:numPr>
        <w:tabs>
          <w:tab w:val="left" w:pos="703"/>
        </w:tabs>
        <w:autoSpaceDE w:val="0"/>
        <w:autoSpaceDN w:val="0"/>
        <w:spacing w:before="120" w:after="0" w:line="240" w:lineRule="auto"/>
        <w:jc w:val="both"/>
        <w:outlineLvl w:val="1"/>
        <w:rPr>
          <w:rFonts w:ascii="Times New Roman" w:eastAsia="Times New Roman" w:hAnsi="Times New Roman" w:cs="Times New Roman"/>
          <w:b/>
          <w:noProof/>
          <w:kern w:val="0"/>
          <w:szCs w:val="20"/>
          <w:u w:color="000000"/>
          <w14:ligatures w14:val="none"/>
        </w:rPr>
      </w:pPr>
      <w:r>
        <w:rPr>
          <w:rFonts w:ascii="Times New Roman" w:hAnsi="Times New Roman"/>
          <w:b/>
          <w:noProof/>
          <w:u w:color="000000"/>
        </w:rPr>
        <w:t>Modalités permettant à la Commission d’accéder pleinement aux données sous-jacentes</w:t>
      </w:r>
    </w:p>
    <w:p w14:paraId="5A8AEFA5" w14:textId="77777777" w:rsidR="00740F0F" w:rsidRPr="0029070D" w:rsidRDefault="00100B64">
      <w:pPr>
        <w:widowControl w:val="0"/>
        <w:autoSpaceDE w:val="0"/>
        <w:autoSpaceDN w:val="0"/>
        <w:spacing w:before="111" w:after="0"/>
        <w:ind w:left="340" w:right="-1"/>
        <w:jc w:val="both"/>
        <w:rPr>
          <w:rFonts w:ascii="Times New Roman" w:eastAsia="Times New Roman" w:hAnsi="Times New Roman" w:cs="Times New Roman"/>
          <w:noProof/>
          <w:kern w:val="0"/>
          <w:szCs w:val="20"/>
          <w14:ligatures w14:val="none"/>
        </w:rPr>
      </w:pPr>
      <w:r>
        <w:rPr>
          <w:rFonts w:ascii="Times New Roman" w:hAnsi="Times New Roman"/>
          <w:noProof/>
        </w:rPr>
        <w:t>L’atteinte des cibles et des jalons relatifs aux investissements fait l’objet d’un suivi régulier et centralisé assuré par le pôle PNRR, sur la base des informations collectées et transmises par les administrations publiques concernées. Les données sur les indicateurs relatifs aux jalons et aux cibles sont fournies dans un outil de collecte informatique spécifique (Propilot). Ces données sont collectées au niveau local et centralisées au niveau national, et servent à rendre compte de l’atteinte des jalons et des cibles figurant dans le plan de relance et de résilience. Les ministères les actualisent à intervalles réguliers afin de finaliser les demandes de paiement à envoyer à la Commission européenne.</w:t>
      </w:r>
    </w:p>
    <w:p w14:paraId="5A8AEFA6" w14:textId="77777777" w:rsidR="00740F0F" w:rsidRPr="008C6174" w:rsidRDefault="00100B64">
      <w:pPr>
        <w:widowControl w:val="0"/>
        <w:autoSpaceDE w:val="0"/>
        <w:autoSpaceDN w:val="0"/>
        <w:spacing w:before="181" w:after="0" w:line="276" w:lineRule="auto"/>
        <w:ind w:left="340" w:right="-1"/>
        <w:jc w:val="both"/>
        <w:rPr>
          <w:rFonts w:ascii="Times New Roman" w:eastAsia="Times New Roman" w:hAnsi="Times New Roman" w:cs="Times New Roman"/>
          <w:noProof/>
          <w:kern w:val="0"/>
          <w:szCs w:val="20"/>
          <w14:ligatures w14:val="none"/>
        </w:rPr>
      </w:pPr>
      <w:r>
        <w:rPr>
          <w:rFonts w:ascii="Times New Roman" w:hAnsi="Times New Roman"/>
          <w:noProof/>
        </w:rPr>
        <w:t>Conformément à l’article 24, paragraphe 2, du règlement (UE) 2021/241, une fois que les jalons et cibles pertinents qui sont convenus dans la partie 2.1 de la présente annexe sont atteints, la France soumet à la Commission une demande dûment justifiée de paiement de la contribution financière. La France veille à ce que, sur demande, la Commission ait pleinement accès aux données pertinentes sous-jacentes qui étayent la justification de la demande de paiement, tant pour l’évaluation de la demande de paiement conformément à l’article 24, paragraphe 3, du règlement (UE) 2021/241 qu’à des fins d’audit et de contrôle.</w:t>
      </w:r>
    </w:p>
    <w:sectPr w:rsidR="00740F0F" w:rsidRPr="008C6174">
      <w:headerReference w:type="even" r:id="rId144"/>
      <w:headerReference w:type="default" r:id="rId145"/>
      <w:footerReference w:type="even" r:id="rId146"/>
      <w:footerReference w:type="default" r:id="rId147"/>
      <w:headerReference w:type="first" r:id="rId148"/>
      <w:footerReference w:type="first" r:id="rId149"/>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CEA6C3" w14:textId="77777777" w:rsidR="00F4646C" w:rsidRPr="0029070D" w:rsidRDefault="00F4646C" w:rsidP="00A43C50">
      <w:r w:rsidRPr="0029070D">
        <w:separator/>
      </w:r>
    </w:p>
  </w:endnote>
  <w:endnote w:type="continuationSeparator" w:id="0">
    <w:p w14:paraId="6E65B657" w14:textId="77777777" w:rsidR="00F4646C" w:rsidRPr="0029070D" w:rsidRDefault="00F4646C" w:rsidP="00A43C50">
      <w:r w:rsidRPr="002907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rial New Roman">
    <w:altName w:val="Arial"/>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C3243" w14:textId="3823E0E4" w:rsidR="008E6931" w:rsidRPr="008E6931" w:rsidRDefault="008E6931" w:rsidP="008E6931">
    <w:pPr>
      <w:pStyle w:val="FooterCoverPage"/>
      <w:rPr>
        <w:rFonts w:ascii="Arial" w:hAnsi="Arial" w:cs="Arial"/>
        <w:b/>
        <w:sz w:val="48"/>
      </w:rPr>
    </w:pPr>
    <w:r w:rsidRPr="008E6931">
      <w:rPr>
        <w:rFonts w:ascii="Arial" w:hAnsi="Arial" w:cs="Arial"/>
        <w:b/>
        <w:sz w:val="48"/>
      </w:rPr>
      <w:t>FR</w:t>
    </w:r>
    <w:r w:rsidRPr="008E6931">
      <w:rPr>
        <w:rFonts w:ascii="Arial" w:hAnsi="Arial" w:cs="Arial"/>
        <w:b/>
        <w:sz w:val="48"/>
      </w:rPr>
      <w:tab/>
    </w:r>
    <w:r w:rsidRPr="008E6931">
      <w:rPr>
        <w:rFonts w:ascii="Arial" w:hAnsi="Arial" w:cs="Arial"/>
        <w:b/>
        <w:sz w:val="48"/>
      </w:rPr>
      <w:tab/>
    </w:r>
    <w:r w:rsidRPr="008E6931">
      <w:tab/>
    </w:r>
    <w:r w:rsidRPr="008E693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1A4E7" w14:textId="1C66EE5D" w:rsidR="008E6931" w:rsidRPr="008E6931" w:rsidRDefault="008E6931" w:rsidP="008E6931">
    <w:pPr>
      <w:pStyle w:val="FooterCoverPage"/>
      <w:rPr>
        <w:rFonts w:ascii="Arial" w:hAnsi="Arial" w:cs="Arial"/>
        <w:b/>
        <w:sz w:val="48"/>
      </w:rPr>
    </w:pPr>
    <w:r w:rsidRPr="008E6931">
      <w:rPr>
        <w:rFonts w:ascii="Arial" w:hAnsi="Arial" w:cs="Arial"/>
        <w:b/>
        <w:sz w:val="48"/>
      </w:rPr>
      <w:t>FR</w:t>
    </w:r>
    <w:r w:rsidRPr="008E6931">
      <w:rPr>
        <w:rFonts w:ascii="Arial" w:hAnsi="Arial" w:cs="Arial"/>
        <w:b/>
        <w:sz w:val="48"/>
      </w:rPr>
      <w:tab/>
    </w:r>
    <w:r w:rsidRPr="008E6931">
      <w:rPr>
        <w:rFonts w:ascii="Arial" w:hAnsi="Arial" w:cs="Arial"/>
        <w:b/>
        <w:sz w:val="48"/>
      </w:rPr>
      <w:tab/>
    </w:r>
    <w:r w:rsidRPr="008E6931">
      <w:tab/>
    </w:r>
    <w:r w:rsidRPr="008E693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FF7AE" w14:textId="77777777" w:rsidR="008E6931" w:rsidRPr="008E6931" w:rsidRDefault="008E6931" w:rsidP="008E693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B84C4" w14:textId="77777777" w:rsidR="00173EE9" w:rsidRPr="0029070D" w:rsidRDefault="00173EE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7656267"/>
      <w:docPartObj>
        <w:docPartGallery w:val="Page Numbers (Bottom of Page)"/>
        <w:docPartUnique/>
      </w:docPartObj>
    </w:sdtPr>
    <w:sdtEndPr>
      <w:rPr>
        <w:rFonts w:ascii="Times New Roman" w:hAnsi="Times New Roman" w:cs="Times New Roman"/>
      </w:rPr>
    </w:sdtEndPr>
    <w:sdtContent>
      <w:p w14:paraId="2B6FF355" w14:textId="17A879EE" w:rsidR="002D67E0" w:rsidRPr="0029070D" w:rsidRDefault="002D67E0">
        <w:pPr>
          <w:pStyle w:val="Footer"/>
          <w:jc w:val="center"/>
          <w:rPr>
            <w:rFonts w:ascii="Times New Roman" w:hAnsi="Times New Roman" w:cs="Times New Roman"/>
          </w:rPr>
        </w:pPr>
        <w:r w:rsidRPr="0029070D">
          <w:rPr>
            <w:rFonts w:ascii="Times New Roman" w:hAnsi="Times New Roman" w:cs="Times New Roman"/>
          </w:rPr>
          <w:fldChar w:fldCharType="begin"/>
        </w:r>
        <w:r w:rsidRPr="0029070D">
          <w:rPr>
            <w:rFonts w:ascii="Times New Roman" w:hAnsi="Times New Roman" w:cs="Times New Roman"/>
          </w:rPr>
          <w:instrText xml:space="preserve"> PAGE   \* MERGEFORMAT </w:instrText>
        </w:r>
        <w:r w:rsidRPr="0029070D">
          <w:rPr>
            <w:rFonts w:ascii="Times New Roman" w:hAnsi="Times New Roman" w:cs="Times New Roman"/>
          </w:rPr>
          <w:fldChar w:fldCharType="separate"/>
        </w:r>
        <w:r w:rsidR="008E6931">
          <w:rPr>
            <w:rFonts w:ascii="Times New Roman" w:hAnsi="Times New Roman" w:cs="Times New Roman"/>
            <w:noProof/>
          </w:rPr>
          <w:t>2</w:t>
        </w:r>
        <w:r w:rsidRPr="0029070D">
          <w:rPr>
            <w:rFonts w:ascii="Times New Roman" w:hAnsi="Times New Roman" w:cs="Times New Roman"/>
          </w:rPr>
          <w:fldChar w:fldCharType="end"/>
        </w:r>
      </w:p>
    </w:sdtContent>
  </w:sdt>
  <w:p w14:paraId="16245A81" w14:textId="77777777" w:rsidR="00173EE9" w:rsidRPr="0029070D" w:rsidRDefault="00173EE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0A7DB" w14:textId="77777777" w:rsidR="00173EE9" w:rsidRPr="0029070D" w:rsidRDefault="00173EE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EFD5" w14:textId="77777777" w:rsidR="00740F0F" w:rsidRPr="0029070D" w:rsidRDefault="00740F0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4961307"/>
      <w:docPartObj>
        <w:docPartGallery w:val="Page Numbers (Bottom of Page)"/>
        <w:docPartUnique/>
      </w:docPartObj>
    </w:sdtPr>
    <w:sdtEndPr>
      <w:rPr>
        <w:rFonts w:ascii="Times New Roman" w:hAnsi="Times New Roman" w:cs="Times New Roman"/>
      </w:rPr>
    </w:sdtEndPr>
    <w:sdtContent>
      <w:p w14:paraId="38C722D2" w14:textId="7E8D5C97" w:rsidR="002D67E0" w:rsidRPr="0029070D" w:rsidRDefault="002D67E0">
        <w:pPr>
          <w:pStyle w:val="Footer"/>
          <w:jc w:val="center"/>
          <w:rPr>
            <w:rFonts w:ascii="Times New Roman" w:hAnsi="Times New Roman" w:cs="Times New Roman"/>
          </w:rPr>
        </w:pPr>
        <w:r w:rsidRPr="0029070D">
          <w:rPr>
            <w:rFonts w:ascii="Times New Roman" w:hAnsi="Times New Roman" w:cs="Times New Roman"/>
          </w:rPr>
          <w:fldChar w:fldCharType="begin"/>
        </w:r>
        <w:r w:rsidRPr="0029070D">
          <w:rPr>
            <w:rFonts w:ascii="Times New Roman" w:hAnsi="Times New Roman" w:cs="Times New Roman"/>
          </w:rPr>
          <w:instrText xml:space="preserve"> PAGE   \* MERGEFORMAT </w:instrText>
        </w:r>
        <w:r w:rsidRPr="0029070D">
          <w:rPr>
            <w:rFonts w:ascii="Times New Roman" w:hAnsi="Times New Roman" w:cs="Times New Roman"/>
          </w:rPr>
          <w:fldChar w:fldCharType="separate"/>
        </w:r>
        <w:r w:rsidR="00542A14">
          <w:rPr>
            <w:rFonts w:ascii="Times New Roman" w:hAnsi="Times New Roman" w:cs="Times New Roman"/>
            <w:noProof/>
          </w:rPr>
          <w:t>9</w:t>
        </w:r>
        <w:r w:rsidRPr="0029070D">
          <w:rPr>
            <w:rFonts w:ascii="Times New Roman" w:hAnsi="Times New Roman" w:cs="Times New Roman"/>
          </w:rPr>
          <w:fldChar w:fldCharType="end"/>
        </w:r>
      </w:p>
    </w:sdtContent>
  </w:sdt>
  <w:p w14:paraId="5A8AEFE2" w14:textId="77777777" w:rsidR="00F038F9" w:rsidRPr="0029070D" w:rsidRDefault="00F038F9">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EFE4" w14:textId="77777777" w:rsidR="00740F0F" w:rsidRPr="0029070D" w:rsidRDefault="00740F0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EFE7" w14:textId="77777777" w:rsidR="00740F0F" w:rsidRPr="0029070D" w:rsidRDefault="00740F0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9183448"/>
      <w:docPartObj>
        <w:docPartGallery w:val="Page Numbers (Bottom of Page)"/>
        <w:docPartUnique/>
      </w:docPartObj>
    </w:sdtPr>
    <w:sdtEndPr>
      <w:rPr>
        <w:rFonts w:ascii="Times New Roman" w:hAnsi="Times New Roman" w:cs="Times New Roman"/>
      </w:rPr>
    </w:sdtEndPr>
    <w:sdtContent>
      <w:p w14:paraId="19428CFC" w14:textId="0F37FC3A" w:rsidR="005E11EA" w:rsidRPr="0029070D" w:rsidRDefault="005E11EA">
        <w:pPr>
          <w:pStyle w:val="Footer"/>
          <w:jc w:val="center"/>
          <w:rPr>
            <w:rFonts w:ascii="Times New Roman" w:hAnsi="Times New Roman" w:cs="Times New Roman"/>
          </w:rPr>
        </w:pPr>
        <w:r w:rsidRPr="0029070D">
          <w:rPr>
            <w:rFonts w:ascii="Times New Roman" w:hAnsi="Times New Roman" w:cs="Times New Roman"/>
          </w:rPr>
          <w:fldChar w:fldCharType="begin"/>
        </w:r>
        <w:r w:rsidRPr="0029070D">
          <w:rPr>
            <w:rFonts w:ascii="Times New Roman" w:hAnsi="Times New Roman" w:cs="Times New Roman"/>
          </w:rPr>
          <w:instrText xml:space="preserve"> PAGE   \* MERGEFORMAT </w:instrText>
        </w:r>
        <w:r w:rsidRPr="0029070D">
          <w:rPr>
            <w:rFonts w:ascii="Times New Roman" w:hAnsi="Times New Roman" w:cs="Times New Roman"/>
          </w:rPr>
          <w:fldChar w:fldCharType="separate"/>
        </w:r>
        <w:r w:rsidR="00542A14">
          <w:rPr>
            <w:rFonts w:ascii="Times New Roman" w:hAnsi="Times New Roman" w:cs="Times New Roman"/>
            <w:noProof/>
          </w:rPr>
          <w:t>15</w:t>
        </w:r>
        <w:r w:rsidRPr="0029070D">
          <w:rPr>
            <w:rFonts w:ascii="Times New Roman" w:hAnsi="Times New Roman" w:cs="Times New Roman"/>
          </w:rPr>
          <w:fldChar w:fldCharType="end"/>
        </w:r>
      </w:p>
    </w:sdtContent>
  </w:sdt>
  <w:p w14:paraId="5A8AEFF4" w14:textId="77777777" w:rsidR="00F038F9" w:rsidRPr="0029070D" w:rsidRDefault="00F038F9">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EFF6" w14:textId="77777777" w:rsidR="00740F0F" w:rsidRPr="0029070D" w:rsidRDefault="00740F0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EFF9" w14:textId="77777777" w:rsidR="00740F0F" w:rsidRPr="0029070D" w:rsidRDefault="00740F0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9997552"/>
      <w:docPartObj>
        <w:docPartGallery w:val="Page Numbers (Bottom of Page)"/>
        <w:docPartUnique/>
      </w:docPartObj>
    </w:sdtPr>
    <w:sdtEndPr>
      <w:rPr>
        <w:rFonts w:ascii="Times New Roman" w:hAnsi="Times New Roman" w:cs="Times New Roman"/>
      </w:rPr>
    </w:sdtEndPr>
    <w:sdtContent>
      <w:p w14:paraId="333939C3" w14:textId="1B0316D2" w:rsidR="005339F4" w:rsidRPr="0029070D" w:rsidRDefault="005339F4">
        <w:pPr>
          <w:pStyle w:val="Footer"/>
          <w:jc w:val="center"/>
          <w:rPr>
            <w:rFonts w:ascii="Times New Roman" w:hAnsi="Times New Roman" w:cs="Times New Roman"/>
          </w:rPr>
        </w:pPr>
        <w:r w:rsidRPr="0029070D">
          <w:rPr>
            <w:rFonts w:ascii="Times New Roman" w:hAnsi="Times New Roman" w:cs="Times New Roman"/>
          </w:rPr>
          <w:fldChar w:fldCharType="begin"/>
        </w:r>
        <w:r w:rsidRPr="0029070D">
          <w:rPr>
            <w:rFonts w:ascii="Times New Roman" w:hAnsi="Times New Roman" w:cs="Times New Roman"/>
          </w:rPr>
          <w:instrText xml:space="preserve"> PAGE   \* MERGEFORMAT </w:instrText>
        </w:r>
        <w:r w:rsidRPr="0029070D">
          <w:rPr>
            <w:rFonts w:ascii="Times New Roman" w:hAnsi="Times New Roman" w:cs="Times New Roman"/>
          </w:rPr>
          <w:fldChar w:fldCharType="separate"/>
        </w:r>
        <w:r w:rsidR="00542A14">
          <w:rPr>
            <w:rFonts w:ascii="Times New Roman" w:hAnsi="Times New Roman" w:cs="Times New Roman"/>
            <w:noProof/>
          </w:rPr>
          <w:t>20</w:t>
        </w:r>
        <w:r w:rsidRPr="0029070D">
          <w:rPr>
            <w:rFonts w:ascii="Times New Roman" w:hAnsi="Times New Roman" w:cs="Times New Roman"/>
          </w:rPr>
          <w:fldChar w:fldCharType="end"/>
        </w:r>
      </w:p>
    </w:sdtContent>
  </w:sdt>
  <w:p w14:paraId="5A8AF006" w14:textId="77777777" w:rsidR="00F038F9" w:rsidRPr="0029070D" w:rsidRDefault="00F038F9">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08" w14:textId="77777777" w:rsidR="00740F0F" w:rsidRPr="0029070D" w:rsidRDefault="00740F0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0B" w14:textId="77777777" w:rsidR="00740F0F" w:rsidRPr="0029070D" w:rsidRDefault="00740F0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0807997"/>
      <w:docPartObj>
        <w:docPartGallery w:val="Page Numbers (Bottom of Page)"/>
        <w:docPartUnique/>
      </w:docPartObj>
    </w:sdtPr>
    <w:sdtEndPr>
      <w:rPr>
        <w:rFonts w:ascii="Times New Roman" w:hAnsi="Times New Roman" w:cs="Times New Roman"/>
      </w:rPr>
    </w:sdtEndPr>
    <w:sdtContent>
      <w:p w14:paraId="27AD9037" w14:textId="2D64D5C8" w:rsidR="005339F4" w:rsidRPr="0029070D" w:rsidRDefault="005339F4">
        <w:pPr>
          <w:pStyle w:val="Footer"/>
          <w:jc w:val="center"/>
          <w:rPr>
            <w:rFonts w:ascii="Times New Roman" w:hAnsi="Times New Roman" w:cs="Times New Roman"/>
          </w:rPr>
        </w:pPr>
        <w:r w:rsidRPr="0029070D">
          <w:rPr>
            <w:rFonts w:ascii="Times New Roman" w:hAnsi="Times New Roman" w:cs="Times New Roman"/>
          </w:rPr>
          <w:fldChar w:fldCharType="begin"/>
        </w:r>
        <w:r w:rsidRPr="0029070D">
          <w:rPr>
            <w:rFonts w:ascii="Times New Roman" w:hAnsi="Times New Roman" w:cs="Times New Roman"/>
          </w:rPr>
          <w:instrText xml:space="preserve"> PAGE   \* MERGEFORMAT </w:instrText>
        </w:r>
        <w:r w:rsidRPr="0029070D">
          <w:rPr>
            <w:rFonts w:ascii="Times New Roman" w:hAnsi="Times New Roman" w:cs="Times New Roman"/>
          </w:rPr>
          <w:fldChar w:fldCharType="separate"/>
        </w:r>
        <w:r w:rsidRPr="0029070D">
          <w:rPr>
            <w:rFonts w:ascii="Times New Roman" w:hAnsi="Times New Roman" w:cs="Times New Roman"/>
          </w:rPr>
          <w:t>2</w:t>
        </w:r>
        <w:r w:rsidRPr="0029070D">
          <w:rPr>
            <w:rFonts w:ascii="Times New Roman" w:hAnsi="Times New Roman" w:cs="Times New Roman"/>
          </w:rPr>
          <w:fldChar w:fldCharType="end"/>
        </w:r>
      </w:p>
    </w:sdtContent>
  </w:sdt>
  <w:p w14:paraId="5A8AF018" w14:textId="77777777" w:rsidR="00F038F9" w:rsidRPr="0029070D" w:rsidRDefault="00F038F9">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1A" w14:textId="77777777" w:rsidR="00740F0F" w:rsidRPr="0029070D" w:rsidRDefault="00740F0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1D" w14:textId="77777777" w:rsidR="00740F0F" w:rsidRPr="0029070D" w:rsidRDefault="00740F0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962259170"/>
      <w:docPartObj>
        <w:docPartGallery w:val="Page Numbers (Bottom of Page)"/>
        <w:docPartUnique/>
      </w:docPartObj>
    </w:sdtPr>
    <w:sdtEndPr/>
    <w:sdtContent>
      <w:p w14:paraId="175361FE" w14:textId="4AD4170E" w:rsidR="005339F4" w:rsidRPr="0029070D" w:rsidRDefault="005339F4">
        <w:pPr>
          <w:pStyle w:val="Footer"/>
          <w:jc w:val="center"/>
          <w:rPr>
            <w:rFonts w:ascii="Times New Roman" w:hAnsi="Times New Roman" w:cs="Times New Roman"/>
          </w:rPr>
        </w:pPr>
        <w:r w:rsidRPr="0029070D">
          <w:rPr>
            <w:rFonts w:ascii="Times New Roman" w:hAnsi="Times New Roman" w:cs="Times New Roman"/>
          </w:rPr>
          <w:fldChar w:fldCharType="begin"/>
        </w:r>
        <w:r w:rsidRPr="0029070D">
          <w:rPr>
            <w:rFonts w:ascii="Times New Roman" w:hAnsi="Times New Roman" w:cs="Times New Roman"/>
          </w:rPr>
          <w:instrText xml:space="preserve"> PAGE   \* MERGEFORMAT </w:instrText>
        </w:r>
        <w:r w:rsidRPr="0029070D">
          <w:rPr>
            <w:rFonts w:ascii="Times New Roman" w:hAnsi="Times New Roman" w:cs="Times New Roman"/>
          </w:rPr>
          <w:fldChar w:fldCharType="separate"/>
        </w:r>
        <w:r w:rsidRPr="0029070D">
          <w:rPr>
            <w:rFonts w:ascii="Times New Roman" w:hAnsi="Times New Roman" w:cs="Times New Roman"/>
          </w:rPr>
          <w:t>2</w:t>
        </w:r>
        <w:r w:rsidRPr="0029070D">
          <w:rPr>
            <w:rFonts w:ascii="Times New Roman" w:hAnsi="Times New Roman" w:cs="Times New Roman"/>
          </w:rPr>
          <w:fldChar w:fldCharType="end"/>
        </w:r>
      </w:p>
    </w:sdtContent>
  </w:sdt>
  <w:p w14:paraId="5A8AF02A" w14:textId="77777777" w:rsidR="00F038F9" w:rsidRPr="0029070D" w:rsidRDefault="00F038F9">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2C" w14:textId="77777777" w:rsidR="00740F0F" w:rsidRPr="0029070D" w:rsidRDefault="00740F0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2F" w14:textId="77777777" w:rsidR="00740F0F" w:rsidRPr="0029070D" w:rsidRDefault="00740F0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8687245"/>
      <w:docPartObj>
        <w:docPartGallery w:val="Page Numbers (Bottom of Page)"/>
        <w:docPartUnique/>
      </w:docPartObj>
    </w:sdtPr>
    <w:sdtEndPr>
      <w:rPr>
        <w:rFonts w:ascii="Times New Roman" w:hAnsi="Times New Roman" w:cs="Times New Roman"/>
      </w:rPr>
    </w:sdtEndPr>
    <w:sdtContent>
      <w:p w14:paraId="35D4E471" w14:textId="3B40043E" w:rsidR="005339F4" w:rsidRPr="0029070D" w:rsidRDefault="005339F4">
        <w:pPr>
          <w:pStyle w:val="Footer"/>
          <w:jc w:val="center"/>
          <w:rPr>
            <w:rFonts w:ascii="Times New Roman" w:hAnsi="Times New Roman" w:cs="Times New Roman"/>
          </w:rPr>
        </w:pPr>
        <w:r w:rsidRPr="0029070D">
          <w:rPr>
            <w:rFonts w:ascii="Times New Roman" w:hAnsi="Times New Roman" w:cs="Times New Roman"/>
          </w:rPr>
          <w:fldChar w:fldCharType="begin"/>
        </w:r>
        <w:r w:rsidRPr="0029070D">
          <w:rPr>
            <w:rFonts w:ascii="Times New Roman" w:hAnsi="Times New Roman" w:cs="Times New Roman"/>
          </w:rPr>
          <w:instrText xml:space="preserve"> PAGE   \* MERGEFORMAT </w:instrText>
        </w:r>
        <w:r w:rsidRPr="0029070D">
          <w:rPr>
            <w:rFonts w:ascii="Times New Roman" w:hAnsi="Times New Roman" w:cs="Times New Roman"/>
          </w:rPr>
          <w:fldChar w:fldCharType="separate"/>
        </w:r>
        <w:r w:rsidRPr="0029070D">
          <w:rPr>
            <w:rFonts w:ascii="Times New Roman" w:hAnsi="Times New Roman" w:cs="Times New Roman"/>
          </w:rPr>
          <w:t>2</w:t>
        </w:r>
        <w:r w:rsidRPr="0029070D">
          <w:rPr>
            <w:rFonts w:ascii="Times New Roman" w:hAnsi="Times New Roman" w:cs="Times New Roman"/>
          </w:rPr>
          <w:fldChar w:fldCharType="end"/>
        </w:r>
      </w:p>
    </w:sdtContent>
  </w:sdt>
  <w:p w14:paraId="5A8AF03C" w14:textId="77777777" w:rsidR="00F038F9" w:rsidRPr="0029070D" w:rsidRDefault="00F038F9">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3E" w14:textId="77777777" w:rsidR="00740F0F" w:rsidRPr="0029070D" w:rsidRDefault="00740F0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41" w14:textId="77777777" w:rsidR="00740F0F" w:rsidRPr="0029070D" w:rsidRDefault="00740F0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8409962"/>
      <w:docPartObj>
        <w:docPartGallery w:val="Page Numbers (Bottom of Page)"/>
        <w:docPartUnique/>
      </w:docPartObj>
    </w:sdtPr>
    <w:sdtEndPr/>
    <w:sdtContent>
      <w:p w14:paraId="4D24C2D0" w14:textId="3E59D056" w:rsidR="005339F4" w:rsidRPr="0029070D" w:rsidRDefault="005339F4">
        <w:pPr>
          <w:pStyle w:val="Footer"/>
          <w:jc w:val="center"/>
        </w:pPr>
        <w:r w:rsidRPr="0029070D">
          <w:rPr>
            <w:rFonts w:ascii="Times New Roman" w:hAnsi="Times New Roman" w:cs="Times New Roman"/>
          </w:rPr>
          <w:fldChar w:fldCharType="begin"/>
        </w:r>
        <w:r w:rsidRPr="0029070D">
          <w:rPr>
            <w:rFonts w:ascii="Times New Roman" w:hAnsi="Times New Roman" w:cs="Times New Roman"/>
          </w:rPr>
          <w:instrText xml:space="preserve"> PAGE   \* MERGEFORMAT </w:instrText>
        </w:r>
        <w:r w:rsidRPr="0029070D">
          <w:rPr>
            <w:rFonts w:ascii="Times New Roman" w:hAnsi="Times New Roman" w:cs="Times New Roman"/>
          </w:rPr>
          <w:fldChar w:fldCharType="separate"/>
        </w:r>
        <w:r w:rsidRPr="0029070D">
          <w:rPr>
            <w:rFonts w:ascii="Times New Roman" w:hAnsi="Times New Roman" w:cs="Times New Roman"/>
          </w:rPr>
          <w:t>2</w:t>
        </w:r>
        <w:r w:rsidRPr="0029070D">
          <w:rPr>
            <w:rFonts w:ascii="Times New Roman" w:hAnsi="Times New Roman" w:cs="Times New Roman"/>
          </w:rPr>
          <w:fldChar w:fldCharType="end"/>
        </w:r>
      </w:p>
    </w:sdtContent>
  </w:sdt>
  <w:p w14:paraId="5A8AF04E" w14:textId="77777777" w:rsidR="00F038F9" w:rsidRPr="0029070D" w:rsidRDefault="00F038F9">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50" w14:textId="77777777" w:rsidR="00740F0F" w:rsidRPr="0029070D" w:rsidRDefault="00740F0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53" w14:textId="77777777" w:rsidR="00740F0F" w:rsidRPr="0029070D" w:rsidRDefault="00740F0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0290852"/>
      <w:docPartObj>
        <w:docPartGallery w:val="Page Numbers (Bottom of Page)"/>
        <w:docPartUnique/>
      </w:docPartObj>
    </w:sdtPr>
    <w:sdtEndPr>
      <w:rPr>
        <w:rFonts w:ascii="Times New Roman" w:hAnsi="Times New Roman" w:cs="Times New Roman"/>
      </w:rPr>
    </w:sdtEndPr>
    <w:sdtContent>
      <w:p w14:paraId="6A7EA467" w14:textId="27D0DD5C" w:rsidR="005339F4" w:rsidRPr="0029070D" w:rsidRDefault="005339F4">
        <w:pPr>
          <w:pStyle w:val="Footer"/>
          <w:jc w:val="center"/>
          <w:rPr>
            <w:rFonts w:ascii="Times New Roman" w:hAnsi="Times New Roman" w:cs="Times New Roman"/>
          </w:rPr>
        </w:pPr>
        <w:r w:rsidRPr="0029070D">
          <w:rPr>
            <w:rFonts w:ascii="Times New Roman" w:hAnsi="Times New Roman" w:cs="Times New Roman"/>
          </w:rPr>
          <w:fldChar w:fldCharType="begin"/>
        </w:r>
        <w:r w:rsidRPr="0029070D">
          <w:rPr>
            <w:rFonts w:ascii="Times New Roman" w:hAnsi="Times New Roman" w:cs="Times New Roman"/>
          </w:rPr>
          <w:instrText xml:space="preserve"> PAGE   \* MERGEFORMAT </w:instrText>
        </w:r>
        <w:r w:rsidRPr="0029070D">
          <w:rPr>
            <w:rFonts w:ascii="Times New Roman" w:hAnsi="Times New Roman" w:cs="Times New Roman"/>
          </w:rPr>
          <w:fldChar w:fldCharType="separate"/>
        </w:r>
        <w:r w:rsidRPr="0029070D">
          <w:rPr>
            <w:rFonts w:ascii="Times New Roman" w:hAnsi="Times New Roman" w:cs="Times New Roman"/>
          </w:rPr>
          <w:t>2</w:t>
        </w:r>
        <w:r w:rsidRPr="0029070D">
          <w:rPr>
            <w:rFonts w:ascii="Times New Roman" w:hAnsi="Times New Roman" w:cs="Times New Roman"/>
          </w:rPr>
          <w:fldChar w:fldCharType="end"/>
        </w:r>
      </w:p>
    </w:sdtContent>
  </w:sdt>
  <w:p w14:paraId="5A8AF060" w14:textId="77777777" w:rsidR="00F038F9" w:rsidRPr="0029070D" w:rsidRDefault="00F038F9">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62" w14:textId="77777777" w:rsidR="00740F0F" w:rsidRPr="0029070D" w:rsidRDefault="00740F0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65" w14:textId="77777777" w:rsidR="00740F0F" w:rsidRPr="0029070D" w:rsidRDefault="00740F0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392482"/>
      <w:docPartObj>
        <w:docPartGallery w:val="Page Numbers (Bottom of Page)"/>
        <w:docPartUnique/>
      </w:docPartObj>
    </w:sdtPr>
    <w:sdtEndPr>
      <w:rPr>
        <w:rFonts w:ascii="Times New Roman" w:hAnsi="Times New Roman" w:cs="Times New Roman"/>
      </w:rPr>
    </w:sdtEndPr>
    <w:sdtContent>
      <w:p w14:paraId="5361634C" w14:textId="58A30B70" w:rsidR="005339F4" w:rsidRPr="0029070D" w:rsidRDefault="005339F4">
        <w:pPr>
          <w:pStyle w:val="Footer"/>
          <w:jc w:val="center"/>
          <w:rPr>
            <w:rFonts w:ascii="Times New Roman" w:hAnsi="Times New Roman" w:cs="Times New Roman"/>
          </w:rPr>
        </w:pPr>
        <w:r w:rsidRPr="0029070D">
          <w:rPr>
            <w:rFonts w:ascii="Times New Roman" w:hAnsi="Times New Roman" w:cs="Times New Roman"/>
          </w:rPr>
          <w:fldChar w:fldCharType="begin"/>
        </w:r>
        <w:r w:rsidRPr="0029070D">
          <w:rPr>
            <w:rFonts w:ascii="Times New Roman" w:hAnsi="Times New Roman" w:cs="Times New Roman"/>
          </w:rPr>
          <w:instrText xml:space="preserve"> PAGE   \* MERGEFORMAT </w:instrText>
        </w:r>
        <w:r w:rsidRPr="0029070D">
          <w:rPr>
            <w:rFonts w:ascii="Times New Roman" w:hAnsi="Times New Roman" w:cs="Times New Roman"/>
          </w:rPr>
          <w:fldChar w:fldCharType="separate"/>
        </w:r>
        <w:r w:rsidRPr="0029070D">
          <w:rPr>
            <w:rFonts w:ascii="Times New Roman" w:hAnsi="Times New Roman" w:cs="Times New Roman"/>
          </w:rPr>
          <w:t>2</w:t>
        </w:r>
        <w:r w:rsidRPr="0029070D">
          <w:rPr>
            <w:rFonts w:ascii="Times New Roman" w:hAnsi="Times New Roman" w:cs="Times New Roman"/>
          </w:rPr>
          <w:fldChar w:fldCharType="end"/>
        </w:r>
      </w:p>
    </w:sdtContent>
  </w:sdt>
  <w:p w14:paraId="5A8AF072" w14:textId="77777777" w:rsidR="00F038F9" w:rsidRPr="0029070D" w:rsidRDefault="00F038F9">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74" w14:textId="77777777" w:rsidR="00740F0F" w:rsidRPr="0029070D" w:rsidRDefault="00740F0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77" w14:textId="77777777" w:rsidR="00740F0F" w:rsidRPr="0029070D" w:rsidRDefault="00740F0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9301083"/>
      <w:docPartObj>
        <w:docPartGallery w:val="Page Numbers (Bottom of Page)"/>
        <w:docPartUnique/>
      </w:docPartObj>
    </w:sdtPr>
    <w:sdtEndPr>
      <w:rPr>
        <w:rFonts w:ascii="Times New Roman" w:hAnsi="Times New Roman" w:cs="Times New Roman"/>
      </w:rPr>
    </w:sdtEndPr>
    <w:sdtContent>
      <w:p w14:paraId="550DEE88" w14:textId="5F14F306" w:rsidR="005339F4" w:rsidRPr="0029070D" w:rsidRDefault="005339F4">
        <w:pPr>
          <w:pStyle w:val="Footer"/>
          <w:jc w:val="center"/>
          <w:rPr>
            <w:rFonts w:ascii="Times New Roman" w:hAnsi="Times New Roman" w:cs="Times New Roman"/>
          </w:rPr>
        </w:pPr>
        <w:r w:rsidRPr="0029070D">
          <w:rPr>
            <w:rFonts w:ascii="Times New Roman" w:hAnsi="Times New Roman" w:cs="Times New Roman"/>
          </w:rPr>
          <w:fldChar w:fldCharType="begin"/>
        </w:r>
        <w:r w:rsidRPr="0029070D">
          <w:rPr>
            <w:rFonts w:ascii="Times New Roman" w:hAnsi="Times New Roman" w:cs="Times New Roman"/>
          </w:rPr>
          <w:instrText xml:space="preserve"> PAGE   \* MERGEFORMAT </w:instrText>
        </w:r>
        <w:r w:rsidRPr="0029070D">
          <w:rPr>
            <w:rFonts w:ascii="Times New Roman" w:hAnsi="Times New Roman" w:cs="Times New Roman"/>
          </w:rPr>
          <w:fldChar w:fldCharType="separate"/>
        </w:r>
        <w:r w:rsidRPr="0029070D">
          <w:rPr>
            <w:rFonts w:ascii="Times New Roman" w:hAnsi="Times New Roman" w:cs="Times New Roman"/>
          </w:rPr>
          <w:t>2</w:t>
        </w:r>
        <w:r w:rsidRPr="0029070D">
          <w:rPr>
            <w:rFonts w:ascii="Times New Roman" w:hAnsi="Times New Roman" w:cs="Times New Roman"/>
          </w:rPr>
          <w:fldChar w:fldCharType="end"/>
        </w:r>
      </w:p>
    </w:sdtContent>
  </w:sdt>
  <w:p w14:paraId="5A8AF084" w14:textId="77777777" w:rsidR="00F038F9" w:rsidRPr="0029070D" w:rsidRDefault="00F038F9">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86" w14:textId="77777777" w:rsidR="00740F0F" w:rsidRPr="0029070D" w:rsidRDefault="00740F0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89" w14:textId="77777777" w:rsidR="00740F0F" w:rsidRPr="0029070D" w:rsidRDefault="00740F0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7566097"/>
      <w:docPartObj>
        <w:docPartGallery w:val="Page Numbers (Bottom of Page)"/>
        <w:docPartUnique/>
      </w:docPartObj>
    </w:sdtPr>
    <w:sdtEndPr>
      <w:rPr>
        <w:rFonts w:ascii="Times New Roman" w:hAnsi="Times New Roman" w:cs="Times New Roman"/>
      </w:rPr>
    </w:sdtEndPr>
    <w:sdtContent>
      <w:p w14:paraId="25013CAB" w14:textId="6BD53287" w:rsidR="00D97C0C" w:rsidRPr="0029070D" w:rsidRDefault="00D97C0C">
        <w:pPr>
          <w:pStyle w:val="Footer"/>
          <w:jc w:val="center"/>
          <w:rPr>
            <w:rFonts w:ascii="Times New Roman" w:hAnsi="Times New Roman" w:cs="Times New Roman"/>
          </w:rPr>
        </w:pPr>
        <w:r w:rsidRPr="0029070D">
          <w:rPr>
            <w:rFonts w:ascii="Times New Roman" w:hAnsi="Times New Roman" w:cs="Times New Roman"/>
          </w:rPr>
          <w:fldChar w:fldCharType="begin"/>
        </w:r>
        <w:r w:rsidRPr="0029070D">
          <w:rPr>
            <w:rFonts w:ascii="Times New Roman" w:hAnsi="Times New Roman" w:cs="Times New Roman"/>
          </w:rPr>
          <w:instrText xml:space="preserve"> PAGE   \* MERGEFORMAT </w:instrText>
        </w:r>
        <w:r w:rsidRPr="0029070D">
          <w:rPr>
            <w:rFonts w:ascii="Times New Roman" w:hAnsi="Times New Roman" w:cs="Times New Roman"/>
          </w:rPr>
          <w:fldChar w:fldCharType="separate"/>
        </w:r>
        <w:r w:rsidRPr="0029070D">
          <w:rPr>
            <w:rFonts w:ascii="Times New Roman" w:hAnsi="Times New Roman" w:cs="Times New Roman"/>
          </w:rPr>
          <w:t>2</w:t>
        </w:r>
        <w:r w:rsidRPr="0029070D">
          <w:rPr>
            <w:rFonts w:ascii="Times New Roman" w:hAnsi="Times New Roman" w:cs="Times New Roman"/>
          </w:rPr>
          <w:fldChar w:fldCharType="end"/>
        </w:r>
      </w:p>
    </w:sdtContent>
  </w:sdt>
  <w:p w14:paraId="5A8AF096" w14:textId="77777777" w:rsidR="00F038F9" w:rsidRPr="0029070D" w:rsidRDefault="00F038F9">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98" w14:textId="77777777" w:rsidR="00740F0F" w:rsidRPr="0029070D" w:rsidRDefault="00740F0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9B" w14:textId="77777777" w:rsidR="00740F0F" w:rsidRPr="0029070D" w:rsidRDefault="00740F0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4906605"/>
      <w:docPartObj>
        <w:docPartGallery w:val="Page Numbers (Bottom of Page)"/>
        <w:docPartUnique/>
      </w:docPartObj>
    </w:sdtPr>
    <w:sdtEndPr>
      <w:rPr>
        <w:rFonts w:ascii="Times New Roman" w:hAnsi="Times New Roman" w:cs="Times New Roman"/>
      </w:rPr>
    </w:sdtEndPr>
    <w:sdtContent>
      <w:p w14:paraId="3788C8DD" w14:textId="5153A266" w:rsidR="00D97C0C" w:rsidRPr="0029070D" w:rsidRDefault="00D97C0C">
        <w:pPr>
          <w:pStyle w:val="Footer"/>
          <w:jc w:val="center"/>
          <w:rPr>
            <w:rFonts w:ascii="Times New Roman" w:hAnsi="Times New Roman" w:cs="Times New Roman"/>
          </w:rPr>
        </w:pPr>
        <w:r w:rsidRPr="0029070D">
          <w:rPr>
            <w:rFonts w:ascii="Times New Roman" w:hAnsi="Times New Roman" w:cs="Times New Roman"/>
          </w:rPr>
          <w:fldChar w:fldCharType="begin"/>
        </w:r>
        <w:r w:rsidRPr="0029070D">
          <w:rPr>
            <w:rFonts w:ascii="Times New Roman" w:hAnsi="Times New Roman" w:cs="Times New Roman"/>
          </w:rPr>
          <w:instrText xml:space="preserve"> PAGE   \* MERGEFORMAT </w:instrText>
        </w:r>
        <w:r w:rsidRPr="0029070D">
          <w:rPr>
            <w:rFonts w:ascii="Times New Roman" w:hAnsi="Times New Roman" w:cs="Times New Roman"/>
          </w:rPr>
          <w:fldChar w:fldCharType="separate"/>
        </w:r>
        <w:r w:rsidRPr="0029070D">
          <w:rPr>
            <w:rFonts w:ascii="Times New Roman" w:hAnsi="Times New Roman" w:cs="Times New Roman"/>
          </w:rPr>
          <w:t>2</w:t>
        </w:r>
        <w:r w:rsidRPr="0029070D">
          <w:rPr>
            <w:rFonts w:ascii="Times New Roman" w:hAnsi="Times New Roman" w:cs="Times New Roman"/>
          </w:rPr>
          <w:fldChar w:fldCharType="end"/>
        </w:r>
      </w:p>
    </w:sdtContent>
  </w:sdt>
  <w:p w14:paraId="5A8AF0A8" w14:textId="77777777" w:rsidR="00F038F9" w:rsidRPr="0029070D" w:rsidRDefault="00F038F9">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AA" w14:textId="77777777" w:rsidR="00740F0F" w:rsidRPr="0029070D" w:rsidRDefault="00740F0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AD" w14:textId="77777777" w:rsidR="00740F0F" w:rsidRPr="0029070D" w:rsidRDefault="00740F0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9091358"/>
      <w:docPartObj>
        <w:docPartGallery w:val="Page Numbers (Bottom of Page)"/>
        <w:docPartUnique/>
      </w:docPartObj>
    </w:sdtPr>
    <w:sdtEndPr>
      <w:rPr>
        <w:rFonts w:ascii="Times New Roman" w:hAnsi="Times New Roman" w:cs="Times New Roman"/>
      </w:rPr>
    </w:sdtEndPr>
    <w:sdtContent>
      <w:p w14:paraId="3A88526B" w14:textId="56957000" w:rsidR="00D97C0C" w:rsidRPr="0029070D" w:rsidRDefault="00D97C0C">
        <w:pPr>
          <w:pStyle w:val="Footer"/>
          <w:jc w:val="center"/>
          <w:rPr>
            <w:rFonts w:ascii="Times New Roman" w:hAnsi="Times New Roman" w:cs="Times New Roman"/>
          </w:rPr>
        </w:pPr>
        <w:r w:rsidRPr="0029070D">
          <w:rPr>
            <w:rFonts w:ascii="Times New Roman" w:hAnsi="Times New Roman" w:cs="Times New Roman"/>
          </w:rPr>
          <w:fldChar w:fldCharType="begin"/>
        </w:r>
        <w:r w:rsidRPr="0029070D">
          <w:rPr>
            <w:rFonts w:ascii="Times New Roman" w:hAnsi="Times New Roman" w:cs="Times New Roman"/>
          </w:rPr>
          <w:instrText xml:space="preserve"> PAGE   \* MERGEFORMAT </w:instrText>
        </w:r>
        <w:r w:rsidRPr="0029070D">
          <w:rPr>
            <w:rFonts w:ascii="Times New Roman" w:hAnsi="Times New Roman" w:cs="Times New Roman"/>
          </w:rPr>
          <w:fldChar w:fldCharType="separate"/>
        </w:r>
        <w:r w:rsidRPr="0029070D">
          <w:rPr>
            <w:rFonts w:ascii="Times New Roman" w:hAnsi="Times New Roman" w:cs="Times New Roman"/>
          </w:rPr>
          <w:t>2</w:t>
        </w:r>
        <w:r w:rsidRPr="0029070D">
          <w:rPr>
            <w:rFonts w:ascii="Times New Roman" w:hAnsi="Times New Roman" w:cs="Times New Roman"/>
          </w:rPr>
          <w:fldChar w:fldCharType="end"/>
        </w:r>
      </w:p>
    </w:sdtContent>
  </w:sdt>
  <w:p w14:paraId="5A8AF0BA" w14:textId="77777777" w:rsidR="00F038F9" w:rsidRPr="0029070D" w:rsidRDefault="00F038F9">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BC" w14:textId="77777777" w:rsidR="00740F0F" w:rsidRPr="0029070D" w:rsidRDefault="00740F0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BF" w14:textId="77777777" w:rsidR="00740F0F" w:rsidRPr="0029070D" w:rsidRDefault="00740F0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5461923"/>
      <w:docPartObj>
        <w:docPartGallery w:val="Page Numbers (Bottom of Page)"/>
        <w:docPartUnique/>
      </w:docPartObj>
    </w:sdtPr>
    <w:sdtEndPr>
      <w:rPr>
        <w:rFonts w:ascii="Times New Roman" w:hAnsi="Times New Roman" w:cs="Times New Roman"/>
      </w:rPr>
    </w:sdtEndPr>
    <w:sdtContent>
      <w:p w14:paraId="575F9F3B" w14:textId="6D897BC4" w:rsidR="00D97C0C" w:rsidRPr="0029070D" w:rsidRDefault="00D97C0C">
        <w:pPr>
          <w:pStyle w:val="Footer"/>
          <w:jc w:val="center"/>
          <w:rPr>
            <w:rFonts w:ascii="Times New Roman" w:hAnsi="Times New Roman" w:cs="Times New Roman"/>
          </w:rPr>
        </w:pPr>
        <w:r w:rsidRPr="0029070D">
          <w:rPr>
            <w:rFonts w:ascii="Times New Roman" w:hAnsi="Times New Roman" w:cs="Times New Roman"/>
          </w:rPr>
          <w:fldChar w:fldCharType="begin"/>
        </w:r>
        <w:r w:rsidRPr="0029070D">
          <w:rPr>
            <w:rFonts w:ascii="Times New Roman" w:hAnsi="Times New Roman" w:cs="Times New Roman"/>
          </w:rPr>
          <w:instrText xml:space="preserve"> PAGE   \* MERGEFORMAT </w:instrText>
        </w:r>
        <w:r w:rsidRPr="0029070D">
          <w:rPr>
            <w:rFonts w:ascii="Times New Roman" w:hAnsi="Times New Roman" w:cs="Times New Roman"/>
          </w:rPr>
          <w:fldChar w:fldCharType="separate"/>
        </w:r>
        <w:r w:rsidRPr="0029070D">
          <w:rPr>
            <w:rFonts w:ascii="Times New Roman" w:hAnsi="Times New Roman" w:cs="Times New Roman"/>
          </w:rPr>
          <w:t>2</w:t>
        </w:r>
        <w:r w:rsidRPr="0029070D">
          <w:rPr>
            <w:rFonts w:ascii="Times New Roman" w:hAnsi="Times New Roman" w:cs="Times New Roman"/>
          </w:rPr>
          <w:fldChar w:fldCharType="end"/>
        </w:r>
      </w:p>
    </w:sdtContent>
  </w:sdt>
  <w:p w14:paraId="5A8AF0CC" w14:textId="77777777" w:rsidR="00F038F9" w:rsidRPr="0029070D" w:rsidRDefault="00F038F9">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CE" w14:textId="77777777" w:rsidR="00740F0F" w:rsidRPr="0029070D" w:rsidRDefault="00740F0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D1" w14:textId="77777777" w:rsidR="00740F0F" w:rsidRPr="0029070D" w:rsidRDefault="00740F0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5225364"/>
      <w:docPartObj>
        <w:docPartGallery w:val="Page Numbers (Bottom of Page)"/>
        <w:docPartUnique/>
      </w:docPartObj>
    </w:sdtPr>
    <w:sdtEndPr>
      <w:rPr>
        <w:rFonts w:ascii="Times New Roman" w:hAnsi="Times New Roman" w:cs="Times New Roman"/>
      </w:rPr>
    </w:sdtEndPr>
    <w:sdtContent>
      <w:p w14:paraId="65F8AA25" w14:textId="6640FB08" w:rsidR="00D97C0C" w:rsidRPr="0029070D" w:rsidRDefault="00D97C0C">
        <w:pPr>
          <w:pStyle w:val="Footer"/>
          <w:jc w:val="center"/>
          <w:rPr>
            <w:rFonts w:ascii="Times New Roman" w:hAnsi="Times New Roman" w:cs="Times New Roman"/>
          </w:rPr>
        </w:pPr>
        <w:r w:rsidRPr="0029070D">
          <w:rPr>
            <w:rFonts w:ascii="Times New Roman" w:hAnsi="Times New Roman" w:cs="Times New Roman"/>
          </w:rPr>
          <w:fldChar w:fldCharType="begin"/>
        </w:r>
        <w:r w:rsidRPr="0029070D">
          <w:rPr>
            <w:rFonts w:ascii="Times New Roman" w:hAnsi="Times New Roman" w:cs="Times New Roman"/>
          </w:rPr>
          <w:instrText xml:space="preserve"> PAGE   \* MERGEFORMAT </w:instrText>
        </w:r>
        <w:r w:rsidRPr="0029070D">
          <w:rPr>
            <w:rFonts w:ascii="Times New Roman" w:hAnsi="Times New Roman" w:cs="Times New Roman"/>
          </w:rPr>
          <w:fldChar w:fldCharType="separate"/>
        </w:r>
        <w:r w:rsidRPr="0029070D">
          <w:rPr>
            <w:rFonts w:ascii="Times New Roman" w:hAnsi="Times New Roman" w:cs="Times New Roman"/>
          </w:rPr>
          <w:t>2</w:t>
        </w:r>
        <w:r w:rsidRPr="0029070D">
          <w:rPr>
            <w:rFonts w:ascii="Times New Roman" w:hAnsi="Times New Roman" w:cs="Times New Roman"/>
          </w:rPr>
          <w:fldChar w:fldCharType="end"/>
        </w:r>
      </w:p>
    </w:sdtContent>
  </w:sdt>
  <w:p w14:paraId="5A8AF0DE" w14:textId="77777777" w:rsidR="00F038F9" w:rsidRPr="0029070D" w:rsidRDefault="00F038F9">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E0" w14:textId="77777777" w:rsidR="00740F0F" w:rsidRPr="0029070D" w:rsidRDefault="00740F0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E3" w14:textId="77777777" w:rsidR="00740F0F" w:rsidRPr="0029070D" w:rsidRDefault="00740F0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7398507"/>
      <w:docPartObj>
        <w:docPartGallery w:val="Page Numbers (Bottom of Page)"/>
        <w:docPartUnique/>
      </w:docPartObj>
    </w:sdtPr>
    <w:sdtEndPr>
      <w:rPr>
        <w:rFonts w:ascii="Times New Roman" w:hAnsi="Times New Roman" w:cs="Times New Roman"/>
      </w:rPr>
    </w:sdtEndPr>
    <w:sdtContent>
      <w:p w14:paraId="4A420F03" w14:textId="1C8F772B" w:rsidR="00D97C0C" w:rsidRPr="0029070D" w:rsidRDefault="00D97C0C">
        <w:pPr>
          <w:pStyle w:val="Footer"/>
          <w:jc w:val="center"/>
          <w:rPr>
            <w:rFonts w:ascii="Times New Roman" w:hAnsi="Times New Roman" w:cs="Times New Roman"/>
          </w:rPr>
        </w:pPr>
        <w:r w:rsidRPr="0029070D">
          <w:rPr>
            <w:rFonts w:ascii="Times New Roman" w:hAnsi="Times New Roman" w:cs="Times New Roman"/>
          </w:rPr>
          <w:fldChar w:fldCharType="begin"/>
        </w:r>
        <w:r w:rsidRPr="0029070D">
          <w:rPr>
            <w:rFonts w:ascii="Times New Roman" w:hAnsi="Times New Roman" w:cs="Times New Roman"/>
          </w:rPr>
          <w:instrText xml:space="preserve"> PAGE   \* MERGEFORMAT </w:instrText>
        </w:r>
        <w:r w:rsidRPr="0029070D">
          <w:rPr>
            <w:rFonts w:ascii="Times New Roman" w:hAnsi="Times New Roman" w:cs="Times New Roman"/>
          </w:rPr>
          <w:fldChar w:fldCharType="separate"/>
        </w:r>
        <w:r w:rsidRPr="0029070D">
          <w:rPr>
            <w:rFonts w:ascii="Times New Roman" w:hAnsi="Times New Roman" w:cs="Times New Roman"/>
          </w:rPr>
          <w:t>2</w:t>
        </w:r>
        <w:r w:rsidRPr="0029070D">
          <w:rPr>
            <w:rFonts w:ascii="Times New Roman" w:hAnsi="Times New Roman" w:cs="Times New Roman"/>
          </w:rPr>
          <w:fldChar w:fldCharType="end"/>
        </w:r>
      </w:p>
    </w:sdtContent>
  </w:sdt>
  <w:p w14:paraId="5A8AF0F0" w14:textId="77777777" w:rsidR="00F038F9" w:rsidRPr="0029070D" w:rsidRDefault="00F038F9">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F2" w14:textId="77777777" w:rsidR="00740F0F" w:rsidRPr="0029070D" w:rsidRDefault="00740F0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F5" w14:textId="77777777" w:rsidR="00740F0F" w:rsidRPr="0029070D" w:rsidRDefault="00740F0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1613864"/>
      <w:docPartObj>
        <w:docPartGallery w:val="Page Numbers (Bottom of Page)"/>
        <w:docPartUnique/>
      </w:docPartObj>
    </w:sdtPr>
    <w:sdtEndPr>
      <w:rPr>
        <w:rFonts w:ascii="Times New Roman" w:hAnsi="Times New Roman" w:cs="Times New Roman"/>
      </w:rPr>
    </w:sdtEndPr>
    <w:sdtContent>
      <w:p w14:paraId="0A356FCE" w14:textId="0C27FBA3" w:rsidR="00D97C0C" w:rsidRPr="0029070D" w:rsidRDefault="00D97C0C">
        <w:pPr>
          <w:pStyle w:val="Footer"/>
          <w:jc w:val="center"/>
          <w:rPr>
            <w:rFonts w:ascii="Times New Roman" w:hAnsi="Times New Roman" w:cs="Times New Roman"/>
          </w:rPr>
        </w:pPr>
        <w:r w:rsidRPr="0029070D">
          <w:rPr>
            <w:rFonts w:ascii="Times New Roman" w:hAnsi="Times New Roman" w:cs="Times New Roman"/>
          </w:rPr>
          <w:fldChar w:fldCharType="begin"/>
        </w:r>
        <w:r w:rsidRPr="0029070D">
          <w:rPr>
            <w:rFonts w:ascii="Times New Roman" w:hAnsi="Times New Roman" w:cs="Times New Roman"/>
          </w:rPr>
          <w:instrText xml:space="preserve"> PAGE   \* MERGEFORMAT </w:instrText>
        </w:r>
        <w:r w:rsidRPr="0029070D">
          <w:rPr>
            <w:rFonts w:ascii="Times New Roman" w:hAnsi="Times New Roman" w:cs="Times New Roman"/>
          </w:rPr>
          <w:fldChar w:fldCharType="separate"/>
        </w:r>
        <w:r w:rsidRPr="0029070D">
          <w:rPr>
            <w:rFonts w:ascii="Times New Roman" w:hAnsi="Times New Roman" w:cs="Times New Roman"/>
          </w:rPr>
          <w:t>2</w:t>
        </w:r>
        <w:r w:rsidRPr="0029070D">
          <w:rPr>
            <w:rFonts w:ascii="Times New Roman" w:hAnsi="Times New Roman" w:cs="Times New Roman"/>
          </w:rPr>
          <w:fldChar w:fldCharType="end"/>
        </w:r>
      </w:p>
    </w:sdtContent>
  </w:sdt>
  <w:p w14:paraId="5A8AF102" w14:textId="77777777" w:rsidR="00F038F9" w:rsidRPr="0029070D" w:rsidRDefault="00F038F9">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104" w14:textId="77777777" w:rsidR="00740F0F" w:rsidRPr="0029070D" w:rsidRDefault="00740F0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107" w14:textId="77777777" w:rsidR="00740F0F" w:rsidRPr="0029070D" w:rsidRDefault="00740F0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5337468"/>
      <w:docPartObj>
        <w:docPartGallery w:val="Page Numbers (Bottom of Page)"/>
        <w:docPartUnique/>
      </w:docPartObj>
    </w:sdtPr>
    <w:sdtEndPr/>
    <w:sdtContent>
      <w:p w14:paraId="686EC223" w14:textId="7505A47F" w:rsidR="00D97C0C" w:rsidRPr="0029070D" w:rsidRDefault="00D97C0C">
        <w:pPr>
          <w:pStyle w:val="Footer"/>
          <w:jc w:val="center"/>
        </w:pPr>
        <w:r w:rsidRPr="0029070D">
          <w:rPr>
            <w:rFonts w:ascii="Times New Roman" w:hAnsi="Times New Roman" w:cs="Times New Roman"/>
          </w:rPr>
          <w:fldChar w:fldCharType="begin"/>
        </w:r>
        <w:r w:rsidRPr="0029070D">
          <w:rPr>
            <w:rFonts w:ascii="Times New Roman" w:hAnsi="Times New Roman" w:cs="Times New Roman"/>
          </w:rPr>
          <w:instrText xml:space="preserve"> PAGE   \* MERGEFORMAT </w:instrText>
        </w:r>
        <w:r w:rsidRPr="0029070D">
          <w:rPr>
            <w:rFonts w:ascii="Times New Roman" w:hAnsi="Times New Roman" w:cs="Times New Roman"/>
          </w:rPr>
          <w:fldChar w:fldCharType="separate"/>
        </w:r>
        <w:r w:rsidRPr="0029070D">
          <w:rPr>
            <w:rFonts w:ascii="Times New Roman" w:hAnsi="Times New Roman" w:cs="Times New Roman"/>
          </w:rPr>
          <w:t>2</w:t>
        </w:r>
        <w:r w:rsidRPr="0029070D">
          <w:rPr>
            <w:rFonts w:ascii="Times New Roman" w:hAnsi="Times New Roman" w:cs="Times New Roman"/>
          </w:rPr>
          <w:fldChar w:fldCharType="end"/>
        </w:r>
      </w:p>
    </w:sdtContent>
  </w:sdt>
  <w:p w14:paraId="5A8AF114" w14:textId="77777777" w:rsidR="00F038F9" w:rsidRPr="0029070D" w:rsidRDefault="00F038F9">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116" w14:textId="77777777" w:rsidR="00740F0F" w:rsidRPr="0029070D" w:rsidRDefault="00740F0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119" w14:textId="77777777" w:rsidR="00740F0F" w:rsidRPr="0029070D" w:rsidRDefault="00740F0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49006845"/>
      <w:docPartObj>
        <w:docPartGallery w:val="Page Numbers (Bottom of Page)"/>
        <w:docPartUnique/>
      </w:docPartObj>
    </w:sdtPr>
    <w:sdtEndPr/>
    <w:sdtContent>
      <w:p w14:paraId="64B46E07" w14:textId="1C125C4C" w:rsidR="00D97C0C" w:rsidRPr="0029070D" w:rsidRDefault="00D97C0C">
        <w:pPr>
          <w:pStyle w:val="Footer"/>
          <w:jc w:val="center"/>
          <w:rPr>
            <w:rFonts w:ascii="Times New Roman" w:hAnsi="Times New Roman" w:cs="Times New Roman"/>
          </w:rPr>
        </w:pPr>
        <w:r w:rsidRPr="0029070D">
          <w:rPr>
            <w:rFonts w:ascii="Times New Roman" w:hAnsi="Times New Roman" w:cs="Times New Roman"/>
          </w:rPr>
          <w:fldChar w:fldCharType="begin"/>
        </w:r>
        <w:r w:rsidRPr="0029070D">
          <w:rPr>
            <w:rFonts w:ascii="Times New Roman" w:hAnsi="Times New Roman" w:cs="Times New Roman"/>
          </w:rPr>
          <w:instrText xml:space="preserve"> PAGE   \* MERGEFORMAT </w:instrText>
        </w:r>
        <w:r w:rsidRPr="0029070D">
          <w:rPr>
            <w:rFonts w:ascii="Times New Roman" w:hAnsi="Times New Roman" w:cs="Times New Roman"/>
          </w:rPr>
          <w:fldChar w:fldCharType="separate"/>
        </w:r>
        <w:r w:rsidRPr="0029070D">
          <w:rPr>
            <w:rFonts w:ascii="Times New Roman" w:hAnsi="Times New Roman" w:cs="Times New Roman"/>
          </w:rPr>
          <w:t>2</w:t>
        </w:r>
        <w:r w:rsidRPr="0029070D">
          <w:rPr>
            <w:rFonts w:ascii="Times New Roman" w:hAnsi="Times New Roman" w:cs="Times New Roman"/>
          </w:rPr>
          <w:fldChar w:fldCharType="end"/>
        </w:r>
      </w:p>
    </w:sdtContent>
  </w:sdt>
  <w:p w14:paraId="5A8AF126" w14:textId="77777777" w:rsidR="00F038F9" w:rsidRPr="0029070D" w:rsidRDefault="00F038F9">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128" w14:textId="77777777" w:rsidR="00740F0F" w:rsidRPr="0029070D" w:rsidRDefault="00740F0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12B" w14:textId="77777777" w:rsidR="00740F0F" w:rsidRPr="0029070D" w:rsidRDefault="00740F0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922375229"/>
      <w:docPartObj>
        <w:docPartGallery w:val="Page Numbers (Bottom of Page)"/>
        <w:docPartUnique/>
      </w:docPartObj>
    </w:sdtPr>
    <w:sdtEndPr/>
    <w:sdtContent>
      <w:p w14:paraId="400C79CD" w14:textId="7DC57742" w:rsidR="00D97C0C" w:rsidRPr="0029070D" w:rsidRDefault="00D97C0C">
        <w:pPr>
          <w:pStyle w:val="Footer"/>
          <w:jc w:val="center"/>
          <w:rPr>
            <w:rFonts w:ascii="Times New Roman" w:hAnsi="Times New Roman" w:cs="Times New Roman"/>
          </w:rPr>
        </w:pPr>
        <w:r w:rsidRPr="0029070D">
          <w:rPr>
            <w:rFonts w:ascii="Times New Roman" w:hAnsi="Times New Roman" w:cs="Times New Roman"/>
          </w:rPr>
          <w:fldChar w:fldCharType="begin"/>
        </w:r>
        <w:r w:rsidRPr="0029070D">
          <w:rPr>
            <w:rFonts w:ascii="Times New Roman" w:hAnsi="Times New Roman" w:cs="Times New Roman"/>
          </w:rPr>
          <w:instrText xml:space="preserve"> PAGE   \* MERGEFORMAT </w:instrText>
        </w:r>
        <w:r w:rsidRPr="0029070D">
          <w:rPr>
            <w:rFonts w:ascii="Times New Roman" w:hAnsi="Times New Roman" w:cs="Times New Roman"/>
          </w:rPr>
          <w:fldChar w:fldCharType="separate"/>
        </w:r>
        <w:r w:rsidRPr="0029070D">
          <w:rPr>
            <w:rFonts w:ascii="Times New Roman" w:hAnsi="Times New Roman" w:cs="Times New Roman"/>
          </w:rPr>
          <w:t>2</w:t>
        </w:r>
        <w:r w:rsidRPr="0029070D">
          <w:rPr>
            <w:rFonts w:ascii="Times New Roman" w:hAnsi="Times New Roman" w:cs="Times New Roman"/>
          </w:rPr>
          <w:fldChar w:fldCharType="end"/>
        </w:r>
      </w:p>
    </w:sdtContent>
  </w:sdt>
  <w:p w14:paraId="5A8AF138" w14:textId="77777777" w:rsidR="00F038F9" w:rsidRPr="0029070D" w:rsidRDefault="00F038F9">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13A" w14:textId="77777777" w:rsidR="00740F0F" w:rsidRPr="0029070D" w:rsidRDefault="00740F0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13C" w14:textId="77777777" w:rsidR="00740F0F" w:rsidRPr="0029070D" w:rsidRDefault="00740F0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7666526"/>
      <w:docPartObj>
        <w:docPartGallery w:val="Page Numbers (Bottom of Page)"/>
        <w:docPartUnique/>
      </w:docPartObj>
    </w:sdtPr>
    <w:sdtEndPr>
      <w:rPr>
        <w:rFonts w:ascii="Times New Roman" w:hAnsi="Times New Roman" w:cs="Times New Roman"/>
      </w:rPr>
    </w:sdtEndPr>
    <w:sdtContent>
      <w:p w14:paraId="34F672F8" w14:textId="0A425966" w:rsidR="00D97C0C" w:rsidRPr="0029070D" w:rsidRDefault="00D97C0C">
        <w:pPr>
          <w:pStyle w:val="Footer"/>
          <w:jc w:val="center"/>
          <w:rPr>
            <w:rFonts w:ascii="Times New Roman" w:hAnsi="Times New Roman" w:cs="Times New Roman"/>
          </w:rPr>
        </w:pPr>
        <w:r w:rsidRPr="0029070D">
          <w:rPr>
            <w:rFonts w:ascii="Times New Roman" w:hAnsi="Times New Roman" w:cs="Times New Roman"/>
          </w:rPr>
          <w:fldChar w:fldCharType="begin"/>
        </w:r>
        <w:r w:rsidRPr="0029070D">
          <w:rPr>
            <w:rFonts w:ascii="Times New Roman" w:hAnsi="Times New Roman" w:cs="Times New Roman"/>
          </w:rPr>
          <w:instrText xml:space="preserve"> PAGE   \* MERGEFORMAT </w:instrText>
        </w:r>
        <w:r w:rsidRPr="0029070D">
          <w:rPr>
            <w:rFonts w:ascii="Times New Roman" w:hAnsi="Times New Roman" w:cs="Times New Roman"/>
          </w:rPr>
          <w:fldChar w:fldCharType="separate"/>
        </w:r>
        <w:r w:rsidRPr="0029070D">
          <w:rPr>
            <w:rFonts w:ascii="Times New Roman" w:hAnsi="Times New Roman" w:cs="Times New Roman"/>
          </w:rPr>
          <w:t>2</w:t>
        </w:r>
        <w:r w:rsidRPr="0029070D">
          <w:rPr>
            <w:rFonts w:ascii="Times New Roman" w:hAnsi="Times New Roman" w:cs="Times New Roman"/>
          </w:rPr>
          <w:fldChar w:fldCharType="end"/>
        </w:r>
      </w:p>
    </w:sdtContent>
  </w:sdt>
  <w:p w14:paraId="3DE31891" w14:textId="77777777" w:rsidR="00173EE9" w:rsidRPr="0029070D" w:rsidRDefault="00173EE9">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13E" w14:textId="77777777" w:rsidR="00740F0F" w:rsidRPr="0029070D" w:rsidRDefault="00740F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84679D" w14:textId="77777777" w:rsidR="00F4646C" w:rsidRPr="0029070D" w:rsidRDefault="00F4646C">
      <w:pPr>
        <w:spacing w:after="0" w:line="240" w:lineRule="auto"/>
      </w:pPr>
      <w:r w:rsidRPr="0029070D">
        <w:separator/>
      </w:r>
    </w:p>
  </w:footnote>
  <w:footnote w:type="continuationSeparator" w:id="0">
    <w:p w14:paraId="30572E85" w14:textId="77777777" w:rsidR="00F4646C" w:rsidRPr="0029070D" w:rsidRDefault="00F4646C">
      <w:pPr>
        <w:spacing w:after="0" w:line="240" w:lineRule="auto"/>
      </w:pPr>
      <w:r w:rsidRPr="0029070D">
        <w:continuationSeparator/>
      </w:r>
    </w:p>
  </w:footnote>
  <w:footnote w:type="continuationNotice" w:id="1">
    <w:p w14:paraId="75BE9C98" w14:textId="77777777" w:rsidR="00F4646C" w:rsidRPr="0029070D" w:rsidRDefault="00F4646C">
      <w:pPr>
        <w:spacing w:after="0" w:line="240" w:lineRule="auto"/>
      </w:pPr>
    </w:p>
  </w:footnote>
  <w:footnote w:id="2">
    <w:p w14:paraId="5A8AF13F" w14:textId="77777777" w:rsidR="00740F0F" w:rsidRPr="0029070D" w:rsidRDefault="00100B64">
      <w:pPr>
        <w:pStyle w:val="FootnoteText"/>
        <w:jc w:val="both"/>
      </w:pPr>
      <w:r>
        <w:rPr>
          <w:rStyle w:val="FootnoteReference"/>
          <w:rFonts w:ascii="Times New Roman" w:hAnsi="Times New Roman" w:cs="Times New Roman"/>
        </w:rPr>
        <w:footnoteRef/>
      </w:r>
      <w:r>
        <w:rPr>
          <w:rFonts w:ascii="Times New Roman" w:hAnsi="Times New Roman"/>
        </w:rPr>
        <w:t xml:space="preserve"> BBC signifie «Bâtiment Basse Consommation», c’est-à-dire un bâtiment dont la consommation maximale d’énergie primaire est de 50 kWh/m</w:t>
      </w:r>
      <w:r>
        <w:rPr>
          <w:rFonts w:ascii="Times New Roman" w:hAnsi="Times New Roman"/>
          <w:vertAlign w:val="superscript"/>
        </w:rPr>
        <w:t>2</w:t>
      </w:r>
      <w:r>
        <w:rPr>
          <w:rFonts w:ascii="Times New Roman" w:hAnsi="Times New Roman"/>
        </w:rPr>
        <w:t>.</w:t>
      </w:r>
    </w:p>
  </w:footnote>
  <w:footnote w:id="3">
    <w:p w14:paraId="5A8AF140" w14:textId="77777777" w:rsidR="00740F0F" w:rsidRPr="0029070D" w:rsidRDefault="00100B6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ÉcoPLS: éco-prêt logement social (mis en place en 2009, ce dispositif a été révisé en 2019 et permet aux bailleurs sociaux de bénéficier de prêts avantageux pour rénover leur parc immobilier). Certificats d’économies d’énergie: ce dispositif a été créé en 2005 et impose des obligations en matière d’économies d’énergie aux fournisseurs d’énergie par le biais de certificats.</w:t>
      </w:r>
    </w:p>
  </w:footnote>
  <w:footnote w:id="4">
    <w:p w14:paraId="5A8AF141" w14:textId="77777777" w:rsidR="00740F0F" w:rsidRPr="0029070D" w:rsidRDefault="00100B6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 exemple, les communes, les groupements de communes et d’autres collectivités locales telles que les départements.</w:t>
      </w:r>
    </w:p>
  </w:footnote>
  <w:footnote w:id="5">
    <w:p w14:paraId="5A8AF143" w14:textId="3CE954BF" w:rsidR="00740F0F" w:rsidRPr="0029070D" w:rsidRDefault="00100B64">
      <w:pPr>
        <w:pStyle w:val="FootnoteText"/>
      </w:pPr>
      <w:r>
        <w:rPr>
          <w:rStyle w:val="FootnoteReference"/>
          <w:rFonts w:ascii="Times New Roman" w:hAnsi="Times New Roman" w:cs="Times New Roman"/>
        </w:rPr>
        <w:footnoteRef/>
      </w:r>
      <w:r>
        <w:rPr>
          <w:rFonts w:ascii="Times New Roman" w:hAnsi="Times New Roman"/>
        </w:rPr>
        <w:t xml:space="preserve"> La liste des mesures éligibles est précisée par décret.</w:t>
      </w:r>
    </w:p>
  </w:footnote>
  <w:footnote w:id="6">
    <w:p w14:paraId="5A8AF144" w14:textId="77777777" w:rsidR="00740F0F" w:rsidRPr="0029070D" w:rsidRDefault="00100B6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Lorsque l’activité soutenue atteint un niveau projeté d’émissions de gaz à effet de serre qui n’est pas sensiblement inférieur aux valeurs des référentiels pertinentes, il convient de fournir une explication des raisons pour lesquelles cela n’est pas possible. Référentiels établis pour l’allocation à titre gratuit pour les activités et les installations entrant dans le champ d’application du système d’échange de quotas d’émission, comme indiqué dans le règlement d’exécution (UE) 2021/447 de la Commission.</w:t>
      </w:r>
    </w:p>
    <w:p w14:paraId="5A8AF145" w14:textId="77777777" w:rsidR="00740F0F" w:rsidRPr="0029070D" w:rsidRDefault="00740F0F">
      <w:pPr>
        <w:pStyle w:val="FootnoteText"/>
      </w:pPr>
    </w:p>
  </w:footnote>
  <w:footnote w:id="7">
    <w:p w14:paraId="5A8AF146" w14:textId="76AF82E2" w:rsidR="00740F0F" w:rsidRPr="0029070D" w:rsidRDefault="00100B6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2020/852 du Parlement européen et du Conseil du 18 juin 2020 sur l’établissement d’un cadre visant à favoriser les investissements durables et modifiant le règlement (UE) 2019/2088 (JO L 198 du 22.6.2020, p. 13).</w:t>
      </w:r>
    </w:p>
  </w:footnote>
  <w:footnote w:id="8">
    <w:p w14:paraId="5A8AF147" w14:textId="6C854481" w:rsidR="00740F0F" w:rsidRPr="0029070D" w:rsidRDefault="00100B6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Règlement (UE) nº 691/2011 du Parlement européen et du Conseil du 6 juillet 2011 relatif aux comptes économiques européens de l’environnement, article 2.</w:t>
      </w:r>
    </w:p>
    <w:p w14:paraId="5A8AF148" w14:textId="77777777" w:rsidR="00740F0F" w:rsidRPr="0029070D" w:rsidRDefault="00740F0F">
      <w:pPr>
        <w:pStyle w:val="FootnoteText"/>
      </w:pPr>
    </w:p>
  </w:footnote>
  <w:footnote w:id="9">
    <w:p w14:paraId="5A8AF149" w14:textId="77777777" w:rsidR="00740F0F" w:rsidRPr="009447E5" w:rsidRDefault="00100B6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«Autorités organisatrices de la distribution publique d’électricité» (AODE) conformément à l’article L.322-6 du code de l’énergie.</w:t>
      </w:r>
    </w:p>
  </w:footnote>
  <w:footnote w:id="10">
    <w:p w14:paraId="5A8AF14A" w14:textId="77777777" w:rsidR="00740F0F" w:rsidRPr="0029070D" w:rsidRDefault="00100B6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À l’exception des projets relevant de la présente mesure dans le domaine de la production d’électricité et/ou de chaleur, ainsi que des infrastructures connexes de transport et de distribution utilisant du gaz naturel, qui sont conformes aux conditions énoncées à l’annexe III des orientations techniques relatives au principe consistant à «ne pas causer de préjudice important» (2021/C58/01).</w:t>
      </w:r>
    </w:p>
  </w:footnote>
  <w:footnote w:id="11">
    <w:p w14:paraId="5A8AF14B" w14:textId="77777777" w:rsidR="00740F0F" w:rsidRPr="0029070D" w:rsidRDefault="00100B64">
      <w:pPr>
        <w:pStyle w:val="FootnoteText"/>
        <w:jc w:val="both"/>
      </w:pPr>
      <w:r>
        <w:rPr>
          <w:rStyle w:val="FootnoteReference"/>
          <w:rFonts w:ascii="Times New Roman" w:hAnsi="Times New Roman" w:cs="Times New Roman"/>
        </w:rPr>
        <w:footnoteRef/>
      </w:r>
      <w:r>
        <w:rPr>
          <w:rFonts w:ascii="Times New Roman" w:hAnsi="Times New Roman"/>
        </w:rPr>
        <w:t xml:space="preserve"> Lorsque l’activité soutenue atteint un niveau projeté d’émissions de gaz à effet de serre qui n’est pas sensiblement inférieur aux valeurs des référentiels pertinentes, il convient de fournir une explication des raisons pour lesquelles cela n’est pas possible. Référentiels établis pour l’allocation de quotas à titre gratuit pour les activités relevant du champ d’application du système d’échange de quotas d’émission, conformément au règlement d’exécution (UE) 2021/447 de la Commission.</w:t>
      </w:r>
    </w:p>
  </w:footnote>
  <w:footnote w:id="12">
    <w:p w14:paraId="5A8AF14C" w14:textId="77777777" w:rsidR="00740F0F" w:rsidRPr="0029070D" w:rsidRDefault="00100B64">
      <w:pPr>
        <w:pStyle w:val="FootnoteText"/>
        <w:jc w:val="both"/>
      </w:pPr>
      <w:r>
        <w:rPr>
          <w:rStyle w:val="FootnoteReference"/>
          <w:rFonts w:ascii="Times New Roman" w:hAnsi="Times New Roman" w:cs="Times New Roman"/>
        </w:rPr>
        <w:footnoteRef/>
      </w:r>
      <w:r>
        <w:rPr>
          <w:rFonts w:ascii="Times New Roman" w:hAnsi="Times New Roman"/>
        </w:rPr>
        <w:t xml:space="preserve"> Cette exclusion ne s’applique pas aux actions menées au titre de la présente mesure dans des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matières provenant des cendres d’incinération, pour autant que ces actions au titre de la présente mesure n’entraînent pas une augmentation de la capacité de traitement des déchets des usines ou une prolongation de leur durée de vie; pour lesquelles des preuves sont fournies au niveau de l’usine.</w:t>
      </w:r>
    </w:p>
  </w:footnote>
  <w:footnote w:id="13">
    <w:p w14:paraId="5A8AF14D" w14:textId="77777777" w:rsidR="00740F0F" w:rsidRPr="0029070D" w:rsidRDefault="00100B64">
      <w:pPr>
        <w:pStyle w:val="FootnoteText"/>
        <w:jc w:val="both"/>
      </w:pPr>
      <w:r>
        <w:rPr>
          <w:rStyle w:val="FootnoteReference"/>
          <w:rFonts w:ascii="Times New Roman" w:hAnsi="Times New Roman" w:cs="Times New Roman"/>
        </w:rPr>
        <w:footnoteRef/>
      </w:r>
      <w:r>
        <w:rPr>
          <w:rFonts w:ascii="Times New Roman" w:hAnsi="Times New Roman"/>
        </w:rPr>
        <w:t xml:space="preserve"> Cette exclusion ne s’applique pas aux actions menées au titre de la présente mesure dans des usines de traitement biomécanique existantes, lorsque les actions relevant de la présente mesure visent à accroître l’efficacité énergétique ou à moderniser les opérations de recyclage de déchets triés pour composter les biodéchets et la digestion anaérobie des biodéchets, pour autant que ces actions au titre de la présente mesure n’entraînent pas une augmentation de la capacité de traitement des déchets des usines ou une prolongation de leur durée de vie; pour lesquelles des preuves sont fournies à cet égard au niveau de l’usine.</w:t>
      </w:r>
    </w:p>
  </w:footnote>
  <w:footnote w:id="14">
    <w:p w14:paraId="5A8AF14E" w14:textId="27794A3E" w:rsidR="00740F0F" w:rsidRPr="009447E5" w:rsidRDefault="00100B64">
      <w:pPr>
        <w:pStyle w:val="FootnoteText"/>
      </w:pPr>
      <w:r>
        <w:rPr>
          <w:rStyle w:val="FootnoteReference"/>
          <w:rFonts w:ascii="Times New Roman" w:hAnsi="Times New Roman" w:cs="Times New Roman"/>
        </w:rPr>
        <w:footnoteRef/>
      </w:r>
      <w:r>
        <w:rPr>
          <w:rFonts w:ascii="Times New Roman" w:hAnsi="Times New Roman"/>
        </w:rPr>
        <w:t xml:space="preserve"> Loi nº 2020-1525 du 7 décembre 2020.</w:t>
      </w:r>
    </w:p>
  </w:footnote>
  <w:footnote w:id="15">
    <w:p w14:paraId="5A8AF14F" w14:textId="77777777" w:rsidR="00740F0F" w:rsidRPr="009447E5" w:rsidRDefault="00100B64">
      <w:pPr>
        <w:pStyle w:val="FootnoteText"/>
      </w:pPr>
      <w:r>
        <w:rPr>
          <w:rStyle w:val="FootnoteReference"/>
          <w:rFonts w:ascii="Times New Roman" w:hAnsi="Times New Roman" w:cs="Times New Roman"/>
        </w:rPr>
        <w:footnoteRef/>
      </w:r>
      <w:r>
        <w:t xml:space="preserve"> </w:t>
      </w:r>
      <w:r>
        <w:rPr>
          <w:rFonts w:ascii="Times New Roman" w:hAnsi="Times New Roman"/>
          <w:color w:val="0000FF"/>
          <w:u w:val="single" w:color="0000FF"/>
        </w:rPr>
        <w:t>France relance: découvrez les priorités du plan | Gouvernement.fr.</w:t>
      </w:r>
    </w:p>
  </w:footnote>
  <w:footnote w:id="16">
    <w:p w14:paraId="5A8AF150" w14:textId="77777777" w:rsidR="00740F0F" w:rsidRPr="0029070D" w:rsidRDefault="00100B6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Il couvre le «domaine d’application 1» au sens de la norme ISO 14064-1.</w:t>
      </w:r>
    </w:p>
  </w:footnote>
  <w:footnote w:id="17">
    <w:p w14:paraId="5A8AF151" w14:textId="77777777" w:rsidR="00740F0F" w:rsidRPr="0029070D" w:rsidRDefault="00100B64">
      <w:pPr>
        <w:spacing w:after="0" w:line="240" w:lineRule="auto"/>
        <w:rPr>
          <w:rFonts w:ascii="Times New Roman" w:hAnsi="Times New Roman" w:cs="Times New Roman"/>
          <w:sz w:val="20"/>
          <w:szCs w:val="20"/>
        </w:rPr>
      </w:pPr>
      <w:r>
        <w:rPr>
          <w:rStyle w:val="FootnoteReference"/>
          <w:rFonts w:ascii="Times New Roman" w:hAnsi="Times New Roman" w:cs="Times New Roman"/>
          <w:sz w:val="20"/>
          <w:szCs w:val="20"/>
        </w:rPr>
        <w:footnoteRef/>
      </w:r>
      <w:r>
        <w:t xml:space="preserve"> </w:t>
      </w:r>
      <w:r>
        <w:rPr>
          <w:rFonts w:ascii="Times New Roman" w:hAnsi="Times New Roman"/>
          <w:sz w:val="20"/>
        </w:rPr>
        <w:t xml:space="preserve">Voir, par exemple: </w:t>
      </w:r>
      <w:r>
        <w:rPr>
          <w:rFonts w:ascii="Times New Roman" w:hAnsi="Times New Roman"/>
          <w:color w:val="0000FF"/>
          <w:sz w:val="20"/>
          <w:u w:val="single" w:color="0000FF"/>
        </w:rPr>
        <w:t>https://travail-emploi.gouv.fr/droit-du-travail/egalite-professionnelle-discrimination-et-</w:t>
      </w:r>
      <w:r>
        <w:rPr>
          <w:rFonts w:ascii="Times New Roman" w:hAnsi="Times New Roman"/>
          <w:color w:val="0000FF"/>
          <w:sz w:val="20"/>
        </w:rPr>
        <w:t xml:space="preserve"> </w:t>
      </w:r>
      <w:r>
        <w:rPr>
          <w:rFonts w:ascii="Times New Roman" w:hAnsi="Times New Roman"/>
          <w:color w:val="0000FF"/>
          <w:sz w:val="20"/>
          <w:u w:val="single" w:color="0000FF"/>
        </w:rPr>
        <w:t>harcelement/indexegapro</w:t>
      </w:r>
      <w:r>
        <w:rPr>
          <w:rFonts w:ascii="Times New Roman" w:hAnsi="Times New Roman"/>
          <w:sz w:val="20"/>
        </w:rPr>
        <w:t>.</w:t>
      </w:r>
    </w:p>
  </w:footnote>
  <w:footnote w:id="18">
    <w:p w14:paraId="5A8AF152" w14:textId="77777777" w:rsidR="00740F0F" w:rsidRPr="0029070D" w:rsidRDefault="00100B64">
      <w:pPr>
        <w:spacing w:after="0" w:line="240" w:lineRule="auto"/>
        <w:rPr>
          <w:rFonts w:ascii="Times New Roman" w:eastAsia="Calibri" w:hAnsi="Times New Roman" w:cs="Times New Roman"/>
          <w:kern w:val="0"/>
          <w:sz w:val="20"/>
          <w:szCs w:val="20"/>
          <w14:ligatures w14:val="none"/>
        </w:rPr>
      </w:pPr>
      <w:r>
        <w:rPr>
          <w:rStyle w:val="FootnoteReference"/>
          <w:rFonts w:ascii="Times New Roman" w:hAnsi="Times New Roman" w:cs="Times New Roman"/>
          <w:sz w:val="20"/>
          <w:szCs w:val="20"/>
        </w:rPr>
        <w:footnoteRef/>
      </w:r>
      <w:r>
        <w:t xml:space="preserve"> </w:t>
      </w:r>
      <w:r>
        <w:rPr>
          <w:rFonts w:ascii="Times New Roman" w:hAnsi="Times New Roman"/>
          <w:sz w:val="20"/>
        </w:rPr>
        <w:t xml:space="preserve">Voir, par exemple: </w:t>
      </w:r>
      <w:r>
        <w:rPr>
          <w:rFonts w:ascii="Times New Roman" w:hAnsi="Times New Roman"/>
          <w:color w:val="0000FF"/>
          <w:sz w:val="20"/>
          <w:u w:val="single" w:color="0000FF"/>
        </w:rPr>
        <w:t>https:</w:t>
      </w:r>
      <w:hyperlink r:id="rId1">
        <w:r>
          <w:rPr>
            <w:rFonts w:ascii="Times New Roman" w:hAnsi="Times New Roman"/>
            <w:color w:val="0000FF"/>
            <w:sz w:val="20"/>
            <w:u w:val="single" w:color="0000FF"/>
          </w:rPr>
          <w:t>//w</w:t>
        </w:r>
      </w:hyperlink>
      <w:r>
        <w:rPr>
          <w:rFonts w:ascii="Times New Roman" w:hAnsi="Times New Roman"/>
          <w:color w:val="0000FF"/>
          <w:sz w:val="20"/>
          <w:u w:val="single" w:color="0000FF"/>
        </w:rPr>
        <w:t>ww</w:t>
      </w:r>
      <w:hyperlink r:id="rId2">
        <w:r>
          <w:rPr>
            <w:rFonts w:ascii="Times New Roman" w:hAnsi="Times New Roman"/>
            <w:color w:val="0000FF"/>
            <w:sz w:val="20"/>
            <w:u w:val="single" w:color="0000FF"/>
          </w:rPr>
          <w:t>.legifrance.gouv.fr/codes/article_lc/LEGIARTI000037385809/</w:t>
        </w:r>
        <w:r>
          <w:rPr>
            <w:rFonts w:ascii="Times New Roman" w:hAnsi="Times New Roman"/>
            <w:sz w:val="20"/>
          </w:rPr>
          <w:t>.</w:t>
        </w:r>
      </w:hyperlink>
    </w:p>
    <w:p w14:paraId="5A8AF153" w14:textId="77777777" w:rsidR="00740F0F" w:rsidRPr="0029070D" w:rsidRDefault="00740F0F">
      <w:pPr>
        <w:pStyle w:val="FootnoteText"/>
      </w:pPr>
    </w:p>
  </w:footnote>
  <w:footnote w:id="19">
    <w:p w14:paraId="5A8AF154" w14:textId="693A8843" w:rsidR="00740F0F" w:rsidRPr="0029070D" w:rsidRDefault="00100B6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Loi nº 2020-1674 du 24 décembre 2020.</w:t>
      </w:r>
    </w:p>
  </w:footnote>
  <w:footnote w:id="20">
    <w:p w14:paraId="5A8AF155" w14:textId="77777777" w:rsidR="00740F0F" w:rsidRPr="0029070D" w:rsidRDefault="00100B6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L’offre EdTech – généralement désignée sous le terme EdTech pour «educational technology» – regroupe les ressources technologiques et solutions numériques au service de la connaissance, pour sa transmission, son apprentissage et son application.</w:t>
      </w:r>
    </w:p>
    <w:p w14:paraId="5A8AF156" w14:textId="77777777" w:rsidR="00740F0F" w:rsidRPr="0029070D" w:rsidRDefault="00740F0F">
      <w:pPr>
        <w:pStyle w:val="FootnoteText"/>
      </w:pPr>
    </w:p>
  </w:footnote>
  <w:footnote w:id="21">
    <w:p w14:paraId="5A8AF157" w14:textId="77777777" w:rsidR="00740F0F" w:rsidRPr="0029070D" w:rsidRDefault="00100B64">
      <w:pPr>
        <w:pStyle w:val="FootnoteText"/>
        <w:jc w:val="both"/>
      </w:pPr>
      <w:r>
        <w:rPr>
          <w:rStyle w:val="FootnoteReference"/>
          <w:rFonts w:ascii="Times New Roman" w:hAnsi="Times New Roman" w:cs="Times New Roman"/>
        </w:rPr>
        <w:footnoteRef/>
      </w:r>
      <w:r>
        <w:rPr>
          <w:rFonts w:ascii="Times New Roman" w:hAnsi="Times New Roman"/>
        </w:rPr>
        <w:t xml:space="preserve"> À l’exception des projets relevant de la présente mesure dans le domaine de la production d’électricité et/ou de chaleur, ainsi que des infrastructures connexes de transport et de distribution utilisant du gaz naturel, qui sont conformes aux conditions énoncées à l’annexe III des orientations techniques relatives au principe consistant à «ne pas causer de préjudice important» (2021/C58/01).</w:t>
      </w:r>
    </w:p>
  </w:footnote>
  <w:footnote w:id="22">
    <w:p w14:paraId="5A8AF158" w14:textId="77777777" w:rsidR="00740F0F" w:rsidRPr="0029070D" w:rsidRDefault="00100B64">
      <w:pPr>
        <w:pStyle w:val="FootnoteText"/>
        <w:jc w:val="both"/>
      </w:pPr>
      <w:r>
        <w:rPr>
          <w:rStyle w:val="FootnoteReference"/>
          <w:rFonts w:ascii="Times New Roman" w:hAnsi="Times New Roman" w:cs="Times New Roman"/>
        </w:rPr>
        <w:footnoteRef/>
      </w:r>
      <w:r>
        <w:rPr>
          <w:rFonts w:ascii="Times New Roman" w:hAnsi="Times New Roman"/>
        </w:rPr>
        <w:t xml:space="preserve"> Lorsque l’activité soutenue atteint un niveau projeté d’émissions de gaz à effet de serre qui n’est pas sensiblement inférieur aux valeurs des référentiels pertinentes, il convient de fournir une explication des raisons pour lesquelles cela n’est pas possible. Référentiels établis pour l’allocation de quotas à titre gratuit pour les activités relevant du champ d’application du système d’échange de quotas d’émission, conformément au règlement d’exécution (UE) 2021/447 de la Commission.</w:t>
      </w:r>
    </w:p>
  </w:footnote>
  <w:footnote w:id="23">
    <w:p w14:paraId="5A8AF159" w14:textId="77777777" w:rsidR="00740F0F" w:rsidRPr="0029070D" w:rsidRDefault="00100B6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menées au titre de la présente mesure dans des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matières provenant des cendres d’incinération, pour autant que ces actions au titre de la présente mesure n’entraînent pas une augmentation de la capacité de traitement des déchets des usines ou une prolongation de leur durée de vie; pour lesquelles des preuves sont fournies au niveau de l’usine.</w:t>
      </w:r>
    </w:p>
  </w:footnote>
  <w:footnote w:id="24">
    <w:p w14:paraId="5A8AF15A" w14:textId="77777777" w:rsidR="00740F0F" w:rsidRPr="0029070D" w:rsidRDefault="00100B64">
      <w:pPr>
        <w:pStyle w:val="FootnoteText"/>
        <w:jc w:val="both"/>
      </w:pPr>
      <w:r>
        <w:rPr>
          <w:rStyle w:val="FootnoteReference"/>
          <w:rFonts w:ascii="Times New Roman" w:hAnsi="Times New Roman" w:cs="Times New Roman"/>
        </w:rPr>
        <w:footnoteRef/>
      </w:r>
      <w:r>
        <w:rPr>
          <w:rFonts w:ascii="Times New Roman" w:hAnsi="Times New Roman"/>
        </w:rPr>
        <w:t xml:space="preserve"> Cette exclusion ne s’applique pas aux actions menées au titre de la présente mesure dans des usines de traitement biomécanique existantes, lorsque les actions relevant de la présente mesure visent à accroître l’efficacité énergétique ou à moderniser les opérations de recyclage de déchets triés pour composter les biodéchets et la digestion anaérobie des biodéchets, pour autant que ces actions au titre de la présente mesure n’entraînent pas une augmentation de la capacité de traitement des déchets des usines ou une prolongation de leur durée de vie; pour lesquelles des preuves sont fournies au niveau de l’usine.</w:t>
      </w:r>
    </w:p>
  </w:footnote>
  <w:footnote w:id="25">
    <w:p w14:paraId="5A8AF15B" w14:textId="77777777" w:rsidR="00740F0F" w:rsidRPr="0029070D" w:rsidRDefault="00100B6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Voir, par exemple: </w:t>
      </w:r>
      <w:r>
        <w:rPr>
          <w:rFonts w:ascii="Times New Roman" w:hAnsi="Times New Roman"/>
          <w:color w:val="0000FF"/>
          <w:u w:val="single" w:color="0000FF"/>
        </w:rPr>
        <w:t>https:</w:t>
      </w:r>
      <w:hyperlink r:id="rId3">
        <w:r>
          <w:rPr>
            <w:rFonts w:ascii="Times New Roman" w:hAnsi="Times New Roman"/>
            <w:color w:val="0000FF"/>
            <w:u w:val="single" w:color="0000FF"/>
          </w:rPr>
          <w:t>//w</w:t>
        </w:r>
      </w:hyperlink>
      <w:r>
        <w:rPr>
          <w:rFonts w:ascii="Times New Roman" w:hAnsi="Times New Roman"/>
          <w:color w:val="0000FF"/>
          <w:u w:val="single" w:color="0000FF"/>
        </w:rPr>
        <w:t>ww</w:t>
      </w:r>
      <w:hyperlink r:id="rId4">
        <w:r>
          <w:rPr>
            <w:rFonts w:ascii="Times New Roman" w:hAnsi="Times New Roman"/>
            <w:color w:val="0000FF"/>
            <w:u w:val="single" w:color="0000FF"/>
          </w:rPr>
          <w:t>.insee.fr/fr/metadonnees/definition/c2034</w:t>
        </w:r>
        <w:r>
          <w:rPr>
            <w:rFonts w:ascii="Times New Roman" w:hAnsi="Times New Roman"/>
          </w:rPr>
          <w:t>.</w:t>
        </w:r>
      </w:hyperlink>
    </w:p>
  </w:footnote>
  <w:footnote w:id="26">
    <w:p w14:paraId="5A8AF15C" w14:textId="77777777" w:rsidR="00740F0F" w:rsidRPr="0029070D" w:rsidRDefault="00100B64">
      <w:pPr>
        <w:pStyle w:val="FootnoteText"/>
        <w:jc w:val="both"/>
      </w:pPr>
      <w:r>
        <w:rPr>
          <w:rStyle w:val="FootnoteReference"/>
          <w:rFonts w:ascii="Times New Roman" w:hAnsi="Times New Roman" w:cs="Times New Roman"/>
        </w:rPr>
        <w:footnoteRef/>
      </w:r>
      <w:r>
        <w:rPr>
          <w:rFonts w:ascii="Times New Roman" w:hAnsi="Times New Roman"/>
        </w:rPr>
        <w:t xml:space="preserve"> À l’exception des projets relevant de la présente mesure dans le domaine de la production d’électricité et/ou de chaleur, ainsi que des infrastructures connexes de transport et de distribution utilisant du gaz naturel, qui sont conformes aux conditions énoncées à l’annexe III des orientations techniques relatives au principe consistant à «ne pas causer de préjudice important» (2021/C58/01).</w:t>
      </w:r>
    </w:p>
  </w:footnote>
  <w:footnote w:id="27">
    <w:p w14:paraId="5A8AF15D" w14:textId="77777777" w:rsidR="00740F0F" w:rsidRPr="0029070D" w:rsidRDefault="00100B64">
      <w:pPr>
        <w:pStyle w:val="FootnoteText"/>
        <w:jc w:val="both"/>
      </w:pPr>
      <w:r>
        <w:rPr>
          <w:rStyle w:val="FootnoteReference"/>
          <w:rFonts w:ascii="Times New Roman" w:hAnsi="Times New Roman" w:cs="Times New Roman"/>
        </w:rPr>
        <w:footnoteRef/>
      </w:r>
      <w:r>
        <w:rPr>
          <w:rFonts w:ascii="Times New Roman" w:hAnsi="Times New Roman"/>
        </w:rPr>
        <w:t xml:space="preserve"> Lorsque l’activité soutenue atteint un niveau projeté d’émissions de gaz à effet de serre qui n’est pas sensiblement inférieur aux valeurs des référentiels pertinentes, il convient de fournir une explication des raisons pour lesquelles cela n’est pas possible. Référentiels établis pour l’allocation de quotas à titre gratuit pour les activités relevant du champ d’application du système d’échange de quotas d’émission, conformément au règlement d’exécution (UE) 2021/447 de la Commission.</w:t>
      </w:r>
    </w:p>
  </w:footnote>
  <w:footnote w:id="28">
    <w:p w14:paraId="5A8AF15E" w14:textId="77777777" w:rsidR="00740F0F" w:rsidRPr="0029070D" w:rsidRDefault="00100B64">
      <w:pPr>
        <w:pStyle w:val="FootnoteText"/>
        <w:jc w:val="both"/>
      </w:pPr>
      <w:r>
        <w:rPr>
          <w:rStyle w:val="FootnoteReference"/>
          <w:rFonts w:ascii="Times New Roman" w:hAnsi="Times New Roman" w:cs="Times New Roman"/>
        </w:rPr>
        <w:footnoteRef/>
      </w:r>
      <w:r>
        <w:rPr>
          <w:rFonts w:ascii="Times New Roman" w:hAnsi="Times New Roman"/>
        </w:rPr>
        <w:t xml:space="preserve"> Cette exclusion ne s’applique pas aux actions menées au titre de la présente mesure dans des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matières provenant des cendres d’incinération, pour autant que ces actions au titre de la présente mesure n’entraînent pas une augmentation de la capacité de traitement des déchets des usines ou une prolongation de leur durée de vie; pour lesquelles des preuves sont fournies au niveau de l’usine.</w:t>
      </w:r>
    </w:p>
  </w:footnote>
  <w:footnote w:id="29">
    <w:p w14:paraId="5A8AF15F" w14:textId="77777777" w:rsidR="00740F0F" w:rsidRPr="0029070D" w:rsidRDefault="00100B6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menées au titre de la présente mesure dans des usines de traitement biomécanique existantes, lorsque les actions relevant de la présente mesure visent à accroître l’efficacité énergétique ou à moderniser les opérations de recyclage de déchets triés pour composter les biodéchets et la digestion anaérobie des biodéchets, pour autant que ces actions au titre de la présente mesure n’entraînent pas une augmentation de la capacité de traitement des déchets des usines ou une prolongation de leur durée de vie; pour lesquelles des preuves sont fournies à cet égard au niveau de l’usine.</w:t>
      </w:r>
    </w:p>
    <w:p w14:paraId="5A8AF160" w14:textId="77777777" w:rsidR="00740F0F" w:rsidRPr="0029070D" w:rsidRDefault="00740F0F">
      <w:pPr>
        <w:pStyle w:val="FootnoteText"/>
      </w:pPr>
    </w:p>
  </w:footnote>
  <w:footnote w:id="30">
    <w:p w14:paraId="5A8AF161" w14:textId="77777777" w:rsidR="00740F0F" w:rsidRPr="0029070D" w:rsidRDefault="00100B64">
      <w:pPr>
        <w:pStyle w:val="FootnoteText"/>
        <w:jc w:val="both"/>
      </w:pPr>
      <w:r>
        <w:rPr>
          <w:rStyle w:val="FootnoteReference"/>
          <w:rFonts w:ascii="Times New Roman" w:hAnsi="Times New Roman" w:cs="Times New Roman"/>
        </w:rPr>
        <w:footnoteRef/>
      </w:r>
      <w:r>
        <w:rPr>
          <w:rFonts w:ascii="Times New Roman" w:hAnsi="Times New Roman"/>
        </w:rPr>
        <w:t xml:space="preserve"> À l’exception des projets relevant de la présente mesure dans le domaine de la production d’électricité et/ou de chaleur, ainsi que des infrastructures connexes de transport et de distribution utilisant du gaz naturel, qui sont conformes aux conditions énoncées à l’annexe III des orientations techniques relatives au principe consistant à «ne pas causer de préjudice important» (2021/C58/01).</w:t>
      </w:r>
    </w:p>
  </w:footnote>
  <w:footnote w:id="31">
    <w:p w14:paraId="5A8AF162" w14:textId="77777777" w:rsidR="00740F0F" w:rsidRPr="0029070D" w:rsidRDefault="00100B64">
      <w:pPr>
        <w:pStyle w:val="FootnoteText"/>
        <w:jc w:val="both"/>
      </w:pPr>
      <w:r>
        <w:rPr>
          <w:rStyle w:val="FootnoteReference"/>
          <w:rFonts w:ascii="Times New Roman" w:hAnsi="Times New Roman" w:cs="Times New Roman"/>
        </w:rPr>
        <w:footnoteRef/>
      </w:r>
      <w:r>
        <w:rPr>
          <w:rFonts w:ascii="Times New Roman" w:hAnsi="Times New Roman"/>
        </w:rPr>
        <w:t xml:space="preserve"> Lorsque l’activité soutenue atteint un niveau projeté d’émissions de gaz à effet de serre qui n’est pas sensiblement inférieur aux valeurs des référentiels pertinentes, il convient de fournir une explication des raisons pour lesquelles cela n’est pas possible. Référentiels établis pour l’allocation de quotas à titre gratuit pour les activités relevant du champ d’application du système d’échange de quotas d’émission, conformément au règlement d’exécution (UE) 2021/447 de la Commission.</w:t>
      </w:r>
    </w:p>
  </w:footnote>
  <w:footnote w:id="32">
    <w:p w14:paraId="5A8AF163" w14:textId="77777777" w:rsidR="00740F0F" w:rsidRPr="0029070D" w:rsidRDefault="00100B6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menées au titre de la présente mesure dans des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matières provenant des cendres d’incinération, pour autant que ces actions au titre de la présente mesure n’entraînent pas une augmentation de la capacité de traitement des déchets des usines ou une prolongation de leur durée de vie; pour lesquelles des preuves sont fournies au niveau de l’usine.</w:t>
      </w:r>
    </w:p>
  </w:footnote>
  <w:footnote w:id="33">
    <w:p w14:paraId="5A8AF164" w14:textId="77777777" w:rsidR="00740F0F" w:rsidRPr="0029070D" w:rsidRDefault="00100B6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menées au titre de la présente mesure dans des usines de traitement biomécanique existantes, lorsque les actions relevant de la présente mesure visent à accroître l’efficacité énergétique ou à moderniser les opérations de recyclage de déchets triés pour composter les biodéchets et la digestion anaérobie des biodéchets, pour autant que ces actions au titre de la présente mesure n’entraînent pas une augmentation de la capacité de traitement des déchets des usines ou une prolongation de leur durée de vie; pour lesquelles des preuves sont fournies à cet égard au niveau de l’usine.</w:t>
      </w:r>
    </w:p>
    <w:p w14:paraId="5A8AF165" w14:textId="77777777" w:rsidR="00740F0F" w:rsidRPr="0029070D" w:rsidRDefault="00740F0F">
      <w:pPr>
        <w:pStyle w:val="FootnoteText"/>
      </w:pPr>
    </w:p>
  </w:footnote>
  <w:footnote w:id="34">
    <w:p w14:paraId="5A8AF166" w14:textId="77777777" w:rsidR="00740F0F" w:rsidRPr="0029070D" w:rsidRDefault="00100B64">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À l’exception a) des projets relevant de la présente mesure dans le domaine de la production d’électricité et/ou de chaleur, ainsi que des infrastructures connexes de transport et de distribution, utilisant du gaz naturel, qui sont conformes aux conditions énoncées à l’annexe III des orientations techniques «Ne pas causer de préjudice important» (2021/C58/01), b) des activités relevant du système d’échange de quotas d’émission de l’UE (SEQE) pour lesquelles l’utilisation de combustibles fossiles est temporaire et techniquement inévitable pour la transition vers une exploitation zéro fossile. Le calendrier de l’élimination complète des combustibles fossiles doit reposer sur des jalons précis.</w:t>
      </w:r>
    </w:p>
  </w:footnote>
  <w:footnote w:id="35">
    <w:p w14:paraId="5A8AF167" w14:textId="77777777" w:rsidR="00740F0F" w:rsidRPr="0029070D" w:rsidRDefault="00100B64">
      <w:pPr>
        <w:pStyle w:val="FootnoteText"/>
        <w:jc w:val="both"/>
        <w:rPr>
          <w:rFonts w:ascii="Times New Roman" w:hAnsi="Times New Roman" w:cs="Times New Roman"/>
        </w:rPr>
      </w:pPr>
      <w:r>
        <w:rPr>
          <w:rStyle w:val="FootnoteReference"/>
        </w:rPr>
        <w:footnoteRef/>
      </w:r>
      <w:r>
        <w:rPr>
          <w:rFonts w:ascii="Times New Roman" w:hAnsi="Times New Roman"/>
        </w:rPr>
        <w:t xml:space="preserve"> Lorsque l’activité soutenue atteint un niveau projeté d’émissions de gaz à effet de serre qui n’est pas sensiblement inférieur aux valeurs des référentiels pertinentes (référentiels établis pour l’allocation de quotas à titre gratuit pour les activités relevant du champ d’application du système d’échange de quotas d’émission), une explication des raisons pour lesquelles cela n’est pas possible est fournie. </w:t>
      </w:r>
    </w:p>
  </w:footnote>
  <w:footnote w:id="36">
    <w:p w14:paraId="5A8AF168" w14:textId="77777777" w:rsidR="00740F0F" w:rsidRPr="0029070D" w:rsidRDefault="00100B64">
      <w:pPr>
        <w:pStyle w:val="FootnoteText"/>
        <w:jc w:val="both"/>
        <w:rPr>
          <w:rFonts w:ascii="Times New Roman" w:hAnsi="Times New Roman" w:cs="Times New Roman"/>
        </w:rPr>
      </w:pPr>
      <w:r>
        <w:rPr>
          <w:rStyle w:val="FootnoteReference"/>
        </w:rPr>
        <w:footnoteRef/>
      </w:r>
      <w:r>
        <w:rPr>
          <w:rFonts w:ascii="Times New Roman" w:hAnsi="Times New Roman"/>
        </w:rPr>
        <w:t xml:space="preserve"> Cette exclusion ne s’applique pas aux actions menées au titre de la présente mesure dans des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matières provenant des cendres d’incinération, pour autant que ces actions au titre de la présente mesure n’entraînent pas une augmentation de la capacité de traitement des déchets des usines ou une prolongation de leur durée de vie; pour lesquelles des preuves sont fournies à cet égard au niveau de l’usine.</w:t>
      </w:r>
    </w:p>
  </w:footnote>
  <w:footnote w:id="37">
    <w:p w14:paraId="5A8AF169" w14:textId="77777777" w:rsidR="00740F0F" w:rsidRPr="00C67269" w:rsidRDefault="00100B64">
      <w:pPr>
        <w:pStyle w:val="FootnoteText"/>
        <w:jc w:val="both"/>
      </w:pPr>
      <w:r>
        <w:rPr>
          <w:rStyle w:val="FootnoteReference"/>
        </w:rPr>
        <w:footnoteRef/>
      </w:r>
      <w:r>
        <w:rPr>
          <w:rStyle w:val="FootnoteReference"/>
        </w:rPr>
        <w:t xml:space="preserve"> </w:t>
      </w:r>
      <w:r>
        <w:rPr>
          <w:rFonts w:ascii="Times New Roman" w:hAnsi="Times New Roman"/>
        </w:rPr>
        <w:t>Cette exclusion ne s’applique pas aux actions menées au titre de la présente mesure dans des usines de traitement biomécanique existantes, lorsque les actions relevant de la présente mesure visent à accroître l’efficacité énergétique ou à moderniser les opérations de recyclage de déchets triés pour composter les biodéchets et la digestion anaérobie des biodéchets, pour autant que ces actions au titre de la présente mesure n’entraînent pas une augmentation de la capacité de traitement des déchets des usines ou une prolongation de leur durée de vie; pour lesquelles des preuves sont fournies à cet égard au niveau de l’usine.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37C99" w14:textId="77777777" w:rsidR="008E6931" w:rsidRPr="008E6931" w:rsidRDefault="008E6931" w:rsidP="008E693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89B8C" w14:textId="77777777" w:rsidR="008E6931" w:rsidRPr="008E6931" w:rsidRDefault="008E6931" w:rsidP="008E693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E69C3" w14:textId="77777777" w:rsidR="008E6931" w:rsidRPr="008E6931" w:rsidRDefault="008E6931" w:rsidP="008E693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B7758" w14:textId="77777777" w:rsidR="00173EE9" w:rsidRPr="0029070D" w:rsidRDefault="00173EE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3DB8E" w14:textId="77777777" w:rsidR="00173EE9" w:rsidRPr="0029070D" w:rsidRDefault="00173EE9">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5359C" w14:textId="77777777" w:rsidR="00173EE9" w:rsidRPr="0029070D" w:rsidRDefault="00173EE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EFD3" w14:textId="77777777" w:rsidR="00740F0F" w:rsidRPr="0029070D" w:rsidRDefault="00740F0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EFD4" w14:textId="77777777" w:rsidR="00F038F9" w:rsidRPr="0029070D" w:rsidRDefault="00100B64">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EFE3" w14:textId="77777777" w:rsidR="00740F0F" w:rsidRPr="0029070D" w:rsidRDefault="00740F0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EFE5" w14:textId="77777777" w:rsidR="00740F0F" w:rsidRPr="0029070D" w:rsidRDefault="00740F0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EFE6" w14:textId="77777777" w:rsidR="00F038F9" w:rsidRPr="0029070D" w:rsidRDefault="00100B64">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EFF5" w14:textId="77777777" w:rsidR="00740F0F" w:rsidRPr="0029070D" w:rsidRDefault="00740F0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EFF7" w14:textId="77777777" w:rsidR="00740F0F" w:rsidRPr="0029070D" w:rsidRDefault="00740F0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EFF8" w14:textId="77777777" w:rsidR="00F038F9" w:rsidRPr="0029070D" w:rsidRDefault="00100B64">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07" w14:textId="77777777" w:rsidR="00740F0F" w:rsidRPr="0029070D" w:rsidRDefault="00740F0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09" w14:textId="77777777" w:rsidR="00740F0F" w:rsidRPr="0029070D" w:rsidRDefault="00740F0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0A" w14:textId="77777777" w:rsidR="00F038F9" w:rsidRPr="0029070D" w:rsidRDefault="00100B64">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19" w14:textId="77777777" w:rsidR="00740F0F" w:rsidRPr="0029070D" w:rsidRDefault="00740F0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1B" w14:textId="77777777" w:rsidR="00740F0F" w:rsidRPr="0029070D" w:rsidRDefault="00740F0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1C" w14:textId="77777777" w:rsidR="00F038F9" w:rsidRPr="0029070D" w:rsidRDefault="00100B64">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2B" w14:textId="77777777" w:rsidR="00740F0F" w:rsidRPr="0029070D" w:rsidRDefault="00740F0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2D" w14:textId="77777777" w:rsidR="00740F0F" w:rsidRPr="0029070D" w:rsidRDefault="00740F0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2E" w14:textId="77777777" w:rsidR="00F038F9" w:rsidRPr="0029070D" w:rsidRDefault="00100B64">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3D" w14:textId="77777777" w:rsidR="00740F0F" w:rsidRPr="0029070D" w:rsidRDefault="00740F0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3F" w14:textId="77777777" w:rsidR="00740F0F" w:rsidRPr="0029070D" w:rsidRDefault="00740F0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40" w14:textId="77777777" w:rsidR="00F038F9" w:rsidRPr="0029070D" w:rsidRDefault="00100B64">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4F" w14:textId="77777777" w:rsidR="00740F0F" w:rsidRPr="0029070D" w:rsidRDefault="00740F0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51" w14:textId="77777777" w:rsidR="00740F0F" w:rsidRPr="0029070D" w:rsidRDefault="00740F0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52" w14:textId="77777777" w:rsidR="00F038F9" w:rsidRPr="0029070D" w:rsidRDefault="00100B64">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61" w14:textId="77777777" w:rsidR="00740F0F" w:rsidRPr="0029070D" w:rsidRDefault="00740F0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63" w14:textId="77777777" w:rsidR="00740F0F" w:rsidRPr="0029070D" w:rsidRDefault="00740F0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64" w14:textId="77777777" w:rsidR="00F038F9" w:rsidRPr="0029070D" w:rsidRDefault="00100B64">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73" w14:textId="77777777" w:rsidR="00740F0F" w:rsidRPr="0029070D" w:rsidRDefault="00740F0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75" w14:textId="77777777" w:rsidR="00740F0F" w:rsidRPr="0029070D" w:rsidRDefault="00740F0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76" w14:textId="77777777" w:rsidR="00F038F9" w:rsidRPr="0029070D" w:rsidRDefault="00100B64">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85" w14:textId="77777777" w:rsidR="00740F0F" w:rsidRPr="0029070D" w:rsidRDefault="00740F0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87" w14:textId="77777777" w:rsidR="00740F0F" w:rsidRPr="0029070D" w:rsidRDefault="00740F0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88" w14:textId="77777777" w:rsidR="00F038F9" w:rsidRPr="0029070D" w:rsidRDefault="00100B64">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97" w14:textId="77777777" w:rsidR="00740F0F" w:rsidRPr="0029070D" w:rsidRDefault="00740F0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99" w14:textId="77777777" w:rsidR="00740F0F" w:rsidRPr="0029070D" w:rsidRDefault="00740F0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9A" w14:textId="77777777" w:rsidR="00F038F9" w:rsidRPr="0029070D" w:rsidRDefault="00100B64">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A9" w14:textId="77777777" w:rsidR="00740F0F" w:rsidRPr="0029070D" w:rsidRDefault="00740F0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AB" w14:textId="77777777" w:rsidR="00740F0F" w:rsidRPr="0029070D" w:rsidRDefault="00740F0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AC" w14:textId="77777777" w:rsidR="00F038F9" w:rsidRPr="0029070D" w:rsidRDefault="00100B64">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BB" w14:textId="77777777" w:rsidR="00740F0F" w:rsidRPr="0029070D" w:rsidRDefault="00740F0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BD" w14:textId="77777777" w:rsidR="00740F0F" w:rsidRPr="0029070D" w:rsidRDefault="00740F0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BE" w14:textId="77777777" w:rsidR="00F038F9" w:rsidRPr="0029070D" w:rsidRDefault="00100B64">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CD" w14:textId="77777777" w:rsidR="00740F0F" w:rsidRPr="0029070D" w:rsidRDefault="00740F0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CF" w14:textId="77777777" w:rsidR="00740F0F" w:rsidRPr="0029070D" w:rsidRDefault="00740F0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D0" w14:textId="77777777" w:rsidR="00F038F9" w:rsidRPr="0029070D" w:rsidRDefault="00100B64">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DF" w14:textId="77777777" w:rsidR="00740F0F" w:rsidRPr="0029070D" w:rsidRDefault="00740F0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E1" w14:textId="77777777" w:rsidR="00740F0F" w:rsidRPr="0029070D" w:rsidRDefault="00740F0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E2" w14:textId="77777777" w:rsidR="00F038F9" w:rsidRPr="0029070D" w:rsidRDefault="00100B64">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F1" w14:textId="77777777" w:rsidR="00740F0F" w:rsidRPr="0029070D" w:rsidRDefault="00740F0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F3" w14:textId="77777777" w:rsidR="00740F0F" w:rsidRPr="0029070D" w:rsidRDefault="00740F0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0F4" w14:textId="77777777" w:rsidR="00F038F9" w:rsidRPr="0029070D" w:rsidRDefault="00100B64">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103" w14:textId="77777777" w:rsidR="00740F0F" w:rsidRPr="0029070D" w:rsidRDefault="00740F0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105" w14:textId="77777777" w:rsidR="00740F0F" w:rsidRPr="0029070D" w:rsidRDefault="00740F0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106" w14:textId="77777777" w:rsidR="00F038F9" w:rsidRPr="0029070D" w:rsidRDefault="00100B64">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115" w14:textId="77777777" w:rsidR="00740F0F" w:rsidRPr="0029070D" w:rsidRDefault="00740F0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117" w14:textId="77777777" w:rsidR="00740F0F" w:rsidRPr="0029070D" w:rsidRDefault="00740F0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118" w14:textId="77777777" w:rsidR="00F038F9" w:rsidRPr="0029070D" w:rsidRDefault="00100B64">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127" w14:textId="77777777" w:rsidR="00740F0F" w:rsidRPr="0029070D" w:rsidRDefault="00740F0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129" w14:textId="77777777" w:rsidR="00740F0F" w:rsidRPr="0029070D" w:rsidRDefault="00740F0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12A" w14:textId="77777777" w:rsidR="00F038F9" w:rsidRPr="0029070D" w:rsidRDefault="00100B64">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139" w14:textId="77777777" w:rsidR="00740F0F" w:rsidRPr="0029070D" w:rsidRDefault="00740F0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13B" w14:textId="77777777" w:rsidR="00740F0F" w:rsidRPr="0029070D" w:rsidRDefault="00740F0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CBA71" w14:textId="77777777" w:rsidR="00173EE9" w:rsidRPr="0029070D" w:rsidRDefault="00173EE9">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F13D" w14:textId="77777777" w:rsidR="00740F0F" w:rsidRPr="0029070D" w:rsidRDefault="00740F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9CB"/>
    <w:multiLevelType w:val="hybridMultilevel"/>
    <w:tmpl w:val="E6AA8DC0"/>
    <w:lvl w:ilvl="0" w:tplc="4120DD38">
      <w:numFmt w:val="bullet"/>
      <w:lvlText w:val="-"/>
      <w:lvlJc w:val="left"/>
      <w:pPr>
        <w:ind w:left="820" w:hanging="360"/>
      </w:pPr>
      <w:rPr>
        <w:rFonts w:ascii="Calibri" w:hAnsi="Calibri" w:hint="default"/>
        <w:w w:val="99"/>
        <w:sz w:val="19"/>
        <w:szCs w:val="19"/>
        <w:lang w:val="en-US" w:eastAsia="en-US" w:bidi="ar-SA"/>
      </w:rPr>
    </w:lvl>
    <w:lvl w:ilvl="1" w:tplc="FFFFFFFF" w:tentative="1">
      <w:start w:val="1"/>
      <w:numFmt w:val="bullet"/>
      <w:lvlText w:val="o"/>
      <w:lvlJc w:val="left"/>
      <w:pPr>
        <w:ind w:left="1540" w:hanging="360"/>
      </w:pPr>
      <w:rPr>
        <w:rFonts w:ascii="Courier New" w:hAnsi="Courier New" w:cs="Courier New" w:hint="default"/>
      </w:rPr>
    </w:lvl>
    <w:lvl w:ilvl="2" w:tplc="FFFFFFFF" w:tentative="1">
      <w:start w:val="1"/>
      <w:numFmt w:val="bullet"/>
      <w:lvlText w:val=""/>
      <w:lvlJc w:val="left"/>
      <w:pPr>
        <w:ind w:left="2260" w:hanging="360"/>
      </w:pPr>
      <w:rPr>
        <w:rFonts w:ascii="Wingdings" w:hAnsi="Wingdings" w:hint="default"/>
      </w:rPr>
    </w:lvl>
    <w:lvl w:ilvl="3" w:tplc="FFFFFFFF" w:tentative="1">
      <w:start w:val="1"/>
      <w:numFmt w:val="bullet"/>
      <w:lvlText w:val=""/>
      <w:lvlJc w:val="left"/>
      <w:pPr>
        <w:ind w:left="2980" w:hanging="360"/>
      </w:pPr>
      <w:rPr>
        <w:rFonts w:ascii="Symbol" w:hAnsi="Symbol" w:hint="default"/>
      </w:rPr>
    </w:lvl>
    <w:lvl w:ilvl="4" w:tplc="FFFFFFFF" w:tentative="1">
      <w:start w:val="1"/>
      <w:numFmt w:val="bullet"/>
      <w:lvlText w:val="o"/>
      <w:lvlJc w:val="left"/>
      <w:pPr>
        <w:ind w:left="3700" w:hanging="360"/>
      </w:pPr>
      <w:rPr>
        <w:rFonts w:ascii="Courier New" w:hAnsi="Courier New" w:cs="Courier New" w:hint="default"/>
      </w:rPr>
    </w:lvl>
    <w:lvl w:ilvl="5" w:tplc="FFFFFFFF" w:tentative="1">
      <w:start w:val="1"/>
      <w:numFmt w:val="bullet"/>
      <w:lvlText w:val=""/>
      <w:lvlJc w:val="left"/>
      <w:pPr>
        <w:ind w:left="4420" w:hanging="360"/>
      </w:pPr>
      <w:rPr>
        <w:rFonts w:ascii="Wingdings" w:hAnsi="Wingdings" w:hint="default"/>
      </w:rPr>
    </w:lvl>
    <w:lvl w:ilvl="6" w:tplc="FFFFFFFF" w:tentative="1">
      <w:start w:val="1"/>
      <w:numFmt w:val="bullet"/>
      <w:lvlText w:val=""/>
      <w:lvlJc w:val="left"/>
      <w:pPr>
        <w:ind w:left="5140" w:hanging="360"/>
      </w:pPr>
      <w:rPr>
        <w:rFonts w:ascii="Symbol" w:hAnsi="Symbol" w:hint="default"/>
      </w:rPr>
    </w:lvl>
    <w:lvl w:ilvl="7" w:tplc="FFFFFFFF" w:tentative="1">
      <w:start w:val="1"/>
      <w:numFmt w:val="bullet"/>
      <w:lvlText w:val="o"/>
      <w:lvlJc w:val="left"/>
      <w:pPr>
        <w:ind w:left="5860" w:hanging="360"/>
      </w:pPr>
      <w:rPr>
        <w:rFonts w:ascii="Courier New" w:hAnsi="Courier New" w:cs="Courier New" w:hint="default"/>
      </w:rPr>
    </w:lvl>
    <w:lvl w:ilvl="8" w:tplc="FFFFFFFF" w:tentative="1">
      <w:start w:val="1"/>
      <w:numFmt w:val="bullet"/>
      <w:lvlText w:val=""/>
      <w:lvlJc w:val="left"/>
      <w:pPr>
        <w:ind w:left="6580" w:hanging="360"/>
      </w:pPr>
      <w:rPr>
        <w:rFonts w:ascii="Wingdings" w:hAnsi="Wingdings" w:hint="default"/>
      </w:rPr>
    </w:lvl>
  </w:abstractNum>
  <w:abstractNum w:abstractNumId="1" w15:restartNumberingAfterBreak="0">
    <w:nsid w:val="02AA66D9"/>
    <w:multiLevelType w:val="hybridMultilevel"/>
    <w:tmpl w:val="DB1C71DC"/>
    <w:lvl w:ilvl="0" w:tplc="18090001">
      <w:start w:val="1"/>
      <w:numFmt w:val="bullet"/>
      <w:lvlText w:val=""/>
      <w:lvlJc w:val="left"/>
      <w:pPr>
        <w:ind w:left="940" w:hanging="360"/>
      </w:pPr>
      <w:rPr>
        <w:rFonts w:ascii="Symbol" w:hAnsi="Symbol" w:hint="default"/>
      </w:rPr>
    </w:lvl>
    <w:lvl w:ilvl="1" w:tplc="18090003" w:tentative="1">
      <w:start w:val="1"/>
      <w:numFmt w:val="bullet"/>
      <w:lvlText w:val="o"/>
      <w:lvlJc w:val="left"/>
      <w:pPr>
        <w:ind w:left="1660" w:hanging="360"/>
      </w:pPr>
      <w:rPr>
        <w:rFonts w:ascii="Courier New" w:hAnsi="Courier New" w:cs="Courier New" w:hint="default"/>
      </w:rPr>
    </w:lvl>
    <w:lvl w:ilvl="2" w:tplc="18090005" w:tentative="1">
      <w:start w:val="1"/>
      <w:numFmt w:val="bullet"/>
      <w:lvlText w:val=""/>
      <w:lvlJc w:val="left"/>
      <w:pPr>
        <w:ind w:left="2380" w:hanging="360"/>
      </w:pPr>
      <w:rPr>
        <w:rFonts w:ascii="Wingdings" w:hAnsi="Wingdings" w:hint="default"/>
      </w:rPr>
    </w:lvl>
    <w:lvl w:ilvl="3" w:tplc="18090001" w:tentative="1">
      <w:start w:val="1"/>
      <w:numFmt w:val="bullet"/>
      <w:lvlText w:val=""/>
      <w:lvlJc w:val="left"/>
      <w:pPr>
        <w:ind w:left="3100" w:hanging="360"/>
      </w:pPr>
      <w:rPr>
        <w:rFonts w:ascii="Symbol" w:hAnsi="Symbol" w:hint="default"/>
      </w:rPr>
    </w:lvl>
    <w:lvl w:ilvl="4" w:tplc="18090003" w:tentative="1">
      <w:start w:val="1"/>
      <w:numFmt w:val="bullet"/>
      <w:lvlText w:val="o"/>
      <w:lvlJc w:val="left"/>
      <w:pPr>
        <w:ind w:left="3820" w:hanging="360"/>
      </w:pPr>
      <w:rPr>
        <w:rFonts w:ascii="Courier New" w:hAnsi="Courier New" w:cs="Courier New" w:hint="default"/>
      </w:rPr>
    </w:lvl>
    <w:lvl w:ilvl="5" w:tplc="18090005" w:tentative="1">
      <w:start w:val="1"/>
      <w:numFmt w:val="bullet"/>
      <w:lvlText w:val=""/>
      <w:lvlJc w:val="left"/>
      <w:pPr>
        <w:ind w:left="4540" w:hanging="360"/>
      </w:pPr>
      <w:rPr>
        <w:rFonts w:ascii="Wingdings" w:hAnsi="Wingdings" w:hint="default"/>
      </w:rPr>
    </w:lvl>
    <w:lvl w:ilvl="6" w:tplc="18090001" w:tentative="1">
      <w:start w:val="1"/>
      <w:numFmt w:val="bullet"/>
      <w:lvlText w:val=""/>
      <w:lvlJc w:val="left"/>
      <w:pPr>
        <w:ind w:left="5260" w:hanging="360"/>
      </w:pPr>
      <w:rPr>
        <w:rFonts w:ascii="Symbol" w:hAnsi="Symbol" w:hint="default"/>
      </w:rPr>
    </w:lvl>
    <w:lvl w:ilvl="7" w:tplc="18090003" w:tentative="1">
      <w:start w:val="1"/>
      <w:numFmt w:val="bullet"/>
      <w:lvlText w:val="o"/>
      <w:lvlJc w:val="left"/>
      <w:pPr>
        <w:ind w:left="5980" w:hanging="360"/>
      </w:pPr>
      <w:rPr>
        <w:rFonts w:ascii="Courier New" w:hAnsi="Courier New" w:cs="Courier New" w:hint="default"/>
      </w:rPr>
    </w:lvl>
    <w:lvl w:ilvl="8" w:tplc="18090005" w:tentative="1">
      <w:start w:val="1"/>
      <w:numFmt w:val="bullet"/>
      <w:lvlText w:val=""/>
      <w:lvlJc w:val="left"/>
      <w:pPr>
        <w:ind w:left="6700" w:hanging="360"/>
      </w:pPr>
      <w:rPr>
        <w:rFonts w:ascii="Wingdings" w:hAnsi="Wingdings" w:hint="default"/>
      </w:rPr>
    </w:lvl>
  </w:abstractNum>
  <w:abstractNum w:abstractNumId="2" w15:restartNumberingAfterBreak="0">
    <w:nsid w:val="035ACAE0"/>
    <w:multiLevelType w:val="hybridMultilevel"/>
    <w:tmpl w:val="1E1EBA8C"/>
    <w:lvl w:ilvl="0" w:tplc="14BCBFA6">
      <w:start w:val="1"/>
      <w:numFmt w:val="bullet"/>
      <w:lvlText w:val="-"/>
      <w:lvlJc w:val="left"/>
      <w:pPr>
        <w:ind w:left="720" w:hanging="360"/>
      </w:pPr>
      <w:rPr>
        <w:rFonts w:ascii="Aptos" w:hAnsi="Aptos" w:hint="default"/>
      </w:rPr>
    </w:lvl>
    <w:lvl w:ilvl="1" w:tplc="DD443BC6">
      <w:start w:val="1"/>
      <w:numFmt w:val="bullet"/>
      <w:lvlText w:val="o"/>
      <w:lvlJc w:val="left"/>
      <w:pPr>
        <w:ind w:left="1440" w:hanging="360"/>
      </w:pPr>
      <w:rPr>
        <w:rFonts w:ascii="Courier New" w:hAnsi="Courier New" w:hint="default"/>
      </w:rPr>
    </w:lvl>
    <w:lvl w:ilvl="2" w:tplc="8DCAFC8E">
      <w:start w:val="1"/>
      <w:numFmt w:val="bullet"/>
      <w:lvlText w:val=""/>
      <w:lvlJc w:val="left"/>
      <w:pPr>
        <w:ind w:left="2160" w:hanging="360"/>
      </w:pPr>
      <w:rPr>
        <w:rFonts w:ascii="Wingdings" w:hAnsi="Wingdings" w:hint="default"/>
      </w:rPr>
    </w:lvl>
    <w:lvl w:ilvl="3" w:tplc="7714BACC">
      <w:start w:val="1"/>
      <w:numFmt w:val="bullet"/>
      <w:lvlText w:val=""/>
      <w:lvlJc w:val="left"/>
      <w:pPr>
        <w:ind w:left="2880" w:hanging="360"/>
      </w:pPr>
      <w:rPr>
        <w:rFonts w:ascii="Symbol" w:hAnsi="Symbol" w:hint="default"/>
      </w:rPr>
    </w:lvl>
    <w:lvl w:ilvl="4" w:tplc="97C29094">
      <w:start w:val="1"/>
      <w:numFmt w:val="bullet"/>
      <w:lvlText w:val="o"/>
      <w:lvlJc w:val="left"/>
      <w:pPr>
        <w:ind w:left="3600" w:hanging="360"/>
      </w:pPr>
      <w:rPr>
        <w:rFonts w:ascii="Courier New" w:hAnsi="Courier New" w:hint="default"/>
      </w:rPr>
    </w:lvl>
    <w:lvl w:ilvl="5" w:tplc="0BB098EC">
      <w:start w:val="1"/>
      <w:numFmt w:val="bullet"/>
      <w:lvlText w:val=""/>
      <w:lvlJc w:val="left"/>
      <w:pPr>
        <w:ind w:left="4320" w:hanging="360"/>
      </w:pPr>
      <w:rPr>
        <w:rFonts w:ascii="Wingdings" w:hAnsi="Wingdings" w:hint="default"/>
      </w:rPr>
    </w:lvl>
    <w:lvl w:ilvl="6" w:tplc="046294DA">
      <w:start w:val="1"/>
      <w:numFmt w:val="bullet"/>
      <w:lvlText w:val=""/>
      <w:lvlJc w:val="left"/>
      <w:pPr>
        <w:ind w:left="5040" w:hanging="360"/>
      </w:pPr>
      <w:rPr>
        <w:rFonts w:ascii="Symbol" w:hAnsi="Symbol" w:hint="default"/>
      </w:rPr>
    </w:lvl>
    <w:lvl w:ilvl="7" w:tplc="10F03186">
      <w:start w:val="1"/>
      <w:numFmt w:val="bullet"/>
      <w:lvlText w:val="o"/>
      <w:lvlJc w:val="left"/>
      <w:pPr>
        <w:ind w:left="5760" w:hanging="360"/>
      </w:pPr>
      <w:rPr>
        <w:rFonts w:ascii="Courier New" w:hAnsi="Courier New" w:hint="default"/>
      </w:rPr>
    </w:lvl>
    <w:lvl w:ilvl="8" w:tplc="35A42292">
      <w:start w:val="1"/>
      <w:numFmt w:val="bullet"/>
      <w:lvlText w:val=""/>
      <w:lvlJc w:val="left"/>
      <w:pPr>
        <w:ind w:left="6480" w:hanging="360"/>
      </w:pPr>
      <w:rPr>
        <w:rFonts w:ascii="Wingdings" w:hAnsi="Wingdings" w:hint="default"/>
      </w:rPr>
    </w:lvl>
  </w:abstractNum>
  <w:abstractNum w:abstractNumId="3" w15:restartNumberingAfterBreak="0">
    <w:nsid w:val="03917069"/>
    <w:multiLevelType w:val="hybridMultilevel"/>
    <w:tmpl w:val="5E404F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6104256"/>
    <w:multiLevelType w:val="hybridMultilevel"/>
    <w:tmpl w:val="3774C78E"/>
    <w:lvl w:ilvl="0" w:tplc="3844F046">
      <w:numFmt w:val="bullet"/>
      <w:lvlText w:val=""/>
      <w:lvlJc w:val="left"/>
      <w:pPr>
        <w:ind w:left="490" w:hanging="210"/>
      </w:pPr>
      <w:rPr>
        <w:rFonts w:ascii="Symbol" w:hAnsi="Symbol" w:hint="default"/>
        <w:w w:val="99"/>
        <w:sz w:val="19"/>
        <w:szCs w:val="19"/>
        <w:lang w:val="en-US" w:eastAsia="en-US" w:bidi="ar-SA"/>
      </w:rPr>
    </w:lvl>
    <w:lvl w:ilvl="1" w:tplc="2C0C233A">
      <w:numFmt w:val="bullet"/>
      <w:lvlText w:val="•"/>
      <w:lvlJc w:val="left"/>
      <w:pPr>
        <w:ind w:left="905" w:hanging="210"/>
      </w:pPr>
      <w:rPr>
        <w:lang w:val="en-US" w:eastAsia="en-US" w:bidi="ar-SA"/>
      </w:rPr>
    </w:lvl>
    <w:lvl w:ilvl="2" w:tplc="AF442F12">
      <w:numFmt w:val="bullet"/>
      <w:lvlText w:val="•"/>
      <w:lvlJc w:val="left"/>
      <w:pPr>
        <w:ind w:left="1310" w:hanging="210"/>
      </w:pPr>
      <w:rPr>
        <w:lang w:val="en-US" w:eastAsia="en-US" w:bidi="ar-SA"/>
      </w:rPr>
    </w:lvl>
    <w:lvl w:ilvl="3" w:tplc="26BEA7DE">
      <w:numFmt w:val="bullet"/>
      <w:lvlText w:val="•"/>
      <w:lvlJc w:val="left"/>
      <w:pPr>
        <w:ind w:left="1715" w:hanging="210"/>
      </w:pPr>
      <w:rPr>
        <w:lang w:val="en-US" w:eastAsia="en-US" w:bidi="ar-SA"/>
      </w:rPr>
    </w:lvl>
    <w:lvl w:ilvl="4" w:tplc="5C3A9D5A">
      <w:numFmt w:val="bullet"/>
      <w:lvlText w:val="•"/>
      <w:lvlJc w:val="left"/>
      <w:pPr>
        <w:ind w:left="2120" w:hanging="210"/>
      </w:pPr>
      <w:rPr>
        <w:lang w:val="en-US" w:eastAsia="en-US" w:bidi="ar-SA"/>
      </w:rPr>
    </w:lvl>
    <w:lvl w:ilvl="5" w:tplc="F1C8213E">
      <w:numFmt w:val="bullet"/>
      <w:lvlText w:val="•"/>
      <w:lvlJc w:val="left"/>
      <w:pPr>
        <w:ind w:left="2525" w:hanging="210"/>
      </w:pPr>
      <w:rPr>
        <w:lang w:val="en-US" w:eastAsia="en-US" w:bidi="ar-SA"/>
      </w:rPr>
    </w:lvl>
    <w:lvl w:ilvl="6" w:tplc="A9E8A752">
      <w:numFmt w:val="bullet"/>
      <w:lvlText w:val="•"/>
      <w:lvlJc w:val="left"/>
      <w:pPr>
        <w:ind w:left="2930" w:hanging="210"/>
      </w:pPr>
      <w:rPr>
        <w:lang w:val="en-US" w:eastAsia="en-US" w:bidi="ar-SA"/>
      </w:rPr>
    </w:lvl>
    <w:lvl w:ilvl="7" w:tplc="A20896D6">
      <w:numFmt w:val="bullet"/>
      <w:lvlText w:val="•"/>
      <w:lvlJc w:val="left"/>
      <w:pPr>
        <w:ind w:left="3335" w:hanging="210"/>
      </w:pPr>
      <w:rPr>
        <w:lang w:val="en-US" w:eastAsia="en-US" w:bidi="ar-SA"/>
      </w:rPr>
    </w:lvl>
    <w:lvl w:ilvl="8" w:tplc="3CA28CE8">
      <w:numFmt w:val="bullet"/>
      <w:lvlText w:val="•"/>
      <w:lvlJc w:val="left"/>
      <w:pPr>
        <w:ind w:left="3740" w:hanging="210"/>
      </w:pPr>
      <w:rPr>
        <w:lang w:val="en-US" w:eastAsia="en-US" w:bidi="ar-SA"/>
      </w:rPr>
    </w:lvl>
  </w:abstractNum>
  <w:abstractNum w:abstractNumId="5" w15:restartNumberingAfterBreak="0">
    <w:nsid w:val="09C86A0D"/>
    <w:multiLevelType w:val="hybridMultilevel"/>
    <w:tmpl w:val="A5AE6E30"/>
    <w:lvl w:ilvl="0" w:tplc="18090001">
      <w:start w:val="1"/>
      <w:numFmt w:val="bullet"/>
      <w:lvlText w:val=""/>
      <w:lvlJc w:val="left"/>
      <w:pPr>
        <w:ind w:left="940" w:hanging="360"/>
      </w:pPr>
      <w:rPr>
        <w:rFonts w:ascii="Symbol" w:hAnsi="Symbol" w:hint="default"/>
      </w:rPr>
    </w:lvl>
    <w:lvl w:ilvl="1" w:tplc="18090003" w:tentative="1">
      <w:start w:val="1"/>
      <w:numFmt w:val="bullet"/>
      <w:lvlText w:val="o"/>
      <w:lvlJc w:val="left"/>
      <w:pPr>
        <w:ind w:left="1660" w:hanging="360"/>
      </w:pPr>
      <w:rPr>
        <w:rFonts w:ascii="Courier New" w:hAnsi="Courier New" w:cs="Courier New" w:hint="default"/>
      </w:rPr>
    </w:lvl>
    <w:lvl w:ilvl="2" w:tplc="18090005" w:tentative="1">
      <w:start w:val="1"/>
      <w:numFmt w:val="bullet"/>
      <w:lvlText w:val=""/>
      <w:lvlJc w:val="left"/>
      <w:pPr>
        <w:ind w:left="2380" w:hanging="360"/>
      </w:pPr>
      <w:rPr>
        <w:rFonts w:ascii="Wingdings" w:hAnsi="Wingdings" w:hint="default"/>
      </w:rPr>
    </w:lvl>
    <w:lvl w:ilvl="3" w:tplc="18090001" w:tentative="1">
      <w:start w:val="1"/>
      <w:numFmt w:val="bullet"/>
      <w:lvlText w:val=""/>
      <w:lvlJc w:val="left"/>
      <w:pPr>
        <w:ind w:left="3100" w:hanging="360"/>
      </w:pPr>
      <w:rPr>
        <w:rFonts w:ascii="Symbol" w:hAnsi="Symbol" w:hint="default"/>
      </w:rPr>
    </w:lvl>
    <w:lvl w:ilvl="4" w:tplc="18090003" w:tentative="1">
      <w:start w:val="1"/>
      <w:numFmt w:val="bullet"/>
      <w:lvlText w:val="o"/>
      <w:lvlJc w:val="left"/>
      <w:pPr>
        <w:ind w:left="3820" w:hanging="360"/>
      </w:pPr>
      <w:rPr>
        <w:rFonts w:ascii="Courier New" w:hAnsi="Courier New" w:cs="Courier New" w:hint="default"/>
      </w:rPr>
    </w:lvl>
    <w:lvl w:ilvl="5" w:tplc="18090005" w:tentative="1">
      <w:start w:val="1"/>
      <w:numFmt w:val="bullet"/>
      <w:lvlText w:val=""/>
      <w:lvlJc w:val="left"/>
      <w:pPr>
        <w:ind w:left="4540" w:hanging="360"/>
      </w:pPr>
      <w:rPr>
        <w:rFonts w:ascii="Wingdings" w:hAnsi="Wingdings" w:hint="default"/>
      </w:rPr>
    </w:lvl>
    <w:lvl w:ilvl="6" w:tplc="18090001" w:tentative="1">
      <w:start w:val="1"/>
      <w:numFmt w:val="bullet"/>
      <w:lvlText w:val=""/>
      <w:lvlJc w:val="left"/>
      <w:pPr>
        <w:ind w:left="5260" w:hanging="360"/>
      </w:pPr>
      <w:rPr>
        <w:rFonts w:ascii="Symbol" w:hAnsi="Symbol" w:hint="default"/>
      </w:rPr>
    </w:lvl>
    <w:lvl w:ilvl="7" w:tplc="18090003" w:tentative="1">
      <w:start w:val="1"/>
      <w:numFmt w:val="bullet"/>
      <w:lvlText w:val="o"/>
      <w:lvlJc w:val="left"/>
      <w:pPr>
        <w:ind w:left="5980" w:hanging="360"/>
      </w:pPr>
      <w:rPr>
        <w:rFonts w:ascii="Courier New" w:hAnsi="Courier New" w:cs="Courier New" w:hint="default"/>
      </w:rPr>
    </w:lvl>
    <w:lvl w:ilvl="8" w:tplc="18090005" w:tentative="1">
      <w:start w:val="1"/>
      <w:numFmt w:val="bullet"/>
      <w:lvlText w:val=""/>
      <w:lvlJc w:val="left"/>
      <w:pPr>
        <w:ind w:left="6700" w:hanging="360"/>
      </w:pPr>
      <w:rPr>
        <w:rFonts w:ascii="Wingdings" w:hAnsi="Wingdings" w:hint="default"/>
      </w:rPr>
    </w:lvl>
  </w:abstractNum>
  <w:abstractNum w:abstractNumId="6" w15:restartNumberingAfterBreak="0">
    <w:nsid w:val="0B9C236A"/>
    <w:multiLevelType w:val="hybridMultilevel"/>
    <w:tmpl w:val="8384DDFC"/>
    <w:lvl w:ilvl="0" w:tplc="57DCEC3C">
      <w:numFmt w:val="bullet"/>
      <w:lvlText w:val=""/>
      <w:lvlJc w:val="left"/>
      <w:pPr>
        <w:ind w:left="822" w:hanging="363"/>
      </w:pPr>
      <w:rPr>
        <w:rFonts w:ascii="Symbol" w:hAnsi="Symbol" w:hint="default"/>
        <w:w w:val="100"/>
        <w:sz w:val="24"/>
        <w:szCs w:val="24"/>
        <w:lang w:val="en-US" w:eastAsia="en-US" w:bidi="ar-SA"/>
      </w:rPr>
    </w:lvl>
    <w:lvl w:ilvl="1" w:tplc="7480B440">
      <w:numFmt w:val="bullet"/>
      <w:lvlText w:val="•"/>
      <w:lvlJc w:val="left"/>
      <w:pPr>
        <w:ind w:left="1739" w:hanging="363"/>
      </w:pPr>
      <w:rPr>
        <w:lang w:val="en-US" w:eastAsia="en-US" w:bidi="ar-SA"/>
      </w:rPr>
    </w:lvl>
    <w:lvl w:ilvl="2" w:tplc="794E43A4">
      <w:numFmt w:val="bullet"/>
      <w:lvlText w:val="•"/>
      <w:lvlJc w:val="left"/>
      <w:pPr>
        <w:ind w:left="2658" w:hanging="363"/>
      </w:pPr>
      <w:rPr>
        <w:lang w:val="en-US" w:eastAsia="en-US" w:bidi="ar-SA"/>
      </w:rPr>
    </w:lvl>
    <w:lvl w:ilvl="3" w:tplc="6B9E03D4">
      <w:numFmt w:val="bullet"/>
      <w:lvlText w:val="•"/>
      <w:lvlJc w:val="left"/>
      <w:pPr>
        <w:ind w:left="3577" w:hanging="363"/>
      </w:pPr>
      <w:rPr>
        <w:lang w:val="en-US" w:eastAsia="en-US" w:bidi="ar-SA"/>
      </w:rPr>
    </w:lvl>
    <w:lvl w:ilvl="4" w:tplc="26EC7E5E">
      <w:numFmt w:val="bullet"/>
      <w:lvlText w:val="•"/>
      <w:lvlJc w:val="left"/>
      <w:pPr>
        <w:ind w:left="4496" w:hanging="363"/>
      </w:pPr>
      <w:rPr>
        <w:lang w:val="en-US" w:eastAsia="en-US" w:bidi="ar-SA"/>
      </w:rPr>
    </w:lvl>
    <w:lvl w:ilvl="5" w:tplc="73B68A34">
      <w:numFmt w:val="bullet"/>
      <w:lvlText w:val="•"/>
      <w:lvlJc w:val="left"/>
      <w:pPr>
        <w:ind w:left="5415" w:hanging="363"/>
      </w:pPr>
      <w:rPr>
        <w:lang w:val="en-US" w:eastAsia="en-US" w:bidi="ar-SA"/>
      </w:rPr>
    </w:lvl>
    <w:lvl w:ilvl="6" w:tplc="80EC4BF2">
      <w:numFmt w:val="bullet"/>
      <w:lvlText w:val="•"/>
      <w:lvlJc w:val="left"/>
      <w:pPr>
        <w:ind w:left="6334" w:hanging="363"/>
      </w:pPr>
      <w:rPr>
        <w:lang w:val="en-US" w:eastAsia="en-US" w:bidi="ar-SA"/>
      </w:rPr>
    </w:lvl>
    <w:lvl w:ilvl="7" w:tplc="DC38DAA4">
      <w:numFmt w:val="bullet"/>
      <w:lvlText w:val="•"/>
      <w:lvlJc w:val="left"/>
      <w:pPr>
        <w:ind w:left="7253" w:hanging="363"/>
      </w:pPr>
      <w:rPr>
        <w:lang w:val="en-US" w:eastAsia="en-US" w:bidi="ar-SA"/>
      </w:rPr>
    </w:lvl>
    <w:lvl w:ilvl="8" w:tplc="3F7C0742">
      <w:numFmt w:val="bullet"/>
      <w:lvlText w:val="•"/>
      <w:lvlJc w:val="left"/>
      <w:pPr>
        <w:ind w:left="8172" w:hanging="363"/>
      </w:pPr>
      <w:rPr>
        <w:lang w:val="en-US" w:eastAsia="en-US" w:bidi="ar-SA"/>
      </w:rPr>
    </w:lvl>
  </w:abstractNum>
  <w:abstractNum w:abstractNumId="7" w15:restartNumberingAfterBreak="0">
    <w:nsid w:val="0F781894"/>
    <w:multiLevelType w:val="hybridMultilevel"/>
    <w:tmpl w:val="28CECD00"/>
    <w:lvl w:ilvl="0" w:tplc="F3746F3C">
      <w:numFmt w:val="bullet"/>
      <w:lvlText w:val="-"/>
      <w:lvlJc w:val="left"/>
      <w:pPr>
        <w:ind w:left="822" w:hanging="363"/>
      </w:pPr>
      <w:rPr>
        <w:rFonts w:ascii="Times New Roman" w:eastAsia="Times New Roman" w:hAnsi="Times New Roman" w:cs="Times New Roman" w:hint="default"/>
        <w:w w:val="99"/>
        <w:sz w:val="24"/>
        <w:szCs w:val="24"/>
        <w:lang w:val="en-US" w:eastAsia="en-US" w:bidi="ar-SA"/>
      </w:rPr>
    </w:lvl>
    <w:lvl w:ilvl="1" w:tplc="CB38B03A">
      <w:numFmt w:val="bullet"/>
      <w:lvlText w:val="•"/>
      <w:lvlJc w:val="left"/>
      <w:pPr>
        <w:ind w:left="1739" w:hanging="363"/>
      </w:pPr>
      <w:rPr>
        <w:rFonts w:hint="default"/>
        <w:lang w:val="en-US" w:eastAsia="en-US" w:bidi="ar-SA"/>
      </w:rPr>
    </w:lvl>
    <w:lvl w:ilvl="2" w:tplc="16F88076">
      <w:numFmt w:val="bullet"/>
      <w:lvlText w:val="•"/>
      <w:lvlJc w:val="left"/>
      <w:pPr>
        <w:ind w:left="2658" w:hanging="363"/>
      </w:pPr>
      <w:rPr>
        <w:rFonts w:hint="default"/>
        <w:lang w:val="en-US" w:eastAsia="en-US" w:bidi="ar-SA"/>
      </w:rPr>
    </w:lvl>
    <w:lvl w:ilvl="3" w:tplc="BA721EB0">
      <w:numFmt w:val="bullet"/>
      <w:lvlText w:val="•"/>
      <w:lvlJc w:val="left"/>
      <w:pPr>
        <w:ind w:left="3577" w:hanging="363"/>
      </w:pPr>
      <w:rPr>
        <w:rFonts w:hint="default"/>
        <w:lang w:val="en-US" w:eastAsia="en-US" w:bidi="ar-SA"/>
      </w:rPr>
    </w:lvl>
    <w:lvl w:ilvl="4" w:tplc="A4D8A0C6">
      <w:numFmt w:val="bullet"/>
      <w:lvlText w:val="•"/>
      <w:lvlJc w:val="left"/>
      <w:pPr>
        <w:ind w:left="4496" w:hanging="363"/>
      </w:pPr>
      <w:rPr>
        <w:rFonts w:hint="default"/>
        <w:lang w:val="en-US" w:eastAsia="en-US" w:bidi="ar-SA"/>
      </w:rPr>
    </w:lvl>
    <w:lvl w:ilvl="5" w:tplc="64A0D910">
      <w:numFmt w:val="bullet"/>
      <w:lvlText w:val="•"/>
      <w:lvlJc w:val="left"/>
      <w:pPr>
        <w:ind w:left="5415" w:hanging="363"/>
      </w:pPr>
      <w:rPr>
        <w:rFonts w:hint="default"/>
        <w:lang w:val="en-US" w:eastAsia="en-US" w:bidi="ar-SA"/>
      </w:rPr>
    </w:lvl>
    <w:lvl w:ilvl="6" w:tplc="EEFCFB28">
      <w:numFmt w:val="bullet"/>
      <w:lvlText w:val="•"/>
      <w:lvlJc w:val="left"/>
      <w:pPr>
        <w:ind w:left="6334" w:hanging="363"/>
      </w:pPr>
      <w:rPr>
        <w:rFonts w:hint="default"/>
        <w:lang w:val="en-US" w:eastAsia="en-US" w:bidi="ar-SA"/>
      </w:rPr>
    </w:lvl>
    <w:lvl w:ilvl="7" w:tplc="F0A80D4A">
      <w:numFmt w:val="bullet"/>
      <w:lvlText w:val="•"/>
      <w:lvlJc w:val="left"/>
      <w:pPr>
        <w:ind w:left="7253" w:hanging="363"/>
      </w:pPr>
      <w:rPr>
        <w:rFonts w:hint="default"/>
        <w:lang w:val="en-US" w:eastAsia="en-US" w:bidi="ar-SA"/>
      </w:rPr>
    </w:lvl>
    <w:lvl w:ilvl="8" w:tplc="39AAB478">
      <w:numFmt w:val="bullet"/>
      <w:lvlText w:val="•"/>
      <w:lvlJc w:val="left"/>
      <w:pPr>
        <w:ind w:left="8172" w:hanging="363"/>
      </w:pPr>
      <w:rPr>
        <w:rFonts w:hint="default"/>
        <w:lang w:val="en-US" w:eastAsia="en-US" w:bidi="ar-SA"/>
      </w:rPr>
    </w:lvl>
  </w:abstractNum>
  <w:abstractNum w:abstractNumId="8" w15:restartNumberingAfterBreak="0">
    <w:nsid w:val="0F921719"/>
    <w:multiLevelType w:val="hybridMultilevel"/>
    <w:tmpl w:val="079AE6BA"/>
    <w:lvl w:ilvl="0" w:tplc="1BECB7A0">
      <w:start w:val="1"/>
      <w:numFmt w:val="bullet"/>
      <w:lvlText w:val="-"/>
      <w:lvlJc w:val="left"/>
      <w:pPr>
        <w:ind w:left="1080" w:hanging="360"/>
      </w:pPr>
      <w:rPr>
        <w:rFonts w:ascii="Aptos" w:hAnsi="Aptos" w:hint="default"/>
      </w:rPr>
    </w:lvl>
    <w:lvl w:ilvl="1" w:tplc="1960E070">
      <w:start w:val="1"/>
      <w:numFmt w:val="bullet"/>
      <w:lvlText w:val="o"/>
      <w:lvlJc w:val="left"/>
      <w:pPr>
        <w:ind w:left="1800" w:hanging="360"/>
      </w:pPr>
      <w:rPr>
        <w:rFonts w:ascii="Courier New" w:hAnsi="Courier New" w:hint="default"/>
      </w:rPr>
    </w:lvl>
    <w:lvl w:ilvl="2" w:tplc="AEEE6B6E">
      <w:start w:val="1"/>
      <w:numFmt w:val="bullet"/>
      <w:lvlText w:val=""/>
      <w:lvlJc w:val="left"/>
      <w:pPr>
        <w:ind w:left="2520" w:hanging="360"/>
      </w:pPr>
      <w:rPr>
        <w:rFonts w:ascii="Wingdings" w:hAnsi="Wingdings" w:hint="default"/>
      </w:rPr>
    </w:lvl>
    <w:lvl w:ilvl="3" w:tplc="BCBC061A">
      <w:start w:val="1"/>
      <w:numFmt w:val="bullet"/>
      <w:lvlText w:val=""/>
      <w:lvlJc w:val="left"/>
      <w:pPr>
        <w:ind w:left="3240" w:hanging="360"/>
      </w:pPr>
      <w:rPr>
        <w:rFonts w:ascii="Symbol" w:hAnsi="Symbol" w:hint="default"/>
      </w:rPr>
    </w:lvl>
    <w:lvl w:ilvl="4" w:tplc="9282F0E0">
      <w:start w:val="1"/>
      <w:numFmt w:val="bullet"/>
      <w:lvlText w:val="o"/>
      <w:lvlJc w:val="left"/>
      <w:pPr>
        <w:ind w:left="3960" w:hanging="360"/>
      </w:pPr>
      <w:rPr>
        <w:rFonts w:ascii="Courier New" w:hAnsi="Courier New" w:hint="default"/>
      </w:rPr>
    </w:lvl>
    <w:lvl w:ilvl="5" w:tplc="7AE2C7FE">
      <w:start w:val="1"/>
      <w:numFmt w:val="bullet"/>
      <w:lvlText w:val=""/>
      <w:lvlJc w:val="left"/>
      <w:pPr>
        <w:ind w:left="4680" w:hanging="360"/>
      </w:pPr>
      <w:rPr>
        <w:rFonts w:ascii="Wingdings" w:hAnsi="Wingdings" w:hint="default"/>
      </w:rPr>
    </w:lvl>
    <w:lvl w:ilvl="6" w:tplc="D81C2C16">
      <w:start w:val="1"/>
      <w:numFmt w:val="bullet"/>
      <w:lvlText w:val=""/>
      <w:lvlJc w:val="left"/>
      <w:pPr>
        <w:ind w:left="5400" w:hanging="360"/>
      </w:pPr>
      <w:rPr>
        <w:rFonts w:ascii="Symbol" w:hAnsi="Symbol" w:hint="default"/>
      </w:rPr>
    </w:lvl>
    <w:lvl w:ilvl="7" w:tplc="ADB6C702">
      <w:start w:val="1"/>
      <w:numFmt w:val="bullet"/>
      <w:lvlText w:val="o"/>
      <w:lvlJc w:val="left"/>
      <w:pPr>
        <w:ind w:left="6120" w:hanging="360"/>
      </w:pPr>
      <w:rPr>
        <w:rFonts w:ascii="Courier New" w:hAnsi="Courier New" w:hint="default"/>
      </w:rPr>
    </w:lvl>
    <w:lvl w:ilvl="8" w:tplc="4976AA02">
      <w:start w:val="1"/>
      <w:numFmt w:val="bullet"/>
      <w:lvlText w:val=""/>
      <w:lvlJc w:val="left"/>
      <w:pPr>
        <w:ind w:left="6840" w:hanging="360"/>
      </w:pPr>
      <w:rPr>
        <w:rFonts w:ascii="Wingdings" w:hAnsi="Wingdings" w:hint="default"/>
      </w:rPr>
    </w:lvl>
  </w:abstractNum>
  <w:abstractNum w:abstractNumId="9" w15:restartNumberingAfterBreak="0">
    <w:nsid w:val="10A06FCD"/>
    <w:multiLevelType w:val="hybridMultilevel"/>
    <w:tmpl w:val="B7EE9530"/>
    <w:lvl w:ilvl="0" w:tplc="BCE2B406">
      <w:numFmt w:val="bullet"/>
      <w:lvlText w:val=""/>
      <w:lvlJc w:val="left"/>
      <w:pPr>
        <w:ind w:left="391" w:hanging="252"/>
      </w:pPr>
      <w:rPr>
        <w:rFonts w:ascii="Symbol" w:hAnsi="Symbol" w:hint="default"/>
        <w:w w:val="99"/>
        <w:sz w:val="19"/>
        <w:szCs w:val="19"/>
        <w:lang w:val="en-US" w:eastAsia="en-US" w:bidi="ar-SA"/>
      </w:rPr>
    </w:lvl>
    <w:lvl w:ilvl="1" w:tplc="C2B07C9A">
      <w:numFmt w:val="bullet"/>
      <w:lvlText w:val="•"/>
      <w:lvlJc w:val="left"/>
      <w:pPr>
        <w:ind w:left="795" w:hanging="252"/>
      </w:pPr>
      <w:rPr>
        <w:lang w:val="en-US" w:eastAsia="en-US" w:bidi="ar-SA"/>
      </w:rPr>
    </w:lvl>
    <w:lvl w:ilvl="2" w:tplc="BC7EBA5A">
      <w:numFmt w:val="bullet"/>
      <w:lvlText w:val="•"/>
      <w:lvlJc w:val="left"/>
      <w:pPr>
        <w:ind w:left="1190" w:hanging="252"/>
      </w:pPr>
      <w:rPr>
        <w:lang w:val="en-US" w:eastAsia="en-US" w:bidi="ar-SA"/>
      </w:rPr>
    </w:lvl>
    <w:lvl w:ilvl="3" w:tplc="BCEC2274">
      <w:numFmt w:val="bullet"/>
      <w:lvlText w:val="•"/>
      <w:lvlJc w:val="left"/>
      <w:pPr>
        <w:ind w:left="1585" w:hanging="252"/>
      </w:pPr>
      <w:rPr>
        <w:lang w:val="en-US" w:eastAsia="en-US" w:bidi="ar-SA"/>
      </w:rPr>
    </w:lvl>
    <w:lvl w:ilvl="4" w:tplc="3252C572">
      <w:numFmt w:val="bullet"/>
      <w:lvlText w:val="•"/>
      <w:lvlJc w:val="left"/>
      <w:pPr>
        <w:ind w:left="1980" w:hanging="252"/>
      </w:pPr>
      <w:rPr>
        <w:lang w:val="en-US" w:eastAsia="en-US" w:bidi="ar-SA"/>
      </w:rPr>
    </w:lvl>
    <w:lvl w:ilvl="5" w:tplc="631A38E2">
      <w:numFmt w:val="bullet"/>
      <w:lvlText w:val="•"/>
      <w:lvlJc w:val="left"/>
      <w:pPr>
        <w:ind w:left="2375" w:hanging="252"/>
      </w:pPr>
      <w:rPr>
        <w:lang w:val="en-US" w:eastAsia="en-US" w:bidi="ar-SA"/>
      </w:rPr>
    </w:lvl>
    <w:lvl w:ilvl="6" w:tplc="C4BC02BE">
      <w:numFmt w:val="bullet"/>
      <w:lvlText w:val="•"/>
      <w:lvlJc w:val="left"/>
      <w:pPr>
        <w:ind w:left="2770" w:hanging="252"/>
      </w:pPr>
      <w:rPr>
        <w:lang w:val="en-US" w:eastAsia="en-US" w:bidi="ar-SA"/>
      </w:rPr>
    </w:lvl>
    <w:lvl w:ilvl="7" w:tplc="6E9E43D8">
      <w:numFmt w:val="bullet"/>
      <w:lvlText w:val="•"/>
      <w:lvlJc w:val="left"/>
      <w:pPr>
        <w:ind w:left="3165" w:hanging="252"/>
      </w:pPr>
      <w:rPr>
        <w:lang w:val="en-US" w:eastAsia="en-US" w:bidi="ar-SA"/>
      </w:rPr>
    </w:lvl>
    <w:lvl w:ilvl="8" w:tplc="0FB2705C">
      <w:numFmt w:val="bullet"/>
      <w:lvlText w:val="•"/>
      <w:lvlJc w:val="left"/>
      <w:pPr>
        <w:ind w:left="3560" w:hanging="252"/>
      </w:pPr>
      <w:rPr>
        <w:lang w:val="en-US" w:eastAsia="en-US" w:bidi="ar-SA"/>
      </w:rPr>
    </w:lvl>
  </w:abstractNum>
  <w:abstractNum w:abstractNumId="10" w15:restartNumberingAfterBreak="0">
    <w:nsid w:val="113E3A51"/>
    <w:multiLevelType w:val="hybridMultilevel"/>
    <w:tmpl w:val="FBA45C22"/>
    <w:lvl w:ilvl="0" w:tplc="B0A2CFC0">
      <w:numFmt w:val="bullet"/>
      <w:lvlText w:val=""/>
      <w:lvlJc w:val="left"/>
      <w:pPr>
        <w:ind w:left="1055" w:hanging="248"/>
      </w:pPr>
      <w:rPr>
        <w:rFonts w:ascii="Symbol" w:hAnsi="Symbol" w:hint="default"/>
        <w:w w:val="100"/>
        <w:sz w:val="24"/>
        <w:szCs w:val="24"/>
        <w:lang w:val="en-US" w:eastAsia="en-US" w:bidi="ar-SA"/>
      </w:rPr>
    </w:lvl>
    <w:lvl w:ilvl="1" w:tplc="A39C3B0E">
      <w:numFmt w:val="bullet"/>
      <w:lvlText w:val="o"/>
      <w:lvlJc w:val="left"/>
      <w:pPr>
        <w:ind w:left="1775" w:hanging="248"/>
      </w:pPr>
      <w:rPr>
        <w:rFonts w:ascii="Courier New" w:hAnsi="Courier New" w:hint="default"/>
        <w:w w:val="99"/>
        <w:sz w:val="24"/>
        <w:szCs w:val="24"/>
        <w:lang w:val="en-US" w:eastAsia="en-US" w:bidi="ar-SA"/>
      </w:rPr>
    </w:lvl>
    <w:lvl w:ilvl="2" w:tplc="F064CCC0">
      <w:numFmt w:val="bullet"/>
      <w:lvlText w:val="•"/>
      <w:lvlJc w:val="left"/>
      <w:pPr>
        <w:ind w:left="2707" w:hanging="248"/>
      </w:pPr>
      <w:rPr>
        <w:lang w:val="en-US" w:eastAsia="en-US" w:bidi="ar-SA"/>
      </w:rPr>
    </w:lvl>
    <w:lvl w:ilvl="3" w:tplc="75D62CD4">
      <w:numFmt w:val="bullet"/>
      <w:lvlText w:val="•"/>
      <w:lvlJc w:val="left"/>
      <w:pPr>
        <w:ind w:left="3635" w:hanging="248"/>
      </w:pPr>
      <w:rPr>
        <w:lang w:val="en-US" w:eastAsia="en-US" w:bidi="ar-SA"/>
      </w:rPr>
    </w:lvl>
    <w:lvl w:ilvl="4" w:tplc="28361692">
      <w:numFmt w:val="bullet"/>
      <w:lvlText w:val="•"/>
      <w:lvlJc w:val="left"/>
      <w:pPr>
        <w:ind w:left="4563" w:hanging="248"/>
      </w:pPr>
      <w:rPr>
        <w:lang w:val="en-US" w:eastAsia="en-US" w:bidi="ar-SA"/>
      </w:rPr>
    </w:lvl>
    <w:lvl w:ilvl="5" w:tplc="4EA0E2DC">
      <w:numFmt w:val="bullet"/>
      <w:lvlText w:val="•"/>
      <w:lvlJc w:val="left"/>
      <w:pPr>
        <w:ind w:left="5491" w:hanging="248"/>
      </w:pPr>
      <w:rPr>
        <w:lang w:val="en-US" w:eastAsia="en-US" w:bidi="ar-SA"/>
      </w:rPr>
    </w:lvl>
    <w:lvl w:ilvl="6" w:tplc="A0A8FF36">
      <w:numFmt w:val="bullet"/>
      <w:lvlText w:val="•"/>
      <w:lvlJc w:val="left"/>
      <w:pPr>
        <w:ind w:left="6419" w:hanging="248"/>
      </w:pPr>
      <w:rPr>
        <w:lang w:val="en-US" w:eastAsia="en-US" w:bidi="ar-SA"/>
      </w:rPr>
    </w:lvl>
    <w:lvl w:ilvl="7" w:tplc="6FAEFC22">
      <w:numFmt w:val="bullet"/>
      <w:lvlText w:val="•"/>
      <w:lvlJc w:val="left"/>
      <w:pPr>
        <w:ind w:left="7347" w:hanging="248"/>
      </w:pPr>
      <w:rPr>
        <w:lang w:val="en-US" w:eastAsia="en-US" w:bidi="ar-SA"/>
      </w:rPr>
    </w:lvl>
    <w:lvl w:ilvl="8" w:tplc="5B845054">
      <w:numFmt w:val="bullet"/>
      <w:lvlText w:val="•"/>
      <w:lvlJc w:val="left"/>
      <w:pPr>
        <w:ind w:left="8275" w:hanging="248"/>
      </w:pPr>
      <w:rPr>
        <w:lang w:val="en-US" w:eastAsia="en-US" w:bidi="ar-SA"/>
      </w:rPr>
    </w:lvl>
  </w:abstractNum>
  <w:abstractNum w:abstractNumId="11" w15:restartNumberingAfterBreak="0">
    <w:nsid w:val="12F205D2"/>
    <w:multiLevelType w:val="hybridMultilevel"/>
    <w:tmpl w:val="F4C6E196"/>
    <w:lvl w:ilvl="0" w:tplc="C6A2B19A">
      <w:numFmt w:val="bullet"/>
      <w:lvlText w:val="•"/>
      <w:lvlJc w:val="left"/>
      <w:pPr>
        <w:ind w:left="28" w:hanging="123"/>
      </w:pPr>
      <w:rPr>
        <w:rFonts w:ascii="Times New Roman" w:eastAsia="Times New Roman" w:hAnsi="Times New Roman" w:cs="Times New Roman" w:hint="default"/>
        <w:w w:val="99"/>
        <w:sz w:val="19"/>
        <w:szCs w:val="19"/>
        <w:lang w:val="en-US" w:eastAsia="en-US" w:bidi="ar-SA"/>
      </w:rPr>
    </w:lvl>
    <w:lvl w:ilvl="1" w:tplc="123037E4">
      <w:numFmt w:val="bullet"/>
      <w:lvlText w:val="•"/>
      <w:lvlJc w:val="left"/>
      <w:pPr>
        <w:ind w:left="453" w:hanging="123"/>
      </w:pPr>
      <w:rPr>
        <w:rFonts w:hint="default"/>
        <w:lang w:val="en-US" w:eastAsia="en-US" w:bidi="ar-SA"/>
      </w:rPr>
    </w:lvl>
    <w:lvl w:ilvl="2" w:tplc="96C695D4">
      <w:numFmt w:val="bullet"/>
      <w:lvlText w:val="•"/>
      <w:lvlJc w:val="left"/>
      <w:pPr>
        <w:ind w:left="886" w:hanging="123"/>
      </w:pPr>
      <w:rPr>
        <w:rFonts w:hint="default"/>
        <w:lang w:val="en-US" w:eastAsia="en-US" w:bidi="ar-SA"/>
      </w:rPr>
    </w:lvl>
    <w:lvl w:ilvl="3" w:tplc="5BDC74A6">
      <w:numFmt w:val="bullet"/>
      <w:lvlText w:val="•"/>
      <w:lvlJc w:val="left"/>
      <w:pPr>
        <w:ind w:left="1319" w:hanging="123"/>
      </w:pPr>
      <w:rPr>
        <w:rFonts w:hint="default"/>
        <w:lang w:val="en-US" w:eastAsia="en-US" w:bidi="ar-SA"/>
      </w:rPr>
    </w:lvl>
    <w:lvl w:ilvl="4" w:tplc="A142CDBA">
      <w:numFmt w:val="bullet"/>
      <w:lvlText w:val="•"/>
      <w:lvlJc w:val="left"/>
      <w:pPr>
        <w:ind w:left="1752" w:hanging="123"/>
      </w:pPr>
      <w:rPr>
        <w:rFonts w:hint="default"/>
        <w:lang w:val="en-US" w:eastAsia="en-US" w:bidi="ar-SA"/>
      </w:rPr>
    </w:lvl>
    <w:lvl w:ilvl="5" w:tplc="173CB1B0">
      <w:numFmt w:val="bullet"/>
      <w:lvlText w:val="•"/>
      <w:lvlJc w:val="left"/>
      <w:pPr>
        <w:ind w:left="2185" w:hanging="123"/>
      </w:pPr>
      <w:rPr>
        <w:rFonts w:hint="default"/>
        <w:lang w:val="en-US" w:eastAsia="en-US" w:bidi="ar-SA"/>
      </w:rPr>
    </w:lvl>
    <w:lvl w:ilvl="6" w:tplc="47502486">
      <w:numFmt w:val="bullet"/>
      <w:lvlText w:val="•"/>
      <w:lvlJc w:val="left"/>
      <w:pPr>
        <w:ind w:left="2618" w:hanging="123"/>
      </w:pPr>
      <w:rPr>
        <w:rFonts w:hint="default"/>
        <w:lang w:val="en-US" w:eastAsia="en-US" w:bidi="ar-SA"/>
      </w:rPr>
    </w:lvl>
    <w:lvl w:ilvl="7" w:tplc="700ACC58">
      <w:numFmt w:val="bullet"/>
      <w:lvlText w:val="•"/>
      <w:lvlJc w:val="left"/>
      <w:pPr>
        <w:ind w:left="3051" w:hanging="123"/>
      </w:pPr>
      <w:rPr>
        <w:rFonts w:hint="default"/>
        <w:lang w:val="en-US" w:eastAsia="en-US" w:bidi="ar-SA"/>
      </w:rPr>
    </w:lvl>
    <w:lvl w:ilvl="8" w:tplc="CB669D56">
      <w:numFmt w:val="bullet"/>
      <w:lvlText w:val="•"/>
      <w:lvlJc w:val="left"/>
      <w:pPr>
        <w:ind w:left="3484" w:hanging="123"/>
      </w:pPr>
      <w:rPr>
        <w:rFonts w:hint="default"/>
        <w:lang w:val="en-US" w:eastAsia="en-US" w:bidi="ar-SA"/>
      </w:rPr>
    </w:lvl>
  </w:abstractNum>
  <w:abstractNum w:abstractNumId="12" w15:restartNumberingAfterBreak="0">
    <w:nsid w:val="157E249C"/>
    <w:multiLevelType w:val="hybridMultilevel"/>
    <w:tmpl w:val="5338193A"/>
    <w:lvl w:ilvl="0" w:tplc="18090001">
      <w:start w:val="1"/>
      <w:numFmt w:val="bullet"/>
      <w:lvlText w:val=""/>
      <w:lvlJc w:val="left"/>
      <w:pPr>
        <w:ind w:left="940" w:hanging="360"/>
      </w:pPr>
      <w:rPr>
        <w:rFonts w:ascii="Symbol" w:hAnsi="Symbol" w:hint="default"/>
      </w:rPr>
    </w:lvl>
    <w:lvl w:ilvl="1" w:tplc="18090003" w:tentative="1">
      <w:start w:val="1"/>
      <w:numFmt w:val="bullet"/>
      <w:lvlText w:val="o"/>
      <w:lvlJc w:val="left"/>
      <w:pPr>
        <w:ind w:left="1660" w:hanging="360"/>
      </w:pPr>
      <w:rPr>
        <w:rFonts w:ascii="Courier New" w:hAnsi="Courier New" w:cs="Courier New" w:hint="default"/>
      </w:rPr>
    </w:lvl>
    <w:lvl w:ilvl="2" w:tplc="18090005" w:tentative="1">
      <w:start w:val="1"/>
      <w:numFmt w:val="bullet"/>
      <w:lvlText w:val=""/>
      <w:lvlJc w:val="left"/>
      <w:pPr>
        <w:ind w:left="2380" w:hanging="360"/>
      </w:pPr>
      <w:rPr>
        <w:rFonts w:ascii="Wingdings" w:hAnsi="Wingdings" w:hint="default"/>
      </w:rPr>
    </w:lvl>
    <w:lvl w:ilvl="3" w:tplc="18090001" w:tentative="1">
      <w:start w:val="1"/>
      <w:numFmt w:val="bullet"/>
      <w:lvlText w:val=""/>
      <w:lvlJc w:val="left"/>
      <w:pPr>
        <w:ind w:left="3100" w:hanging="360"/>
      </w:pPr>
      <w:rPr>
        <w:rFonts w:ascii="Symbol" w:hAnsi="Symbol" w:hint="default"/>
      </w:rPr>
    </w:lvl>
    <w:lvl w:ilvl="4" w:tplc="18090003" w:tentative="1">
      <w:start w:val="1"/>
      <w:numFmt w:val="bullet"/>
      <w:lvlText w:val="o"/>
      <w:lvlJc w:val="left"/>
      <w:pPr>
        <w:ind w:left="3820" w:hanging="360"/>
      </w:pPr>
      <w:rPr>
        <w:rFonts w:ascii="Courier New" w:hAnsi="Courier New" w:cs="Courier New" w:hint="default"/>
      </w:rPr>
    </w:lvl>
    <w:lvl w:ilvl="5" w:tplc="18090005" w:tentative="1">
      <w:start w:val="1"/>
      <w:numFmt w:val="bullet"/>
      <w:lvlText w:val=""/>
      <w:lvlJc w:val="left"/>
      <w:pPr>
        <w:ind w:left="4540" w:hanging="360"/>
      </w:pPr>
      <w:rPr>
        <w:rFonts w:ascii="Wingdings" w:hAnsi="Wingdings" w:hint="default"/>
      </w:rPr>
    </w:lvl>
    <w:lvl w:ilvl="6" w:tplc="18090001" w:tentative="1">
      <w:start w:val="1"/>
      <w:numFmt w:val="bullet"/>
      <w:lvlText w:val=""/>
      <w:lvlJc w:val="left"/>
      <w:pPr>
        <w:ind w:left="5260" w:hanging="360"/>
      </w:pPr>
      <w:rPr>
        <w:rFonts w:ascii="Symbol" w:hAnsi="Symbol" w:hint="default"/>
      </w:rPr>
    </w:lvl>
    <w:lvl w:ilvl="7" w:tplc="18090003" w:tentative="1">
      <w:start w:val="1"/>
      <w:numFmt w:val="bullet"/>
      <w:lvlText w:val="o"/>
      <w:lvlJc w:val="left"/>
      <w:pPr>
        <w:ind w:left="5980" w:hanging="360"/>
      </w:pPr>
      <w:rPr>
        <w:rFonts w:ascii="Courier New" w:hAnsi="Courier New" w:cs="Courier New" w:hint="default"/>
      </w:rPr>
    </w:lvl>
    <w:lvl w:ilvl="8" w:tplc="18090005" w:tentative="1">
      <w:start w:val="1"/>
      <w:numFmt w:val="bullet"/>
      <w:lvlText w:val=""/>
      <w:lvlJc w:val="left"/>
      <w:pPr>
        <w:ind w:left="6700" w:hanging="360"/>
      </w:pPr>
      <w:rPr>
        <w:rFonts w:ascii="Wingdings" w:hAnsi="Wingdings" w:hint="default"/>
      </w:rPr>
    </w:lvl>
  </w:abstractNum>
  <w:abstractNum w:abstractNumId="13" w15:restartNumberingAfterBreak="0">
    <w:nsid w:val="16C076AC"/>
    <w:multiLevelType w:val="multilevel"/>
    <w:tmpl w:val="CF08DFA4"/>
    <w:lvl w:ilvl="0">
      <w:start w:val="4"/>
      <w:numFmt w:val="decimal"/>
      <w:lvlText w:val="%1."/>
      <w:lvlJc w:val="left"/>
      <w:pPr>
        <w:ind w:left="969" w:hanging="851"/>
      </w:pPr>
      <w:rPr>
        <w:rFonts w:ascii="Times New Roman" w:eastAsia="Times New Roman" w:hAnsi="Times New Roman" w:cs="Times New Roman" w:hint="default"/>
        <w:b/>
        <w:bCs/>
        <w:w w:val="100"/>
        <w:sz w:val="24"/>
        <w:szCs w:val="24"/>
        <w:lang w:val="en-US" w:eastAsia="en-US" w:bidi="ar-SA"/>
      </w:rPr>
    </w:lvl>
    <w:lvl w:ilvl="1">
      <w:start w:val="1"/>
      <w:numFmt w:val="decimal"/>
      <w:lvlText w:val="%2."/>
      <w:lvlJc w:val="left"/>
      <w:pPr>
        <w:ind w:left="1197" w:hanging="857"/>
      </w:pPr>
      <w:rPr>
        <w:rFonts w:ascii="Times New Roman" w:eastAsia="Times New Roman" w:hAnsi="Times New Roman" w:cs="Times New Roman" w:hint="default"/>
        <w:b/>
        <w:bCs/>
        <w:spacing w:val="-3"/>
        <w:w w:val="100"/>
        <w:sz w:val="24"/>
        <w:szCs w:val="24"/>
        <w:lang w:val="en-US" w:eastAsia="en-US" w:bidi="ar-SA"/>
      </w:rPr>
    </w:lvl>
    <w:lvl w:ilvl="2">
      <w:start w:val="1"/>
      <w:numFmt w:val="decimal"/>
      <w:lvlText w:val="%2.%3."/>
      <w:lvlJc w:val="left"/>
      <w:pPr>
        <w:ind w:left="1197" w:hanging="857"/>
      </w:pPr>
      <w:rPr>
        <w:rFonts w:ascii="Times New Roman" w:eastAsia="Times New Roman" w:hAnsi="Times New Roman" w:cs="Times New Roman" w:hint="default"/>
        <w:spacing w:val="-3"/>
        <w:w w:val="100"/>
        <w:sz w:val="24"/>
        <w:szCs w:val="24"/>
        <w:lang w:val="en-US" w:eastAsia="en-US" w:bidi="ar-SA"/>
      </w:rPr>
    </w:lvl>
    <w:lvl w:ilvl="3">
      <w:numFmt w:val="bullet"/>
      <w:lvlText w:val="•"/>
      <w:lvlJc w:val="left"/>
      <w:pPr>
        <w:ind w:left="3313" w:hanging="857"/>
      </w:pPr>
      <w:rPr>
        <w:rFonts w:hint="default"/>
        <w:lang w:val="en-US" w:eastAsia="en-US" w:bidi="ar-SA"/>
      </w:rPr>
    </w:lvl>
    <w:lvl w:ilvl="4">
      <w:numFmt w:val="bullet"/>
      <w:lvlText w:val="•"/>
      <w:lvlJc w:val="left"/>
      <w:pPr>
        <w:ind w:left="4370" w:hanging="857"/>
      </w:pPr>
      <w:rPr>
        <w:rFonts w:hint="default"/>
        <w:lang w:val="en-US" w:eastAsia="en-US" w:bidi="ar-SA"/>
      </w:rPr>
    </w:lvl>
    <w:lvl w:ilvl="5">
      <w:numFmt w:val="bullet"/>
      <w:lvlText w:val="•"/>
      <w:lvlJc w:val="left"/>
      <w:pPr>
        <w:ind w:left="5427" w:hanging="857"/>
      </w:pPr>
      <w:rPr>
        <w:rFonts w:hint="default"/>
        <w:lang w:val="en-US" w:eastAsia="en-US" w:bidi="ar-SA"/>
      </w:rPr>
    </w:lvl>
    <w:lvl w:ilvl="6">
      <w:numFmt w:val="bullet"/>
      <w:lvlText w:val="•"/>
      <w:lvlJc w:val="left"/>
      <w:pPr>
        <w:ind w:left="6484" w:hanging="857"/>
      </w:pPr>
      <w:rPr>
        <w:rFonts w:hint="default"/>
        <w:lang w:val="en-US" w:eastAsia="en-US" w:bidi="ar-SA"/>
      </w:rPr>
    </w:lvl>
    <w:lvl w:ilvl="7">
      <w:numFmt w:val="bullet"/>
      <w:lvlText w:val="•"/>
      <w:lvlJc w:val="left"/>
      <w:pPr>
        <w:ind w:left="7540" w:hanging="857"/>
      </w:pPr>
      <w:rPr>
        <w:rFonts w:hint="default"/>
        <w:lang w:val="en-US" w:eastAsia="en-US" w:bidi="ar-SA"/>
      </w:rPr>
    </w:lvl>
    <w:lvl w:ilvl="8">
      <w:numFmt w:val="bullet"/>
      <w:lvlText w:val="•"/>
      <w:lvlJc w:val="left"/>
      <w:pPr>
        <w:ind w:left="8597" w:hanging="857"/>
      </w:pPr>
      <w:rPr>
        <w:rFonts w:hint="default"/>
        <w:lang w:val="en-US" w:eastAsia="en-US" w:bidi="ar-SA"/>
      </w:rPr>
    </w:lvl>
  </w:abstractNum>
  <w:abstractNum w:abstractNumId="14" w15:restartNumberingAfterBreak="0">
    <w:nsid w:val="22550E1C"/>
    <w:multiLevelType w:val="hybridMultilevel"/>
    <w:tmpl w:val="27C2A20A"/>
    <w:lvl w:ilvl="0" w:tplc="FD86A8AE">
      <w:start w:val="1"/>
      <w:numFmt w:val="bullet"/>
      <w:lvlText w:val="-"/>
      <w:lvlJc w:val="left"/>
      <w:pPr>
        <w:ind w:left="1080" w:hanging="360"/>
      </w:pPr>
      <w:rPr>
        <w:rFonts w:ascii="Aptos" w:hAnsi="Aptos" w:hint="default"/>
      </w:rPr>
    </w:lvl>
    <w:lvl w:ilvl="1" w:tplc="C9D2235C">
      <w:start w:val="1"/>
      <w:numFmt w:val="bullet"/>
      <w:lvlText w:val="o"/>
      <w:lvlJc w:val="left"/>
      <w:pPr>
        <w:ind w:left="1800" w:hanging="360"/>
      </w:pPr>
      <w:rPr>
        <w:rFonts w:ascii="Courier New" w:hAnsi="Courier New" w:hint="default"/>
      </w:rPr>
    </w:lvl>
    <w:lvl w:ilvl="2" w:tplc="0C28D192">
      <w:start w:val="1"/>
      <w:numFmt w:val="bullet"/>
      <w:lvlText w:val=""/>
      <w:lvlJc w:val="left"/>
      <w:pPr>
        <w:ind w:left="2520" w:hanging="360"/>
      </w:pPr>
      <w:rPr>
        <w:rFonts w:ascii="Wingdings" w:hAnsi="Wingdings" w:hint="default"/>
      </w:rPr>
    </w:lvl>
    <w:lvl w:ilvl="3" w:tplc="8BB891F6">
      <w:start w:val="1"/>
      <w:numFmt w:val="bullet"/>
      <w:lvlText w:val=""/>
      <w:lvlJc w:val="left"/>
      <w:pPr>
        <w:ind w:left="3240" w:hanging="360"/>
      </w:pPr>
      <w:rPr>
        <w:rFonts w:ascii="Symbol" w:hAnsi="Symbol" w:hint="default"/>
      </w:rPr>
    </w:lvl>
    <w:lvl w:ilvl="4" w:tplc="0F1CF91E">
      <w:start w:val="1"/>
      <w:numFmt w:val="bullet"/>
      <w:lvlText w:val="o"/>
      <w:lvlJc w:val="left"/>
      <w:pPr>
        <w:ind w:left="3960" w:hanging="360"/>
      </w:pPr>
      <w:rPr>
        <w:rFonts w:ascii="Courier New" w:hAnsi="Courier New" w:hint="default"/>
      </w:rPr>
    </w:lvl>
    <w:lvl w:ilvl="5" w:tplc="B5D098D8">
      <w:start w:val="1"/>
      <w:numFmt w:val="bullet"/>
      <w:lvlText w:val=""/>
      <w:lvlJc w:val="left"/>
      <w:pPr>
        <w:ind w:left="4680" w:hanging="360"/>
      </w:pPr>
      <w:rPr>
        <w:rFonts w:ascii="Wingdings" w:hAnsi="Wingdings" w:hint="default"/>
      </w:rPr>
    </w:lvl>
    <w:lvl w:ilvl="6" w:tplc="1C8A449C">
      <w:start w:val="1"/>
      <w:numFmt w:val="bullet"/>
      <w:lvlText w:val=""/>
      <w:lvlJc w:val="left"/>
      <w:pPr>
        <w:ind w:left="5400" w:hanging="360"/>
      </w:pPr>
      <w:rPr>
        <w:rFonts w:ascii="Symbol" w:hAnsi="Symbol" w:hint="default"/>
      </w:rPr>
    </w:lvl>
    <w:lvl w:ilvl="7" w:tplc="85F6AE04">
      <w:start w:val="1"/>
      <w:numFmt w:val="bullet"/>
      <w:lvlText w:val="o"/>
      <w:lvlJc w:val="left"/>
      <w:pPr>
        <w:ind w:left="6120" w:hanging="360"/>
      </w:pPr>
      <w:rPr>
        <w:rFonts w:ascii="Courier New" w:hAnsi="Courier New" w:hint="default"/>
      </w:rPr>
    </w:lvl>
    <w:lvl w:ilvl="8" w:tplc="611001EA">
      <w:start w:val="1"/>
      <w:numFmt w:val="bullet"/>
      <w:lvlText w:val=""/>
      <w:lvlJc w:val="left"/>
      <w:pPr>
        <w:ind w:left="6840" w:hanging="360"/>
      </w:pPr>
      <w:rPr>
        <w:rFonts w:ascii="Wingdings" w:hAnsi="Wingdings" w:hint="default"/>
      </w:rPr>
    </w:lvl>
  </w:abstractNum>
  <w:abstractNum w:abstractNumId="15" w15:restartNumberingAfterBreak="0">
    <w:nsid w:val="24AD3AFE"/>
    <w:multiLevelType w:val="hybridMultilevel"/>
    <w:tmpl w:val="AEF6AA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5893E13"/>
    <w:multiLevelType w:val="hybridMultilevel"/>
    <w:tmpl w:val="1D661882"/>
    <w:lvl w:ilvl="0" w:tplc="18090001">
      <w:start w:val="1"/>
      <w:numFmt w:val="bullet"/>
      <w:lvlText w:val=""/>
      <w:lvlJc w:val="left"/>
      <w:pPr>
        <w:ind w:left="940" w:hanging="360"/>
      </w:pPr>
      <w:rPr>
        <w:rFonts w:ascii="Symbol" w:hAnsi="Symbol" w:hint="default"/>
      </w:rPr>
    </w:lvl>
    <w:lvl w:ilvl="1" w:tplc="18090003" w:tentative="1">
      <w:start w:val="1"/>
      <w:numFmt w:val="bullet"/>
      <w:lvlText w:val="o"/>
      <w:lvlJc w:val="left"/>
      <w:pPr>
        <w:ind w:left="1660" w:hanging="360"/>
      </w:pPr>
      <w:rPr>
        <w:rFonts w:ascii="Courier New" w:hAnsi="Courier New" w:cs="Courier New" w:hint="default"/>
      </w:rPr>
    </w:lvl>
    <w:lvl w:ilvl="2" w:tplc="18090005" w:tentative="1">
      <w:start w:val="1"/>
      <w:numFmt w:val="bullet"/>
      <w:lvlText w:val=""/>
      <w:lvlJc w:val="left"/>
      <w:pPr>
        <w:ind w:left="2380" w:hanging="360"/>
      </w:pPr>
      <w:rPr>
        <w:rFonts w:ascii="Wingdings" w:hAnsi="Wingdings" w:hint="default"/>
      </w:rPr>
    </w:lvl>
    <w:lvl w:ilvl="3" w:tplc="18090001" w:tentative="1">
      <w:start w:val="1"/>
      <w:numFmt w:val="bullet"/>
      <w:lvlText w:val=""/>
      <w:lvlJc w:val="left"/>
      <w:pPr>
        <w:ind w:left="3100" w:hanging="360"/>
      </w:pPr>
      <w:rPr>
        <w:rFonts w:ascii="Symbol" w:hAnsi="Symbol" w:hint="default"/>
      </w:rPr>
    </w:lvl>
    <w:lvl w:ilvl="4" w:tplc="18090003" w:tentative="1">
      <w:start w:val="1"/>
      <w:numFmt w:val="bullet"/>
      <w:lvlText w:val="o"/>
      <w:lvlJc w:val="left"/>
      <w:pPr>
        <w:ind w:left="3820" w:hanging="360"/>
      </w:pPr>
      <w:rPr>
        <w:rFonts w:ascii="Courier New" w:hAnsi="Courier New" w:cs="Courier New" w:hint="default"/>
      </w:rPr>
    </w:lvl>
    <w:lvl w:ilvl="5" w:tplc="18090005" w:tentative="1">
      <w:start w:val="1"/>
      <w:numFmt w:val="bullet"/>
      <w:lvlText w:val=""/>
      <w:lvlJc w:val="left"/>
      <w:pPr>
        <w:ind w:left="4540" w:hanging="360"/>
      </w:pPr>
      <w:rPr>
        <w:rFonts w:ascii="Wingdings" w:hAnsi="Wingdings" w:hint="default"/>
      </w:rPr>
    </w:lvl>
    <w:lvl w:ilvl="6" w:tplc="18090001" w:tentative="1">
      <w:start w:val="1"/>
      <w:numFmt w:val="bullet"/>
      <w:lvlText w:val=""/>
      <w:lvlJc w:val="left"/>
      <w:pPr>
        <w:ind w:left="5260" w:hanging="360"/>
      </w:pPr>
      <w:rPr>
        <w:rFonts w:ascii="Symbol" w:hAnsi="Symbol" w:hint="default"/>
      </w:rPr>
    </w:lvl>
    <w:lvl w:ilvl="7" w:tplc="18090003" w:tentative="1">
      <w:start w:val="1"/>
      <w:numFmt w:val="bullet"/>
      <w:lvlText w:val="o"/>
      <w:lvlJc w:val="left"/>
      <w:pPr>
        <w:ind w:left="5980" w:hanging="360"/>
      </w:pPr>
      <w:rPr>
        <w:rFonts w:ascii="Courier New" w:hAnsi="Courier New" w:cs="Courier New" w:hint="default"/>
      </w:rPr>
    </w:lvl>
    <w:lvl w:ilvl="8" w:tplc="18090005" w:tentative="1">
      <w:start w:val="1"/>
      <w:numFmt w:val="bullet"/>
      <w:lvlText w:val=""/>
      <w:lvlJc w:val="left"/>
      <w:pPr>
        <w:ind w:left="6700" w:hanging="360"/>
      </w:pPr>
      <w:rPr>
        <w:rFonts w:ascii="Wingdings" w:hAnsi="Wingdings" w:hint="default"/>
      </w:rPr>
    </w:lvl>
  </w:abstractNum>
  <w:abstractNum w:abstractNumId="17" w15:restartNumberingAfterBreak="0">
    <w:nsid w:val="25C82B99"/>
    <w:multiLevelType w:val="hybridMultilevel"/>
    <w:tmpl w:val="80B2D52E"/>
    <w:lvl w:ilvl="0" w:tplc="06846D28">
      <w:start w:val="1"/>
      <w:numFmt w:val="lowerRoman"/>
      <w:lvlText w:val="(%1)"/>
      <w:lvlJc w:val="left"/>
      <w:pPr>
        <w:ind w:left="220" w:hanging="291"/>
        <w:jc w:val="right"/>
      </w:pPr>
      <w:rPr>
        <w:rFonts w:ascii="Times New Roman" w:hAnsi="Times New Roman" w:hint="default"/>
        <w:w w:val="100"/>
        <w:sz w:val="24"/>
        <w:szCs w:val="24"/>
        <w:lang w:val="en-US" w:eastAsia="en-US" w:bidi="ar-SA"/>
      </w:rPr>
    </w:lvl>
    <w:lvl w:ilvl="1" w:tplc="0B0C325A">
      <w:numFmt w:val="bullet"/>
      <w:lvlText w:val="•"/>
      <w:lvlJc w:val="left"/>
      <w:pPr>
        <w:ind w:left="942" w:hanging="363"/>
      </w:pPr>
      <w:rPr>
        <w:rFonts w:ascii="Times New Roman" w:hAnsi="Times New Roman" w:hint="default"/>
        <w:w w:val="100"/>
        <w:sz w:val="24"/>
        <w:szCs w:val="24"/>
        <w:lang w:val="en-US" w:eastAsia="en-US" w:bidi="ar-SA"/>
      </w:rPr>
    </w:lvl>
    <w:lvl w:ilvl="2" w:tplc="1A742C8C">
      <w:numFmt w:val="bullet"/>
      <w:lvlText w:val=""/>
      <w:lvlJc w:val="left"/>
      <w:pPr>
        <w:ind w:left="1055" w:hanging="248"/>
      </w:pPr>
      <w:rPr>
        <w:rFonts w:ascii="Symbol" w:hAnsi="Symbol" w:hint="default"/>
        <w:w w:val="100"/>
        <w:sz w:val="24"/>
        <w:szCs w:val="24"/>
        <w:lang w:val="en-US" w:eastAsia="en-US" w:bidi="ar-SA"/>
      </w:rPr>
    </w:lvl>
    <w:lvl w:ilvl="3" w:tplc="4C80183A">
      <w:numFmt w:val="bullet"/>
      <w:lvlText w:val="o"/>
      <w:lvlJc w:val="left"/>
      <w:pPr>
        <w:ind w:left="1775" w:hanging="248"/>
      </w:pPr>
      <w:rPr>
        <w:rFonts w:ascii="Courier New" w:hAnsi="Courier New" w:hint="default"/>
        <w:w w:val="99"/>
        <w:sz w:val="24"/>
        <w:szCs w:val="24"/>
        <w:lang w:val="en-US" w:eastAsia="en-US" w:bidi="ar-SA"/>
      </w:rPr>
    </w:lvl>
    <w:lvl w:ilvl="4" w:tplc="A7DC2652">
      <w:numFmt w:val="bullet"/>
      <w:lvlText w:val="•"/>
      <w:lvlJc w:val="left"/>
      <w:pPr>
        <w:ind w:left="2973" w:hanging="248"/>
      </w:pPr>
      <w:rPr>
        <w:lang w:val="en-US" w:eastAsia="en-US" w:bidi="ar-SA"/>
      </w:rPr>
    </w:lvl>
    <w:lvl w:ilvl="5" w:tplc="5CA2383E">
      <w:numFmt w:val="bullet"/>
      <w:lvlText w:val="•"/>
      <w:lvlJc w:val="left"/>
      <w:pPr>
        <w:ind w:left="4166" w:hanging="248"/>
      </w:pPr>
      <w:rPr>
        <w:lang w:val="en-US" w:eastAsia="en-US" w:bidi="ar-SA"/>
      </w:rPr>
    </w:lvl>
    <w:lvl w:ilvl="6" w:tplc="EBE09DA2">
      <w:numFmt w:val="bullet"/>
      <w:lvlText w:val="•"/>
      <w:lvlJc w:val="left"/>
      <w:pPr>
        <w:ind w:left="5359" w:hanging="248"/>
      </w:pPr>
      <w:rPr>
        <w:lang w:val="en-US" w:eastAsia="en-US" w:bidi="ar-SA"/>
      </w:rPr>
    </w:lvl>
    <w:lvl w:ilvl="7" w:tplc="E2624500">
      <w:numFmt w:val="bullet"/>
      <w:lvlText w:val="•"/>
      <w:lvlJc w:val="left"/>
      <w:pPr>
        <w:ind w:left="6552" w:hanging="248"/>
      </w:pPr>
      <w:rPr>
        <w:lang w:val="en-US" w:eastAsia="en-US" w:bidi="ar-SA"/>
      </w:rPr>
    </w:lvl>
    <w:lvl w:ilvl="8" w:tplc="718EAD8A">
      <w:numFmt w:val="bullet"/>
      <w:lvlText w:val="•"/>
      <w:lvlJc w:val="left"/>
      <w:pPr>
        <w:ind w:left="7745" w:hanging="248"/>
      </w:pPr>
      <w:rPr>
        <w:lang w:val="en-US" w:eastAsia="en-US" w:bidi="ar-SA"/>
      </w:rPr>
    </w:lvl>
  </w:abstractNum>
  <w:abstractNum w:abstractNumId="18" w15:restartNumberingAfterBreak="0">
    <w:nsid w:val="26113FB4"/>
    <w:multiLevelType w:val="hybridMultilevel"/>
    <w:tmpl w:val="6F487622"/>
    <w:lvl w:ilvl="0" w:tplc="7812EF62">
      <w:start w:val="1"/>
      <w:numFmt w:val="bullet"/>
      <w:lvlText w:val="-"/>
      <w:lvlJc w:val="left"/>
      <w:pPr>
        <w:ind w:left="1080" w:hanging="360"/>
      </w:pPr>
      <w:rPr>
        <w:rFonts w:ascii="Aptos" w:hAnsi="Aptos" w:hint="default"/>
      </w:rPr>
    </w:lvl>
    <w:lvl w:ilvl="1" w:tplc="3C1C7180">
      <w:start w:val="1"/>
      <w:numFmt w:val="bullet"/>
      <w:lvlText w:val="o"/>
      <w:lvlJc w:val="left"/>
      <w:pPr>
        <w:ind w:left="1800" w:hanging="360"/>
      </w:pPr>
      <w:rPr>
        <w:rFonts w:ascii="Courier New" w:hAnsi="Courier New" w:hint="default"/>
      </w:rPr>
    </w:lvl>
    <w:lvl w:ilvl="2" w:tplc="D1124F9C">
      <w:start w:val="1"/>
      <w:numFmt w:val="bullet"/>
      <w:lvlText w:val=""/>
      <w:lvlJc w:val="left"/>
      <w:pPr>
        <w:ind w:left="2520" w:hanging="360"/>
      </w:pPr>
      <w:rPr>
        <w:rFonts w:ascii="Wingdings" w:hAnsi="Wingdings" w:hint="default"/>
      </w:rPr>
    </w:lvl>
    <w:lvl w:ilvl="3" w:tplc="765E6D0C">
      <w:start w:val="1"/>
      <w:numFmt w:val="bullet"/>
      <w:lvlText w:val=""/>
      <w:lvlJc w:val="left"/>
      <w:pPr>
        <w:ind w:left="3240" w:hanging="360"/>
      </w:pPr>
      <w:rPr>
        <w:rFonts w:ascii="Symbol" w:hAnsi="Symbol" w:hint="default"/>
      </w:rPr>
    </w:lvl>
    <w:lvl w:ilvl="4" w:tplc="FBA6B3CC">
      <w:start w:val="1"/>
      <w:numFmt w:val="bullet"/>
      <w:lvlText w:val="o"/>
      <w:lvlJc w:val="left"/>
      <w:pPr>
        <w:ind w:left="3960" w:hanging="360"/>
      </w:pPr>
      <w:rPr>
        <w:rFonts w:ascii="Courier New" w:hAnsi="Courier New" w:hint="default"/>
      </w:rPr>
    </w:lvl>
    <w:lvl w:ilvl="5" w:tplc="4622EC54">
      <w:start w:val="1"/>
      <w:numFmt w:val="bullet"/>
      <w:lvlText w:val=""/>
      <w:lvlJc w:val="left"/>
      <w:pPr>
        <w:ind w:left="4680" w:hanging="360"/>
      </w:pPr>
      <w:rPr>
        <w:rFonts w:ascii="Wingdings" w:hAnsi="Wingdings" w:hint="default"/>
      </w:rPr>
    </w:lvl>
    <w:lvl w:ilvl="6" w:tplc="D05AA0C2">
      <w:start w:val="1"/>
      <w:numFmt w:val="bullet"/>
      <w:lvlText w:val=""/>
      <w:lvlJc w:val="left"/>
      <w:pPr>
        <w:ind w:left="5400" w:hanging="360"/>
      </w:pPr>
      <w:rPr>
        <w:rFonts w:ascii="Symbol" w:hAnsi="Symbol" w:hint="default"/>
      </w:rPr>
    </w:lvl>
    <w:lvl w:ilvl="7" w:tplc="9B3E0398">
      <w:start w:val="1"/>
      <w:numFmt w:val="bullet"/>
      <w:lvlText w:val="o"/>
      <w:lvlJc w:val="left"/>
      <w:pPr>
        <w:ind w:left="6120" w:hanging="360"/>
      </w:pPr>
      <w:rPr>
        <w:rFonts w:ascii="Courier New" w:hAnsi="Courier New" w:hint="default"/>
      </w:rPr>
    </w:lvl>
    <w:lvl w:ilvl="8" w:tplc="4D063CE6">
      <w:start w:val="1"/>
      <w:numFmt w:val="bullet"/>
      <w:lvlText w:val=""/>
      <w:lvlJc w:val="left"/>
      <w:pPr>
        <w:ind w:left="6840" w:hanging="360"/>
      </w:pPr>
      <w:rPr>
        <w:rFonts w:ascii="Wingdings" w:hAnsi="Wingdings" w:hint="default"/>
      </w:rPr>
    </w:lvl>
  </w:abstractNum>
  <w:abstractNum w:abstractNumId="19" w15:restartNumberingAfterBreak="0">
    <w:nsid w:val="29E27DEC"/>
    <w:multiLevelType w:val="hybridMultilevel"/>
    <w:tmpl w:val="2D28D7DE"/>
    <w:lvl w:ilvl="0" w:tplc="31BC81D4">
      <w:numFmt w:val="bullet"/>
      <w:lvlText w:val="-"/>
      <w:lvlJc w:val="left"/>
      <w:pPr>
        <w:ind w:left="850" w:hanging="360"/>
      </w:pPr>
      <w:rPr>
        <w:rFonts w:ascii="Calibri" w:hAnsi="Calibri" w:hint="default"/>
        <w:w w:val="99"/>
        <w:sz w:val="19"/>
        <w:szCs w:val="19"/>
        <w:lang w:val="en-US" w:eastAsia="en-US" w:bidi="ar-SA"/>
      </w:rPr>
    </w:lvl>
    <w:lvl w:ilvl="1" w:tplc="158AC8B4">
      <w:numFmt w:val="bullet"/>
      <w:lvlText w:val="•"/>
      <w:lvlJc w:val="left"/>
      <w:pPr>
        <w:ind w:left="1212" w:hanging="360"/>
      </w:pPr>
      <w:rPr>
        <w:lang w:val="en-US" w:eastAsia="en-US" w:bidi="ar-SA"/>
      </w:rPr>
    </w:lvl>
    <w:lvl w:ilvl="2" w:tplc="29921E58">
      <w:numFmt w:val="bullet"/>
      <w:lvlText w:val="•"/>
      <w:lvlJc w:val="left"/>
      <w:pPr>
        <w:ind w:left="1564" w:hanging="360"/>
      </w:pPr>
      <w:rPr>
        <w:lang w:val="en-US" w:eastAsia="en-US" w:bidi="ar-SA"/>
      </w:rPr>
    </w:lvl>
    <w:lvl w:ilvl="3" w:tplc="9B9675DA">
      <w:numFmt w:val="bullet"/>
      <w:lvlText w:val="•"/>
      <w:lvlJc w:val="left"/>
      <w:pPr>
        <w:ind w:left="1916" w:hanging="360"/>
      </w:pPr>
      <w:rPr>
        <w:lang w:val="en-US" w:eastAsia="en-US" w:bidi="ar-SA"/>
      </w:rPr>
    </w:lvl>
    <w:lvl w:ilvl="4" w:tplc="B0B6D274">
      <w:numFmt w:val="bullet"/>
      <w:lvlText w:val="•"/>
      <w:lvlJc w:val="left"/>
      <w:pPr>
        <w:ind w:left="2269" w:hanging="360"/>
      </w:pPr>
      <w:rPr>
        <w:lang w:val="en-US" w:eastAsia="en-US" w:bidi="ar-SA"/>
      </w:rPr>
    </w:lvl>
    <w:lvl w:ilvl="5" w:tplc="552877AE">
      <w:numFmt w:val="bullet"/>
      <w:lvlText w:val="•"/>
      <w:lvlJc w:val="left"/>
      <w:pPr>
        <w:ind w:left="2621" w:hanging="360"/>
      </w:pPr>
      <w:rPr>
        <w:lang w:val="en-US" w:eastAsia="en-US" w:bidi="ar-SA"/>
      </w:rPr>
    </w:lvl>
    <w:lvl w:ilvl="6" w:tplc="AA10A2C0">
      <w:numFmt w:val="bullet"/>
      <w:lvlText w:val="•"/>
      <w:lvlJc w:val="left"/>
      <w:pPr>
        <w:ind w:left="2973" w:hanging="360"/>
      </w:pPr>
      <w:rPr>
        <w:lang w:val="en-US" w:eastAsia="en-US" w:bidi="ar-SA"/>
      </w:rPr>
    </w:lvl>
    <w:lvl w:ilvl="7" w:tplc="4D24ABEE">
      <w:numFmt w:val="bullet"/>
      <w:lvlText w:val="•"/>
      <w:lvlJc w:val="left"/>
      <w:pPr>
        <w:ind w:left="3326" w:hanging="360"/>
      </w:pPr>
      <w:rPr>
        <w:lang w:val="en-US" w:eastAsia="en-US" w:bidi="ar-SA"/>
      </w:rPr>
    </w:lvl>
    <w:lvl w:ilvl="8" w:tplc="546AC70C">
      <w:numFmt w:val="bullet"/>
      <w:lvlText w:val="•"/>
      <w:lvlJc w:val="left"/>
      <w:pPr>
        <w:ind w:left="3678" w:hanging="360"/>
      </w:pPr>
      <w:rPr>
        <w:lang w:val="en-US" w:eastAsia="en-US" w:bidi="ar-SA"/>
      </w:rPr>
    </w:lvl>
  </w:abstractNum>
  <w:abstractNum w:abstractNumId="20" w15:restartNumberingAfterBreak="0">
    <w:nsid w:val="2AA129B1"/>
    <w:multiLevelType w:val="hybridMultilevel"/>
    <w:tmpl w:val="2A6848EC"/>
    <w:lvl w:ilvl="0" w:tplc="DC7AB996">
      <w:numFmt w:val="bullet"/>
      <w:lvlText w:val="-"/>
      <w:lvlJc w:val="left"/>
      <w:pPr>
        <w:ind w:left="28" w:hanging="120"/>
      </w:pPr>
      <w:rPr>
        <w:rFonts w:ascii="Times New Roman" w:eastAsia="Times New Roman" w:hAnsi="Times New Roman" w:cs="Times New Roman" w:hint="default"/>
        <w:w w:val="99"/>
        <w:sz w:val="19"/>
        <w:szCs w:val="19"/>
        <w:lang w:val="en-US" w:eastAsia="en-US" w:bidi="ar-SA"/>
      </w:rPr>
    </w:lvl>
    <w:lvl w:ilvl="1" w:tplc="1F0463F0">
      <w:numFmt w:val="bullet"/>
      <w:lvlText w:val="•"/>
      <w:lvlJc w:val="left"/>
      <w:pPr>
        <w:ind w:left="453" w:hanging="120"/>
      </w:pPr>
      <w:rPr>
        <w:rFonts w:hint="default"/>
        <w:lang w:val="en-US" w:eastAsia="en-US" w:bidi="ar-SA"/>
      </w:rPr>
    </w:lvl>
    <w:lvl w:ilvl="2" w:tplc="481482EA">
      <w:numFmt w:val="bullet"/>
      <w:lvlText w:val="•"/>
      <w:lvlJc w:val="left"/>
      <w:pPr>
        <w:ind w:left="886" w:hanging="120"/>
      </w:pPr>
      <w:rPr>
        <w:rFonts w:hint="default"/>
        <w:lang w:val="en-US" w:eastAsia="en-US" w:bidi="ar-SA"/>
      </w:rPr>
    </w:lvl>
    <w:lvl w:ilvl="3" w:tplc="F2ECCDEC">
      <w:numFmt w:val="bullet"/>
      <w:lvlText w:val="•"/>
      <w:lvlJc w:val="left"/>
      <w:pPr>
        <w:ind w:left="1319" w:hanging="120"/>
      </w:pPr>
      <w:rPr>
        <w:rFonts w:hint="default"/>
        <w:lang w:val="en-US" w:eastAsia="en-US" w:bidi="ar-SA"/>
      </w:rPr>
    </w:lvl>
    <w:lvl w:ilvl="4" w:tplc="93F6DBE6">
      <w:numFmt w:val="bullet"/>
      <w:lvlText w:val="•"/>
      <w:lvlJc w:val="left"/>
      <w:pPr>
        <w:ind w:left="1752" w:hanging="120"/>
      </w:pPr>
      <w:rPr>
        <w:rFonts w:hint="default"/>
        <w:lang w:val="en-US" w:eastAsia="en-US" w:bidi="ar-SA"/>
      </w:rPr>
    </w:lvl>
    <w:lvl w:ilvl="5" w:tplc="B7DC2222">
      <w:numFmt w:val="bullet"/>
      <w:lvlText w:val="•"/>
      <w:lvlJc w:val="left"/>
      <w:pPr>
        <w:ind w:left="2185" w:hanging="120"/>
      </w:pPr>
      <w:rPr>
        <w:rFonts w:hint="default"/>
        <w:lang w:val="en-US" w:eastAsia="en-US" w:bidi="ar-SA"/>
      </w:rPr>
    </w:lvl>
    <w:lvl w:ilvl="6" w:tplc="DD940FB4">
      <w:numFmt w:val="bullet"/>
      <w:lvlText w:val="•"/>
      <w:lvlJc w:val="left"/>
      <w:pPr>
        <w:ind w:left="2618" w:hanging="120"/>
      </w:pPr>
      <w:rPr>
        <w:rFonts w:hint="default"/>
        <w:lang w:val="en-US" w:eastAsia="en-US" w:bidi="ar-SA"/>
      </w:rPr>
    </w:lvl>
    <w:lvl w:ilvl="7" w:tplc="C890CDB2">
      <w:numFmt w:val="bullet"/>
      <w:lvlText w:val="•"/>
      <w:lvlJc w:val="left"/>
      <w:pPr>
        <w:ind w:left="3051" w:hanging="120"/>
      </w:pPr>
      <w:rPr>
        <w:rFonts w:hint="default"/>
        <w:lang w:val="en-US" w:eastAsia="en-US" w:bidi="ar-SA"/>
      </w:rPr>
    </w:lvl>
    <w:lvl w:ilvl="8" w:tplc="BE485264">
      <w:numFmt w:val="bullet"/>
      <w:lvlText w:val="•"/>
      <w:lvlJc w:val="left"/>
      <w:pPr>
        <w:ind w:left="3484" w:hanging="120"/>
      </w:pPr>
      <w:rPr>
        <w:rFonts w:hint="default"/>
        <w:lang w:val="en-US" w:eastAsia="en-US" w:bidi="ar-SA"/>
      </w:rPr>
    </w:lvl>
  </w:abstractNum>
  <w:abstractNum w:abstractNumId="21" w15:restartNumberingAfterBreak="0">
    <w:nsid w:val="2B515A42"/>
    <w:multiLevelType w:val="hybridMultilevel"/>
    <w:tmpl w:val="4372FB4E"/>
    <w:lvl w:ilvl="0" w:tplc="689699A0">
      <w:start w:val="1"/>
      <w:numFmt w:val="bullet"/>
      <w:lvlText w:val="-"/>
      <w:lvlJc w:val="left"/>
      <w:pPr>
        <w:ind w:left="720" w:hanging="360"/>
      </w:pPr>
      <w:rPr>
        <w:rFonts w:ascii="Aptos" w:hAnsi="Aptos" w:hint="default"/>
      </w:rPr>
    </w:lvl>
    <w:lvl w:ilvl="1" w:tplc="0694D5B8">
      <w:start w:val="1"/>
      <w:numFmt w:val="bullet"/>
      <w:lvlText w:val="o"/>
      <w:lvlJc w:val="left"/>
      <w:pPr>
        <w:ind w:left="1440" w:hanging="360"/>
      </w:pPr>
      <w:rPr>
        <w:rFonts w:ascii="Courier New" w:hAnsi="Courier New" w:hint="default"/>
      </w:rPr>
    </w:lvl>
    <w:lvl w:ilvl="2" w:tplc="777AE766">
      <w:start w:val="1"/>
      <w:numFmt w:val="bullet"/>
      <w:lvlText w:val=""/>
      <w:lvlJc w:val="left"/>
      <w:pPr>
        <w:ind w:left="2160" w:hanging="360"/>
      </w:pPr>
      <w:rPr>
        <w:rFonts w:ascii="Wingdings" w:hAnsi="Wingdings" w:hint="default"/>
      </w:rPr>
    </w:lvl>
    <w:lvl w:ilvl="3" w:tplc="DE76124C">
      <w:start w:val="1"/>
      <w:numFmt w:val="bullet"/>
      <w:lvlText w:val=""/>
      <w:lvlJc w:val="left"/>
      <w:pPr>
        <w:ind w:left="2880" w:hanging="360"/>
      </w:pPr>
      <w:rPr>
        <w:rFonts w:ascii="Symbol" w:hAnsi="Symbol" w:hint="default"/>
      </w:rPr>
    </w:lvl>
    <w:lvl w:ilvl="4" w:tplc="4E00D694">
      <w:start w:val="1"/>
      <w:numFmt w:val="bullet"/>
      <w:lvlText w:val="o"/>
      <w:lvlJc w:val="left"/>
      <w:pPr>
        <w:ind w:left="3600" w:hanging="360"/>
      </w:pPr>
      <w:rPr>
        <w:rFonts w:ascii="Courier New" w:hAnsi="Courier New" w:hint="default"/>
      </w:rPr>
    </w:lvl>
    <w:lvl w:ilvl="5" w:tplc="9E8265A0">
      <w:start w:val="1"/>
      <w:numFmt w:val="bullet"/>
      <w:lvlText w:val=""/>
      <w:lvlJc w:val="left"/>
      <w:pPr>
        <w:ind w:left="4320" w:hanging="360"/>
      </w:pPr>
      <w:rPr>
        <w:rFonts w:ascii="Wingdings" w:hAnsi="Wingdings" w:hint="default"/>
      </w:rPr>
    </w:lvl>
    <w:lvl w:ilvl="6" w:tplc="0D26C366">
      <w:start w:val="1"/>
      <w:numFmt w:val="bullet"/>
      <w:lvlText w:val=""/>
      <w:lvlJc w:val="left"/>
      <w:pPr>
        <w:ind w:left="5040" w:hanging="360"/>
      </w:pPr>
      <w:rPr>
        <w:rFonts w:ascii="Symbol" w:hAnsi="Symbol" w:hint="default"/>
      </w:rPr>
    </w:lvl>
    <w:lvl w:ilvl="7" w:tplc="D5FA5830">
      <w:start w:val="1"/>
      <w:numFmt w:val="bullet"/>
      <w:lvlText w:val="o"/>
      <w:lvlJc w:val="left"/>
      <w:pPr>
        <w:ind w:left="5760" w:hanging="360"/>
      </w:pPr>
      <w:rPr>
        <w:rFonts w:ascii="Courier New" w:hAnsi="Courier New" w:hint="default"/>
      </w:rPr>
    </w:lvl>
    <w:lvl w:ilvl="8" w:tplc="B0B0BDBE">
      <w:start w:val="1"/>
      <w:numFmt w:val="bullet"/>
      <w:lvlText w:val=""/>
      <w:lvlJc w:val="left"/>
      <w:pPr>
        <w:ind w:left="6480" w:hanging="360"/>
      </w:pPr>
      <w:rPr>
        <w:rFonts w:ascii="Wingdings" w:hAnsi="Wingdings" w:hint="default"/>
      </w:rPr>
    </w:lvl>
  </w:abstractNum>
  <w:abstractNum w:abstractNumId="22" w15:restartNumberingAfterBreak="0">
    <w:nsid w:val="2C9505B1"/>
    <w:multiLevelType w:val="hybridMultilevel"/>
    <w:tmpl w:val="2B827BA8"/>
    <w:lvl w:ilvl="0" w:tplc="71BC9B96">
      <w:numFmt w:val="bullet"/>
      <w:lvlText w:val=""/>
      <w:lvlJc w:val="left"/>
      <w:pPr>
        <w:ind w:left="640" w:hanging="360"/>
      </w:pPr>
      <w:rPr>
        <w:rFonts w:ascii="Symbol" w:hAnsi="Symbol" w:hint="default"/>
        <w:w w:val="100"/>
        <w:sz w:val="24"/>
        <w:szCs w:val="24"/>
        <w:lang w:val="en-US" w:eastAsia="en-US" w:bidi="ar-SA"/>
      </w:rPr>
    </w:lvl>
    <w:lvl w:ilvl="1" w:tplc="33A0DABA">
      <w:numFmt w:val="bullet"/>
      <w:lvlText w:val=""/>
      <w:lvlJc w:val="left"/>
      <w:pPr>
        <w:ind w:left="1288" w:hanging="360"/>
      </w:pPr>
      <w:rPr>
        <w:rFonts w:ascii="Symbol" w:hAnsi="Symbol" w:hint="default"/>
        <w:w w:val="100"/>
        <w:sz w:val="24"/>
        <w:szCs w:val="24"/>
        <w:lang w:val="en-US" w:eastAsia="en-US" w:bidi="ar-SA"/>
      </w:rPr>
    </w:lvl>
    <w:lvl w:ilvl="2" w:tplc="BF60487C">
      <w:numFmt w:val="bullet"/>
      <w:lvlText w:val="•"/>
      <w:lvlJc w:val="left"/>
      <w:pPr>
        <w:ind w:left="2256" w:hanging="360"/>
      </w:pPr>
      <w:rPr>
        <w:lang w:val="en-US" w:eastAsia="en-US" w:bidi="ar-SA"/>
      </w:rPr>
    </w:lvl>
    <w:lvl w:ilvl="3" w:tplc="31D41730">
      <w:numFmt w:val="bullet"/>
      <w:lvlText w:val="•"/>
      <w:lvlJc w:val="left"/>
      <w:pPr>
        <w:ind w:left="3233" w:hanging="360"/>
      </w:pPr>
      <w:rPr>
        <w:lang w:val="en-US" w:eastAsia="en-US" w:bidi="ar-SA"/>
      </w:rPr>
    </w:lvl>
    <w:lvl w:ilvl="4" w:tplc="D9729756">
      <w:numFmt w:val="bullet"/>
      <w:lvlText w:val="•"/>
      <w:lvlJc w:val="left"/>
      <w:pPr>
        <w:ind w:left="4210" w:hanging="360"/>
      </w:pPr>
      <w:rPr>
        <w:lang w:val="en-US" w:eastAsia="en-US" w:bidi="ar-SA"/>
      </w:rPr>
    </w:lvl>
    <w:lvl w:ilvl="5" w:tplc="5024EF18">
      <w:numFmt w:val="bullet"/>
      <w:lvlText w:val="•"/>
      <w:lvlJc w:val="left"/>
      <w:pPr>
        <w:ind w:left="5187" w:hanging="360"/>
      </w:pPr>
      <w:rPr>
        <w:lang w:val="en-US" w:eastAsia="en-US" w:bidi="ar-SA"/>
      </w:rPr>
    </w:lvl>
    <w:lvl w:ilvl="6" w:tplc="F946AA6C">
      <w:numFmt w:val="bullet"/>
      <w:lvlText w:val="•"/>
      <w:lvlJc w:val="left"/>
      <w:pPr>
        <w:ind w:left="6164" w:hanging="360"/>
      </w:pPr>
      <w:rPr>
        <w:lang w:val="en-US" w:eastAsia="en-US" w:bidi="ar-SA"/>
      </w:rPr>
    </w:lvl>
    <w:lvl w:ilvl="7" w:tplc="7F86B90C">
      <w:numFmt w:val="bullet"/>
      <w:lvlText w:val="•"/>
      <w:lvlJc w:val="left"/>
      <w:pPr>
        <w:ind w:left="7140" w:hanging="360"/>
      </w:pPr>
      <w:rPr>
        <w:lang w:val="en-US" w:eastAsia="en-US" w:bidi="ar-SA"/>
      </w:rPr>
    </w:lvl>
    <w:lvl w:ilvl="8" w:tplc="8E7E10EC">
      <w:numFmt w:val="bullet"/>
      <w:lvlText w:val="•"/>
      <w:lvlJc w:val="left"/>
      <w:pPr>
        <w:ind w:left="8117" w:hanging="360"/>
      </w:pPr>
      <w:rPr>
        <w:lang w:val="en-US" w:eastAsia="en-US" w:bidi="ar-SA"/>
      </w:rPr>
    </w:lvl>
  </w:abstractNum>
  <w:abstractNum w:abstractNumId="23" w15:restartNumberingAfterBreak="0">
    <w:nsid w:val="2DD510C5"/>
    <w:multiLevelType w:val="hybridMultilevel"/>
    <w:tmpl w:val="F99A46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E954ABC"/>
    <w:multiLevelType w:val="hybridMultilevel"/>
    <w:tmpl w:val="9B605B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2EBCF4E0"/>
    <w:multiLevelType w:val="hybridMultilevel"/>
    <w:tmpl w:val="B0867AF6"/>
    <w:lvl w:ilvl="0" w:tplc="8D6E3AA4">
      <w:start w:val="1"/>
      <w:numFmt w:val="bullet"/>
      <w:lvlText w:val="-"/>
      <w:lvlJc w:val="left"/>
      <w:pPr>
        <w:ind w:left="720" w:hanging="360"/>
      </w:pPr>
      <w:rPr>
        <w:rFonts w:ascii="Aptos" w:hAnsi="Aptos" w:hint="default"/>
      </w:rPr>
    </w:lvl>
    <w:lvl w:ilvl="1" w:tplc="1D661CF6">
      <w:start w:val="1"/>
      <w:numFmt w:val="bullet"/>
      <w:lvlText w:val="o"/>
      <w:lvlJc w:val="left"/>
      <w:pPr>
        <w:ind w:left="1440" w:hanging="360"/>
      </w:pPr>
      <w:rPr>
        <w:rFonts w:ascii="Courier New" w:hAnsi="Courier New" w:hint="default"/>
      </w:rPr>
    </w:lvl>
    <w:lvl w:ilvl="2" w:tplc="58308E0A">
      <w:start w:val="1"/>
      <w:numFmt w:val="bullet"/>
      <w:lvlText w:val=""/>
      <w:lvlJc w:val="left"/>
      <w:pPr>
        <w:ind w:left="2160" w:hanging="360"/>
      </w:pPr>
      <w:rPr>
        <w:rFonts w:ascii="Wingdings" w:hAnsi="Wingdings" w:hint="default"/>
      </w:rPr>
    </w:lvl>
    <w:lvl w:ilvl="3" w:tplc="C0261A96">
      <w:start w:val="1"/>
      <w:numFmt w:val="bullet"/>
      <w:lvlText w:val=""/>
      <w:lvlJc w:val="left"/>
      <w:pPr>
        <w:ind w:left="2880" w:hanging="360"/>
      </w:pPr>
      <w:rPr>
        <w:rFonts w:ascii="Symbol" w:hAnsi="Symbol" w:hint="default"/>
      </w:rPr>
    </w:lvl>
    <w:lvl w:ilvl="4" w:tplc="5A5AA5DE">
      <w:start w:val="1"/>
      <w:numFmt w:val="bullet"/>
      <w:lvlText w:val="o"/>
      <w:lvlJc w:val="left"/>
      <w:pPr>
        <w:ind w:left="3600" w:hanging="360"/>
      </w:pPr>
      <w:rPr>
        <w:rFonts w:ascii="Courier New" w:hAnsi="Courier New" w:hint="default"/>
      </w:rPr>
    </w:lvl>
    <w:lvl w:ilvl="5" w:tplc="C960DCA0">
      <w:start w:val="1"/>
      <w:numFmt w:val="bullet"/>
      <w:lvlText w:val=""/>
      <w:lvlJc w:val="left"/>
      <w:pPr>
        <w:ind w:left="4320" w:hanging="360"/>
      </w:pPr>
      <w:rPr>
        <w:rFonts w:ascii="Wingdings" w:hAnsi="Wingdings" w:hint="default"/>
      </w:rPr>
    </w:lvl>
    <w:lvl w:ilvl="6" w:tplc="72940A62">
      <w:start w:val="1"/>
      <w:numFmt w:val="bullet"/>
      <w:lvlText w:val=""/>
      <w:lvlJc w:val="left"/>
      <w:pPr>
        <w:ind w:left="5040" w:hanging="360"/>
      </w:pPr>
      <w:rPr>
        <w:rFonts w:ascii="Symbol" w:hAnsi="Symbol" w:hint="default"/>
      </w:rPr>
    </w:lvl>
    <w:lvl w:ilvl="7" w:tplc="C7080A94">
      <w:start w:val="1"/>
      <w:numFmt w:val="bullet"/>
      <w:lvlText w:val="o"/>
      <w:lvlJc w:val="left"/>
      <w:pPr>
        <w:ind w:left="5760" w:hanging="360"/>
      </w:pPr>
      <w:rPr>
        <w:rFonts w:ascii="Courier New" w:hAnsi="Courier New" w:hint="default"/>
      </w:rPr>
    </w:lvl>
    <w:lvl w:ilvl="8" w:tplc="48CAD1C2">
      <w:start w:val="1"/>
      <w:numFmt w:val="bullet"/>
      <w:lvlText w:val=""/>
      <w:lvlJc w:val="left"/>
      <w:pPr>
        <w:ind w:left="6480" w:hanging="360"/>
      </w:pPr>
      <w:rPr>
        <w:rFonts w:ascii="Wingdings" w:hAnsi="Wingdings" w:hint="default"/>
      </w:rPr>
    </w:lvl>
  </w:abstractNum>
  <w:abstractNum w:abstractNumId="26" w15:restartNumberingAfterBreak="0">
    <w:nsid w:val="34CE06C7"/>
    <w:multiLevelType w:val="multilevel"/>
    <w:tmpl w:val="A75889E2"/>
    <w:lvl w:ilvl="0">
      <w:start w:val="1"/>
      <w:numFmt w:val="decimal"/>
      <w:lvlText w:val="%1."/>
      <w:lvlJc w:val="left"/>
      <w:pPr>
        <w:ind w:left="671" w:hanging="572"/>
      </w:pPr>
      <w:rPr>
        <w:rFonts w:ascii="Times New Roman" w:hAnsi="Times New Roman" w:hint="default"/>
        <w:b/>
        <w:bCs/>
        <w:spacing w:val="-3"/>
        <w:w w:val="100"/>
        <w:sz w:val="24"/>
        <w:szCs w:val="24"/>
        <w:lang w:val="en-US" w:eastAsia="en-US" w:bidi="ar-SA"/>
      </w:rPr>
    </w:lvl>
    <w:lvl w:ilvl="1">
      <w:start w:val="1"/>
      <w:numFmt w:val="upperLetter"/>
      <w:lvlText w:val="%2."/>
      <w:lvlJc w:val="left"/>
      <w:pPr>
        <w:ind w:left="501" w:hanging="301"/>
        <w:jc w:val="right"/>
      </w:pPr>
      <w:rPr>
        <w:rFonts w:ascii="Times New Roman" w:hAnsi="Times New Roman" w:hint="default"/>
        <w:b/>
        <w:bCs/>
        <w:spacing w:val="-11"/>
        <w:w w:val="99"/>
        <w:sz w:val="24"/>
        <w:szCs w:val="24"/>
        <w:lang w:val="en-US" w:eastAsia="en-US" w:bidi="ar-SA"/>
      </w:rPr>
    </w:lvl>
    <w:lvl w:ilvl="2">
      <w:start w:val="1"/>
      <w:numFmt w:val="decimal"/>
      <w:lvlText w:val="%2.%3."/>
      <w:lvlJc w:val="left"/>
      <w:pPr>
        <w:ind w:left="1461" w:hanging="610"/>
        <w:jc w:val="right"/>
      </w:pPr>
      <w:rPr>
        <w:rFonts w:ascii="Times New Roman" w:hAnsi="Times New Roman" w:hint="default"/>
        <w:b/>
        <w:bCs/>
        <w:spacing w:val="-11"/>
        <w:w w:val="99"/>
        <w:sz w:val="24"/>
        <w:szCs w:val="24"/>
        <w:u w:val="single"/>
        <w:lang w:val="en-US" w:eastAsia="en-US" w:bidi="ar-SA"/>
      </w:rPr>
    </w:lvl>
    <w:lvl w:ilvl="3">
      <w:numFmt w:val="bullet"/>
      <w:lvlText w:val=""/>
      <w:lvlJc w:val="left"/>
      <w:pPr>
        <w:ind w:left="1055" w:hanging="248"/>
      </w:pPr>
      <w:rPr>
        <w:rFonts w:ascii="Symbol" w:hAnsi="Symbol" w:hint="default"/>
        <w:w w:val="100"/>
        <w:sz w:val="24"/>
        <w:szCs w:val="24"/>
        <w:lang w:val="en-US" w:eastAsia="en-US" w:bidi="ar-SA"/>
      </w:rPr>
    </w:lvl>
    <w:lvl w:ilvl="4">
      <w:numFmt w:val="bullet"/>
      <w:lvlText w:val="•"/>
      <w:lvlJc w:val="left"/>
      <w:pPr>
        <w:ind w:left="940" w:hanging="248"/>
      </w:pPr>
      <w:rPr>
        <w:lang w:val="en-US" w:eastAsia="en-US" w:bidi="ar-SA"/>
      </w:rPr>
    </w:lvl>
    <w:lvl w:ilvl="5">
      <w:numFmt w:val="bullet"/>
      <w:lvlText w:val="•"/>
      <w:lvlJc w:val="left"/>
      <w:pPr>
        <w:ind w:left="1060" w:hanging="248"/>
      </w:pPr>
      <w:rPr>
        <w:lang w:val="en-US" w:eastAsia="en-US" w:bidi="ar-SA"/>
      </w:rPr>
    </w:lvl>
    <w:lvl w:ilvl="6">
      <w:numFmt w:val="bullet"/>
      <w:lvlText w:val="•"/>
      <w:lvlJc w:val="left"/>
      <w:pPr>
        <w:ind w:left="2826" w:hanging="248"/>
      </w:pPr>
      <w:rPr>
        <w:lang w:val="en-US" w:eastAsia="en-US" w:bidi="ar-SA"/>
      </w:rPr>
    </w:lvl>
    <w:lvl w:ilvl="7">
      <w:numFmt w:val="bullet"/>
      <w:lvlText w:val="•"/>
      <w:lvlJc w:val="left"/>
      <w:pPr>
        <w:ind w:left="4592" w:hanging="248"/>
      </w:pPr>
      <w:rPr>
        <w:lang w:val="en-US" w:eastAsia="en-US" w:bidi="ar-SA"/>
      </w:rPr>
    </w:lvl>
    <w:lvl w:ilvl="8">
      <w:numFmt w:val="bullet"/>
      <w:lvlText w:val="•"/>
      <w:lvlJc w:val="left"/>
      <w:pPr>
        <w:ind w:left="6358" w:hanging="248"/>
      </w:pPr>
      <w:rPr>
        <w:lang w:val="en-US" w:eastAsia="en-US" w:bidi="ar-SA"/>
      </w:rPr>
    </w:lvl>
  </w:abstractNum>
  <w:abstractNum w:abstractNumId="27" w15:restartNumberingAfterBreak="0">
    <w:nsid w:val="35B51D11"/>
    <w:multiLevelType w:val="hybridMultilevel"/>
    <w:tmpl w:val="8ADCA13E"/>
    <w:lvl w:ilvl="0" w:tplc="4290DC0A">
      <w:numFmt w:val="bullet"/>
      <w:lvlText w:val="-"/>
      <w:lvlJc w:val="left"/>
      <w:pPr>
        <w:ind w:left="832" w:hanging="360"/>
      </w:pPr>
      <w:rPr>
        <w:rFonts w:ascii="Calibri" w:hAnsi="Calibri" w:hint="default"/>
        <w:w w:val="99"/>
        <w:sz w:val="24"/>
        <w:szCs w:val="24"/>
        <w:lang w:val="en-US" w:eastAsia="en-US" w:bidi="ar-SA"/>
      </w:rPr>
    </w:lvl>
    <w:lvl w:ilvl="1" w:tplc="18090003" w:tentative="1">
      <w:start w:val="1"/>
      <w:numFmt w:val="bullet"/>
      <w:lvlText w:val="o"/>
      <w:lvlJc w:val="left"/>
      <w:pPr>
        <w:ind w:left="1552" w:hanging="360"/>
      </w:pPr>
      <w:rPr>
        <w:rFonts w:ascii="Courier New" w:hAnsi="Courier New" w:cs="Courier New" w:hint="default"/>
      </w:rPr>
    </w:lvl>
    <w:lvl w:ilvl="2" w:tplc="18090005" w:tentative="1">
      <w:start w:val="1"/>
      <w:numFmt w:val="bullet"/>
      <w:lvlText w:val=""/>
      <w:lvlJc w:val="left"/>
      <w:pPr>
        <w:ind w:left="2272" w:hanging="360"/>
      </w:pPr>
      <w:rPr>
        <w:rFonts w:ascii="Wingdings" w:hAnsi="Wingdings" w:hint="default"/>
      </w:rPr>
    </w:lvl>
    <w:lvl w:ilvl="3" w:tplc="18090001" w:tentative="1">
      <w:start w:val="1"/>
      <w:numFmt w:val="bullet"/>
      <w:lvlText w:val=""/>
      <w:lvlJc w:val="left"/>
      <w:pPr>
        <w:ind w:left="2992" w:hanging="360"/>
      </w:pPr>
      <w:rPr>
        <w:rFonts w:ascii="Symbol" w:hAnsi="Symbol" w:hint="default"/>
      </w:rPr>
    </w:lvl>
    <w:lvl w:ilvl="4" w:tplc="18090003" w:tentative="1">
      <w:start w:val="1"/>
      <w:numFmt w:val="bullet"/>
      <w:lvlText w:val="o"/>
      <w:lvlJc w:val="left"/>
      <w:pPr>
        <w:ind w:left="3712" w:hanging="360"/>
      </w:pPr>
      <w:rPr>
        <w:rFonts w:ascii="Courier New" w:hAnsi="Courier New" w:cs="Courier New" w:hint="default"/>
      </w:rPr>
    </w:lvl>
    <w:lvl w:ilvl="5" w:tplc="18090005" w:tentative="1">
      <w:start w:val="1"/>
      <w:numFmt w:val="bullet"/>
      <w:lvlText w:val=""/>
      <w:lvlJc w:val="left"/>
      <w:pPr>
        <w:ind w:left="4432" w:hanging="360"/>
      </w:pPr>
      <w:rPr>
        <w:rFonts w:ascii="Wingdings" w:hAnsi="Wingdings" w:hint="default"/>
      </w:rPr>
    </w:lvl>
    <w:lvl w:ilvl="6" w:tplc="18090001" w:tentative="1">
      <w:start w:val="1"/>
      <w:numFmt w:val="bullet"/>
      <w:lvlText w:val=""/>
      <w:lvlJc w:val="left"/>
      <w:pPr>
        <w:ind w:left="5152" w:hanging="360"/>
      </w:pPr>
      <w:rPr>
        <w:rFonts w:ascii="Symbol" w:hAnsi="Symbol" w:hint="default"/>
      </w:rPr>
    </w:lvl>
    <w:lvl w:ilvl="7" w:tplc="18090003" w:tentative="1">
      <w:start w:val="1"/>
      <w:numFmt w:val="bullet"/>
      <w:lvlText w:val="o"/>
      <w:lvlJc w:val="left"/>
      <w:pPr>
        <w:ind w:left="5872" w:hanging="360"/>
      </w:pPr>
      <w:rPr>
        <w:rFonts w:ascii="Courier New" w:hAnsi="Courier New" w:cs="Courier New" w:hint="default"/>
      </w:rPr>
    </w:lvl>
    <w:lvl w:ilvl="8" w:tplc="18090005" w:tentative="1">
      <w:start w:val="1"/>
      <w:numFmt w:val="bullet"/>
      <w:lvlText w:val=""/>
      <w:lvlJc w:val="left"/>
      <w:pPr>
        <w:ind w:left="6592" w:hanging="360"/>
      </w:pPr>
      <w:rPr>
        <w:rFonts w:ascii="Wingdings" w:hAnsi="Wingdings" w:hint="default"/>
      </w:rPr>
    </w:lvl>
  </w:abstractNum>
  <w:abstractNum w:abstractNumId="28" w15:restartNumberingAfterBreak="0">
    <w:nsid w:val="36A504DD"/>
    <w:multiLevelType w:val="hybridMultilevel"/>
    <w:tmpl w:val="90661400"/>
    <w:lvl w:ilvl="0" w:tplc="4EF695A4">
      <w:start w:val="1"/>
      <w:numFmt w:val="bullet"/>
      <w:lvlText w:val=""/>
      <w:lvlJc w:val="left"/>
      <w:pPr>
        <w:ind w:left="220" w:hanging="363"/>
      </w:pPr>
      <w:rPr>
        <w:rFonts w:ascii="Symbol" w:hAnsi="Symbol" w:hint="default"/>
        <w:w w:val="100"/>
        <w:lang w:val="en-US" w:eastAsia="en-US" w:bidi="ar-SA"/>
      </w:rPr>
    </w:lvl>
    <w:lvl w:ilvl="1" w:tplc="41A839F4">
      <w:numFmt w:val="bullet"/>
      <w:lvlText w:val="o"/>
      <w:lvlJc w:val="left"/>
      <w:pPr>
        <w:ind w:left="1662" w:hanging="363"/>
      </w:pPr>
      <w:rPr>
        <w:rFonts w:ascii="Courier New" w:hAnsi="Courier New" w:hint="default"/>
        <w:w w:val="99"/>
        <w:sz w:val="24"/>
        <w:szCs w:val="24"/>
        <w:lang w:val="en-US" w:eastAsia="en-US" w:bidi="ar-SA"/>
      </w:rPr>
    </w:lvl>
    <w:lvl w:ilvl="2" w:tplc="B9986C3E">
      <w:numFmt w:val="bullet"/>
      <w:lvlText w:val="•"/>
      <w:lvlJc w:val="left"/>
      <w:pPr>
        <w:ind w:left="2601" w:hanging="363"/>
      </w:pPr>
      <w:rPr>
        <w:lang w:val="en-US" w:eastAsia="en-US" w:bidi="ar-SA"/>
      </w:rPr>
    </w:lvl>
    <w:lvl w:ilvl="3" w:tplc="2490345E">
      <w:numFmt w:val="bullet"/>
      <w:lvlText w:val="•"/>
      <w:lvlJc w:val="left"/>
      <w:pPr>
        <w:ind w:left="3542" w:hanging="363"/>
      </w:pPr>
      <w:rPr>
        <w:lang w:val="en-US" w:eastAsia="en-US" w:bidi="ar-SA"/>
      </w:rPr>
    </w:lvl>
    <w:lvl w:ilvl="4" w:tplc="597E8C4C">
      <w:numFmt w:val="bullet"/>
      <w:lvlText w:val="•"/>
      <w:lvlJc w:val="left"/>
      <w:pPr>
        <w:ind w:left="4483" w:hanging="363"/>
      </w:pPr>
      <w:rPr>
        <w:lang w:val="en-US" w:eastAsia="en-US" w:bidi="ar-SA"/>
      </w:rPr>
    </w:lvl>
    <w:lvl w:ilvl="5" w:tplc="A5C88F3E">
      <w:numFmt w:val="bullet"/>
      <w:lvlText w:val="•"/>
      <w:lvlJc w:val="left"/>
      <w:pPr>
        <w:ind w:left="5424" w:hanging="363"/>
      </w:pPr>
      <w:rPr>
        <w:lang w:val="en-US" w:eastAsia="en-US" w:bidi="ar-SA"/>
      </w:rPr>
    </w:lvl>
    <w:lvl w:ilvl="6" w:tplc="C49C3AFE">
      <w:numFmt w:val="bullet"/>
      <w:lvlText w:val="•"/>
      <w:lvlJc w:val="left"/>
      <w:pPr>
        <w:ind w:left="6366" w:hanging="363"/>
      </w:pPr>
      <w:rPr>
        <w:lang w:val="en-US" w:eastAsia="en-US" w:bidi="ar-SA"/>
      </w:rPr>
    </w:lvl>
    <w:lvl w:ilvl="7" w:tplc="B234E616">
      <w:numFmt w:val="bullet"/>
      <w:lvlText w:val="•"/>
      <w:lvlJc w:val="left"/>
      <w:pPr>
        <w:ind w:left="7307" w:hanging="363"/>
      </w:pPr>
      <w:rPr>
        <w:lang w:val="en-US" w:eastAsia="en-US" w:bidi="ar-SA"/>
      </w:rPr>
    </w:lvl>
    <w:lvl w:ilvl="8" w:tplc="73005048">
      <w:numFmt w:val="bullet"/>
      <w:lvlText w:val="•"/>
      <w:lvlJc w:val="left"/>
      <w:pPr>
        <w:ind w:left="8248" w:hanging="363"/>
      </w:pPr>
      <w:rPr>
        <w:lang w:val="en-US" w:eastAsia="en-US" w:bidi="ar-SA"/>
      </w:rPr>
    </w:lvl>
  </w:abstractNum>
  <w:abstractNum w:abstractNumId="29" w15:restartNumberingAfterBreak="0">
    <w:nsid w:val="36EF3F86"/>
    <w:multiLevelType w:val="multilevel"/>
    <w:tmpl w:val="464C55BE"/>
    <w:lvl w:ilvl="0">
      <w:start w:val="1"/>
      <w:numFmt w:val="upperRoman"/>
      <w:lvlText w:val="%1."/>
      <w:lvlJc w:val="left"/>
      <w:pPr>
        <w:ind w:left="431" w:hanging="212"/>
      </w:pPr>
      <w:rPr>
        <w:rFonts w:ascii="Times New Roman" w:eastAsia="Times New Roman" w:hAnsi="Times New Roman" w:cs="Times New Roman" w:hint="default"/>
        <w:b/>
        <w:bCs/>
        <w:spacing w:val="-10"/>
        <w:w w:val="99"/>
        <w:sz w:val="24"/>
        <w:szCs w:val="24"/>
        <w:lang w:val="en-US" w:eastAsia="en-US" w:bidi="ar-SA"/>
      </w:rPr>
    </w:lvl>
    <w:lvl w:ilvl="1">
      <w:start w:val="1"/>
      <w:numFmt w:val="decimal"/>
      <w:lvlText w:val="%1.%2."/>
      <w:lvlJc w:val="left"/>
      <w:pPr>
        <w:ind w:left="865" w:hanging="723"/>
        <w:jc w:val="right"/>
      </w:pPr>
      <w:rPr>
        <w:rFonts w:ascii="Times New Roman" w:eastAsia="Times New Roman" w:hAnsi="Times New Roman" w:cs="Times New Roman" w:hint="default"/>
        <w:b/>
        <w:bCs/>
        <w:spacing w:val="-5"/>
        <w:w w:val="99"/>
        <w:sz w:val="24"/>
        <w:szCs w:val="24"/>
        <w:u w:val="single"/>
        <w:lang w:val="en-US" w:eastAsia="en-US" w:bidi="ar-SA"/>
      </w:rPr>
    </w:lvl>
    <w:lvl w:ilvl="2">
      <w:numFmt w:val="bullet"/>
      <w:lvlText w:val="•"/>
      <w:lvlJc w:val="left"/>
      <w:pPr>
        <w:ind w:left="1961" w:hanging="723"/>
      </w:pPr>
      <w:rPr>
        <w:rFonts w:hint="default"/>
        <w:lang w:val="en-US" w:eastAsia="en-US" w:bidi="ar-SA"/>
      </w:rPr>
    </w:lvl>
    <w:lvl w:ilvl="3">
      <w:numFmt w:val="bullet"/>
      <w:lvlText w:val="•"/>
      <w:lvlJc w:val="left"/>
      <w:pPr>
        <w:ind w:left="2982" w:hanging="723"/>
      </w:pPr>
      <w:rPr>
        <w:rFonts w:hint="default"/>
        <w:lang w:val="en-US" w:eastAsia="en-US" w:bidi="ar-SA"/>
      </w:rPr>
    </w:lvl>
    <w:lvl w:ilvl="4">
      <w:numFmt w:val="bullet"/>
      <w:lvlText w:val="•"/>
      <w:lvlJc w:val="left"/>
      <w:pPr>
        <w:ind w:left="4003" w:hanging="723"/>
      </w:pPr>
      <w:rPr>
        <w:rFonts w:hint="default"/>
        <w:lang w:val="en-US" w:eastAsia="en-US" w:bidi="ar-SA"/>
      </w:rPr>
    </w:lvl>
    <w:lvl w:ilvl="5">
      <w:numFmt w:val="bullet"/>
      <w:lvlText w:val="•"/>
      <w:lvlJc w:val="left"/>
      <w:pPr>
        <w:ind w:left="5024" w:hanging="723"/>
      </w:pPr>
      <w:rPr>
        <w:rFonts w:hint="default"/>
        <w:lang w:val="en-US" w:eastAsia="en-US" w:bidi="ar-SA"/>
      </w:rPr>
    </w:lvl>
    <w:lvl w:ilvl="6">
      <w:numFmt w:val="bullet"/>
      <w:lvlText w:val="•"/>
      <w:lvlJc w:val="left"/>
      <w:pPr>
        <w:ind w:left="6046" w:hanging="723"/>
      </w:pPr>
      <w:rPr>
        <w:rFonts w:hint="default"/>
        <w:lang w:val="en-US" w:eastAsia="en-US" w:bidi="ar-SA"/>
      </w:rPr>
    </w:lvl>
    <w:lvl w:ilvl="7">
      <w:numFmt w:val="bullet"/>
      <w:lvlText w:val="•"/>
      <w:lvlJc w:val="left"/>
      <w:pPr>
        <w:ind w:left="7067" w:hanging="723"/>
      </w:pPr>
      <w:rPr>
        <w:rFonts w:hint="default"/>
        <w:lang w:val="en-US" w:eastAsia="en-US" w:bidi="ar-SA"/>
      </w:rPr>
    </w:lvl>
    <w:lvl w:ilvl="8">
      <w:numFmt w:val="bullet"/>
      <w:lvlText w:val="•"/>
      <w:lvlJc w:val="left"/>
      <w:pPr>
        <w:ind w:left="8088" w:hanging="723"/>
      </w:pPr>
      <w:rPr>
        <w:rFonts w:hint="default"/>
        <w:lang w:val="en-US" w:eastAsia="en-US" w:bidi="ar-SA"/>
      </w:rPr>
    </w:lvl>
  </w:abstractNum>
  <w:abstractNum w:abstractNumId="30" w15:restartNumberingAfterBreak="0">
    <w:nsid w:val="3B956E7A"/>
    <w:multiLevelType w:val="hybridMultilevel"/>
    <w:tmpl w:val="78BC26AC"/>
    <w:lvl w:ilvl="0" w:tplc="1458BC56">
      <w:start w:val="1"/>
      <w:numFmt w:val="bullet"/>
      <w:lvlText w:val="-"/>
      <w:lvlJc w:val="left"/>
      <w:pPr>
        <w:ind w:left="720" w:hanging="360"/>
      </w:pPr>
      <w:rPr>
        <w:rFonts w:ascii="Aptos" w:hAnsi="Aptos" w:hint="default"/>
      </w:rPr>
    </w:lvl>
    <w:lvl w:ilvl="1" w:tplc="C1CA045C">
      <w:start w:val="1"/>
      <w:numFmt w:val="bullet"/>
      <w:lvlText w:val="o"/>
      <w:lvlJc w:val="left"/>
      <w:pPr>
        <w:ind w:left="1440" w:hanging="360"/>
      </w:pPr>
      <w:rPr>
        <w:rFonts w:ascii="Courier New" w:hAnsi="Courier New" w:hint="default"/>
      </w:rPr>
    </w:lvl>
    <w:lvl w:ilvl="2" w:tplc="8F067E94">
      <w:start w:val="1"/>
      <w:numFmt w:val="bullet"/>
      <w:lvlText w:val=""/>
      <w:lvlJc w:val="left"/>
      <w:pPr>
        <w:ind w:left="2160" w:hanging="360"/>
      </w:pPr>
      <w:rPr>
        <w:rFonts w:ascii="Wingdings" w:hAnsi="Wingdings" w:hint="default"/>
      </w:rPr>
    </w:lvl>
    <w:lvl w:ilvl="3" w:tplc="884658E0">
      <w:start w:val="1"/>
      <w:numFmt w:val="bullet"/>
      <w:lvlText w:val=""/>
      <w:lvlJc w:val="left"/>
      <w:pPr>
        <w:ind w:left="2880" w:hanging="360"/>
      </w:pPr>
      <w:rPr>
        <w:rFonts w:ascii="Symbol" w:hAnsi="Symbol" w:hint="default"/>
      </w:rPr>
    </w:lvl>
    <w:lvl w:ilvl="4" w:tplc="23A00B42">
      <w:start w:val="1"/>
      <w:numFmt w:val="bullet"/>
      <w:lvlText w:val="o"/>
      <w:lvlJc w:val="left"/>
      <w:pPr>
        <w:ind w:left="3600" w:hanging="360"/>
      </w:pPr>
      <w:rPr>
        <w:rFonts w:ascii="Courier New" w:hAnsi="Courier New" w:hint="default"/>
      </w:rPr>
    </w:lvl>
    <w:lvl w:ilvl="5" w:tplc="67326762">
      <w:start w:val="1"/>
      <w:numFmt w:val="bullet"/>
      <w:lvlText w:val=""/>
      <w:lvlJc w:val="left"/>
      <w:pPr>
        <w:ind w:left="4320" w:hanging="360"/>
      </w:pPr>
      <w:rPr>
        <w:rFonts w:ascii="Wingdings" w:hAnsi="Wingdings" w:hint="default"/>
      </w:rPr>
    </w:lvl>
    <w:lvl w:ilvl="6" w:tplc="B19E7526">
      <w:start w:val="1"/>
      <w:numFmt w:val="bullet"/>
      <w:lvlText w:val=""/>
      <w:lvlJc w:val="left"/>
      <w:pPr>
        <w:ind w:left="5040" w:hanging="360"/>
      </w:pPr>
      <w:rPr>
        <w:rFonts w:ascii="Symbol" w:hAnsi="Symbol" w:hint="default"/>
      </w:rPr>
    </w:lvl>
    <w:lvl w:ilvl="7" w:tplc="D0361E66">
      <w:start w:val="1"/>
      <w:numFmt w:val="bullet"/>
      <w:lvlText w:val="o"/>
      <w:lvlJc w:val="left"/>
      <w:pPr>
        <w:ind w:left="5760" w:hanging="360"/>
      </w:pPr>
      <w:rPr>
        <w:rFonts w:ascii="Courier New" w:hAnsi="Courier New" w:hint="default"/>
      </w:rPr>
    </w:lvl>
    <w:lvl w:ilvl="8" w:tplc="7DD60A66">
      <w:start w:val="1"/>
      <w:numFmt w:val="bullet"/>
      <w:lvlText w:val=""/>
      <w:lvlJc w:val="left"/>
      <w:pPr>
        <w:ind w:left="6480" w:hanging="360"/>
      </w:pPr>
      <w:rPr>
        <w:rFonts w:ascii="Wingdings" w:hAnsi="Wingdings" w:hint="default"/>
      </w:rPr>
    </w:lvl>
  </w:abstractNum>
  <w:abstractNum w:abstractNumId="31" w15:restartNumberingAfterBreak="0">
    <w:nsid w:val="3CAA2F0D"/>
    <w:multiLevelType w:val="hybridMultilevel"/>
    <w:tmpl w:val="08225F1A"/>
    <w:lvl w:ilvl="0" w:tplc="C012E290">
      <w:start w:val="1"/>
      <w:numFmt w:val="bullet"/>
      <w:lvlText w:val="-"/>
      <w:lvlJc w:val="left"/>
      <w:pPr>
        <w:ind w:left="460" w:hanging="360"/>
      </w:pPr>
      <w:rPr>
        <w:rFonts w:ascii="Aptos" w:hAnsi="Aptos" w:hint="default"/>
      </w:rPr>
    </w:lvl>
    <w:lvl w:ilvl="1" w:tplc="2C726B0C">
      <w:start w:val="1"/>
      <w:numFmt w:val="bullet"/>
      <w:lvlText w:val="o"/>
      <w:lvlJc w:val="left"/>
      <w:pPr>
        <w:ind w:left="1180" w:hanging="360"/>
      </w:pPr>
      <w:rPr>
        <w:rFonts w:ascii="Courier New" w:hAnsi="Courier New" w:hint="default"/>
      </w:rPr>
    </w:lvl>
    <w:lvl w:ilvl="2" w:tplc="1BF046C0">
      <w:start w:val="1"/>
      <w:numFmt w:val="bullet"/>
      <w:lvlText w:val=""/>
      <w:lvlJc w:val="left"/>
      <w:pPr>
        <w:ind w:left="1900" w:hanging="360"/>
      </w:pPr>
      <w:rPr>
        <w:rFonts w:ascii="Wingdings" w:hAnsi="Wingdings" w:hint="default"/>
      </w:rPr>
    </w:lvl>
    <w:lvl w:ilvl="3" w:tplc="B5A07366">
      <w:start w:val="1"/>
      <w:numFmt w:val="bullet"/>
      <w:lvlText w:val=""/>
      <w:lvlJc w:val="left"/>
      <w:pPr>
        <w:ind w:left="2620" w:hanging="360"/>
      </w:pPr>
      <w:rPr>
        <w:rFonts w:ascii="Symbol" w:hAnsi="Symbol" w:hint="default"/>
      </w:rPr>
    </w:lvl>
    <w:lvl w:ilvl="4" w:tplc="9CEA4994">
      <w:start w:val="1"/>
      <w:numFmt w:val="bullet"/>
      <w:lvlText w:val="o"/>
      <w:lvlJc w:val="left"/>
      <w:pPr>
        <w:ind w:left="3340" w:hanging="360"/>
      </w:pPr>
      <w:rPr>
        <w:rFonts w:ascii="Courier New" w:hAnsi="Courier New" w:hint="default"/>
      </w:rPr>
    </w:lvl>
    <w:lvl w:ilvl="5" w:tplc="3E607522">
      <w:start w:val="1"/>
      <w:numFmt w:val="bullet"/>
      <w:lvlText w:val=""/>
      <w:lvlJc w:val="left"/>
      <w:pPr>
        <w:ind w:left="4060" w:hanging="360"/>
      </w:pPr>
      <w:rPr>
        <w:rFonts w:ascii="Wingdings" w:hAnsi="Wingdings" w:hint="default"/>
      </w:rPr>
    </w:lvl>
    <w:lvl w:ilvl="6" w:tplc="1E8A1B5A">
      <w:start w:val="1"/>
      <w:numFmt w:val="bullet"/>
      <w:lvlText w:val=""/>
      <w:lvlJc w:val="left"/>
      <w:pPr>
        <w:ind w:left="4780" w:hanging="360"/>
      </w:pPr>
      <w:rPr>
        <w:rFonts w:ascii="Symbol" w:hAnsi="Symbol" w:hint="default"/>
      </w:rPr>
    </w:lvl>
    <w:lvl w:ilvl="7" w:tplc="B49E7DFC">
      <w:start w:val="1"/>
      <w:numFmt w:val="bullet"/>
      <w:lvlText w:val="o"/>
      <w:lvlJc w:val="left"/>
      <w:pPr>
        <w:ind w:left="5500" w:hanging="360"/>
      </w:pPr>
      <w:rPr>
        <w:rFonts w:ascii="Courier New" w:hAnsi="Courier New" w:hint="default"/>
      </w:rPr>
    </w:lvl>
    <w:lvl w:ilvl="8" w:tplc="957A0924">
      <w:start w:val="1"/>
      <w:numFmt w:val="bullet"/>
      <w:lvlText w:val=""/>
      <w:lvlJc w:val="left"/>
      <w:pPr>
        <w:ind w:left="6220" w:hanging="360"/>
      </w:pPr>
      <w:rPr>
        <w:rFonts w:ascii="Wingdings" w:hAnsi="Wingdings" w:hint="default"/>
      </w:rPr>
    </w:lvl>
  </w:abstractNum>
  <w:abstractNum w:abstractNumId="32" w15:restartNumberingAfterBreak="0">
    <w:nsid w:val="3EC1625D"/>
    <w:multiLevelType w:val="hybridMultilevel"/>
    <w:tmpl w:val="8A962B74"/>
    <w:lvl w:ilvl="0" w:tplc="82A2E2C4">
      <w:start w:val="1"/>
      <w:numFmt w:val="bullet"/>
      <w:lvlText w:val="-"/>
      <w:lvlJc w:val="left"/>
      <w:pPr>
        <w:ind w:left="720" w:hanging="360"/>
      </w:pPr>
      <w:rPr>
        <w:rFonts w:ascii="Aptos" w:hAnsi="Aptos" w:hint="default"/>
      </w:rPr>
    </w:lvl>
    <w:lvl w:ilvl="1" w:tplc="FDBCB254">
      <w:start w:val="1"/>
      <w:numFmt w:val="bullet"/>
      <w:lvlText w:val="o"/>
      <w:lvlJc w:val="left"/>
      <w:pPr>
        <w:ind w:left="1440" w:hanging="360"/>
      </w:pPr>
      <w:rPr>
        <w:rFonts w:ascii="Courier New" w:hAnsi="Courier New" w:hint="default"/>
      </w:rPr>
    </w:lvl>
    <w:lvl w:ilvl="2" w:tplc="C5AE4196">
      <w:start w:val="1"/>
      <w:numFmt w:val="bullet"/>
      <w:lvlText w:val=""/>
      <w:lvlJc w:val="left"/>
      <w:pPr>
        <w:ind w:left="2160" w:hanging="360"/>
      </w:pPr>
      <w:rPr>
        <w:rFonts w:ascii="Wingdings" w:hAnsi="Wingdings" w:hint="default"/>
      </w:rPr>
    </w:lvl>
    <w:lvl w:ilvl="3" w:tplc="AAF4E538">
      <w:start w:val="1"/>
      <w:numFmt w:val="bullet"/>
      <w:lvlText w:val=""/>
      <w:lvlJc w:val="left"/>
      <w:pPr>
        <w:ind w:left="2880" w:hanging="360"/>
      </w:pPr>
      <w:rPr>
        <w:rFonts w:ascii="Symbol" w:hAnsi="Symbol" w:hint="default"/>
      </w:rPr>
    </w:lvl>
    <w:lvl w:ilvl="4" w:tplc="49244AA8">
      <w:start w:val="1"/>
      <w:numFmt w:val="bullet"/>
      <w:lvlText w:val="o"/>
      <w:lvlJc w:val="left"/>
      <w:pPr>
        <w:ind w:left="3600" w:hanging="360"/>
      </w:pPr>
      <w:rPr>
        <w:rFonts w:ascii="Courier New" w:hAnsi="Courier New" w:hint="default"/>
      </w:rPr>
    </w:lvl>
    <w:lvl w:ilvl="5" w:tplc="749C1F22">
      <w:start w:val="1"/>
      <w:numFmt w:val="bullet"/>
      <w:lvlText w:val=""/>
      <w:lvlJc w:val="left"/>
      <w:pPr>
        <w:ind w:left="4320" w:hanging="360"/>
      </w:pPr>
      <w:rPr>
        <w:rFonts w:ascii="Wingdings" w:hAnsi="Wingdings" w:hint="default"/>
      </w:rPr>
    </w:lvl>
    <w:lvl w:ilvl="6" w:tplc="E6585920">
      <w:start w:val="1"/>
      <w:numFmt w:val="bullet"/>
      <w:lvlText w:val=""/>
      <w:lvlJc w:val="left"/>
      <w:pPr>
        <w:ind w:left="5040" w:hanging="360"/>
      </w:pPr>
      <w:rPr>
        <w:rFonts w:ascii="Symbol" w:hAnsi="Symbol" w:hint="default"/>
      </w:rPr>
    </w:lvl>
    <w:lvl w:ilvl="7" w:tplc="A73A094C">
      <w:start w:val="1"/>
      <w:numFmt w:val="bullet"/>
      <w:lvlText w:val="o"/>
      <w:lvlJc w:val="left"/>
      <w:pPr>
        <w:ind w:left="5760" w:hanging="360"/>
      </w:pPr>
      <w:rPr>
        <w:rFonts w:ascii="Courier New" w:hAnsi="Courier New" w:hint="default"/>
      </w:rPr>
    </w:lvl>
    <w:lvl w:ilvl="8" w:tplc="F3FA7CB0">
      <w:start w:val="1"/>
      <w:numFmt w:val="bullet"/>
      <w:lvlText w:val=""/>
      <w:lvlJc w:val="left"/>
      <w:pPr>
        <w:ind w:left="6480" w:hanging="360"/>
      </w:pPr>
      <w:rPr>
        <w:rFonts w:ascii="Wingdings" w:hAnsi="Wingdings" w:hint="default"/>
      </w:rPr>
    </w:lvl>
  </w:abstractNum>
  <w:abstractNum w:abstractNumId="33" w15:restartNumberingAfterBreak="0">
    <w:nsid w:val="3F3C44F1"/>
    <w:multiLevelType w:val="hybridMultilevel"/>
    <w:tmpl w:val="95DC956E"/>
    <w:lvl w:ilvl="0" w:tplc="48F0AEC4">
      <w:start w:val="1"/>
      <w:numFmt w:val="bullet"/>
      <w:lvlText w:val="-"/>
      <w:lvlJc w:val="left"/>
      <w:pPr>
        <w:ind w:left="720" w:hanging="360"/>
      </w:pPr>
      <w:rPr>
        <w:rFonts w:ascii="Aptos" w:hAnsi="Aptos" w:hint="default"/>
      </w:rPr>
    </w:lvl>
    <w:lvl w:ilvl="1" w:tplc="075A429A">
      <w:start w:val="1"/>
      <w:numFmt w:val="bullet"/>
      <w:lvlText w:val="o"/>
      <w:lvlJc w:val="left"/>
      <w:pPr>
        <w:ind w:left="1440" w:hanging="360"/>
      </w:pPr>
      <w:rPr>
        <w:rFonts w:ascii="Courier New" w:hAnsi="Courier New" w:hint="default"/>
      </w:rPr>
    </w:lvl>
    <w:lvl w:ilvl="2" w:tplc="A44C9428">
      <w:start w:val="1"/>
      <w:numFmt w:val="bullet"/>
      <w:lvlText w:val=""/>
      <w:lvlJc w:val="left"/>
      <w:pPr>
        <w:ind w:left="2160" w:hanging="360"/>
      </w:pPr>
      <w:rPr>
        <w:rFonts w:ascii="Wingdings" w:hAnsi="Wingdings" w:hint="default"/>
      </w:rPr>
    </w:lvl>
    <w:lvl w:ilvl="3" w:tplc="6F3A8E0C">
      <w:start w:val="1"/>
      <w:numFmt w:val="bullet"/>
      <w:lvlText w:val=""/>
      <w:lvlJc w:val="left"/>
      <w:pPr>
        <w:ind w:left="2880" w:hanging="360"/>
      </w:pPr>
      <w:rPr>
        <w:rFonts w:ascii="Symbol" w:hAnsi="Symbol" w:hint="default"/>
      </w:rPr>
    </w:lvl>
    <w:lvl w:ilvl="4" w:tplc="0156B700">
      <w:start w:val="1"/>
      <w:numFmt w:val="bullet"/>
      <w:lvlText w:val="o"/>
      <w:lvlJc w:val="left"/>
      <w:pPr>
        <w:ind w:left="3600" w:hanging="360"/>
      </w:pPr>
      <w:rPr>
        <w:rFonts w:ascii="Courier New" w:hAnsi="Courier New" w:hint="default"/>
      </w:rPr>
    </w:lvl>
    <w:lvl w:ilvl="5" w:tplc="1C4A9E86">
      <w:start w:val="1"/>
      <w:numFmt w:val="bullet"/>
      <w:lvlText w:val=""/>
      <w:lvlJc w:val="left"/>
      <w:pPr>
        <w:ind w:left="4320" w:hanging="360"/>
      </w:pPr>
      <w:rPr>
        <w:rFonts w:ascii="Wingdings" w:hAnsi="Wingdings" w:hint="default"/>
      </w:rPr>
    </w:lvl>
    <w:lvl w:ilvl="6" w:tplc="F662D4A8">
      <w:start w:val="1"/>
      <w:numFmt w:val="bullet"/>
      <w:lvlText w:val=""/>
      <w:lvlJc w:val="left"/>
      <w:pPr>
        <w:ind w:left="5040" w:hanging="360"/>
      </w:pPr>
      <w:rPr>
        <w:rFonts w:ascii="Symbol" w:hAnsi="Symbol" w:hint="default"/>
      </w:rPr>
    </w:lvl>
    <w:lvl w:ilvl="7" w:tplc="CD861F48">
      <w:start w:val="1"/>
      <w:numFmt w:val="bullet"/>
      <w:lvlText w:val="o"/>
      <w:lvlJc w:val="left"/>
      <w:pPr>
        <w:ind w:left="5760" w:hanging="360"/>
      </w:pPr>
      <w:rPr>
        <w:rFonts w:ascii="Courier New" w:hAnsi="Courier New" w:hint="default"/>
      </w:rPr>
    </w:lvl>
    <w:lvl w:ilvl="8" w:tplc="4F862C2C">
      <w:start w:val="1"/>
      <w:numFmt w:val="bullet"/>
      <w:lvlText w:val=""/>
      <w:lvlJc w:val="left"/>
      <w:pPr>
        <w:ind w:left="6480" w:hanging="360"/>
      </w:pPr>
      <w:rPr>
        <w:rFonts w:ascii="Wingdings" w:hAnsi="Wingdings" w:hint="default"/>
      </w:rPr>
    </w:lvl>
  </w:abstractNum>
  <w:abstractNum w:abstractNumId="34" w15:restartNumberingAfterBreak="0">
    <w:nsid w:val="3FD6358B"/>
    <w:multiLevelType w:val="multilevel"/>
    <w:tmpl w:val="81EA630A"/>
    <w:lvl w:ilvl="0">
      <w:start w:val="10"/>
      <w:numFmt w:val="upperLetter"/>
      <w:lvlText w:val="%1."/>
      <w:lvlJc w:val="left"/>
      <w:pPr>
        <w:ind w:left="326" w:hanging="212"/>
      </w:pPr>
      <w:rPr>
        <w:rFonts w:ascii="Times New Roman" w:eastAsia="Times New Roman" w:hAnsi="Times New Roman" w:cs="Times New Roman" w:hint="default"/>
        <w:b/>
        <w:bCs/>
        <w:spacing w:val="-10"/>
        <w:w w:val="100"/>
        <w:sz w:val="24"/>
        <w:szCs w:val="24"/>
        <w:lang w:val="en-US" w:eastAsia="en-US" w:bidi="ar-SA"/>
      </w:rPr>
    </w:lvl>
    <w:lvl w:ilvl="1">
      <w:start w:val="1"/>
      <w:numFmt w:val="decimal"/>
      <w:lvlText w:val="%1.%2."/>
      <w:lvlJc w:val="left"/>
      <w:pPr>
        <w:ind w:left="746" w:hanging="420"/>
        <w:jc w:val="right"/>
      </w:pPr>
      <w:rPr>
        <w:rFonts w:ascii="Times New Roman" w:eastAsia="Times New Roman" w:hAnsi="Times New Roman" w:cs="Times New Roman" w:hint="default"/>
        <w:b/>
        <w:bCs/>
        <w:w w:val="100"/>
        <w:sz w:val="24"/>
        <w:szCs w:val="24"/>
        <w:u w:val="single"/>
        <w:lang w:val="en-US" w:eastAsia="en-US" w:bidi="ar-SA"/>
      </w:rPr>
    </w:lvl>
    <w:lvl w:ilvl="2">
      <w:start w:val="1"/>
      <w:numFmt w:val="decimal"/>
      <w:lvlText w:val="%3)"/>
      <w:lvlJc w:val="left"/>
      <w:pPr>
        <w:ind w:left="827" w:hanging="360"/>
      </w:pPr>
      <w:rPr>
        <w:rFonts w:ascii="Times New Roman" w:eastAsia="Times New Roman" w:hAnsi="Times New Roman" w:cs="Times New Roman" w:hint="default"/>
        <w:w w:val="99"/>
        <w:sz w:val="24"/>
        <w:szCs w:val="24"/>
        <w:lang w:val="en-US" w:eastAsia="en-US" w:bidi="ar-SA"/>
      </w:rPr>
    </w:lvl>
    <w:lvl w:ilvl="3">
      <w:numFmt w:val="bullet"/>
      <w:lvlText w:val="•"/>
      <w:lvlJc w:val="left"/>
      <w:pPr>
        <w:ind w:left="1953" w:hanging="360"/>
      </w:pPr>
      <w:rPr>
        <w:rFonts w:hint="default"/>
        <w:lang w:val="en-US" w:eastAsia="en-US" w:bidi="ar-SA"/>
      </w:rPr>
    </w:lvl>
    <w:lvl w:ilvl="4">
      <w:numFmt w:val="bullet"/>
      <w:lvlText w:val="•"/>
      <w:lvlJc w:val="left"/>
      <w:pPr>
        <w:ind w:left="3086" w:hanging="360"/>
      </w:pPr>
      <w:rPr>
        <w:rFonts w:hint="default"/>
        <w:lang w:val="en-US" w:eastAsia="en-US" w:bidi="ar-SA"/>
      </w:rPr>
    </w:lvl>
    <w:lvl w:ilvl="5">
      <w:numFmt w:val="bullet"/>
      <w:lvlText w:val="•"/>
      <w:lvlJc w:val="left"/>
      <w:pPr>
        <w:ind w:left="4219" w:hanging="360"/>
      </w:pPr>
      <w:rPr>
        <w:rFonts w:hint="default"/>
        <w:lang w:val="en-US" w:eastAsia="en-US" w:bidi="ar-SA"/>
      </w:rPr>
    </w:lvl>
    <w:lvl w:ilvl="6">
      <w:numFmt w:val="bullet"/>
      <w:lvlText w:val="•"/>
      <w:lvlJc w:val="left"/>
      <w:pPr>
        <w:ind w:left="5353" w:hanging="360"/>
      </w:pPr>
      <w:rPr>
        <w:rFonts w:hint="default"/>
        <w:lang w:val="en-US" w:eastAsia="en-US" w:bidi="ar-SA"/>
      </w:rPr>
    </w:lvl>
    <w:lvl w:ilvl="7">
      <w:numFmt w:val="bullet"/>
      <w:lvlText w:val="•"/>
      <w:lvlJc w:val="left"/>
      <w:pPr>
        <w:ind w:left="6486" w:hanging="360"/>
      </w:pPr>
      <w:rPr>
        <w:rFonts w:hint="default"/>
        <w:lang w:val="en-US" w:eastAsia="en-US" w:bidi="ar-SA"/>
      </w:rPr>
    </w:lvl>
    <w:lvl w:ilvl="8">
      <w:numFmt w:val="bullet"/>
      <w:lvlText w:val="•"/>
      <w:lvlJc w:val="left"/>
      <w:pPr>
        <w:ind w:left="7619" w:hanging="360"/>
      </w:pPr>
      <w:rPr>
        <w:rFonts w:hint="default"/>
        <w:lang w:val="en-US" w:eastAsia="en-US" w:bidi="ar-SA"/>
      </w:rPr>
    </w:lvl>
  </w:abstractNum>
  <w:abstractNum w:abstractNumId="35" w15:restartNumberingAfterBreak="0">
    <w:nsid w:val="470D713C"/>
    <w:multiLevelType w:val="hybridMultilevel"/>
    <w:tmpl w:val="D0B42DD0"/>
    <w:lvl w:ilvl="0" w:tplc="B3EAB7D4">
      <w:numFmt w:val="bullet"/>
      <w:lvlText w:val=""/>
      <w:lvlJc w:val="left"/>
      <w:pPr>
        <w:ind w:left="748" w:hanging="363"/>
      </w:pPr>
      <w:rPr>
        <w:rFonts w:ascii="Symbol" w:hAnsi="Symbol" w:hint="default"/>
        <w:w w:val="99"/>
        <w:sz w:val="19"/>
        <w:szCs w:val="19"/>
        <w:lang w:val="en-US" w:eastAsia="en-US" w:bidi="ar-SA"/>
      </w:rPr>
    </w:lvl>
    <w:lvl w:ilvl="1" w:tplc="D5EC7E14">
      <w:numFmt w:val="bullet"/>
      <w:lvlText w:val="•"/>
      <w:lvlJc w:val="left"/>
      <w:pPr>
        <w:ind w:left="1101" w:hanging="363"/>
      </w:pPr>
      <w:rPr>
        <w:lang w:val="en-US" w:eastAsia="en-US" w:bidi="ar-SA"/>
      </w:rPr>
    </w:lvl>
    <w:lvl w:ilvl="2" w:tplc="366E9AD6">
      <w:numFmt w:val="bullet"/>
      <w:lvlText w:val="•"/>
      <w:lvlJc w:val="left"/>
      <w:pPr>
        <w:ind w:left="1462" w:hanging="363"/>
      </w:pPr>
      <w:rPr>
        <w:lang w:val="en-US" w:eastAsia="en-US" w:bidi="ar-SA"/>
      </w:rPr>
    </w:lvl>
    <w:lvl w:ilvl="3" w:tplc="928813EE">
      <w:numFmt w:val="bullet"/>
      <w:lvlText w:val="•"/>
      <w:lvlJc w:val="left"/>
      <w:pPr>
        <w:ind w:left="1823" w:hanging="363"/>
      </w:pPr>
      <w:rPr>
        <w:lang w:val="en-US" w:eastAsia="en-US" w:bidi="ar-SA"/>
      </w:rPr>
    </w:lvl>
    <w:lvl w:ilvl="4" w:tplc="17580EFE">
      <w:numFmt w:val="bullet"/>
      <w:lvlText w:val="•"/>
      <w:lvlJc w:val="left"/>
      <w:pPr>
        <w:ind w:left="2184" w:hanging="363"/>
      </w:pPr>
      <w:rPr>
        <w:lang w:val="en-US" w:eastAsia="en-US" w:bidi="ar-SA"/>
      </w:rPr>
    </w:lvl>
    <w:lvl w:ilvl="5" w:tplc="6F3A85D8">
      <w:numFmt w:val="bullet"/>
      <w:lvlText w:val="•"/>
      <w:lvlJc w:val="left"/>
      <w:pPr>
        <w:ind w:left="2545" w:hanging="363"/>
      </w:pPr>
      <w:rPr>
        <w:lang w:val="en-US" w:eastAsia="en-US" w:bidi="ar-SA"/>
      </w:rPr>
    </w:lvl>
    <w:lvl w:ilvl="6" w:tplc="38B83DD8">
      <w:numFmt w:val="bullet"/>
      <w:lvlText w:val="•"/>
      <w:lvlJc w:val="left"/>
      <w:pPr>
        <w:ind w:left="2906" w:hanging="363"/>
      </w:pPr>
      <w:rPr>
        <w:lang w:val="en-US" w:eastAsia="en-US" w:bidi="ar-SA"/>
      </w:rPr>
    </w:lvl>
    <w:lvl w:ilvl="7" w:tplc="0608DC22">
      <w:numFmt w:val="bullet"/>
      <w:lvlText w:val="•"/>
      <w:lvlJc w:val="left"/>
      <w:pPr>
        <w:ind w:left="3267" w:hanging="363"/>
      </w:pPr>
      <w:rPr>
        <w:lang w:val="en-US" w:eastAsia="en-US" w:bidi="ar-SA"/>
      </w:rPr>
    </w:lvl>
    <w:lvl w:ilvl="8" w:tplc="836C6EA0">
      <w:numFmt w:val="bullet"/>
      <w:lvlText w:val="•"/>
      <w:lvlJc w:val="left"/>
      <w:pPr>
        <w:ind w:left="3628" w:hanging="363"/>
      </w:pPr>
      <w:rPr>
        <w:lang w:val="en-US" w:eastAsia="en-US" w:bidi="ar-SA"/>
      </w:rPr>
    </w:lvl>
  </w:abstractNum>
  <w:abstractNum w:abstractNumId="36" w15:restartNumberingAfterBreak="0">
    <w:nsid w:val="480E012C"/>
    <w:multiLevelType w:val="hybridMultilevel"/>
    <w:tmpl w:val="3FECD58C"/>
    <w:lvl w:ilvl="0" w:tplc="06846D28">
      <w:start w:val="1"/>
      <w:numFmt w:val="lowerRoman"/>
      <w:lvlText w:val="(%1)"/>
      <w:lvlJc w:val="left"/>
      <w:pPr>
        <w:ind w:left="940" w:hanging="360"/>
      </w:pPr>
      <w:rPr>
        <w:rFonts w:ascii="Times New Roman" w:hAnsi="Times New Roman" w:hint="default"/>
        <w:w w:val="100"/>
        <w:sz w:val="24"/>
        <w:szCs w:val="24"/>
        <w:lang w:val="en-US" w:eastAsia="en-US" w:bidi="ar-SA"/>
      </w:rPr>
    </w:lvl>
    <w:lvl w:ilvl="1" w:tplc="18090019" w:tentative="1">
      <w:start w:val="1"/>
      <w:numFmt w:val="lowerLetter"/>
      <w:lvlText w:val="%2."/>
      <w:lvlJc w:val="left"/>
      <w:pPr>
        <w:ind w:left="1660" w:hanging="360"/>
      </w:pPr>
    </w:lvl>
    <w:lvl w:ilvl="2" w:tplc="1809001B" w:tentative="1">
      <w:start w:val="1"/>
      <w:numFmt w:val="lowerRoman"/>
      <w:lvlText w:val="%3."/>
      <w:lvlJc w:val="right"/>
      <w:pPr>
        <w:ind w:left="2380" w:hanging="180"/>
      </w:pPr>
    </w:lvl>
    <w:lvl w:ilvl="3" w:tplc="1809000F" w:tentative="1">
      <w:start w:val="1"/>
      <w:numFmt w:val="decimal"/>
      <w:lvlText w:val="%4."/>
      <w:lvlJc w:val="left"/>
      <w:pPr>
        <w:ind w:left="3100" w:hanging="360"/>
      </w:pPr>
    </w:lvl>
    <w:lvl w:ilvl="4" w:tplc="18090019" w:tentative="1">
      <w:start w:val="1"/>
      <w:numFmt w:val="lowerLetter"/>
      <w:lvlText w:val="%5."/>
      <w:lvlJc w:val="left"/>
      <w:pPr>
        <w:ind w:left="3820" w:hanging="360"/>
      </w:pPr>
    </w:lvl>
    <w:lvl w:ilvl="5" w:tplc="1809001B" w:tentative="1">
      <w:start w:val="1"/>
      <w:numFmt w:val="lowerRoman"/>
      <w:lvlText w:val="%6."/>
      <w:lvlJc w:val="right"/>
      <w:pPr>
        <w:ind w:left="4540" w:hanging="180"/>
      </w:pPr>
    </w:lvl>
    <w:lvl w:ilvl="6" w:tplc="1809000F" w:tentative="1">
      <w:start w:val="1"/>
      <w:numFmt w:val="decimal"/>
      <w:lvlText w:val="%7."/>
      <w:lvlJc w:val="left"/>
      <w:pPr>
        <w:ind w:left="5260" w:hanging="360"/>
      </w:pPr>
    </w:lvl>
    <w:lvl w:ilvl="7" w:tplc="18090019" w:tentative="1">
      <w:start w:val="1"/>
      <w:numFmt w:val="lowerLetter"/>
      <w:lvlText w:val="%8."/>
      <w:lvlJc w:val="left"/>
      <w:pPr>
        <w:ind w:left="5980" w:hanging="360"/>
      </w:pPr>
    </w:lvl>
    <w:lvl w:ilvl="8" w:tplc="1809001B" w:tentative="1">
      <w:start w:val="1"/>
      <w:numFmt w:val="lowerRoman"/>
      <w:lvlText w:val="%9."/>
      <w:lvlJc w:val="right"/>
      <w:pPr>
        <w:ind w:left="6700" w:hanging="180"/>
      </w:pPr>
    </w:lvl>
  </w:abstractNum>
  <w:abstractNum w:abstractNumId="37" w15:restartNumberingAfterBreak="0">
    <w:nsid w:val="49C429FE"/>
    <w:multiLevelType w:val="hybridMultilevel"/>
    <w:tmpl w:val="416409DA"/>
    <w:lvl w:ilvl="0" w:tplc="18090001">
      <w:start w:val="1"/>
      <w:numFmt w:val="bullet"/>
      <w:lvlText w:val=""/>
      <w:lvlJc w:val="left"/>
      <w:pPr>
        <w:ind w:left="940" w:hanging="360"/>
      </w:pPr>
      <w:rPr>
        <w:rFonts w:ascii="Symbol" w:hAnsi="Symbol" w:hint="default"/>
      </w:rPr>
    </w:lvl>
    <w:lvl w:ilvl="1" w:tplc="18090003" w:tentative="1">
      <w:start w:val="1"/>
      <w:numFmt w:val="bullet"/>
      <w:lvlText w:val="o"/>
      <w:lvlJc w:val="left"/>
      <w:pPr>
        <w:ind w:left="1660" w:hanging="360"/>
      </w:pPr>
      <w:rPr>
        <w:rFonts w:ascii="Courier New" w:hAnsi="Courier New" w:cs="Courier New" w:hint="default"/>
      </w:rPr>
    </w:lvl>
    <w:lvl w:ilvl="2" w:tplc="18090005" w:tentative="1">
      <w:start w:val="1"/>
      <w:numFmt w:val="bullet"/>
      <w:lvlText w:val=""/>
      <w:lvlJc w:val="left"/>
      <w:pPr>
        <w:ind w:left="2380" w:hanging="360"/>
      </w:pPr>
      <w:rPr>
        <w:rFonts w:ascii="Wingdings" w:hAnsi="Wingdings" w:hint="default"/>
      </w:rPr>
    </w:lvl>
    <w:lvl w:ilvl="3" w:tplc="18090001" w:tentative="1">
      <w:start w:val="1"/>
      <w:numFmt w:val="bullet"/>
      <w:lvlText w:val=""/>
      <w:lvlJc w:val="left"/>
      <w:pPr>
        <w:ind w:left="3100" w:hanging="360"/>
      </w:pPr>
      <w:rPr>
        <w:rFonts w:ascii="Symbol" w:hAnsi="Symbol" w:hint="default"/>
      </w:rPr>
    </w:lvl>
    <w:lvl w:ilvl="4" w:tplc="18090003" w:tentative="1">
      <w:start w:val="1"/>
      <w:numFmt w:val="bullet"/>
      <w:lvlText w:val="o"/>
      <w:lvlJc w:val="left"/>
      <w:pPr>
        <w:ind w:left="3820" w:hanging="360"/>
      </w:pPr>
      <w:rPr>
        <w:rFonts w:ascii="Courier New" w:hAnsi="Courier New" w:cs="Courier New" w:hint="default"/>
      </w:rPr>
    </w:lvl>
    <w:lvl w:ilvl="5" w:tplc="18090005" w:tentative="1">
      <w:start w:val="1"/>
      <w:numFmt w:val="bullet"/>
      <w:lvlText w:val=""/>
      <w:lvlJc w:val="left"/>
      <w:pPr>
        <w:ind w:left="4540" w:hanging="360"/>
      </w:pPr>
      <w:rPr>
        <w:rFonts w:ascii="Wingdings" w:hAnsi="Wingdings" w:hint="default"/>
      </w:rPr>
    </w:lvl>
    <w:lvl w:ilvl="6" w:tplc="18090001" w:tentative="1">
      <w:start w:val="1"/>
      <w:numFmt w:val="bullet"/>
      <w:lvlText w:val=""/>
      <w:lvlJc w:val="left"/>
      <w:pPr>
        <w:ind w:left="5260" w:hanging="360"/>
      </w:pPr>
      <w:rPr>
        <w:rFonts w:ascii="Symbol" w:hAnsi="Symbol" w:hint="default"/>
      </w:rPr>
    </w:lvl>
    <w:lvl w:ilvl="7" w:tplc="18090003" w:tentative="1">
      <w:start w:val="1"/>
      <w:numFmt w:val="bullet"/>
      <w:lvlText w:val="o"/>
      <w:lvlJc w:val="left"/>
      <w:pPr>
        <w:ind w:left="5980" w:hanging="360"/>
      </w:pPr>
      <w:rPr>
        <w:rFonts w:ascii="Courier New" w:hAnsi="Courier New" w:cs="Courier New" w:hint="default"/>
      </w:rPr>
    </w:lvl>
    <w:lvl w:ilvl="8" w:tplc="18090005" w:tentative="1">
      <w:start w:val="1"/>
      <w:numFmt w:val="bullet"/>
      <w:lvlText w:val=""/>
      <w:lvlJc w:val="left"/>
      <w:pPr>
        <w:ind w:left="6700" w:hanging="360"/>
      </w:pPr>
      <w:rPr>
        <w:rFonts w:ascii="Wingdings" w:hAnsi="Wingdings" w:hint="default"/>
      </w:rPr>
    </w:lvl>
  </w:abstractNum>
  <w:abstractNum w:abstractNumId="38" w15:restartNumberingAfterBreak="0">
    <w:nsid w:val="4B315CF6"/>
    <w:multiLevelType w:val="hybridMultilevel"/>
    <w:tmpl w:val="2BDA9764"/>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4CD9598D"/>
    <w:multiLevelType w:val="hybridMultilevel"/>
    <w:tmpl w:val="98207F6A"/>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4F4E303B"/>
    <w:multiLevelType w:val="hybridMultilevel"/>
    <w:tmpl w:val="206AE70E"/>
    <w:lvl w:ilvl="0" w:tplc="18090001">
      <w:start w:val="1"/>
      <w:numFmt w:val="bullet"/>
      <w:lvlText w:val=""/>
      <w:lvlJc w:val="left"/>
      <w:pPr>
        <w:ind w:left="940" w:hanging="360"/>
      </w:pPr>
      <w:rPr>
        <w:rFonts w:ascii="Symbol" w:hAnsi="Symbol" w:hint="default"/>
      </w:rPr>
    </w:lvl>
    <w:lvl w:ilvl="1" w:tplc="18090003" w:tentative="1">
      <w:start w:val="1"/>
      <w:numFmt w:val="bullet"/>
      <w:lvlText w:val="o"/>
      <w:lvlJc w:val="left"/>
      <w:pPr>
        <w:ind w:left="1660" w:hanging="360"/>
      </w:pPr>
      <w:rPr>
        <w:rFonts w:ascii="Courier New" w:hAnsi="Courier New" w:cs="Courier New" w:hint="default"/>
      </w:rPr>
    </w:lvl>
    <w:lvl w:ilvl="2" w:tplc="18090005" w:tentative="1">
      <w:start w:val="1"/>
      <w:numFmt w:val="bullet"/>
      <w:lvlText w:val=""/>
      <w:lvlJc w:val="left"/>
      <w:pPr>
        <w:ind w:left="2380" w:hanging="360"/>
      </w:pPr>
      <w:rPr>
        <w:rFonts w:ascii="Wingdings" w:hAnsi="Wingdings" w:hint="default"/>
      </w:rPr>
    </w:lvl>
    <w:lvl w:ilvl="3" w:tplc="18090001" w:tentative="1">
      <w:start w:val="1"/>
      <w:numFmt w:val="bullet"/>
      <w:lvlText w:val=""/>
      <w:lvlJc w:val="left"/>
      <w:pPr>
        <w:ind w:left="3100" w:hanging="360"/>
      </w:pPr>
      <w:rPr>
        <w:rFonts w:ascii="Symbol" w:hAnsi="Symbol" w:hint="default"/>
      </w:rPr>
    </w:lvl>
    <w:lvl w:ilvl="4" w:tplc="18090003" w:tentative="1">
      <w:start w:val="1"/>
      <w:numFmt w:val="bullet"/>
      <w:lvlText w:val="o"/>
      <w:lvlJc w:val="left"/>
      <w:pPr>
        <w:ind w:left="3820" w:hanging="360"/>
      </w:pPr>
      <w:rPr>
        <w:rFonts w:ascii="Courier New" w:hAnsi="Courier New" w:cs="Courier New" w:hint="default"/>
      </w:rPr>
    </w:lvl>
    <w:lvl w:ilvl="5" w:tplc="18090005" w:tentative="1">
      <w:start w:val="1"/>
      <w:numFmt w:val="bullet"/>
      <w:lvlText w:val=""/>
      <w:lvlJc w:val="left"/>
      <w:pPr>
        <w:ind w:left="4540" w:hanging="360"/>
      </w:pPr>
      <w:rPr>
        <w:rFonts w:ascii="Wingdings" w:hAnsi="Wingdings" w:hint="default"/>
      </w:rPr>
    </w:lvl>
    <w:lvl w:ilvl="6" w:tplc="18090001" w:tentative="1">
      <w:start w:val="1"/>
      <w:numFmt w:val="bullet"/>
      <w:lvlText w:val=""/>
      <w:lvlJc w:val="left"/>
      <w:pPr>
        <w:ind w:left="5260" w:hanging="360"/>
      </w:pPr>
      <w:rPr>
        <w:rFonts w:ascii="Symbol" w:hAnsi="Symbol" w:hint="default"/>
      </w:rPr>
    </w:lvl>
    <w:lvl w:ilvl="7" w:tplc="18090003" w:tentative="1">
      <w:start w:val="1"/>
      <w:numFmt w:val="bullet"/>
      <w:lvlText w:val="o"/>
      <w:lvlJc w:val="left"/>
      <w:pPr>
        <w:ind w:left="5980" w:hanging="360"/>
      </w:pPr>
      <w:rPr>
        <w:rFonts w:ascii="Courier New" w:hAnsi="Courier New" w:cs="Courier New" w:hint="default"/>
      </w:rPr>
    </w:lvl>
    <w:lvl w:ilvl="8" w:tplc="18090005" w:tentative="1">
      <w:start w:val="1"/>
      <w:numFmt w:val="bullet"/>
      <w:lvlText w:val=""/>
      <w:lvlJc w:val="left"/>
      <w:pPr>
        <w:ind w:left="6700" w:hanging="360"/>
      </w:pPr>
      <w:rPr>
        <w:rFonts w:ascii="Wingdings" w:hAnsi="Wingdings" w:hint="default"/>
      </w:rPr>
    </w:lvl>
  </w:abstractNum>
  <w:abstractNum w:abstractNumId="41" w15:restartNumberingAfterBreak="0">
    <w:nsid w:val="4FB507CB"/>
    <w:multiLevelType w:val="hybridMultilevel"/>
    <w:tmpl w:val="690EDDEE"/>
    <w:lvl w:ilvl="0" w:tplc="4120DD38">
      <w:numFmt w:val="bullet"/>
      <w:lvlText w:val="-"/>
      <w:lvlJc w:val="left"/>
      <w:pPr>
        <w:ind w:left="822" w:hanging="360"/>
      </w:pPr>
      <w:rPr>
        <w:rFonts w:ascii="Calibri" w:hAnsi="Calibri" w:hint="default"/>
        <w:w w:val="99"/>
        <w:sz w:val="19"/>
        <w:szCs w:val="19"/>
        <w:lang w:val="en-US" w:eastAsia="en-US" w:bidi="ar-SA"/>
      </w:rPr>
    </w:lvl>
    <w:lvl w:ilvl="1" w:tplc="339416E0">
      <w:numFmt w:val="bullet"/>
      <w:lvlText w:val="•"/>
      <w:lvlJc w:val="left"/>
      <w:pPr>
        <w:ind w:left="1198" w:hanging="360"/>
      </w:pPr>
      <w:rPr>
        <w:lang w:val="en-US" w:eastAsia="en-US" w:bidi="ar-SA"/>
      </w:rPr>
    </w:lvl>
    <w:lvl w:ilvl="2" w:tplc="FC48F3B0">
      <w:numFmt w:val="bullet"/>
      <w:lvlText w:val="•"/>
      <w:lvlJc w:val="left"/>
      <w:pPr>
        <w:ind w:left="1576" w:hanging="360"/>
      </w:pPr>
      <w:rPr>
        <w:lang w:val="en-US" w:eastAsia="en-US" w:bidi="ar-SA"/>
      </w:rPr>
    </w:lvl>
    <w:lvl w:ilvl="3" w:tplc="5440894E">
      <w:numFmt w:val="bullet"/>
      <w:lvlText w:val="•"/>
      <w:lvlJc w:val="left"/>
      <w:pPr>
        <w:ind w:left="1955" w:hanging="360"/>
      </w:pPr>
      <w:rPr>
        <w:lang w:val="en-US" w:eastAsia="en-US" w:bidi="ar-SA"/>
      </w:rPr>
    </w:lvl>
    <w:lvl w:ilvl="4" w:tplc="030AE4CC">
      <w:numFmt w:val="bullet"/>
      <w:lvlText w:val="•"/>
      <w:lvlJc w:val="left"/>
      <w:pPr>
        <w:ind w:left="2333" w:hanging="360"/>
      </w:pPr>
      <w:rPr>
        <w:lang w:val="en-US" w:eastAsia="en-US" w:bidi="ar-SA"/>
      </w:rPr>
    </w:lvl>
    <w:lvl w:ilvl="5" w:tplc="04A0B372">
      <w:numFmt w:val="bullet"/>
      <w:lvlText w:val="•"/>
      <w:lvlJc w:val="left"/>
      <w:pPr>
        <w:ind w:left="2712" w:hanging="360"/>
      </w:pPr>
      <w:rPr>
        <w:lang w:val="en-US" w:eastAsia="en-US" w:bidi="ar-SA"/>
      </w:rPr>
    </w:lvl>
    <w:lvl w:ilvl="6" w:tplc="A03CAA40">
      <w:numFmt w:val="bullet"/>
      <w:lvlText w:val="•"/>
      <w:lvlJc w:val="left"/>
      <w:pPr>
        <w:ind w:left="3090" w:hanging="360"/>
      </w:pPr>
      <w:rPr>
        <w:lang w:val="en-US" w:eastAsia="en-US" w:bidi="ar-SA"/>
      </w:rPr>
    </w:lvl>
    <w:lvl w:ilvl="7" w:tplc="C3CE2F92">
      <w:numFmt w:val="bullet"/>
      <w:lvlText w:val="•"/>
      <w:lvlJc w:val="left"/>
      <w:pPr>
        <w:ind w:left="3468" w:hanging="360"/>
      </w:pPr>
      <w:rPr>
        <w:lang w:val="en-US" w:eastAsia="en-US" w:bidi="ar-SA"/>
      </w:rPr>
    </w:lvl>
    <w:lvl w:ilvl="8" w:tplc="645A5280">
      <w:numFmt w:val="bullet"/>
      <w:lvlText w:val="•"/>
      <w:lvlJc w:val="left"/>
      <w:pPr>
        <w:ind w:left="3847" w:hanging="360"/>
      </w:pPr>
      <w:rPr>
        <w:lang w:val="en-US" w:eastAsia="en-US" w:bidi="ar-SA"/>
      </w:rPr>
    </w:lvl>
  </w:abstractNum>
  <w:abstractNum w:abstractNumId="42" w15:restartNumberingAfterBreak="0">
    <w:nsid w:val="520A01F1"/>
    <w:multiLevelType w:val="hybridMultilevel"/>
    <w:tmpl w:val="7040DBAE"/>
    <w:lvl w:ilvl="0" w:tplc="3018736A">
      <w:numFmt w:val="bullet"/>
      <w:lvlText w:val=""/>
      <w:lvlJc w:val="left"/>
      <w:pPr>
        <w:ind w:left="822" w:hanging="363"/>
      </w:pPr>
      <w:rPr>
        <w:rFonts w:hint="default"/>
        <w:w w:val="100"/>
        <w:lang w:val="en-US" w:eastAsia="en-US" w:bidi="ar-SA"/>
      </w:rPr>
    </w:lvl>
    <w:lvl w:ilvl="1" w:tplc="079A1364">
      <w:numFmt w:val="bullet"/>
      <w:lvlText w:val="•"/>
      <w:lvlJc w:val="left"/>
      <w:pPr>
        <w:ind w:left="1739" w:hanging="363"/>
      </w:pPr>
      <w:rPr>
        <w:rFonts w:hint="default"/>
        <w:lang w:val="en-US" w:eastAsia="en-US" w:bidi="ar-SA"/>
      </w:rPr>
    </w:lvl>
    <w:lvl w:ilvl="2" w:tplc="637CFC02">
      <w:numFmt w:val="bullet"/>
      <w:lvlText w:val="•"/>
      <w:lvlJc w:val="left"/>
      <w:pPr>
        <w:ind w:left="2658" w:hanging="363"/>
      </w:pPr>
      <w:rPr>
        <w:rFonts w:hint="default"/>
        <w:lang w:val="en-US" w:eastAsia="en-US" w:bidi="ar-SA"/>
      </w:rPr>
    </w:lvl>
    <w:lvl w:ilvl="3" w:tplc="801A029A">
      <w:numFmt w:val="bullet"/>
      <w:lvlText w:val="•"/>
      <w:lvlJc w:val="left"/>
      <w:pPr>
        <w:ind w:left="3577" w:hanging="363"/>
      </w:pPr>
      <w:rPr>
        <w:rFonts w:hint="default"/>
        <w:lang w:val="en-US" w:eastAsia="en-US" w:bidi="ar-SA"/>
      </w:rPr>
    </w:lvl>
    <w:lvl w:ilvl="4" w:tplc="3AD42250">
      <w:numFmt w:val="bullet"/>
      <w:lvlText w:val="•"/>
      <w:lvlJc w:val="left"/>
      <w:pPr>
        <w:ind w:left="4496" w:hanging="363"/>
      </w:pPr>
      <w:rPr>
        <w:rFonts w:hint="default"/>
        <w:lang w:val="en-US" w:eastAsia="en-US" w:bidi="ar-SA"/>
      </w:rPr>
    </w:lvl>
    <w:lvl w:ilvl="5" w:tplc="B9CC5F48">
      <w:numFmt w:val="bullet"/>
      <w:lvlText w:val="•"/>
      <w:lvlJc w:val="left"/>
      <w:pPr>
        <w:ind w:left="5415" w:hanging="363"/>
      </w:pPr>
      <w:rPr>
        <w:rFonts w:hint="default"/>
        <w:lang w:val="en-US" w:eastAsia="en-US" w:bidi="ar-SA"/>
      </w:rPr>
    </w:lvl>
    <w:lvl w:ilvl="6" w:tplc="CEA8B0D0">
      <w:numFmt w:val="bullet"/>
      <w:lvlText w:val="•"/>
      <w:lvlJc w:val="left"/>
      <w:pPr>
        <w:ind w:left="6334" w:hanging="363"/>
      </w:pPr>
      <w:rPr>
        <w:rFonts w:hint="default"/>
        <w:lang w:val="en-US" w:eastAsia="en-US" w:bidi="ar-SA"/>
      </w:rPr>
    </w:lvl>
    <w:lvl w:ilvl="7" w:tplc="AEDA6392">
      <w:numFmt w:val="bullet"/>
      <w:lvlText w:val="•"/>
      <w:lvlJc w:val="left"/>
      <w:pPr>
        <w:ind w:left="7253" w:hanging="363"/>
      </w:pPr>
      <w:rPr>
        <w:rFonts w:hint="default"/>
        <w:lang w:val="en-US" w:eastAsia="en-US" w:bidi="ar-SA"/>
      </w:rPr>
    </w:lvl>
    <w:lvl w:ilvl="8" w:tplc="4F56195C">
      <w:numFmt w:val="bullet"/>
      <w:lvlText w:val="•"/>
      <w:lvlJc w:val="left"/>
      <w:pPr>
        <w:ind w:left="8172" w:hanging="363"/>
      </w:pPr>
      <w:rPr>
        <w:rFonts w:hint="default"/>
        <w:lang w:val="en-US" w:eastAsia="en-US" w:bidi="ar-SA"/>
      </w:rPr>
    </w:lvl>
  </w:abstractNum>
  <w:abstractNum w:abstractNumId="43" w15:restartNumberingAfterBreak="0">
    <w:nsid w:val="52107576"/>
    <w:multiLevelType w:val="hybridMultilevel"/>
    <w:tmpl w:val="E6A0100C"/>
    <w:lvl w:ilvl="0" w:tplc="4290DC0A">
      <w:numFmt w:val="bullet"/>
      <w:lvlText w:val="-"/>
      <w:lvlJc w:val="left"/>
      <w:pPr>
        <w:ind w:left="611" w:hanging="360"/>
      </w:pPr>
      <w:rPr>
        <w:rFonts w:ascii="Calibri" w:hAnsi="Calibri" w:hint="default"/>
        <w:w w:val="99"/>
        <w:sz w:val="24"/>
        <w:szCs w:val="24"/>
        <w:lang w:val="en-US" w:eastAsia="en-US" w:bidi="ar-SA"/>
      </w:rPr>
    </w:lvl>
    <w:lvl w:ilvl="1" w:tplc="F288CF04">
      <w:numFmt w:val="bullet"/>
      <w:lvlText w:val="•"/>
      <w:lvlJc w:val="left"/>
      <w:pPr>
        <w:ind w:left="1546" w:hanging="360"/>
      </w:pPr>
      <w:rPr>
        <w:lang w:val="en-US" w:eastAsia="en-US" w:bidi="ar-SA"/>
      </w:rPr>
    </w:lvl>
    <w:lvl w:ilvl="2" w:tplc="6C1CE878">
      <w:numFmt w:val="bullet"/>
      <w:lvlText w:val="•"/>
      <w:lvlJc w:val="left"/>
      <w:pPr>
        <w:ind w:left="2473" w:hanging="360"/>
      </w:pPr>
      <w:rPr>
        <w:lang w:val="en-US" w:eastAsia="en-US" w:bidi="ar-SA"/>
      </w:rPr>
    </w:lvl>
    <w:lvl w:ilvl="3" w:tplc="0BEA6B5A">
      <w:numFmt w:val="bullet"/>
      <w:lvlText w:val="•"/>
      <w:lvlJc w:val="left"/>
      <w:pPr>
        <w:ind w:left="3399" w:hanging="360"/>
      </w:pPr>
      <w:rPr>
        <w:lang w:val="en-US" w:eastAsia="en-US" w:bidi="ar-SA"/>
      </w:rPr>
    </w:lvl>
    <w:lvl w:ilvl="4" w:tplc="BBC278B8">
      <w:numFmt w:val="bullet"/>
      <w:lvlText w:val="•"/>
      <w:lvlJc w:val="left"/>
      <w:pPr>
        <w:ind w:left="4326" w:hanging="360"/>
      </w:pPr>
      <w:rPr>
        <w:lang w:val="en-US" w:eastAsia="en-US" w:bidi="ar-SA"/>
      </w:rPr>
    </w:lvl>
    <w:lvl w:ilvl="5" w:tplc="D04C9D78">
      <w:numFmt w:val="bullet"/>
      <w:lvlText w:val="•"/>
      <w:lvlJc w:val="left"/>
      <w:pPr>
        <w:ind w:left="5253" w:hanging="360"/>
      </w:pPr>
      <w:rPr>
        <w:lang w:val="en-US" w:eastAsia="en-US" w:bidi="ar-SA"/>
      </w:rPr>
    </w:lvl>
    <w:lvl w:ilvl="6" w:tplc="75F6CAB4">
      <w:numFmt w:val="bullet"/>
      <w:lvlText w:val="•"/>
      <w:lvlJc w:val="left"/>
      <w:pPr>
        <w:ind w:left="6179" w:hanging="360"/>
      </w:pPr>
      <w:rPr>
        <w:lang w:val="en-US" w:eastAsia="en-US" w:bidi="ar-SA"/>
      </w:rPr>
    </w:lvl>
    <w:lvl w:ilvl="7" w:tplc="E7343E7A">
      <w:numFmt w:val="bullet"/>
      <w:lvlText w:val="•"/>
      <w:lvlJc w:val="left"/>
      <w:pPr>
        <w:ind w:left="7106" w:hanging="360"/>
      </w:pPr>
      <w:rPr>
        <w:lang w:val="en-US" w:eastAsia="en-US" w:bidi="ar-SA"/>
      </w:rPr>
    </w:lvl>
    <w:lvl w:ilvl="8" w:tplc="3D040E26">
      <w:numFmt w:val="bullet"/>
      <w:lvlText w:val="•"/>
      <w:lvlJc w:val="left"/>
      <w:pPr>
        <w:ind w:left="8033" w:hanging="360"/>
      </w:pPr>
      <w:rPr>
        <w:lang w:val="en-US" w:eastAsia="en-US" w:bidi="ar-SA"/>
      </w:rPr>
    </w:lvl>
  </w:abstractNum>
  <w:abstractNum w:abstractNumId="44" w15:restartNumberingAfterBreak="0">
    <w:nsid w:val="527761C3"/>
    <w:multiLevelType w:val="hybridMultilevel"/>
    <w:tmpl w:val="A7D66CA0"/>
    <w:lvl w:ilvl="0" w:tplc="18090001">
      <w:start w:val="1"/>
      <w:numFmt w:val="bullet"/>
      <w:lvlText w:val=""/>
      <w:lvlJc w:val="left"/>
      <w:pPr>
        <w:ind w:left="940" w:hanging="360"/>
      </w:pPr>
      <w:rPr>
        <w:rFonts w:ascii="Symbol" w:hAnsi="Symbol" w:hint="default"/>
      </w:rPr>
    </w:lvl>
    <w:lvl w:ilvl="1" w:tplc="18090003" w:tentative="1">
      <w:start w:val="1"/>
      <w:numFmt w:val="bullet"/>
      <w:lvlText w:val="o"/>
      <w:lvlJc w:val="left"/>
      <w:pPr>
        <w:ind w:left="1660" w:hanging="360"/>
      </w:pPr>
      <w:rPr>
        <w:rFonts w:ascii="Courier New" w:hAnsi="Courier New" w:cs="Courier New" w:hint="default"/>
      </w:rPr>
    </w:lvl>
    <w:lvl w:ilvl="2" w:tplc="18090005" w:tentative="1">
      <w:start w:val="1"/>
      <w:numFmt w:val="bullet"/>
      <w:lvlText w:val=""/>
      <w:lvlJc w:val="left"/>
      <w:pPr>
        <w:ind w:left="2380" w:hanging="360"/>
      </w:pPr>
      <w:rPr>
        <w:rFonts w:ascii="Wingdings" w:hAnsi="Wingdings" w:hint="default"/>
      </w:rPr>
    </w:lvl>
    <w:lvl w:ilvl="3" w:tplc="18090001" w:tentative="1">
      <w:start w:val="1"/>
      <w:numFmt w:val="bullet"/>
      <w:lvlText w:val=""/>
      <w:lvlJc w:val="left"/>
      <w:pPr>
        <w:ind w:left="3100" w:hanging="360"/>
      </w:pPr>
      <w:rPr>
        <w:rFonts w:ascii="Symbol" w:hAnsi="Symbol" w:hint="default"/>
      </w:rPr>
    </w:lvl>
    <w:lvl w:ilvl="4" w:tplc="18090003" w:tentative="1">
      <w:start w:val="1"/>
      <w:numFmt w:val="bullet"/>
      <w:lvlText w:val="o"/>
      <w:lvlJc w:val="left"/>
      <w:pPr>
        <w:ind w:left="3820" w:hanging="360"/>
      </w:pPr>
      <w:rPr>
        <w:rFonts w:ascii="Courier New" w:hAnsi="Courier New" w:cs="Courier New" w:hint="default"/>
      </w:rPr>
    </w:lvl>
    <w:lvl w:ilvl="5" w:tplc="18090005" w:tentative="1">
      <w:start w:val="1"/>
      <w:numFmt w:val="bullet"/>
      <w:lvlText w:val=""/>
      <w:lvlJc w:val="left"/>
      <w:pPr>
        <w:ind w:left="4540" w:hanging="360"/>
      </w:pPr>
      <w:rPr>
        <w:rFonts w:ascii="Wingdings" w:hAnsi="Wingdings" w:hint="default"/>
      </w:rPr>
    </w:lvl>
    <w:lvl w:ilvl="6" w:tplc="18090001" w:tentative="1">
      <w:start w:val="1"/>
      <w:numFmt w:val="bullet"/>
      <w:lvlText w:val=""/>
      <w:lvlJc w:val="left"/>
      <w:pPr>
        <w:ind w:left="5260" w:hanging="360"/>
      </w:pPr>
      <w:rPr>
        <w:rFonts w:ascii="Symbol" w:hAnsi="Symbol" w:hint="default"/>
      </w:rPr>
    </w:lvl>
    <w:lvl w:ilvl="7" w:tplc="18090003" w:tentative="1">
      <w:start w:val="1"/>
      <w:numFmt w:val="bullet"/>
      <w:lvlText w:val="o"/>
      <w:lvlJc w:val="left"/>
      <w:pPr>
        <w:ind w:left="5980" w:hanging="360"/>
      </w:pPr>
      <w:rPr>
        <w:rFonts w:ascii="Courier New" w:hAnsi="Courier New" w:cs="Courier New" w:hint="default"/>
      </w:rPr>
    </w:lvl>
    <w:lvl w:ilvl="8" w:tplc="18090005" w:tentative="1">
      <w:start w:val="1"/>
      <w:numFmt w:val="bullet"/>
      <w:lvlText w:val=""/>
      <w:lvlJc w:val="left"/>
      <w:pPr>
        <w:ind w:left="6700" w:hanging="360"/>
      </w:pPr>
      <w:rPr>
        <w:rFonts w:ascii="Wingdings" w:hAnsi="Wingdings" w:hint="default"/>
      </w:rPr>
    </w:lvl>
  </w:abstractNum>
  <w:abstractNum w:abstractNumId="45" w15:restartNumberingAfterBreak="0">
    <w:nsid w:val="56F984A0"/>
    <w:multiLevelType w:val="hybridMultilevel"/>
    <w:tmpl w:val="5BB49016"/>
    <w:lvl w:ilvl="0" w:tplc="1C36AB9C">
      <w:start w:val="1"/>
      <w:numFmt w:val="bullet"/>
      <w:lvlText w:val="-"/>
      <w:lvlJc w:val="left"/>
      <w:pPr>
        <w:ind w:left="720" w:hanging="360"/>
      </w:pPr>
      <w:rPr>
        <w:rFonts w:ascii="Aptos" w:hAnsi="Aptos" w:hint="default"/>
      </w:rPr>
    </w:lvl>
    <w:lvl w:ilvl="1" w:tplc="305C8E24">
      <w:start w:val="1"/>
      <w:numFmt w:val="bullet"/>
      <w:lvlText w:val="o"/>
      <w:lvlJc w:val="left"/>
      <w:pPr>
        <w:ind w:left="1440" w:hanging="360"/>
      </w:pPr>
      <w:rPr>
        <w:rFonts w:ascii="Courier New" w:hAnsi="Courier New" w:hint="default"/>
      </w:rPr>
    </w:lvl>
    <w:lvl w:ilvl="2" w:tplc="676287C6">
      <w:start w:val="1"/>
      <w:numFmt w:val="bullet"/>
      <w:lvlText w:val=""/>
      <w:lvlJc w:val="left"/>
      <w:pPr>
        <w:ind w:left="2160" w:hanging="360"/>
      </w:pPr>
      <w:rPr>
        <w:rFonts w:ascii="Wingdings" w:hAnsi="Wingdings" w:hint="default"/>
      </w:rPr>
    </w:lvl>
    <w:lvl w:ilvl="3" w:tplc="16BA311E">
      <w:start w:val="1"/>
      <w:numFmt w:val="bullet"/>
      <w:lvlText w:val=""/>
      <w:lvlJc w:val="left"/>
      <w:pPr>
        <w:ind w:left="2880" w:hanging="360"/>
      </w:pPr>
      <w:rPr>
        <w:rFonts w:ascii="Symbol" w:hAnsi="Symbol" w:hint="default"/>
      </w:rPr>
    </w:lvl>
    <w:lvl w:ilvl="4" w:tplc="DD2A2CFE">
      <w:start w:val="1"/>
      <w:numFmt w:val="bullet"/>
      <w:lvlText w:val="o"/>
      <w:lvlJc w:val="left"/>
      <w:pPr>
        <w:ind w:left="3600" w:hanging="360"/>
      </w:pPr>
      <w:rPr>
        <w:rFonts w:ascii="Courier New" w:hAnsi="Courier New" w:hint="default"/>
      </w:rPr>
    </w:lvl>
    <w:lvl w:ilvl="5" w:tplc="5F8035A0">
      <w:start w:val="1"/>
      <w:numFmt w:val="bullet"/>
      <w:lvlText w:val=""/>
      <w:lvlJc w:val="left"/>
      <w:pPr>
        <w:ind w:left="4320" w:hanging="360"/>
      </w:pPr>
      <w:rPr>
        <w:rFonts w:ascii="Wingdings" w:hAnsi="Wingdings" w:hint="default"/>
      </w:rPr>
    </w:lvl>
    <w:lvl w:ilvl="6" w:tplc="9F08744A">
      <w:start w:val="1"/>
      <w:numFmt w:val="bullet"/>
      <w:lvlText w:val=""/>
      <w:lvlJc w:val="left"/>
      <w:pPr>
        <w:ind w:left="5040" w:hanging="360"/>
      </w:pPr>
      <w:rPr>
        <w:rFonts w:ascii="Symbol" w:hAnsi="Symbol" w:hint="default"/>
      </w:rPr>
    </w:lvl>
    <w:lvl w:ilvl="7" w:tplc="958492B0">
      <w:start w:val="1"/>
      <w:numFmt w:val="bullet"/>
      <w:lvlText w:val="o"/>
      <w:lvlJc w:val="left"/>
      <w:pPr>
        <w:ind w:left="5760" w:hanging="360"/>
      </w:pPr>
      <w:rPr>
        <w:rFonts w:ascii="Courier New" w:hAnsi="Courier New" w:hint="default"/>
      </w:rPr>
    </w:lvl>
    <w:lvl w:ilvl="8" w:tplc="ED52226A">
      <w:start w:val="1"/>
      <w:numFmt w:val="bullet"/>
      <w:lvlText w:val=""/>
      <w:lvlJc w:val="left"/>
      <w:pPr>
        <w:ind w:left="6480" w:hanging="360"/>
      </w:pPr>
      <w:rPr>
        <w:rFonts w:ascii="Wingdings" w:hAnsi="Wingdings" w:hint="default"/>
      </w:rPr>
    </w:lvl>
  </w:abstractNum>
  <w:abstractNum w:abstractNumId="46" w15:restartNumberingAfterBreak="0">
    <w:nsid w:val="577B586B"/>
    <w:multiLevelType w:val="hybridMultilevel"/>
    <w:tmpl w:val="7D0A5188"/>
    <w:lvl w:ilvl="0" w:tplc="A8B221C4">
      <w:numFmt w:val="bullet"/>
      <w:lvlText w:val=""/>
      <w:lvlJc w:val="left"/>
      <w:pPr>
        <w:ind w:left="385" w:hanging="360"/>
      </w:pPr>
      <w:rPr>
        <w:rFonts w:ascii="Symbol" w:hAnsi="Symbol" w:hint="default"/>
        <w:w w:val="99"/>
        <w:sz w:val="19"/>
        <w:szCs w:val="19"/>
        <w:lang w:val="en-US" w:eastAsia="en-US" w:bidi="ar-SA"/>
      </w:rPr>
    </w:lvl>
    <w:lvl w:ilvl="1" w:tplc="ABE0657A">
      <w:numFmt w:val="bullet"/>
      <w:lvlText w:val="•"/>
      <w:lvlJc w:val="left"/>
      <w:pPr>
        <w:ind w:left="788" w:hanging="360"/>
      </w:pPr>
      <w:rPr>
        <w:lang w:val="en-US" w:eastAsia="en-US" w:bidi="ar-SA"/>
      </w:rPr>
    </w:lvl>
    <w:lvl w:ilvl="2" w:tplc="94EEEB7A">
      <w:numFmt w:val="bullet"/>
      <w:lvlText w:val="•"/>
      <w:lvlJc w:val="left"/>
      <w:pPr>
        <w:ind w:left="1196" w:hanging="360"/>
      </w:pPr>
      <w:rPr>
        <w:lang w:val="en-US" w:eastAsia="en-US" w:bidi="ar-SA"/>
      </w:rPr>
    </w:lvl>
    <w:lvl w:ilvl="3" w:tplc="5CCC81EA">
      <w:numFmt w:val="bullet"/>
      <w:lvlText w:val="•"/>
      <w:lvlJc w:val="left"/>
      <w:pPr>
        <w:ind w:left="1604" w:hanging="360"/>
      </w:pPr>
      <w:rPr>
        <w:lang w:val="en-US" w:eastAsia="en-US" w:bidi="ar-SA"/>
      </w:rPr>
    </w:lvl>
    <w:lvl w:ilvl="4" w:tplc="963868B8">
      <w:numFmt w:val="bullet"/>
      <w:lvlText w:val="•"/>
      <w:lvlJc w:val="left"/>
      <w:pPr>
        <w:ind w:left="2012" w:hanging="360"/>
      </w:pPr>
      <w:rPr>
        <w:lang w:val="en-US" w:eastAsia="en-US" w:bidi="ar-SA"/>
      </w:rPr>
    </w:lvl>
    <w:lvl w:ilvl="5" w:tplc="F43E869A">
      <w:numFmt w:val="bullet"/>
      <w:lvlText w:val="•"/>
      <w:lvlJc w:val="left"/>
      <w:pPr>
        <w:ind w:left="2420" w:hanging="360"/>
      </w:pPr>
      <w:rPr>
        <w:lang w:val="en-US" w:eastAsia="en-US" w:bidi="ar-SA"/>
      </w:rPr>
    </w:lvl>
    <w:lvl w:ilvl="6" w:tplc="4EFCABB6">
      <w:numFmt w:val="bullet"/>
      <w:lvlText w:val="•"/>
      <w:lvlJc w:val="left"/>
      <w:pPr>
        <w:ind w:left="2828" w:hanging="360"/>
      </w:pPr>
      <w:rPr>
        <w:lang w:val="en-US" w:eastAsia="en-US" w:bidi="ar-SA"/>
      </w:rPr>
    </w:lvl>
    <w:lvl w:ilvl="7" w:tplc="07D83F70">
      <w:numFmt w:val="bullet"/>
      <w:lvlText w:val="•"/>
      <w:lvlJc w:val="left"/>
      <w:pPr>
        <w:ind w:left="3236" w:hanging="360"/>
      </w:pPr>
      <w:rPr>
        <w:lang w:val="en-US" w:eastAsia="en-US" w:bidi="ar-SA"/>
      </w:rPr>
    </w:lvl>
    <w:lvl w:ilvl="8" w:tplc="3A8EAED6">
      <w:numFmt w:val="bullet"/>
      <w:lvlText w:val="•"/>
      <w:lvlJc w:val="left"/>
      <w:pPr>
        <w:ind w:left="3644" w:hanging="360"/>
      </w:pPr>
      <w:rPr>
        <w:lang w:val="en-US" w:eastAsia="en-US" w:bidi="ar-SA"/>
      </w:rPr>
    </w:lvl>
  </w:abstractNum>
  <w:abstractNum w:abstractNumId="47" w15:restartNumberingAfterBreak="0">
    <w:nsid w:val="5A2C5148"/>
    <w:multiLevelType w:val="hybridMultilevel"/>
    <w:tmpl w:val="487C4556"/>
    <w:lvl w:ilvl="0" w:tplc="7CC07446">
      <w:start w:val="1"/>
      <w:numFmt w:val="bullet"/>
      <w:lvlText w:val="-"/>
      <w:lvlJc w:val="left"/>
      <w:pPr>
        <w:ind w:left="720" w:hanging="360"/>
      </w:pPr>
      <w:rPr>
        <w:rFonts w:ascii="Aptos" w:hAnsi="Aptos" w:hint="default"/>
      </w:rPr>
    </w:lvl>
    <w:lvl w:ilvl="1" w:tplc="0780F31A">
      <w:start w:val="1"/>
      <w:numFmt w:val="bullet"/>
      <w:lvlText w:val="o"/>
      <w:lvlJc w:val="left"/>
      <w:pPr>
        <w:ind w:left="1440" w:hanging="360"/>
      </w:pPr>
      <w:rPr>
        <w:rFonts w:ascii="Courier New" w:hAnsi="Courier New" w:hint="default"/>
      </w:rPr>
    </w:lvl>
    <w:lvl w:ilvl="2" w:tplc="F60CE0DC">
      <w:start w:val="1"/>
      <w:numFmt w:val="bullet"/>
      <w:lvlText w:val=""/>
      <w:lvlJc w:val="left"/>
      <w:pPr>
        <w:ind w:left="2160" w:hanging="360"/>
      </w:pPr>
      <w:rPr>
        <w:rFonts w:ascii="Wingdings" w:hAnsi="Wingdings" w:hint="default"/>
      </w:rPr>
    </w:lvl>
    <w:lvl w:ilvl="3" w:tplc="0F266C32">
      <w:start w:val="1"/>
      <w:numFmt w:val="bullet"/>
      <w:lvlText w:val=""/>
      <w:lvlJc w:val="left"/>
      <w:pPr>
        <w:ind w:left="2880" w:hanging="360"/>
      </w:pPr>
      <w:rPr>
        <w:rFonts w:ascii="Symbol" w:hAnsi="Symbol" w:hint="default"/>
      </w:rPr>
    </w:lvl>
    <w:lvl w:ilvl="4" w:tplc="27C658B6">
      <w:start w:val="1"/>
      <w:numFmt w:val="bullet"/>
      <w:lvlText w:val="o"/>
      <w:lvlJc w:val="left"/>
      <w:pPr>
        <w:ind w:left="3600" w:hanging="360"/>
      </w:pPr>
      <w:rPr>
        <w:rFonts w:ascii="Courier New" w:hAnsi="Courier New" w:hint="default"/>
      </w:rPr>
    </w:lvl>
    <w:lvl w:ilvl="5" w:tplc="A1605984">
      <w:start w:val="1"/>
      <w:numFmt w:val="bullet"/>
      <w:lvlText w:val=""/>
      <w:lvlJc w:val="left"/>
      <w:pPr>
        <w:ind w:left="4320" w:hanging="360"/>
      </w:pPr>
      <w:rPr>
        <w:rFonts w:ascii="Wingdings" w:hAnsi="Wingdings" w:hint="default"/>
      </w:rPr>
    </w:lvl>
    <w:lvl w:ilvl="6" w:tplc="76C4D954">
      <w:start w:val="1"/>
      <w:numFmt w:val="bullet"/>
      <w:lvlText w:val=""/>
      <w:lvlJc w:val="left"/>
      <w:pPr>
        <w:ind w:left="5040" w:hanging="360"/>
      </w:pPr>
      <w:rPr>
        <w:rFonts w:ascii="Symbol" w:hAnsi="Symbol" w:hint="default"/>
      </w:rPr>
    </w:lvl>
    <w:lvl w:ilvl="7" w:tplc="FB3A7BC0">
      <w:start w:val="1"/>
      <w:numFmt w:val="bullet"/>
      <w:lvlText w:val="o"/>
      <w:lvlJc w:val="left"/>
      <w:pPr>
        <w:ind w:left="5760" w:hanging="360"/>
      </w:pPr>
      <w:rPr>
        <w:rFonts w:ascii="Courier New" w:hAnsi="Courier New" w:hint="default"/>
      </w:rPr>
    </w:lvl>
    <w:lvl w:ilvl="8" w:tplc="0D96B660">
      <w:start w:val="1"/>
      <w:numFmt w:val="bullet"/>
      <w:lvlText w:val=""/>
      <w:lvlJc w:val="left"/>
      <w:pPr>
        <w:ind w:left="6480" w:hanging="360"/>
      </w:pPr>
      <w:rPr>
        <w:rFonts w:ascii="Wingdings" w:hAnsi="Wingdings" w:hint="default"/>
      </w:rPr>
    </w:lvl>
  </w:abstractNum>
  <w:abstractNum w:abstractNumId="48" w15:restartNumberingAfterBreak="0">
    <w:nsid w:val="5CDA5EFE"/>
    <w:multiLevelType w:val="hybridMultilevel"/>
    <w:tmpl w:val="EC1C9246"/>
    <w:lvl w:ilvl="0" w:tplc="227C6656">
      <w:numFmt w:val="bullet"/>
      <w:lvlText w:val="-"/>
      <w:lvlJc w:val="left"/>
      <w:pPr>
        <w:ind w:left="822" w:hanging="363"/>
      </w:pPr>
      <w:rPr>
        <w:rFonts w:ascii="Calibri" w:hAnsi="Calibri" w:hint="default"/>
        <w:w w:val="99"/>
        <w:sz w:val="24"/>
        <w:szCs w:val="24"/>
        <w:lang w:val="en-US" w:eastAsia="en-US" w:bidi="ar-SA"/>
      </w:rPr>
    </w:lvl>
    <w:lvl w:ilvl="1" w:tplc="7E1ECDEA">
      <w:numFmt w:val="bullet"/>
      <w:lvlText w:val="•"/>
      <w:lvlJc w:val="left"/>
      <w:pPr>
        <w:ind w:left="1739" w:hanging="363"/>
      </w:pPr>
      <w:rPr>
        <w:lang w:val="en-US" w:eastAsia="en-US" w:bidi="ar-SA"/>
      </w:rPr>
    </w:lvl>
    <w:lvl w:ilvl="2" w:tplc="290658B0">
      <w:numFmt w:val="bullet"/>
      <w:lvlText w:val="•"/>
      <w:lvlJc w:val="left"/>
      <w:pPr>
        <w:ind w:left="2658" w:hanging="363"/>
      </w:pPr>
      <w:rPr>
        <w:lang w:val="en-US" w:eastAsia="en-US" w:bidi="ar-SA"/>
      </w:rPr>
    </w:lvl>
    <w:lvl w:ilvl="3" w:tplc="EE58598E">
      <w:numFmt w:val="bullet"/>
      <w:lvlText w:val="•"/>
      <w:lvlJc w:val="left"/>
      <w:pPr>
        <w:ind w:left="3577" w:hanging="363"/>
      </w:pPr>
      <w:rPr>
        <w:lang w:val="en-US" w:eastAsia="en-US" w:bidi="ar-SA"/>
      </w:rPr>
    </w:lvl>
    <w:lvl w:ilvl="4" w:tplc="2E6A1A60">
      <w:numFmt w:val="bullet"/>
      <w:lvlText w:val="•"/>
      <w:lvlJc w:val="left"/>
      <w:pPr>
        <w:ind w:left="4496" w:hanging="363"/>
      </w:pPr>
      <w:rPr>
        <w:lang w:val="en-US" w:eastAsia="en-US" w:bidi="ar-SA"/>
      </w:rPr>
    </w:lvl>
    <w:lvl w:ilvl="5" w:tplc="312275BC">
      <w:numFmt w:val="bullet"/>
      <w:lvlText w:val="•"/>
      <w:lvlJc w:val="left"/>
      <w:pPr>
        <w:ind w:left="5415" w:hanging="363"/>
      </w:pPr>
      <w:rPr>
        <w:lang w:val="en-US" w:eastAsia="en-US" w:bidi="ar-SA"/>
      </w:rPr>
    </w:lvl>
    <w:lvl w:ilvl="6" w:tplc="358A74E0">
      <w:numFmt w:val="bullet"/>
      <w:lvlText w:val="•"/>
      <w:lvlJc w:val="left"/>
      <w:pPr>
        <w:ind w:left="6334" w:hanging="363"/>
      </w:pPr>
      <w:rPr>
        <w:lang w:val="en-US" w:eastAsia="en-US" w:bidi="ar-SA"/>
      </w:rPr>
    </w:lvl>
    <w:lvl w:ilvl="7" w:tplc="21AE575C">
      <w:numFmt w:val="bullet"/>
      <w:lvlText w:val="•"/>
      <w:lvlJc w:val="left"/>
      <w:pPr>
        <w:ind w:left="7253" w:hanging="363"/>
      </w:pPr>
      <w:rPr>
        <w:lang w:val="en-US" w:eastAsia="en-US" w:bidi="ar-SA"/>
      </w:rPr>
    </w:lvl>
    <w:lvl w:ilvl="8" w:tplc="E910953E">
      <w:numFmt w:val="bullet"/>
      <w:lvlText w:val="•"/>
      <w:lvlJc w:val="left"/>
      <w:pPr>
        <w:ind w:left="8172" w:hanging="363"/>
      </w:pPr>
      <w:rPr>
        <w:lang w:val="en-US" w:eastAsia="en-US" w:bidi="ar-SA"/>
      </w:rPr>
    </w:lvl>
  </w:abstractNum>
  <w:abstractNum w:abstractNumId="49" w15:restartNumberingAfterBreak="0">
    <w:nsid w:val="5DF8AD1C"/>
    <w:multiLevelType w:val="hybridMultilevel"/>
    <w:tmpl w:val="FFFFFFFF"/>
    <w:lvl w:ilvl="0" w:tplc="9948F0A2">
      <w:start w:val="1"/>
      <w:numFmt w:val="bullet"/>
      <w:lvlText w:val="-"/>
      <w:lvlJc w:val="left"/>
      <w:pPr>
        <w:ind w:left="388" w:hanging="360"/>
      </w:pPr>
      <w:rPr>
        <w:rFonts w:ascii="Aptos" w:hAnsi="Aptos" w:hint="default"/>
      </w:rPr>
    </w:lvl>
    <w:lvl w:ilvl="1" w:tplc="28D8496C">
      <w:start w:val="1"/>
      <w:numFmt w:val="bullet"/>
      <w:lvlText w:val="o"/>
      <w:lvlJc w:val="left"/>
      <w:pPr>
        <w:ind w:left="1108" w:hanging="360"/>
      </w:pPr>
      <w:rPr>
        <w:rFonts w:ascii="Courier New" w:hAnsi="Courier New" w:hint="default"/>
      </w:rPr>
    </w:lvl>
    <w:lvl w:ilvl="2" w:tplc="08B2F068">
      <w:start w:val="1"/>
      <w:numFmt w:val="bullet"/>
      <w:lvlText w:val=""/>
      <w:lvlJc w:val="left"/>
      <w:pPr>
        <w:ind w:left="1828" w:hanging="360"/>
      </w:pPr>
      <w:rPr>
        <w:rFonts w:ascii="Wingdings" w:hAnsi="Wingdings" w:hint="default"/>
      </w:rPr>
    </w:lvl>
    <w:lvl w:ilvl="3" w:tplc="7C3EE34C">
      <w:start w:val="1"/>
      <w:numFmt w:val="bullet"/>
      <w:lvlText w:val=""/>
      <w:lvlJc w:val="left"/>
      <w:pPr>
        <w:ind w:left="2548" w:hanging="360"/>
      </w:pPr>
      <w:rPr>
        <w:rFonts w:ascii="Symbol" w:hAnsi="Symbol" w:hint="default"/>
      </w:rPr>
    </w:lvl>
    <w:lvl w:ilvl="4" w:tplc="7ECCD6A6">
      <w:start w:val="1"/>
      <w:numFmt w:val="bullet"/>
      <w:lvlText w:val="o"/>
      <w:lvlJc w:val="left"/>
      <w:pPr>
        <w:ind w:left="3268" w:hanging="360"/>
      </w:pPr>
      <w:rPr>
        <w:rFonts w:ascii="Courier New" w:hAnsi="Courier New" w:hint="default"/>
      </w:rPr>
    </w:lvl>
    <w:lvl w:ilvl="5" w:tplc="4FD4F3C0">
      <w:start w:val="1"/>
      <w:numFmt w:val="bullet"/>
      <w:lvlText w:val=""/>
      <w:lvlJc w:val="left"/>
      <w:pPr>
        <w:ind w:left="3988" w:hanging="360"/>
      </w:pPr>
      <w:rPr>
        <w:rFonts w:ascii="Wingdings" w:hAnsi="Wingdings" w:hint="default"/>
      </w:rPr>
    </w:lvl>
    <w:lvl w:ilvl="6" w:tplc="D472C5C2">
      <w:start w:val="1"/>
      <w:numFmt w:val="bullet"/>
      <w:lvlText w:val=""/>
      <w:lvlJc w:val="left"/>
      <w:pPr>
        <w:ind w:left="4708" w:hanging="360"/>
      </w:pPr>
      <w:rPr>
        <w:rFonts w:ascii="Symbol" w:hAnsi="Symbol" w:hint="default"/>
      </w:rPr>
    </w:lvl>
    <w:lvl w:ilvl="7" w:tplc="20E8C60A">
      <w:start w:val="1"/>
      <w:numFmt w:val="bullet"/>
      <w:lvlText w:val="o"/>
      <w:lvlJc w:val="left"/>
      <w:pPr>
        <w:ind w:left="5428" w:hanging="360"/>
      </w:pPr>
      <w:rPr>
        <w:rFonts w:ascii="Courier New" w:hAnsi="Courier New" w:hint="default"/>
      </w:rPr>
    </w:lvl>
    <w:lvl w:ilvl="8" w:tplc="108E781C">
      <w:start w:val="1"/>
      <w:numFmt w:val="bullet"/>
      <w:lvlText w:val=""/>
      <w:lvlJc w:val="left"/>
      <w:pPr>
        <w:ind w:left="6148" w:hanging="360"/>
      </w:pPr>
      <w:rPr>
        <w:rFonts w:ascii="Wingdings" w:hAnsi="Wingdings" w:hint="default"/>
      </w:rPr>
    </w:lvl>
  </w:abstractNum>
  <w:abstractNum w:abstractNumId="50" w15:restartNumberingAfterBreak="0">
    <w:nsid w:val="60877611"/>
    <w:multiLevelType w:val="hybridMultilevel"/>
    <w:tmpl w:val="66A09786"/>
    <w:lvl w:ilvl="0" w:tplc="18090001">
      <w:start w:val="1"/>
      <w:numFmt w:val="bullet"/>
      <w:lvlText w:val=""/>
      <w:lvlJc w:val="left"/>
      <w:pPr>
        <w:ind w:left="940" w:hanging="360"/>
      </w:pPr>
      <w:rPr>
        <w:rFonts w:ascii="Symbol" w:hAnsi="Symbol" w:hint="default"/>
      </w:rPr>
    </w:lvl>
    <w:lvl w:ilvl="1" w:tplc="18090003" w:tentative="1">
      <w:start w:val="1"/>
      <w:numFmt w:val="bullet"/>
      <w:lvlText w:val="o"/>
      <w:lvlJc w:val="left"/>
      <w:pPr>
        <w:ind w:left="1660" w:hanging="360"/>
      </w:pPr>
      <w:rPr>
        <w:rFonts w:ascii="Courier New" w:hAnsi="Courier New" w:cs="Courier New" w:hint="default"/>
      </w:rPr>
    </w:lvl>
    <w:lvl w:ilvl="2" w:tplc="18090005" w:tentative="1">
      <w:start w:val="1"/>
      <w:numFmt w:val="bullet"/>
      <w:lvlText w:val=""/>
      <w:lvlJc w:val="left"/>
      <w:pPr>
        <w:ind w:left="2380" w:hanging="360"/>
      </w:pPr>
      <w:rPr>
        <w:rFonts w:ascii="Wingdings" w:hAnsi="Wingdings" w:hint="default"/>
      </w:rPr>
    </w:lvl>
    <w:lvl w:ilvl="3" w:tplc="18090001" w:tentative="1">
      <w:start w:val="1"/>
      <w:numFmt w:val="bullet"/>
      <w:lvlText w:val=""/>
      <w:lvlJc w:val="left"/>
      <w:pPr>
        <w:ind w:left="3100" w:hanging="360"/>
      </w:pPr>
      <w:rPr>
        <w:rFonts w:ascii="Symbol" w:hAnsi="Symbol" w:hint="default"/>
      </w:rPr>
    </w:lvl>
    <w:lvl w:ilvl="4" w:tplc="18090003" w:tentative="1">
      <w:start w:val="1"/>
      <w:numFmt w:val="bullet"/>
      <w:lvlText w:val="o"/>
      <w:lvlJc w:val="left"/>
      <w:pPr>
        <w:ind w:left="3820" w:hanging="360"/>
      </w:pPr>
      <w:rPr>
        <w:rFonts w:ascii="Courier New" w:hAnsi="Courier New" w:cs="Courier New" w:hint="default"/>
      </w:rPr>
    </w:lvl>
    <w:lvl w:ilvl="5" w:tplc="18090005" w:tentative="1">
      <w:start w:val="1"/>
      <w:numFmt w:val="bullet"/>
      <w:lvlText w:val=""/>
      <w:lvlJc w:val="left"/>
      <w:pPr>
        <w:ind w:left="4540" w:hanging="360"/>
      </w:pPr>
      <w:rPr>
        <w:rFonts w:ascii="Wingdings" w:hAnsi="Wingdings" w:hint="default"/>
      </w:rPr>
    </w:lvl>
    <w:lvl w:ilvl="6" w:tplc="18090001" w:tentative="1">
      <w:start w:val="1"/>
      <w:numFmt w:val="bullet"/>
      <w:lvlText w:val=""/>
      <w:lvlJc w:val="left"/>
      <w:pPr>
        <w:ind w:left="5260" w:hanging="360"/>
      </w:pPr>
      <w:rPr>
        <w:rFonts w:ascii="Symbol" w:hAnsi="Symbol" w:hint="default"/>
      </w:rPr>
    </w:lvl>
    <w:lvl w:ilvl="7" w:tplc="18090003" w:tentative="1">
      <w:start w:val="1"/>
      <w:numFmt w:val="bullet"/>
      <w:lvlText w:val="o"/>
      <w:lvlJc w:val="left"/>
      <w:pPr>
        <w:ind w:left="5980" w:hanging="360"/>
      </w:pPr>
      <w:rPr>
        <w:rFonts w:ascii="Courier New" w:hAnsi="Courier New" w:cs="Courier New" w:hint="default"/>
      </w:rPr>
    </w:lvl>
    <w:lvl w:ilvl="8" w:tplc="18090005" w:tentative="1">
      <w:start w:val="1"/>
      <w:numFmt w:val="bullet"/>
      <w:lvlText w:val=""/>
      <w:lvlJc w:val="left"/>
      <w:pPr>
        <w:ind w:left="6700" w:hanging="360"/>
      </w:pPr>
      <w:rPr>
        <w:rFonts w:ascii="Wingdings" w:hAnsi="Wingdings" w:hint="default"/>
      </w:rPr>
    </w:lvl>
  </w:abstractNum>
  <w:abstractNum w:abstractNumId="51" w15:restartNumberingAfterBreak="0">
    <w:nsid w:val="64D9166B"/>
    <w:multiLevelType w:val="hybridMultilevel"/>
    <w:tmpl w:val="694611C8"/>
    <w:lvl w:ilvl="0" w:tplc="F18632D0">
      <w:numFmt w:val="bullet"/>
      <w:lvlText w:val=""/>
      <w:lvlJc w:val="left"/>
      <w:pPr>
        <w:ind w:left="391" w:hanging="252"/>
      </w:pPr>
      <w:rPr>
        <w:rFonts w:ascii="Symbol" w:hAnsi="Symbol" w:hint="default"/>
        <w:w w:val="99"/>
        <w:sz w:val="19"/>
        <w:szCs w:val="19"/>
        <w:lang w:val="en-US" w:eastAsia="en-US" w:bidi="ar-SA"/>
      </w:rPr>
    </w:lvl>
    <w:lvl w:ilvl="1" w:tplc="A0428EA6">
      <w:numFmt w:val="bullet"/>
      <w:lvlText w:val="•"/>
      <w:lvlJc w:val="left"/>
      <w:pPr>
        <w:ind w:left="795" w:hanging="252"/>
      </w:pPr>
      <w:rPr>
        <w:lang w:val="en-US" w:eastAsia="en-US" w:bidi="ar-SA"/>
      </w:rPr>
    </w:lvl>
    <w:lvl w:ilvl="2" w:tplc="E4EAA686">
      <w:numFmt w:val="bullet"/>
      <w:lvlText w:val="•"/>
      <w:lvlJc w:val="left"/>
      <w:pPr>
        <w:ind w:left="1190" w:hanging="252"/>
      </w:pPr>
      <w:rPr>
        <w:lang w:val="en-US" w:eastAsia="en-US" w:bidi="ar-SA"/>
      </w:rPr>
    </w:lvl>
    <w:lvl w:ilvl="3" w:tplc="DA2E9062">
      <w:numFmt w:val="bullet"/>
      <w:lvlText w:val="•"/>
      <w:lvlJc w:val="left"/>
      <w:pPr>
        <w:ind w:left="1585" w:hanging="252"/>
      </w:pPr>
      <w:rPr>
        <w:lang w:val="en-US" w:eastAsia="en-US" w:bidi="ar-SA"/>
      </w:rPr>
    </w:lvl>
    <w:lvl w:ilvl="4" w:tplc="7200D984">
      <w:numFmt w:val="bullet"/>
      <w:lvlText w:val="•"/>
      <w:lvlJc w:val="left"/>
      <w:pPr>
        <w:ind w:left="1980" w:hanging="252"/>
      </w:pPr>
      <w:rPr>
        <w:lang w:val="en-US" w:eastAsia="en-US" w:bidi="ar-SA"/>
      </w:rPr>
    </w:lvl>
    <w:lvl w:ilvl="5" w:tplc="4CFCC7EC">
      <w:numFmt w:val="bullet"/>
      <w:lvlText w:val="•"/>
      <w:lvlJc w:val="left"/>
      <w:pPr>
        <w:ind w:left="2375" w:hanging="252"/>
      </w:pPr>
      <w:rPr>
        <w:lang w:val="en-US" w:eastAsia="en-US" w:bidi="ar-SA"/>
      </w:rPr>
    </w:lvl>
    <w:lvl w:ilvl="6" w:tplc="3502F544">
      <w:numFmt w:val="bullet"/>
      <w:lvlText w:val="•"/>
      <w:lvlJc w:val="left"/>
      <w:pPr>
        <w:ind w:left="2770" w:hanging="252"/>
      </w:pPr>
      <w:rPr>
        <w:lang w:val="en-US" w:eastAsia="en-US" w:bidi="ar-SA"/>
      </w:rPr>
    </w:lvl>
    <w:lvl w:ilvl="7" w:tplc="BFD260C0">
      <w:numFmt w:val="bullet"/>
      <w:lvlText w:val="•"/>
      <w:lvlJc w:val="left"/>
      <w:pPr>
        <w:ind w:left="3165" w:hanging="252"/>
      </w:pPr>
      <w:rPr>
        <w:lang w:val="en-US" w:eastAsia="en-US" w:bidi="ar-SA"/>
      </w:rPr>
    </w:lvl>
    <w:lvl w:ilvl="8" w:tplc="2020C1AE">
      <w:numFmt w:val="bullet"/>
      <w:lvlText w:val="•"/>
      <w:lvlJc w:val="left"/>
      <w:pPr>
        <w:ind w:left="3560" w:hanging="252"/>
      </w:pPr>
      <w:rPr>
        <w:lang w:val="en-US" w:eastAsia="en-US" w:bidi="ar-SA"/>
      </w:rPr>
    </w:lvl>
  </w:abstractNum>
  <w:abstractNum w:abstractNumId="52" w15:restartNumberingAfterBreak="0">
    <w:nsid w:val="698A4FDE"/>
    <w:multiLevelType w:val="hybridMultilevel"/>
    <w:tmpl w:val="01F6B574"/>
    <w:lvl w:ilvl="0" w:tplc="D3F8924E">
      <w:start w:val="1"/>
      <w:numFmt w:val="bullet"/>
      <w:lvlText w:val="-"/>
      <w:lvlJc w:val="left"/>
      <w:pPr>
        <w:ind w:left="720" w:hanging="360"/>
      </w:pPr>
      <w:rPr>
        <w:rFonts w:ascii="Aptos" w:hAnsi="Aptos" w:hint="default"/>
      </w:rPr>
    </w:lvl>
    <w:lvl w:ilvl="1" w:tplc="3C9A5F12">
      <w:start w:val="1"/>
      <w:numFmt w:val="bullet"/>
      <w:lvlText w:val="o"/>
      <w:lvlJc w:val="left"/>
      <w:pPr>
        <w:ind w:left="1440" w:hanging="360"/>
      </w:pPr>
      <w:rPr>
        <w:rFonts w:ascii="Courier New" w:hAnsi="Courier New" w:hint="default"/>
      </w:rPr>
    </w:lvl>
    <w:lvl w:ilvl="2" w:tplc="915E33A0">
      <w:start w:val="1"/>
      <w:numFmt w:val="bullet"/>
      <w:lvlText w:val=""/>
      <w:lvlJc w:val="left"/>
      <w:pPr>
        <w:ind w:left="2160" w:hanging="360"/>
      </w:pPr>
      <w:rPr>
        <w:rFonts w:ascii="Wingdings" w:hAnsi="Wingdings" w:hint="default"/>
      </w:rPr>
    </w:lvl>
    <w:lvl w:ilvl="3" w:tplc="DB24B3B8">
      <w:start w:val="1"/>
      <w:numFmt w:val="bullet"/>
      <w:lvlText w:val=""/>
      <w:lvlJc w:val="left"/>
      <w:pPr>
        <w:ind w:left="2880" w:hanging="360"/>
      </w:pPr>
      <w:rPr>
        <w:rFonts w:ascii="Symbol" w:hAnsi="Symbol" w:hint="default"/>
      </w:rPr>
    </w:lvl>
    <w:lvl w:ilvl="4" w:tplc="12906EA0">
      <w:start w:val="1"/>
      <w:numFmt w:val="bullet"/>
      <w:lvlText w:val="o"/>
      <w:lvlJc w:val="left"/>
      <w:pPr>
        <w:ind w:left="3600" w:hanging="360"/>
      </w:pPr>
      <w:rPr>
        <w:rFonts w:ascii="Courier New" w:hAnsi="Courier New" w:hint="default"/>
      </w:rPr>
    </w:lvl>
    <w:lvl w:ilvl="5" w:tplc="6FF48274">
      <w:start w:val="1"/>
      <w:numFmt w:val="bullet"/>
      <w:lvlText w:val=""/>
      <w:lvlJc w:val="left"/>
      <w:pPr>
        <w:ind w:left="4320" w:hanging="360"/>
      </w:pPr>
      <w:rPr>
        <w:rFonts w:ascii="Wingdings" w:hAnsi="Wingdings" w:hint="default"/>
      </w:rPr>
    </w:lvl>
    <w:lvl w:ilvl="6" w:tplc="352AFBAE">
      <w:start w:val="1"/>
      <w:numFmt w:val="bullet"/>
      <w:lvlText w:val=""/>
      <w:lvlJc w:val="left"/>
      <w:pPr>
        <w:ind w:left="5040" w:hanging="360"/>
      </w:pPr>
      <w:rPr>
        <w:rFonts w:ascii="Symbol" w:hAnsi="Symbol" w:hint="default"/>
      </w:rPr>
    </w:lvl>
    <w:lvl w:ilvl="7" w:tplc="00261272">
      <w:start w:val="1"/>
      <w:numFmt w:val="bullet"/>
      <w:lvlText w:val="o"/>
      <w:lvlJc w:val="left"/>
      <w:pPr>
        <w:ind w:left="5760" w:hanging="360"/>
      </w:pPr>
      <w:rPr>
        <w:rFonts w:ascii="Courier New" w:hAnsi="Courier New" w:hint="default"/>
      </w:rPr>
    </w:lvl>
    <w:lvl w:ilvl="8" w:tplc="FDD476C0">
      <w:start w:val="1"/>
      <w:numFmt w:val="bullet"/>
      <w:lvlText w:val=""/>
      <w:lvlJc w:val="left"/>
      <w:pPr>
        <w:ind w:left="6480" w:hanging="360"/>
      </w:pPr>
      <w:rPr>
        <w:rFonts w:ascii="Wingdings" w:hAnsi="Wingdings" w:hint="default"/>
      </w:rPr>
    </w:lvl>
  </w:abstractNum>
  <w:abstractNum w:abstractNumId="53" w15:restartNumberingAfterBreak="0">
    <w:nsid w:val="6AB57A6E"/>
    <w:multiLevelType w:val="hybridMultilevel"/>
    <w:tmpl w:val="6558804C"/>
    <w:lvl w:ilvl="0" w:tplc="18090001">
      <w:start w:val="1"/>
      <w:numFmt w:val="bullet"/>
      <w:lvlText w:val=""/>
      <w:lvlJc w:val="left"/>
      <w:pPr>
        <w:ind w:left="940" w:hanging="360"/>
      </w:pPr>
      <w:rPr>
        <w:rFonts w:ascii="Symbol" w:hAnsi="Symbol" w:hint="default"/>
      </w:rPr>
    </w:lvl>
    <w:lvl w:ilvl="1" w:tplc="18090003" w:tentative="1">
      <w:start w:val="1"/>
      <w:numFmt w:val="bullet"/>
      <w:lvlText w:val="o"/>
      <w:lvlJc w:val="left"/>
      <w:pPr>
        <w:ind w:left="1660" w:hanging="360"/>
      </w:pPr>
      <w:rPr>
        <w:rFonts w:ascii="Courier New" w:hAnsi="Courier New" w:cs="Courier New" w:hint="default"/>
      </w:rPr>
    </w:lvl>
    <w:lvl w:ilvl="2" w:tplc="18090005" w:tentative="1">
      <w:start w:val="1"/>
      <w:numFmt w:val="bullet"/>
      <w:lvlText w:val=""/>
      <w:lvlJc w:val="left"/>
      <w:pPr>
        <w:ind w:left="2380" w:hanging="360"/>
      </w:pPr>
      <w:rPr>
        <w:rFonts w:ascii="Wingdings" w:hAnsi="Wingdings" w:hint="default"/>
      </w:rPr>
    </w:lvl>
    <w:lvl w:ilvl="3" w:tplc="18090001" w:tentative="1">
      <w:start w:val="1"/>
      <w:numFmt w:val="bullet"/>
      <w:lvlText w:val=""/>
      <w:lvlJc w:val="left"/>
      <w:pPr>
        <w:ind w:left="3100" w:hanging="360"/>
      </w:pPr>
      <w:rPr>
        <w:rFonts w:ascii="Symbol" w:hAnsi="Symbol" w:hint="default"/>
      </w:rPr>
    </w:lvl>
    <w:lvl w:ilvl="4" w:tplc="18090003" w:tentative="1">
      <w:start w:val="1"/>
      <w:numFmt w:val="bullet"/>
      <w:lvlText w:val="o"/>
      <w:lvlJc w:val="left"/>
      <w:pPr>
        <w:ind w:left="3820" w:hanging="360"/>
      </w:pPr>
      <w:rPr>
        <w:rFonts w:ascii="Courier New" w:hAnsi="Courier New" w:cs="Courier New" w:hint="default"/>
      </w:rPr>
    </w:lvl>
    <w:lvl w:ilvl="5" w:tplc="18090005" w:tentative="1">
      <w:start w:val="1"/>
      <w:numFmt w:val="bullet"/>
      <w:lvlText w:val=""/>
      <w:lvlJc w:val="left"/>
      <w:pPr>
        <w:ind w:left="4540" w:hanging="360"/>
      </w:pPr>
      <w:rPr>
        <w:rFonts w:ascii="Wingdings" w:hAnsi="Wingdings" w:hint="default"/>
      </w:rPr>
    </w:lvl>
    <w:lvl w:ilvl="6" w:tplc="18090001" w:tentative="1">
      <w:start w:val="1"/>
      <w:numFmt w:val="bullet"/>
      <w:lvlText w:val=""/>
      <w:lvlJc w:val="left"/>
      <w:pPr>
        <w:ind w:left="5260" w:hanging="360"/>
      </w:pPr>
      <w:rPr>
        <w:rFonts w:ascii="Symbol" w:hAnsi="Symbol" w:hint="default"/>
      </w:rPr>
    </w:lvl>
    <w:lvl w:ilvl="7" w:tplc="18090003" w:tentative="1">
      <w:start w:val="1"/>
      <w:numFmt w:val="bullet"/>
      <w:lvlText w:val="o"/>
      <w:lvlJc w:val="left"/>
      <w:pPr>
        <w:ind w:left="5980" w:hanging="360"/>
      </w:pPr>
      <w:rPr>
        <w:rFonts w:ascii="Courier New" w:hAnsi="Courier New" w:cs="Courier New" w:hint="default"/>
      </w:rPr>
    </w:lvl>
    <w:lvl w:ilvl="8" w:tplc="18090005" w:tentative="1">
      <w:start w:val="1"/>
      <w:numFmt w:val="bullet"/>
      <w:lvlText w:val=""/>
      <w:lvlJc w:val="left"/>
      <w:pPr>
        <w:ind w:left="6700" w:hanging="360"/>
      </w:pPr>
      <w:rPr>
        <w:rFonts w:ascii="Wingdings" w:hAnsi="Wingdings" w:hint="default"/>
      </w:rPr>
    </w:lvl>
  </w:abstractNum>
  <w:abstractNum w:abstractNumId="54" w15:restartNumberingAfterBreak="0">
    <w:nsid w:val="6C00ED6D"/>
    <w:multiLevelType w:val="hybridMultilevel"/>
    <w:tmpl w:val="A3EC22B6"/>
    <w:lvl w:ilvl="0" w:tplc="F25EA81C">
      <w:start w:val="1"/>
      <w:numFmt w:val="bullet"/>
      <w:lvlText w:val="-"/>
      <w:lvlJc w:val="left"/>
      <w:pPr>
        <w:ind w:left="720" w:hanging="360"/>
      </w:pPr>
      <w:rPr>
        <w:rFonts w:ascii="Aptos" w:hAnsi="Aptos" w:hint="default"/>
      </w:rPr>
    </w:lvl>
    <w:lvl w:ilvl="1" w:tplc="DCD807FA">
      <w:start w:val="1"/>
      <w:numFmt w:val="bullet"/>
      <w:lvlText w:val="o"/>
      <w:lvlJc w:val="left"/>
      <w:pPr>
        <w:ind w:left="1440" w:hanging="360"/>
      </w:pPr>
      <w:rPr>
        <w:rFonts w:ascii="Courier New" w:hAnsi="Courier New" w:hint="default"/>
      </w:rPr>
    </w:lvl>
    <w:lvl w:ilvl="2" w:tplc="443055EC">
      <w:start w:val="1"/>
      <w:numFmt w:val="bullet"/>
      <w:lvlText w:val=""/>
      <w:lvlJc w:val="left"/>
      <w:pPr>
        <w:ind w:left="2160" w:hanging="360"/>
      </w:pPr>
      <w:rPr>
        <w:rFonts w:ascii="Wingdings" w:hAnsi="Wingdings" w:hint="default"/>
      </w:rPr>
    </w:lvl>
    <w:lvl w:ilvl="3" w:tplc="C088D7C4">
      <w:start w:val="1"/>
      <w:numFmt w:val="bullet"/>
      <w:lvlText w:val=""/>
      <w:lvlJc w:val="left"/>
      <w:pPr>
        <w:ind w:left="2880" w:hanging="360"/>
      </w:pPr>
      <w:rPr>
        <w:rFonts w:ascii="Symbol" w:hAnsi="Symbol" w:hint="default"/>
      </w:rPr>
    </w:lvl>
    <w:lvl w:ilvl="4" w:tplc="3B14DA22">
      <w:start w:val="1"/>
      <w:numFmt w:val="bullet"/>
      <w:lvlText w:val="o"/>
      <w:lvlJc w:val="left"/>
      <w:pPr>
        <w:ind w:left="3600" w:hanging="360"/>
      </w:pPr>
      <w:rPr>
        <w:rFonts w:ascii="Courier New" w:hAnsi="Courier New" w:hint="default"/>
      </w:rPr>
    </w:lvl>
    <w:lvl w:ilvl="5" w:tplc="F7447948">
      <w:start w:val="1"/>
      <w:numFmt w:val="bullet"/>
      <w:lvlText w:val=""/>
      <w:lvlJc w:val="left"/>
      <w:pPr>
        <w:ind w:left="4320" w:hanging="360"/>
      </w:pPr>
      <w:rPr>
        <w:rFonts w:ascii="Wingdings" w:hAnsi="Wingdings" w:hint="default"/>
      </w:rPr>
    </w:lvl>
    <w:lvl w:ilvl="6" w:tplc="353837DE">
      <w:start w:val="1"/>
      <w:numFmt w:val="bullet"/>
      <w:lvlText w:val=""/>
      <w:lvlJc w:val="left"/>
      <w:pPr>
        <w:ind w:left="5040" w:hanging="360"/>
      </w:pPr>
      <w:rPr>
        <w:rFonts w:ascii="Symbol" w:hAnsi="Symbol" w:hint="default"/>
      </w:rPr>
    </w:lvl>
    <w:lvl w:ilvl="7" w:tplc="8D8A5140">
      <w:start w:val="1"/>
      <w:numFmt w:val="bullet"/>
      <w:lvlText w:val="o"/>
      <w:lvlJc w:val="left"/>
      <w:pPr>
        <w:ind w:left="5760" w:hanging="360"/>
      </w:pPr>
      <w:rPr>
        <w:rFonts w:ascii="Courier New" w:hAnsi="Courier New" w:hint="default"/>
      </w:rPr>
    </w:lvl>
    <w:lvl w:ilvl="8" w:tplc="89E6C106">
      <w:start w:val="1"/>
      <w:numFmt w:val="bullet"/>
      <w:lvlText w:val=""/>
      <w:lvlJc w:val="left"/>
      <w:pPr>
        <w:ind w:left="6480" w:hanging="360"/>
      </w:pPr>
      <w:rPr>
        <w:rFonts w:ascii="Wingdings" w:hAnsi="Wingdings" w:hint="default"/>
      </w:rPr>
    </w:lvl>
  </w:abstractNum>
  <w:abstractNum w:abstractNumId="55" w15:restartNumberingAfterBreak="0">
    <w:nsid w:val="7564BB90"/>
    <w:multiLevelType w:val="hybridMultilevel"/>
    <w:tmpl w:val="4CEEC0E6"/>
    <w:lvl w:ilvl="0" w:tplc="E2A8E2C2">
      <w:start w:val="1"/>
      <w:numFmt w:val="bullet"/>
      <w:lvlText w:val="-"/>
      <w:lvlJc w:val="left"/>
      <w:pPr>
        <w:ind w:left="720" w:hanging="360"/>
      </w:pPr>
      <w:rPr>
        <w:rFonts w:ascii="Aptos" w:hAnsi="Aptos" w:hint="default"/>
      </w:rPr>
    </w:lvl>
    <w:lvl w:ilvl="1" w:tplc="DB1439BE">
      <w:start w:val="1"/>
      <w:numFmt w:val="bullet"/>
      <w:lvlText w:val="o"/>
      <w:lvlJc w:val="left"/>
      <w:pPr>
        <w:ind w:left="1440" w:hanging="360"/>
      </w:pPr>
      <w:rPr>
        <w:rFonts w:ascii="Courier New" w:hAnsi="Courier New" w:hint="default"/>
      </w:rPr>
    </w:lvl>
    <w:lvl w:ilvl="2" w:tplc="9B6E4EF4">
      <w:start w:val="1"/>
      <w:numFmt w:val="bullet"/>
      <w:lvlText w:val=""/>
      <w:lvlJc w:val="left"/>
      <w:pPr>
        <w:ind w:left="2160" w:hanging="360"/>
      </w:pPr>
      <w:rPr>
        <w:rFonts w:ascii="Wingdings" w:hAnsi="Wingdings" w:hint="default"/>
      </w:rPr>
    </w:lvl>
    <w:lvl w:ilvl="3" w:tplc="6C822868">
      <w:start w:val="1"/>
      <w:numFmt w:val="bullet"/>
      <w:lvlText w:val=""/>
      <w:lvlJc w:val="left"/>
      <w:pPr>
        <w:ind w:left="2880" w:hanging="360"/>
      </w:pPr>
      <w:rPr>
        <w:rFonts w:ascii="Symbol" w:hAnsi="Symbol" w:hint="default"/>
      </w:rPr>
    </w:lvl>
    <w:lvl w:ilvl="4" w:tplc="A9EC71B8">
      <w:start w:val="1"/>
      <w:numFmt w:val="bullet"/>
      <w:lvlText w:val="o"/>
      <w:lvlJc w:val="left"/>
      <w:pPr>
        <w:ind w:left="3600" w:hanging="360"/>
      </w:pPr>
      <w:rPr>
        <w:rFonts w:ascii="Courier New" w:hAnsi="Courier New" w:hint="default"/>
      </w:rPr>
    </w:lvl>
    <w:lvl w:ilvl="5" w:tplc="FCD87024">
      <w:start w:val="1"/>
      <w:numFmt w:val="bullet"/>
      <w:lvlText w:val=""/>
      <w:lvlJc w:val="left"/>
      <w:pPr>
        <w:ind w:left="4320" w:hanging="360"/>
      </w:pPr>
      <w:rPr>
        <w:rFonts w:ascii="Wingdings" w:hAnsi="Wingdings" w:hint="default"/>
      </w:rPr>
    </w:lvl>
    <w:lvl w:ilvl="6" w:tplc="8BC80F5C">
      <w:start w:val="1"/>
      <w:numFmt w:val="bullet"/>
      <w:lvlText w:val=""/>
      <w:lvlJc w:val="left"/>
      <w:pPr>
        <w:ind w:left="5040" w:hanging="360"/>
      </w:pPr>
      <w:rPr>
        <w:rFonts w:ascii="Symbol" w:hAnsi="Symbol" w:hint="default"/>
      </w:rPr>
    </w:lvl>
    <w:lvl w:ilvl="7" w:tplc="A54E0FE6">
      <w:start w:val="1"/>
      <w:numFmt w:val="bullet"/>
      <w:lvlText w:val="o"/>
      <w:lvlJc w:val="left"/>
      <w:pPr>
        <w:ind w:left="5760" w:hanging="360"/>
      </w:pPr>
      <w:rPr>
        <w:rFonts w:ascii="Courier New" w:hAnsi="Courier New" w:hint="default"/>
      </w:rPr>
    </w:lvl>
    <w:lvl w:ilvl="8" w:tplc="50762664">
      <w:start w:val="1"/>
      <w:numFmt w:val="bullet"/>
      <w:lvlText w:val=""/>
      <w:lvlJc w:val="left"/>
      <w:pPr>
        <w:ind w:left="6480" w:hanging="360"/>
      </w:pPr>
      <w:rPr>
        <w:rFonts w:ascii="Wingdings" w:hAnsi="Wingdings" w:hint="default"/>
      </w:rPr>
    </w:lvl>
  </w:abstractNum>
  <w:abstractNum w:abstractNumId="56" w15:restartNumberingAfterBreak="0">
    <w:nsid w:val="758950E3"/>
    <w:multiLevelType w:val="hybridMultilevel"/>
    <w:tmpl w:val="CB121AB8"/>
    <w:lvl w:ilvl="0" w:tplc="9AC28A1C">
      <w:numFmt w:val="bullet"/>
      <w:lvlText w:val=""/>
      <w:lvlJc w:val="left"/>
      <w:pPr>
        <w:ind w:left="463" w:hanging="286"/>
      </w:pPr>
      <w:rPr>
        <w:rFonts w:ascii="Symbol" w:hAnsi="Symbol" w:hint="default"/>
        <w:w w:val="100"/>
        <w:sz w:val="18"/>
        <w:szCs w:val="18"/>
        <w:lang w:val="en-US" w:eastAsia="en-US" w:bidi="ar-SA"/>
      </w:rPr>
    </w:lvl>
    <w:lvl w:ilvl="1" w:tplc="C31A751E">
      <w:numFmt w:val="bullet"/>
      <w:lvlText w:val="•"/>
      <w:lvlJc w:val="left"/>
      <w:pPr>
        <w:ind w:left="849" w:hanging="286"/>
      </w:pPr>
      <w:rPr>
        <w:lang w:val="en-US" w:eastAsia="en-US" w:bidi="ar-SA"/>
      </w:rPr>
    </w:lvl>
    <w:lvl w:ilvl="2" w:tplc="A23690BA">
      <w:numFmt w:val="bullet"/>
      <w:lvlText w:val="•"/>
      <w:lvlJc w:val="left"/>
      <w:pPr>
        <w:ind w:left="1238" w:hanging="286"/>
      </w:pPr>
      <w:rPr>
        <w:lang w:val="en-US" w:eastAsia="en-US" w:bidi="ar-SA"/>
      </w:rPr>
    </w:lvl>
    <w:lvl w:ilvl="3" w:tplc="A7FC191A">
      <w:numFmt w:val="bullet"/>
      <w:lvlText w:val="•"/>
      <w:lvlJc w:val="left"/>
      <w:pPr>
        <w:ind w:left="1627" w:hanging="286"/>
      </w:pPr>
      <w:rPr>
        <w:lang w:val="en-US" w:eastAsia="en-US" w:bidi="ar-SA"/>
      </w:rPr>
    </w:lvl>
    <w:lvl w:ilvl="4" w:tplc="7348FB10">
      <w:numFmt w:val="bullet"/>
      <w:lvlText w:val="•"/>
      <w:lvlJc w:val="left"/>
      <w:pPr>
        <w:ind w:left="2016" w:hanging="286"/>
      </w:pPr>
      <w:rPr>
        <w:lang w:val="en-US" w:eastAsia="en-US" w:bidi="ar-SA"/>
      </w:rPr>
    </w:lvl>
    <w:lvl w:ilvl="5" w:tplc="5A6695A8">
      <w:numFmt w:val="bullet"/>
      <w:lvlText w:val="•"/>
      <w:lvlJc w:val="left"/>
      <w:pPr>
        <w:ind w:left="2405" w:hanging="286"/>
      </w:pPr>
      <w:rPr>
        <w:lang w:val="en-US" w:eastAsia="en-US" w:bidi="ar-SA"/>
      </w:rPr>
    </w:lvl>
    <w:lvl w:ilvl="6" w:tplc="EB8289D0">
      <w:numFmt w:val="bullet"/>
      <w:lvlText w:val="•"/>
      <w:lvlJc w:val="left"/>
      <w:pPr>
        <w:ind w:left="2794" w:hanging="286"/>
      </w:pPr>
      <w:rPr>
        <w:lang w:val="en-US" w:eastAsia="en-US" w:bidi="ar-SA"/>
      </w:rPr>
    </w:lvl>
    <w:lvl w:ilvl="7" w:tplc="57605D6A">
      <w:numFmt w:val="bullet"/>
      <w:lvlText w:val="•"/>
      <w:lvlJc w:val="left"/>
      <w:pPr>
        <w:ind w:left="3183" w:hanging="286"/>
      </w:pPr>
      <w:rPr>
        <w:lang w:val="en-US" w:eastAsia="en-US" w:bidi="ar-SA"/>
      </w:rPr>
    </w:lvl>
    <w:lvl w:ilvl="8" w:tplc="22CEAF88">
      <w:numFmt w:val="bullet"/>
      <w:lvlText w:val="•"/>
      <w:lvlJc w:val="left"/>
      <w:pPr>
        <w:ind w:left="3572" w:hanging="286"/>
      </w:pPr>
      <w:rPr>
        <w:lang w:val="en-US" w:eastAsia="en-US" w:bidi="ar-SA"/>
      </w:rPr>
    </w:lvl>
  </w:abstractNum>
  <w:abstractNum w:abstractNumId="57" w15:restartNumberingAfterBreak="0">
    <w:nsid w:val="75D58BA3"/>
    <w:multiLevelType w:val="hybridMultilevel"/>
    <w:tmpl w:val="3042B6F6"/>
    <w:lvl w:ilvl="0" w:tplc="89A4E7C2">
      <w:start w:val="1"/>
      <w:numFmt w:val="bullet"/>
      <w:lvlText w:val="-"/>
      <w:lvlJc w:val="left"/>
      <w:pPr>
        <w:ind w:left="1080" w:hanging="360"/>
      </w:pPr>
      <w:rPr>
        <w:rFonts w:ascii="Aptos" w:hAnsi="Aptos" w:hint="default"/>
      </w:rPr>
    </w:lvl>
    <w:lvl w:ilvl="1" w:tplc="A8A09C6E">
      <w:start w:val="1"/>
      <w:numFmt w:val="bullet"/>
      <w:lvlText w:val="o"/>
      <w:lvlJc w:val="left"/>
      <w:pPr>
        <w:ind w:left="1800" w:hanging="360"/>
      </w:pPr>
      <w:rPr>
        <w:rFonts w:ascii="Courier New" w:hAnsi="Courier New" w:hint="default"/>
      </w:rPr>
    </w:lvl>
    <w:lvl w:ilvl="2" w:tplc="9760E3CA">
      <w:start w:val="1"/>
      <w:numFmt w:val="bullet"/>
      <w:lvlText w:val=""/>
      <w:lvlJc w:val="left"/>
      <w:pPr>
        <w:ind w:left="2520" w:hanging="360"/>
      </w:pPr>
      <w:rPr>
        <w:rFonts w:ascii="Wingdings" w:hAnsi="Wingdings" w:hint="default"/>
      </w:rPr>
    </w:lvl>
    <w:lvl w:ilvl="3" w:tplc="6AFE11CA">
      <w:start w:val="1"/>
      <w:numFmt w:val="bullet"/>
      <w:lvlText w:val=""/>
      <w:lvlJc w:val="left"/>
      <w:pPr>
        <w:ind w:left="3240" w:hanging="360"/>
      </w:pPr>
      <w:rPr>
        <w:rFonts w:ascii="Symbol" w:hAnsi="Symbol" w:hint="default"/>
      </w:rPr>
    </w:lvl>
    <w:lvl w:ilvl="4" w:tplc="D736D2DC">
      <w:start w:val="1"/>
      <w:numFmt w:val="bullet"/>
      <w:lvlText w:val="o"/>
      <w:lvlJc w:val="left"/>
      <w:pPr>
        <w:ind w:left="3960" w:hanging="360"/>
      </w:pPr>
      <w:rPr>
        <w:rFonts w:ascii="Courier New" w:hAnsi="Courier New" w:hint="default"/>
      </w:rPr>
    </w:lvl>
    <w:lvl w:ilvl="5" w:tplc="F84C067E">
      <w:start w:val="1"/>
      <w:numFmt w:val="bullet"/>
      <w:lvlText w:val=""/>
      <w:lvlJc w:val="left"/>
      <w:pPr>
        <w:ind w:left="4680" w:hanging="360"/>
      </w:pPr>
      <w:rPr>
        <w:rFonts w:ascii="Wingdings" w:hAnsi="Wingdings" w:hint="default"/>
      </w:rPr>
    </w:lvl>
    <w:lvl w:ilvl="6" w:tplc="8634D860">
      <w:start w:val="1"/>
      <w:numFmt w:val="bullet"/>
      <w:lvlText w:val=""/>
      <w:lvlJc w:val="left"/>
      <w:pPr>
        <w:ind w:left="5400" w:hanging="360"/>
      </w:pPr>
      <w:rPr>
        <w:rFonts w:ascii="Symbol" w:hAnsi="Symbol" w:hint="default"/>
      </w:rPr>
    </w:lvl>
    <w:lvl w:ilvl="7" w:tplc="9DDA6214">
      <w:start w:val="1"/>
      <w:numFmt w:val="bullet"/>
      <w:lvlText w:val="o"/>
      <w:lvlJc w:val="left"/>
      <w:pPr>
        <w:ind w:left="6120" w:hanging="360"/>
      </w:pPr>
      <w:rPr>
        <w:rFonts w:ascii="Courier New" w:hAnsi="Courier New" w:hint="default"/>
      </w:rPr>
    </w:lvl>
    <w:lvl w:ilvl="8" w:tplc="27449F40">
      <w:start w:val="1"/>
      <w:numFmt w:val="bullet"/>
      <w:lvlText w:val=""/>
      <w:lvlJc w:val="left"/>
      <w:pPr>
        <w:ind w:left="6840" w:hanging="360"/>
      </w:pPr>
      <w:rPr>
        <w:rFonts w:ascii="Wingdings" w:hAnsi="Wingdings" w:hint="default"/>
      </w:rPr>
    </w:lvl>
  </w:abstractNum>
  <w:abstractNum w:abstractNumId="58" w15:restartNumberingAfterBreak="0">
    <w:nsid w:val="777754C9"/>
    <w:multiLevelType w:val="hybridMultilevel"/>
    <w:tmpl w:val="BE66FBE0"/>
    <w:lvl w:ilvl="0" w:tplc="7EB68AF8">
      <w:start w:val="1"/>
      <w:numFmt w:val="bullet"/>
      <w:lvlText w:val=""/>
      <w:lvlJc w:val="left"/>
      <w:pPr>
        <w:ind w:left="1080" w:hanging="360"/>
      </w:pPr>
      <w:rPr>
        <w:rFonts w:ascii="Symbol" w:hAnsi="Symbol"/>
      </w:rPr>
    </w:lvl>
    <w:lvl w:ilvl="1" w:tplc="C11E1D1A">
      <w:start w:val="1"/>
      <w:numFmt w:val="bullet"/>
      <w:lvlText w:val=""/>
      <w:lvlJc w:val="left"/>
      <w:pPr>
        <w:ind w:left="1080" w:hanging="360"/>
      </w:pPr>
      <w:rPr>
        <w:rFonts w:ascii="Symbol" w:hAnsi="Symbol"/>
      </w:rPr>
    </w:lvl>
    <w:lvl w:ilvl="2" w:tplc="D5083F50">
      <w:start w:val="1"/>
      <w:numFmt w:val="bullet"/>
      <w:lvlText w:val=""/>
      <w:lvlJc w:val="left"/>
      <w:pPr>
        <w:ind w:left="1080" w:hanging="360"/>
      </w:pPr>
      <w:rPr>
        <w:rFonts w:ascii="Symbol" w:hAnsi="Symbol"/>
      </w:rPr>
    </w:lvl>
    <w:lvl w:ilvl="3" w:tplc="6868C90C">
      <w:start w:val="1"/>
      <w:numFmt w:val="bullet"/>
      <w:lvlText w:val=""/>
      <w:lvlJc w:val="left"/>
      <w:pPr>
        <w:ind w:left="1080" w:hanging="360"/>
      </w:pPr>
      <w:rPr>
        <w:rFonts w:ascii="Symbol" w:hAnsi="Symbol"/>
      </w:rPr>
    </w:lvl>
    <w:lvl w:ilvl="4" w:tplc="668684FC">
      <w:start w:val="1"/>
      <w:numFmt w:val="bullet"/>
      <w:lvlText w:val=""/>
      <w:lvlJc w:val="left"/>
      <w:pPr>
        <w:ind w:left="1080" w:hanging="360"/>
      </w:pPr>
      <w:rPr>
        <w:rFonts w:ascii="Symbol" w:hAnsi="Symbol"/>
      </w:rPr>
    </w:lvl>
    <w:lvl w:ilvl="5" w:tplc="2D824376">
      <w:start w:val="1"/>
      <w:numFmt w:val="bullet"/>
      <w:lvlText w:val=""/>
      <w:lvlJc w:val="left"/>
      <w:pPr>
        <w:ind w:left="1080" w:hanging="360"/>
      </w:pPr>
      <w:rPr>
        <w:rFonts w:ascii="Symbol" w:hAnsi="Symbol"/>
      </w:rPr>
    </w:lvl>
    <w:lvl w:ilvl="6" w:tplc="824E5FDE">
      <w:start w:val="1"/>
      <w:numFmt w:val="bullet"/>
      <w:lvlText w:val=""/>
      <w:lvlJc w:val="left"/>
      <w:pPr>
        <w:ind w:left="1080" w:hanging="360"/>
      </w:pPr>
      <w:rPr>
        <w:rFonts w:ascii="Symbol" w:hAnsi="Symbol"/>
      </w:rPr>
    </w:lvl>
    <w:lvl w:ilvl="7" w:tplc="318AF1CE">
      <w:start w:val="1"/>
      <w:numFmt w:val="bullet"/>
      <w:lvlText w:val=""/>
      <w:lvlJc w:val="left"/>
      <w:pPr>
        <w:ind w:left="1080" w:hanging="360"/>
      </w:pPr>
      <w:rPr>
        <w:rFonts w:ascii="Symbol" w:hAnsi="Symbol"/>
      </w:rPr>
    </w:lvl>
    <w:lvl w:ilvl="8" w:tplc="34A4D112">
      <w:start w:val="1"/>
      <w:numFmt w:val="bullet"/>
      <w:lvlText w:val=""/>
      <w:lvlJc w:val="left"/>
      <w:pPr>
        <w:ind w:left="1080" w:hanging="360"/>
      </w:pPr>
      <w:rPr>
        <w:rFonts w:ascii="Symbol" w:hAnsi="Symbol"/>
      </w:rPr>
    </w:lvl>
  </w:abstractNum>
  <w:abstractNum w:abstractNumId="59" w15:restartNumberingAfterBreak="0">
    <w:nsid w:val="7C3133A7"/>
    <w:multiLevelType w:val="hybridMultilevel"/>
    <w:tmpl w:val="915041C2"/>
    <w:lvl w:ilvl="0" w:tplc="4014A0FA">
      <w:start w:val="1"/>
      <w:numFmt w:val="decimal"/>
      <w:lvlText w:val="%1."/>
      <w:lvlJc w:val="left"/>
      <w:pPr>
        <w:ind w:left="702" w:hanging="363"/>
      </w:pPr>
      <w:rPr>
        <w:rFonts w:ascii="Times New Roman" w:eastAsia="Times New Roman" w:hAnsi="Times New Roman" w:cs="Times New Roman" w:hint="default"/>
        <w:b/>
        <w:bCs/>
        <w:spacing w:val="-5"/>
        <w:w w:val="100"/>
        <w:sz w:val="24"/>
        <w:szCs w:val="24"/>
        <w:lang w:val="en-US" w:eastAsia="en-US" w:bidi="ar-SA"/>
      </w:rPr>
    </w:lvl>
    <w:lvl w:ilvl="1" w:tplc="15F6CE76">
      <w:numFmt w:val="bullet"/>
      <w:lvlText w:val="•"/>
      <w:lvlJc w:val="left"/>
      <w:pPr>
        <w:ind w:left="1701" w:hanging="363"/>
      </w:pPr>
      <w:rPr>
        <w:rFonts w:hint="default"/>
        <w:lang w:val="en-US" w:eastAsia="en-US" w:bidi="ar-SA"/>
      </w:rPr>
    </w:lvl>
    <w:lvl w:ilvl="2" w:tplc="3D380A20">
      <w:numFmt w:val="bullet"/>
      <w:lvlText w:val="•"/>
      <w:lvlJc w:val="left"/>
      <w:pPr>
        <w:ind w:left="2702" w:hanging="363"/>
      </w:pPr>
      <w:rPr>
        <w:rFonts w:hint="default"/>
        <w:lang w:val="en-US" w:eastAsia="en-US" w:bidi="ar-SA"/>
      </w:rPr>
    </w:lvl>
    <w:lvl w:ilvl="3" w:tplc="EED281E6">
      <w:numFmt w:val="bullet"/>
      <w:lvlText w:val="•"/>
      <w:lvlJc w:val="left"/>
      <w:pPr>
        <w:ind w:left="3703" w:hanging="363"/>
      </w:pPr>
      <w:rPr>
        <w:rFonts w:hint="default"/>
        <w:lang w:val="en-US" w:eastAsia="en-US" w:bidi="ar-SA"/>
      </w:rPr>
    </w:lvl>
    <w:lvl w:ilvl="4" w:tplc="C39A6F40">
      <w:numFmt w:val="bullet"/>
      <w:lvlText w:val="•"/>
      <w:lvlJc w:val="left"/>
      <w:pPr>
        <w:ind w:left="4704" w:hanging="363"/>
      </w:pPr>
      <w:rPr>
        <w:rFonts w:hint="default"/>
        <w:lang w:val="en-US" w:eastAsia="en-US" w:bidi="ar-SA"/>
      </w:rPr>
    </w:lvl>
    <w:lvl w:ilvl="5" w:tplc="72B88CD6">
      <w:numFmt w:val="bullet"/>
      <w:lvlText w:val="•"/>
      <w:lvlJc w:val="left"/>
      <w:pPr>
        <w:ind w:left="5705" w:hanging="363"/>
      </w:pPr>
      <w:rPr>
        <w:rFonts w:hint="default"/>
        <w:lang w:val="en-US" w:eastAsia="en-US" w:bidi="ar-SA"/>
      </w:rPr>
    </w:lvl>
    <w:lvl w:ilvl="6" w:tplc="7DC2E470">
      <w:numFmt w:val="bullet"/>
      <w:lvlText w:val="•"/>
      <w:lvlJc w:val="left"/>
      <w:pPr>
        <w:ind w:left="6706" w:hanging="363"/>
      </w:pPr>
      <w:rPr>
        <w:rFonts w:hint="default"/>
        <w:lang w:val="en-US" w:eastAsia="en-US" w:bidi="ar-SA"/>
      </w:rPr>
    </w:lvl>
    <w:lvl w:ilvl="7" w:tplc="44FCF5B6">
      <w:numFmt w:val="bullet"/>
      <w:lvlText w:val="•"/>
      <w:lvlJc w:val="left"/>
      <w:pPr>
        <w:ind w:left="7707" w:hanging="363"/>
      </w:pPr>
      <w:rPr>
        <w:rFonts w:hint="default"/>
        <w:lang w:val="en-US" w:eastAsia="en-US" w:bidi="ar-SA"/>
      </w:rPr>
    </w:lvl>
    <w:lvl w:ilvl="8" w:tplc="E632AF3C">
      <w:numFmt w:val="bullet"/>
      <w:lvlText w:val="•"/>
      <w:lvlJc w:val="left"/>
      <w:pPr>
        <w:ind w:left="8708" w:hanging="363"/>
      </w:pPr>
      <w:rPr>
        <w:rFonts w:hint="default"/>
        <w:lang w:val="en-US" w:eastAsia="en-US" w:bidi="ar-SA"/>
      </w:rPr>
    </w:lvl>
  </w:abstractNum>
  <w:abstractNum w:abstractNumId="60" w15:restartNumberingAfterBreak="0">
    <w:nsid w:val="7F023426"/>
    <w:multiLevelType w:val="hybridMultilevel"/>
    <w:tmpl w:val="AD5E86A2"/>
    <w:lvl w:ilvl="0" w:tplc="9516E1E4">
      <w:start w:val="1"/>
      <w:numFmt w:val="lowerLetter"/>
      <w:lvlText w:val="%1)"/>
      <w:lvlJc w:val="left"/>
      <w:pPr>
        <w:ind w:left="822" w:hanging="363"/>
      </w:pPr>
      <w:rPr>
        <w:rFonts w:ascii="Times New Roman" w:eastAsia="Times New Roman" w:hAnsi="Times New Roman" w:cs="Times New Roman" w:hint="default"/>
        <w:spacing w:val="-4"/>
        <w:w w:val="100"/>
        <w:sz w:val="24"/>
        <w:szCs w:val="24"/>
        <w:lang w:val="en-US" w:eastAsia="en-US" w:bidi="ar-SA"/>
      </w:rPr>
    </w:lvl>
    <w:lvl w:ilvl="1" w:tplc="A84E2DB4">
      <w:numFmt w:val="bullet"/>
      <w:lvlText w:val="•"/>
      <w:lvlJc w:val="left"/>
      <w:pPr>
        <w:ind w:left="1739" w:hanging="363"/>
      </w:pPr>
      <w:rPr>
        <w:rFonts w:hint="default"/>
        <w:lang w:val="en-US" w:eastAsia="en-US" w:bidi="ar-SA"/>
      </w:rPr>
    </w:lvl>
    <w:lvl w:ilvl="2" w:tplc="A42CCBF4">
      <w:numFmt w:val="bullet"/>
      <w:lvlText w:val="•"/>
      <w:lvlJc w:val="left"/>
      <w:pPr>
        <w:ind w:left="2658" w:hanging="363"/>
      </w:pPr>
      <w:rPr>
        <w:rFonts w:hint="default"/>
        <w:lang w:val="en-US" w:eastAsia="en-US" w:bidi="ar-SA"/>
      </w:rPr>
    </w:lvl>
    <w:lvl w:ilvl="3" w:tplc="DE5604F4">
      <w:numFmt w:val="bullet"/>
      <w:lvlText w:val="•"/>
      <w:lvlJc w:val="left"/>
      <w:pPr>
        <w:ind w:left="3577" w:hanging="363"/>
      </w:pPr>
      <w:rPr>
        <w:rFonts w:hint="default"/>
        <w:lang w:val="en-US" w:eastAsia="en-US" w:bidi="ar-SA"/>
      </w:rPr>
    </w:lvl>
    <w:lvl w:ilvl="4" w:tplc="451A66FC">
      <w:numFmt w:val="bullet"/>
      <w:lvlText w:val="•"/>
      <w:lvlJc w:val="left"/>
      <w:pPr>
        <w:ind w:left="4496" w:hanging="363"/>
      </w:pPr>
      <w:rPr>
        <w:rFonts w:hint="default"/>
        <w:lang w:val="en-US" w:eastAsia="en-US" w:bidi="ar-SA"/>
      </w:rPr>
    </w:lvl>
    <w:lvl w:ilvl="5" w:tplc="5E38E1D6">
      <w:numFmt w:val="bullet"/>
      <w:lvlText w:val="•"/>
      <w:lvlJc w:val="left"/>
      <w:pPr>
        <w:ind w:left="5415" w:hanging="363"/>
      </w:pPr>
      <w:rPr>
        <w:rFonts w:hint="default"/>
        <w:lang w:val="en-US" w:eastAsia="en-US" w:bidi="ar-SA"/>
      </w:rPr>
    </w:lvl>
    <w:lvl w:ilvl="6" w:tplc="5038F82C">
      <w:numFmt w:val="bullet"/>
      <w:lvlText w:val="•"/>
      <w:lvlJc w:val="left"/>
      <w:pPr>
        <w:ind w:left="6334" w:hanging="363"/>
      </w:pPr>
      <w:rPr>
        <w:rFonts w:hint="default"/>
        <w:lang w:val="en-US" w:eastAsia="en-US" w:bidi="ar-SA"/>
      </w:rPr>
    </w:lvl>
    <w:lvl w:ilvl="7" w:tplc="397C97E0">
      <w:numFmt w:val="bullet"/>
      <w:lvlText w:val="•"/>
      <w:lvlJc w:val="left"/>
      <w:pPr>
        <w:ind w:left="7253" w:hanging="363"/>
      </w:pPr>
      <w:rPr>
        <w:rFonts w:hint="default"/>
        <w:lang w:val="en-US" w:eastAsia="en-US" w:bidi="ar-SA"/>
      </w:rPr>
    </w:lvl>
    <w:lvl w:ilvl="8" w:tplc="FEE2DB90">
      <w:numFmt w:val="bullet"/>
      <w:lvlText w:val="•"/>
      <w:lvlJc w:val="left"/>
      <w:pPr>
        <w:ind w:left="8172" w:hanging="363"/>
      </w:pPr>
      <w:rPr>
        <w:rFonts w:hint="default"/>
        <w:lang w:val="en-US" w:eastAsia="en-US" w:bidi="ar-SA"/>
      </w:rPr>
    </w:lvl>
  </w:abstractNum>
  <w:num w:numId="1">
    <w:abstractNumId w:val="26"/>
  </w:num>
  <w:num w:numId="2">
    <w:abstractNumId w:val="22"/>
  </w:num>
  <w:num w:numId="3">
    <w:abstractNumId w:val="21"/>
  </w:num>
  <w:num w:numId="4">
    <w:abstractNumId w:val="32"/>
  </w:num>
  <w:num w:numId="5">
    <w:abstractNumId w:val="54"/>
  </w:num>
  <w:num w:numId="6">
    <w:abstractNumId w:val="2"/>
  </w:num>
  <w:num w:numId="7">
    <w:abstractNumId w:val="55"/>
  </w:num>
  <w:num w:numId="8">
    <w:abstractNumId w:val="47"/>
  </w:num>
  <w:num w:numId="9">
    <w:abstractNumId w:val="52"/>
  </w:num>
  <w:num w:numId="10">
    <w:abstractNumId w:val="57"/>
  </w:num>
  <w:num w:numId="11">
    <w:abstractNumId w:val="8"/>
  </w:num>
  <w:num w:numId="12">
    <w:abstractNumId w:val="14"/>
  </w:num>
  <w:num w:numId="13">
    <w:abstractNumId w:val="18"/>
  </w:num>
  <w:num w:numId="14">
    <w:abstractNumId w:val="33"/>
  </w:num>
  <w:num w:numId="15">
    <w:abstractNumId w:val="30"/>
  </w:num>
  <w:num w:numId="16">
    <w:abstractNumId w:val="25"/>
  </w:num>
  <w:num w:numId="17">
    <w:abstractNumId w:val="45"/>
  </w:num>
  <w:num w:numId="18">
    <w:abstractNumId w:val="3"/>
  </w:num>
  <w:num w:numId="19">
    <w:abstractNumId w:val="36"/>
  </w:num>
  <w:num w:numId="20">
    <w:abstractNumId w:val="37"/>
  </w:num>
  <w:num w:numId="21">
    <w:abstractNumId w:val="10"/>
  </w:num>
  <w:num w:numId="22">
    <w:abstractNumId w:val="39"/>
  </w:num>
  <w:num w:numId="23">
    <w:abstractNumId w:val="38"/>
  </w:num>
  <w:num w:numId="24">
    <w:abstractNumId w:val="53"/>
  </w:num>
  <w:num w:numId="25">
    <w:abstractNumId w:val="17"/>
  </w:num>
  <w:num w:numId="26">
    <w:abstractNumId w:val="5"/>
  </w:num>
  <w:num w:numId="27">
    <w:abstractNumId w:val="50"/>
  </w:num>
  <w:num w:numId="28">
    <w:abstractNumId w:val="46"/>
  </w:num>
  <w:num w:numId="29">
    <w:abstractNumId w:val="24"/>
  </w:num>
  <w:num w:numId="30">
    <w:abstractNumId w:val="44"/>
  </w:num>
  <w:num w:numId="31">
    <w:abstractNumId w:val="27"/>
  </w:num>
  <w:num w:numId="32">
    <w:abstractNumId w:val="16"/>
  </w:num>
  <w:num w:numId="33">
    <w:abstractNumId w:val="19"/>
  </w:num>
  <w:num w:numId="34">
    <w:abstractNumId w:val="40"/>
  </w:num>
  <w:num w:numId="35">
    <w:abstractNumId w:val="1"/>
  </w:num>
  <w:num w:numId="36">
    <w:abstractNumId w:val="12"/>
  </w:num>
  <w:num w:numId="37">
    <w:abstractNumId w:val="42"/>
  </w:num>
  <w:num w:numId="38">
    <w:abstractNumId w:val="6"/>
  </w:num>
  <w:num w:numId="39">
    <w:abstractNumId w:val="20"/>
  </w:num>
  <w:num w:numId="40">
    <w:abstractNumId w:val="35"/>
  </w:num>
  <w:num w:numId="41">
    <w:abstractNumId w:val="11"/>
  </w:num>
  <w:num w:numId="42">
    <w:abstractNumId w:val="9"/>
  </w:num>
  <w:num w:numId="43">
    <w:abstractNumId w:val="51"/>
  </w:num>
  <w:num w:numId="44">
    <w:abstractNumId w:val="49"/>
  </w:num>
  <w:num w:numId="45">
    <w:abstractNumId w:val="56"/>
  </w:num>
  <w:num w:numId="46">
    <w:abstractNumId w:val="7"/>
  </w:num>
  <w:num w:numId="47">
    <w:abstractNumId w:val="0"/>
  </w:num>
  <w:num w:numId="48">
    <w:abstractNumId w:val="48"/>
  </w:num>
  <w:num w:numId="49">
    <w:abstractNumId w:val="60"/>
  </w:num>
  <w:num w:numId="50">
    <w:abstractNumId w:val="4"/>
  </w:num>
  <w:num w:numId="51">
    <w:abstractNumId w:val="23"/>
  </w:num>
  <w:num w:numId="52">
    <w:abstractNumId w:val="15"/>
  </w:num>
  <w:num w:numId="53">
    <w:abstractNumId w:val="29"/>
  </w:num>
  <w:num w:numId="54">
    <w:abstractNumId w:val="28"/>
  </w:num>
  <w:num w:numId="55">
    <w:abstractNumId w:val="34"/>
  </w:num>
  <w:num w:numId="56">
    <w:abstractNumId w:val="43"/>
  </w:num>
  <w:num w:numId="57">
    <w:abstractNumId w:val="41"/>
  </w:num>
  <w:num w:numId="58">
    <w:abstractNumId w:val="13"/>
  </w:num>
  <w:num w:numId="59">
    <w:abstractNumId w:val="59"/>
  </w:num>
  <w:num w:numId="60">
    <w:abstractNumId w:val="31"/>
  </w:num>
  <w:num w:numId="61">
    <w:abstractNumId w:val="5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DocStatus" w:val="Green"/>
    <w:docVar w:name="DocuWriteMetaData" w:val="&lt;metadataset docuwriteversion=&quot;4.13.1&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2-04&lt;/text&gt;_x000d__x000a_  &lt;/metadata&gt;_x000d__x000a_  &lt;metadata key=&quot;md_Prefix&quot;&gt;_x000d__x000a_    &lt;text&gt;&lt;/text&gt;_x000d__x000a_  &lt;/metadata&gt;_x000d__x000a_  &lt;metadata key=&quot;md_DocumentNumber&quot;&gt;_x000d__x000a_    &lt;text&gt;15759&lt;/text&gt;_x000d__x000a_  &lt;/metadata&gt;_x000d__x000a_  &lt;metadata key=&quot;md_YearDocumentNumber&quot;&gt;_x000d__x000a_    &lt;text&gt;2025&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580&lt;/text&gt;_x000d__x000a_      &lt;text&gt;UEM 575&lt;/text&gt;_x000d__x000a_      &lt;text&gt;FIN 1430&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5/0376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Implementing Decision of 13 July 2021 on the approval of the assessment of the recovery and resilience plan for France&quot;&gt;&amp;lt;FlowDocument xmlns=&quot;http://schemas.microsoft.com/winfx/2006/xaml/presentation&quot;&amp;gt;&amp;lt;Paragraph&amp;gt;ANNEX to the COUNCIL IMPLEMENTING DECISION amending Implementing Decision of 13 July 2021 on the approval of the assessment of the recovery and resilience plan for France&amp;lt;/Paragraph&amp;gt;&amp;lt;/FlowDocument&amp;gt;&lt;/xaml&gt;_x000d__x000a_  &lt;/metadata&gt;_x000d__x000a_  &lt;metadata key=&quot;md_SubjectFootnote&quot;&gt;_x000d__x000a_    &lt;text&gt;&lt;/text&gt;_x000d__x000a_  &lt;/metadata&gt;_x000d__x000a_  &lt;metadata key=&quot;md_DG&quot;&gt;_x000d__x000a_    &lt;text&gt;ECOFIN 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EPKit_DocumentHasBeenSaved" w:val="true"/>
    <w:docVar w:name="LW_ACCOMPAGNANT.CP" w:val="de la"/>
    <w:docVar w:name="LW_ANNEX_NBR_FIRST" w:val="1"/>
    <w:docVar w:name="LW_ANNEX_NBR_LAST" w:val="1"/>
    <w:docVar w:name="LW_ANNEX_UNIQUE" w:val="1"/>
    <w:docVar w:name="LW_CORRIGENDUM" w:val="&lt;UNUSED&gt;"/>
    <w:docVar w:name="LW_COVERPAGE_EXISTS" w:val="True"/>
    <w:docVar w:name="LW_COVERPAGE_GUID" w:val="BD0E1C2F-5DD5-4012-8F14-463C588B4ECC"/>
    <w:docVar w:name="LW_COVERPAGE_TYPE" w:val="1"/>
    <w:docVar w:name="LW_CROSSREFERENCE" w:val="{SWD(2026) 230 final}"/>
    <w:docVar w:name="LW_DocType" w:val="DW_COUNCIL"/>
    <w:docVar w:name="LW_EMISSION" w:val="13.7.2026"/>
    <w:docVar w:name="LW_EMISSION_ISODATE" w:val="2026-07-13"/>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modifiant la décision d\u8217?exécution du 13 juillet 2021 relative à l\u8217?approbation de l\u8217?évaluation du plan pour la reprise et la résilience pour la France"/>
    <w:docVar w:name="LW_PART_NBR" w:val="1"/>
    <w:docVar w:name="LW_PART_NBR_TOTAL" w:val="1"/>
    <w:docVar w:name="LW_REF.INST.NEW" w:val="COM"/>
    <w:docVar w:name="LW_REF.INST.NEW_ADOPTED" w:val="final"/>
    <w:docVar w:name="LW_REF.INST.NEW_TEXT" w:val="(2026) 37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8217?EXÉCUTION DU CONSEIL"/>
    <w:docVar w:name="LwApiVersions" w:val="LW4CoDe 1.24.5.0; LW 9.2, Build 20251112"/>
  </w:docVars>
  <w:rsids>
    <w:rsidRoot w:val="00A86151"/>
    <w:rsid w:val="000006E3"/>
    <w:rsid w:val="000021B0"/>
    <w:rsid w:val="000027AC"/>
    <w:rsid w:val="00002CA2"/>
    <w:rsid w:val="00003D31"/>
    <w:rsid w:val="000102B3"/>
    <w:rsid w:val="000128E2"/>
    <w:rsid w:val="00014C47"/>
    <w:rsid w:val="000155BC"/>
    <w:rsid w:val="000221CA"/>
    <w:rsid w:val="00022D44"/>
    <w:rsid w:val="00022FAB"/>
    <w:rsid w:val="0002310C"/>
    <w:rsid w:val="00025036"/>
    <w:rsid w:val="00026009"/>
    <w:rsid w:val="000267B4"/>
    <w:rsid w:val="000269A4"/>
    <w:rsid w:val="00032012"/>
    <w:rsid w:val="00037526"/>
    <w:rsid w:val="000413C0"/>
    <w:rsid w:val="000434DE"/>
    <w:rsid w:val="000435C7"/>
    <w:rsid w:val="0004487B"/>
    <w:rsid w:val="0004586E"/>
    <w:rsid w:val="000459FE"/>
    <w:rsid w:val="00045BCD"/>
    <w:rsid w:val="00052D7C"/>
    <w:rsid w:val="00053477"/>
    <w:rsid w:val="00053B19"/>
    <w:rsid w:val="00053E60"/>
    <w:rsid w:val="0005430A"/>
    <w:rsid w:val="00054AB2"/>
    <w:rsid w:val="000560E0"/>
    <w:rsid w:val="00056DA0"/>
    <w:rsid w:val="000573C5"/>
    <w:rsid w:val="000710F8"/>
    <w:rsid w:val="00071BA7"/>
    <w:rsid w:val="0007489B"/>
    <w:rsid w:val="00075FC5"/>
    <w:rsid w:val="00076F41"/>
    <w:rsid w:val="0008013F"/>
    <w:rsid w:val="000822A1"/>
    <w:rsid w:val="000841B0"/>
    <w:rsid w:val="00085DA8"/>
    <w:rsid w:val="00090DA4"/>
    <w:rsid w:val="000926CA"/>
    <w:rsid w:val="00095349"/>
    <w:rsid w:val="000970BD"/>
    <w:rsid w:val="000977E6"/>
    <w:rsid w:val="000A104E"/>
    <w:rsid w:val="000A3668"/>
    <w:rsid w:val="000A6151"/>
    <w:rsid w:val="000B1774"/>
    <w:rsid w:val="000B1E25"/>
    <w:rsid w:val="000B1F02"/>
    <w:rsid w:val="000B65EA"/>
    <w:rsid w:val="000B6A51"/>
    <w:rsid w:val="000C56BC"/>
    <w:rsid w:val="000C648D"/>
    <w:rsid w:val="000C7A7C"/>
    <w:rsid w:val="000D388C"/>
    <w:rsid w:val="000D604D"/>
    <w:rsid w:val="000D687F"/>
    <w:rsid w:val="000E00DC"/>
    <w:rsid w:val="000E125A"/>
    <w:rsid w:val="000F1556"/>
    <w:rsid w:val="000F232A"/>
    <w:rsid w:val="000F7090"/>
    <w:rsid w:val="000F7516"/>
    <w:rsid w:val="00100B64"/>
    <w:rsid w:val="00101E87"/>
    <w:rsid w:val="001053B8"/>
    <w:rsid w:val="00105FA6"/>
    <w:rsid w:val="001065C7"/>
    <w:rsid w:val="00110827"/>
    <w:rsid w:val="00110AFC"/>
    <w:rsid w:val="00110E53"/>
    <w:rsid w:val="00112CE2"/>
    <w:rsid w:val="001146C8"/>
    <w:rsid w:val="0011474B"/>
    <w:rsid w:val="001152F8"/>
    <w:rsid w:val="001156BF"/>
    <w:rsid w:val="001176C2"/>
    <w:rsid w:val="00117BF5"/>
    <w:rsid w:val="001216E7"/>
    <w:rsid w:val="00126D3D"/>
    <w:rsid w:val="00132DFB"/>
    <w:rsid w:val="00134179"/>
    <w:rsid w:val="00140B28"/>
    <w:rsid w:val="001416A5"/>
    <w:rsid w:val="00141C6B"/>
    <w:rsid w:val="00143434"/>
    <w:rsid w:val="00144CF4"/>
    <w:rsid w:val="00144FF1"/>
    <w:rsid w:val="001500C8"/>
    <w:rsid w:val="001507AD"/>
    <w:rsid w:val="001521B8"/>
    <w:rsid w:val="00154B53"/>
    <w:rsid w:val="00156298"/>
    <w:rsid w:val="001650AE"/>
    <w:rsid w:val="00170050"/>
    <w:rsid w:val="00170209"/>
    <w:rsid w:val="00173EE9"/>
    <w:rsid w:val="00174268"/>
    <w:rsid w:val="001750DC"/>
    <w:rsid w:val="00175A60"/>
    <w:rsid w:val="0017729A"/>
    <w:rsid w:val="00177317"/>
    <w:rsid w:val="0018337B"/>
    <w:rsid w:val="0018380F"/>
    <w:rsid w:val="0018392E"/>
    <w:rsid w:val="0018450F"/>
    <w:rsid w:val="00186503"/>
    <w:rsid w:val="00187859"/>
    <w:rsid w:val="0019148B"/>
    <w:rsid w:val="00193DAD"/>
    <w:rsid w:val="00194EA9"/>
    <w:rsid w:val="00196E93"/>
    <w:rsid w:val="001A0B38"/>
    <w:rsid w:val="001A2418"/>
    <w:rsid w:val="001A33ED"/>
    <w:rsid w:val="001A5C73"/>
    <w:rsid w:val="001B1E66"/>
    <w:rsid w:val="001B3452"/>
    <w:rsid w:val="001B6116"/>
    <w:rsid w:val="001B6491"/>
    <w:rsid w:val="001B64F0"/>
    <w:rsid w:val="001B6613"/>
    <w:rsid w:val="001C16E9"/>
    <w:rsid w:val="001C41FD"/>
    <w:rsid w:val="001C4D85"/>
    <w:rsid w:val="001C65DF"/>
    <w:rsid w:val="001D0BBE"/>
    <w:rsid w:val="001D0CBC"/>
    <w:rsid w:val="001D2907"/>
    <w:rsid w:val="001D4D76"/>
    <w:rsid w:val="001D50B2"/>
    <w:rsid w:val="001D6A8C"/>
    <w:rsid w:val="001D708B"/>
    <w:rsid w:val="001E078D"/>
    <w:rsid w:val="001E410D"/>
    <w:rsid w:val="001E7C95"/>
    <w:rsid w:val="001F10DD"/>
    <w:rsid w:val="001F11F1"/>
    <w:rsid w:val="001F4A14"/>
    <w:rsid w:val="001F582B"/>
    <w:rsid w:val="001F5F86"/>
    <w:rsid w:val="001F71B1"/>
    <w:rsid w:val="002007D7"/>
    <w:rsid w:val="00203D40"/>
    <w:rsid w:val="00207394"/>
    <w:rsid w:val="00210EF8"/>
    <w:rsid w:val="002120ED"/>
    <w:rsid w:val="00212181"/>
    <w:rsid w:val="00215DEA"/>
    <w:rsid w:val="0022233A"/>
    <w:rsid w:val="00222FC8"/>
    <w:rsid w:val="002230E4"/>
    <w:rsid w:val="00225A9B"/>
    <w:rsid w:val="00226F9E"/>
    <w:rsid w:val="00227775"/>
    <w:rsid w:val="0023616A"/>
    <w:rsid w:val="00240613"/>
    <w:rsid w:val="002414D9"/>
    <w:rsid w:val="00241688"/>
    <w:rsid w:val="0024346C"/>
    <w:rsid w:val="00243A65"/>
    <w:rsid w:val="00245477"/>
    <w:rsid w:val="002456C6"/>
    <w:rsid w:val="00245B21"/>
    <w:rsid w:val="002530AF"/>
    <w:rsid w:val="00254DA9"/>
    <w:rsid w:val="00256866"/>
    <w:rsid w:val="00257886"/>
    <w:rsid w:val="00260671"/>
    <w:rsid w:val="00261931"/>
    <w:rsid w:val="00267359"/>
    <w:rsid w:val="00275215"/>
    <w:rsid w:val="0027655A"/>
    <w:rsid w:val="002775A0"/>
    <w:rsid w:val="00281EE3"/>
    <w:rsid w:val="00282753"/>
    <w:rsid w:val="00282CF5"/>
    <w:rsid w:val="00284F11"/>
    <w:rsid w:val="00285BF8"/>
    <w:rsid w:val="002866EF"/>
    <w:rsid w:val="0028673E"/>
    <w:rsid w:val="002867A6"/>
    <w:rsid w:val="00286BA5"/>
    <w:rsid w:val="0029070D"/>
    <w:rsid w:val="0029185E"/>
    <w:rsid w:val="00292318"/>
    <w:rsid w:val="00292AF2"/>
    <w:rsid w:val="00292C6D"/>
    <w:rsid w:val="00292CB2"/>
    <w:rsid w:val="002960F2"/>
    <w:rsid w:val="002A499C"/>
    <w:rsid w:val="002A64FE"/>
    <w:rsid w:val="002A6D44"/>
    <w:rsid w:val="002B488F"/>
    <w:rsid w:val="002B6867"/>
    <w:rsid w:val="002C109F"/>
    <w:rsid w:val="002C124F"/>
    <w:rsid w:val="002C49E5"/>
    <w:rsid w:val="002C5D88"/>
    <w:rsid w:val="002D036D"/>
    <w:rsid w:val="002D0CDB"/>
    <w:rsid w:val="002D67E0"/>
    <w:rsid w:val="002D6E56"/>
    <w:rsid w:val="002E4596"/>
    <w:rsid w:val="002E6052"/>
    <w:rsid w:val="002F06EB"/>
    <w:rsid w:val="002F306F"/>
    <w:rsid w:val="002F4EF8"/>
    <w:rsid w:val="002F77C1"/>
    <w:rsid w:val="0030041E"/>
    <w:rsid w:val="00300A20"/>
    <w:rsid w:val="00305056"/>
    <w:rsid w:val="0031275C"/>
    <w:rsid w:val="003134F2"/>
    <w:rsid w:val="003135C4"/>
    <w:rsid w:val="00315038"/>
    <w:rsid w:val="0031583F"/>
    <w:rsid w:val="00322998"/>
    <w:rsid w:val="003259A7"/>
    <w:rsid w:val="0033043D"/>
    <w:rsid w:val="0033310A"/>
    <w:rsid w:val="00334E63"/>
    <w:rsid w:val="003354C3"/>
    <w:rsid w:val="00336636"/>
    <w:rsid w:val="0034110D"/>
    <w:rsid w:val="00342906"/>
    <w:rsid w:val="00346477"/>
    <w:rsid w:val="00352393"/>
    <w:rsid w:val="0035329C"/>
    <w:rsid w:val="00353B6C"/>
    <w:rsid w:val="003558E4"/>
    <w:rsid w:val="003563DD"/>
    <w:rsid w:val="003650AE"/>
    <w:rsid w:val="003661F4"/>
    <w:rsid w:val="00366894"/>
    <w:rsid w:val="00367421"/>
    <w:rsid w:val="00370082"/>
    <w:rsid w:val="0037050A"/>
    <w:rsid w:val="00371BDA"/>
    <w:rsid w:val="00372610"/>
    <w:rsid w:val="0037294E"/>
    <w:rsid w:val="00373642"/>
    <w:rsid w:val="003758D3"/>
    <w:rsid w:val="00375C14"/>
    <w:rsid w:val="00375D1E"/>
    <w:rsid w:val="003778B1"/>
    <w:rsid w:val="00381349"/>
    <w:rsid w:val="00381EBE"/>
    <w:rsid w:val="00383031"/>
    <w:rsid w:val="00383492"/>
    <w:rsid w:val="0038545A"/>
    <w:rsid w:val="00385793"/>
    <w:rsid w:val="00385B46"/>
    <w:rsid w:val="00390588"/>
    <w:rsid w:val="003905F8"/>
    <w:rsid w:val="0039281B"/>
    <w:rsid w:val="003934B5"/>
    <w:rsid w:val="00395375"/>
    <w:rsid w:val="003A1C85"/>
    <w:rsid w:val="003A2BAB"/>
    <w:rsid w:val="003A373D"/>
    <w:rsid w:val="003A406D"/>
    <w:rsid w:val="003A41C8"/>
    <w:rsid w:val="003A4F0A"/>
    <w:rsid w:val="003A51C1"/>
    <w:rsid w:val="003B08F4"/>
    <w:rsid w:val="003B3627"/>
    <w:rsid w:val="003B501E"/>
    <w:rsid w:val="003B5C6E"/>
    <w:rsid w:val="003B6705"/>
    <w:rsid w:val="003B6799"/>
    <w:rsid w:val="003B7A2F"/>
    <w:rsid w:val="003B7AE6"/>
    <w:rsid w:val="003C06F0"/>
    <w:rsid w:val="003C0C32"/>
    <w:rsid w:val="003C184A"/>
    <w:rsid w:val="003C2B79"/>
    <w:rsid w:val="003C4070"/>
    <w:rsid w:val="003C46D3"/>
    <w:rsid w:val="003C527E"/>
    <w:rsid w:val="003C5B86"/>
    <w:rsid w:val="003C7815"/>
    <w:rsid w:val="003D08F7"/>
    <w:rsid w:val="003D3446"/>
    <w:rsid w:val="003D4C00"/>
    <w:rsid w:val="003D5429"/>
    <w:rsid w:val="003D5EB2"/>
    <w:rsid w:val="003D7C94"/>
    <w:rsid w:val="003E01B2"/>
    <w:rsid w:val="003E160A"/>
    <w:rsid w:val="003E2BCA"/>
    <w:rsid w:val="003E46DE"/>
    <w:rsid w:val="003E4932"/>
    <w:rsid w:val="003E559E"/>
    <w:rsid w:val="003E62E8"/>
    <w:rsid w:val="003E6C77"/>
    <w:rsid w:val="003E7B50"/>
    <w:rsid w:val="003F0AC7"/>
    <w:rsid w:val="003F1A1A"/>
    <w:rsid w:val="003F4B4F"/>
    <w:rsid w:val="00400446"/>
    <w:rsid w:val="004046F7"/>
    <w:rsid w:val="004069AE"/>
    <w:rsid w:val="00413061"/>
    <w:rsid w:val="00416D54"/>
    <w:rsid w:val="00417DD3"/>
    <w:rsid w:val="00420392"/>
    <w:rsid w:val="004240A4"/>
    <w:rsid w:val="00427226"/>
    <w:rsid w:val="00430311"/>
    <w:rsid w:val="004310F7"/>
    <w:rsid w:val="004312E6"/>
    <w:rsid w:val="00431BB4"/>
    <w:rsid w:val="00431E43"/>
    <w:rsid w:val="00432223"/>
    <w:rsid w:val="00432608"/>
    <w:rsid w:val="00442D0C"/>
    <w:rsid w:val="00443A64"/>
    <w:rsid w:val="00443C8B"/>
    <w:rsid w:val="004449C5"/>
    <w:rsid w:val="004465C2"/>
    <w:rsid w:val="00451C99"/>
    <w:rsid w:val="0045215D"/>
    <w:rsid w:val="0046268B"/>
    <w:rsid w:val="00465771"/>
    <w:rsid w:val="0046693E"/>
    <w:rsid w:val="0046774B"/>
    <w:rsid w:val="004717E4"/>
    <w:rsid w:val="00472FF0"/>
    <w:rsid w:val="00473028"/>
    <w:rsid w:val="00473239"/>
    <w:rsid w:val="00473D96"/>
    <w:rsid w:val="00474186"/>
    <w:rsid w:val="004741C8"/>
    <w:rsid w:val="00474BCC"/>
    <w:rsid w:val="00474FFB"/>
    <w:rsid w:val="00475927"/>
    <w:rsid w:val="00477099"/>
    <w:rsid w:val="00480C77"/>
    <w:rsid w:val="0048394A"/>
    <w:rsid w:val="00484DAE"/>
    <w:rsid w:val="0048630E"/>
    <w:rsid w:val="004906B4"/>
    <w:rsid w:val="0049279A"/>
    <w:rsid w:val="00493E82"/>
    <w:rsid w:val="0049490B"/>
    <w:rsid w:val="00494C1F"/>
    <w:rsid w:val="00497048"/>
    <w:rsid w:val="004973E4"/>
    <w:rsid w:val="004A1FE1"/>
    <w:rsid w:val="004A3D33"/>
    <w:rsid w:val="004A49F9"/>
    <w:rsid w:val="004A4BA0"/>
    <w:rsid w:val="004A4CF9"/>
    <w:rsid w:val="004A57B0"/>
    <w:rsid w:val="004A5F2D"/>
    <w:rsid w:val="004A65DF"/>
    <w:rsid w:val="004A7DD3"/>
    <w:rsid w:val="004B02C7"/>
    <w:rsid w:val="004B1713"/>
    <w:rsid w:val="004B43FE"/>
    <w:rsid w:val="004B614E"/>
    <w:rsid w:val="004B69ED"/>
    <w:rsid w:val="004C2285"/>
    <w:rsid w:val="004C5E4C"/>
    <w:rsid w:val="004D16D2"/>
    <w:rsid w:val="004D42E3"/>
    <w:rsid w:val="004D5C95"/>
    <w:rsid w:val="004D7399"/>
    <w:rsid w:val="004D7E53"/>
    <w:rsid w:val="004E35CF"/>
    <w:rsid w:val="004E5F7B"/>
    <w:rsid w:val="004E5FD6"/>
    <w:rsid w:val="004E68B7"/>
    <w:rsid w:val="004E7F7B"/>
    <w:rsid w:val="004F1825"/>
    <w:rsid w:val="004F24C7"/>
    <w:rsid w:val="004F380A"/>
    <w:rsid w:val="004F42E6"/>
    <w:rsid w:val="00501A10"/>
    <w:rsid w:val="0050389E"/>
    <w:rsid w:val="00503915"/>
    <w:rsid w:val="005066F3"/>
    <w:rsid w:val="00506FD3"/>
    <w:rsid w:val="00513279"/>
    <w:rsid w:val="00513942"/>
    <w:rsid w:val="00513AA1"/>
    <w:rsid w:val="00515052"/>
    <w:rsid w:val="005153DA"/>
    <w:rsid w:val="005156F1"/>
    <w:rsid w:val="0052046C"/>
    <w:rsid w:val="00520DF7"/>
    <w:rsid w:val="005238A2"/>
    <w:rsid w:val="0052425F"/>
    <w:rsid w:val="00524998"/>
    <w:rsid w:val="005267DC"/>
    <w:rsid w:val="00526C2A"/>
    <w:rsid w:val="005339F4"/>
    <w:rsid w:val="00535BFC"/>
    <w:rsid w:val="0054025A"/>
    <w:rsid w:val="0054146C"/>
    <w:rsid w:val="00542474"/>
    <w:rsid w:val="00542A14"/>
    <w:rsid w:val="005459BF"/>
    <w:rsid w:val="00545BD4"/>
    <w:rsid w:val="00546796"/>
    <w:rsid w:val="00551492"/>
    <w:rsid w:val="0055297B"/>
    <w:rsid w:val="005533CA"/>
    <w:rsid w:val="00555630"/>
    <w:rsid w:val="005565CB"/>
    <w:rsid w:val="005571D3"/>
    <w:rsid w:val="00560C4F"/>
    <w:rsid w:val="00563377"/>
    <w:rsid w:val="00563559"/>
    <w:rsid w:val="00563B7A"/>
    <w:rsid w:val="00563D11"/>
    <w:rsid w:val="00567C8C"/>
    <w:rsid w:val="00571DDD"/>
    <w:rsid w:val="0057350B"/>
    <w:rsid w:val="00573DDF"/>
    <w:rsid w:val="005742FD"/>
    <w:rsid w:val="00584905"/>
    <w:rsid w:val="00585578"/>
    <w:rsid w:val="00585C64"/>
    <w:rsid w:val="00586EEB"/>
    <w:rsid w:val="00590093"/>
    <w:rsid w:val="00590AA7"/>
    <w:rsid w:val="00591992"/>
    <w:rsid w:val="00595F2D"/>
    <w:rsid w:val="005A41BE"/>
    <w:rsid w:val="005A4431"/>
    <w:rsid w:val="005A502B"/>
    <w:rsid w:val="005A755D"/>
    <w:rsid w:val="005B0807"/>
    <w:rsid w:val="005B169E"/>
    <w:rsid w:val="005B7857"/>
    <w:rsid w:val="005B7A32"/>
    <w:rsid w:val="005C090C"/>
    <w:rsid w:val="005C0A8A"/>
    <w:rsid w:val="005C170C"/>
    <w:rsid w:val="005C2BE4"/>
    <w:rsid w:val="005C35C5"/>
    <w:rsid w:val="005C5F2A"/>
    <w:rsid w:val="005C6BB7"/>
    <w:rsid w:val="005D0669"/>
    <w:rsid w:val="005D0C50"/>
    <w:rsid w:val="005D3411"/>
    <w:rsid w:val="005D6662"/>
    <w:rsid w:val="005D70A4"/>
    <w:rsid w:val="005D7895"/>
    <w:rsid w:val="005E0666"/>
    <w:rsid w:val="005E0901"/>
    <w:rsid w:val="005E11EA"/>
    <w:rsid w:val="005E561F"/>
    <w:rsid w:val="005F29E6"/>
    <w:rsid w:val="005F6630"/>
    <w:rsid w:val="005F7352"/>
    <w:rsid w:val="005F75AC"/>
    <w:rsid w:val="005F7640"/>
    <w:rsid w:val="005F79A2"/>
    <w:rsid w:val="005F7AA9"/>
    <w:rsid w:val="00602297"/>
    <w:rsid w:val="00606ACE"/>
    <w:rsid w:val="00607418"/>
    <w:rsid w:val="006079A9"/>
    <w:rsid w:val="00610494"/>
    <w:rsid w:val="00612684"/>
    <w:rsid w:val="00612C65"/>
    <w:rsid w:val="00613189"/>
    <w:rsid w:val="0061597F"/>
    <w:rsid w:val="00617527"/>
    <w:rsid w:val="00617A71"/>
    <w:rsid w:val="00625302"/>
    <w:rsid w:val="00626716"/>
    <w:rsid w:val="00634C3A"/>
    <w:rsid w:val="00634D10"/>
    <w:rsid w:val="00635CAE"/>
    <w:rsid w:val="00636598"/>
    <w:rsid w:val="0063774A"/>
    <w:rsid w:val="006421B4"/>
    <w:rsid w:val="00642FD6"/>
    <w:rsid w:val="00643295"/>
    <w:rsid w:val="00645C2D"/>
    <w:rsid w:val="00651EB0"/>
    <w:rsid w:val="00655A59"/>
    <w:rsid w:val="00657DCA"/>
    <w:rsid w:val="00664DE9"/>
    <w:rsid w:val="00665251"/>
    <w:rsid w:val="00666896"/>
    <w:rsid w:val="00671F8B"/>
    <w:rsid w:val="0067290C"/>
    <w:rsid w:val="00673931"/>
    <w:rsid w:val="00674CC5"/>
    <w:rsid w:val="00675889"/>
    <w:rsid w:val="00675D61"/>
    <w:rsid w:val="00680797"/>
    <w:rsid w:val="006814EE"/>
    <w:rsid w:val="00681B52"/>
    <w:rsid w:val="0068266D"/>
    <w:rsid w:val="00682B9E"/>
    <w:rsid w:val="00683733"/>
    <w:rsid w:val="006841B8"/>
    <w:rsid w:val="00685C14"/>
    <w:rsid w:val="00686E1E"/>
    <w:rsid w:val="00687DF7"/>
    <w:rsid w:val="00693873"/>
    <w:rsid w:val="00694556"/>
    <w:rsid w:val="00694650"/>
    <w:rsid w:val="00695FCA"/>
    <w:rsid w:val="006960F8"/>
    <w:rsid w:val="0069616E"/>
    <w:rsid w:val="006965DE"/>
    <w:rsid w:val="00697597"/>
    <w:rsid w:val="006A059A"/>
    <w:rsid w:val="006A3062"/>
    <w:rsid w:val="006A31D4"/>
    <w:rsid w:val="006A59CC"/>
    <w:rsid w:val="006A790B"/>
    <w:rsid w:val="006B1077"/>
    <w:rsid w:val="006B2037"/>
    <w:rsid w:val="006B20F0"/>
    <w:rsid w:val="006B2BAB"/>
    <w:rsid w:val="006B696B"/>
    <w:rsid w:val="006B70DA"/>
    <w:rsid w:val="006C1B94"/>
    <w:rsid w:val="006C3483"/>
    <w:rsid w:val="006C5798"/>
    <w:rsid w:val="006C6A3C"/>
    <w:rsid w:val="006C6F6D"/>
    <w:rsid w:val="006D061E"/>
    <w:rsid w:val="006D4261"/>
    <w:rsid w:val="006D5173"/>
    <w:rsid w:val="006D5BAC"/>
    <w:rsid w:val="006D6991"/>
    <w:rsid w:val="006E410F"/>
    <w:rsid w:val="006E4A3C"/>
    <w:rsid w:val="006F117E"/>
    <w:rsid w:val="006F286A"/>
    <w:rsid w:val="006F3A42"/>
    <w:rsid w:val="006F4458"/>
    <w:rsid w:val="006F5C30"/>
    <w:rsid w:val="006F62FD"/>
    <w:rsid w:val="006F63A9"/>
    <w:rsid w:val="007001C1"/>
    <w:rsid w:val="0070037E"/>
    <w:rsid w:val="00701F79"/>
    <w:rsid w:val="00702F80"/>
    <w:rsid w:val="0070430C"/>
    <w:rsid w:val="007047B3"/>
    <w:rsid w:val="00705782"/>
    <w:rsid w:val="00705D1A"/>
    <w:rsid w:val="007117FE"/>
    <w:rsid w:val="00714443"/>
    <w:rsid w:val="0071511D"/>
    <w:rsid w:val="00717AEC"/>
    <w:rsid w:val="007208CF"/>
    <w:rsid w:val="0072173F"/>
    <w:rsid w:val="00721DF2"/>
    <w:rsid w:val="00722786"/>
    <w:rsid w:val="007230EE"/>
    <w:rsid w:val="0072653F"/>
    <w:rsid w:val="00726F5A"/>
    <w:rsid w:val="0072786E"/>
    <w:rsid w:val="00730758"/>
    <w:rsid w:val="007307D9"/>
    <w:rsid w:val="0073126B"/>
    <w:rsid w:val="00731556"/>
    <w:rsid w:val="00731E7A"/>
    <w:rsid w:val="00731EB1"/>
    <w:rsid w:val="007365EF"/>
    <w:rsid w:val="00740F0F"/>
    <w:rsid w:val="007411D3"/>
    <w:rsid w:val="00743B11"/>
    <w:rsid w:val="007506A2"/>
    <w:rsid w:val="00750920"/>
    <w:rsid w:val="007510FE"/>
    <w:rsid w:val="007512C0"/>
    <w:rsid w:val="0075264A"/>
    <w:rsid w:val="00753E2E"/>
    <w:rsid w:val="00756E16"/>
    <w:rsid w:val="007577AE"/>
    <w:rsid w:val="00757DDB"/>
    <w:rsid w:val="00760F39"/>
    <w:rsid w:val="0076102B"/>
    <w:rsid w:val="00765E5B"/>
    <w:rsid w:val="0076637D"/>
    <w:rsid w:val="00766810"/>
    <w:rsid w:val="007728F3"/>
    <w:rsid w:val="007736AA"/>
    <w:rsid w:val="00780809"/>
    <w:rsid w:val="0078225C"/>
    <w:rsid w:val="00782477"/>
    <w:rsid w:val="00783558"/>
    <w:rsid w:val="0078470B"/>
    <w:rsid w:val="00785E66"/>
    <w:rsid w:val="007921A3"/>
    <w:rsid w:val="007929CA"/>
    <w:rsid w:val="00793374"/>
    <w:rsid w:val="00793A9B"/>
    <w:rsid w:val="007A193D"/>
    <w:rsid w:val="007A580E"/>
    <w:rsid w:val="007A6013"/>
    <w:rsid w:val="007B0950"/>
    <w:rsid w:val="007B3477"/>
    <w:rsid w:val="007B429E"/>
    <w:rsid w:val="007B6FB5"/>
    <w:rsid w:val="007B7066"/>
    <w:rsid w:val="007B7E6C"/>
    <w:rsid w:val="007C1F70"/>
    <w:rsid w:val="007C20B1"/>
    <w:rsid w:val="007C21C0"/>
    <w:rsid w:val="007C3CCC"/>
    <w:rsid w:val="007C3E2B"/>
    <w:rsid w:val="007C5838"/>
    <w:rsid w:val="007C7656"/>
    <w:rsid w:val="007D1CF6"/>
    <w:rsid w:val="007D2295"/>
    <w:rsid w:val="007D3BE4"/>
    <w:rsid w:val="007D42D4"/>
    <w:rsid w:val="007D6FA4"/>
    <w:rsid w:val="007D7F90"/>
    <w:rsid w:val="007E0485"/>
    <w:rsid w:val="007E22C1"/>
    <w:rsid w:val="007E3F13"/>
    <w:rsid w:val="007E558D"/>
    <w:rsid w:val="007F026D"/>
    <w:rsid w:val="007F256C"/>
    <w:rsid w:val="007F3B5F"/>
    <w:rsid w:val="007F499B"/>
    <w:rsid w:val="007F49D5"/>
    <w:rsid w:val="008022C5"/>
    <w:rsid w:val="00802DB5"/>
    <w:rsid w:val="00804E29"/>
    <w:rsid w:val="00810D6F"/>
    <w:rsid w:val="00811FB1"/>
    <w:rsid w:val="00813506"/>
    <w:rsid w:val="00813C21"/>
    <w:rsid w:val="00817C07"/>
    <w:rsid w:val="00817D72"/>
    <w:rsid w:val="00817EC2"/>
    <w:rsid w:val="00821A6C"/>
    <w:rsid w:val="00822120"/>
    <w:rsid w:val="00822977"/>
    <w:rsid w:val="00824134"/>
    <w:rsid w:val="008263C0"/>
    <w:rsid w:val="00826BD1"/>
    <w:rsid w:val="00831530"/>
    <w:rsid w:val="00831A22"/>
    <w:rsid w:val="0083205C"/>
    <w:rsid w:val="00833E7E"/>
    <w:rsid w:val="0083486B"/>
    <w:rsid w:val="00834A37"/>
    <w:rsid w:val="008402C5"/>
    <w:rsid w:val="008412AC"/>
    <w:rsid w:val="008422F7"/>
    <w:rsid w:val="00843732"/>
    <w:rsid w:val="00843F4C"/>
    <w:rsid w:val="008453E4"/>
    <w:rsid w:val="0084617F"/>
    <w:rsid w:val="00854E58"/>
    <w:rsid w:val="0086257A"/>
    <w:rsid w:val="00863B91"/>
    <w:rsid w:val="0086760D"/>
    <w:rsid w:val="00874279"/>
    <w:rsid w:val="0087446A"/>
    <w:rsid w:val="00874988"/>
    <w:rsid w:val="00881606"/>
    <w:rsid w:val="00882648"/>
    <w:rsid w:val="00882863"/>
    <w:rsid w:val="008852F7"/>
    <w:rsid w:val="00885510"/>
    <w:rsid w:val="00887297"/>
    <w:rsid w:val="00890095"/>
    <w:rsid w:val="00890107"/>
    <w:rsid w:val="008934EA"/>
    <w:rsid w:val="00894139"/>
    <w:rsid w:val="008952A5"/>
    <w:rsid w:val="00895623"/>
    <w:rsid w:val="0089631F"/>
    <w:rsid w:val="0089706C"/>
    <w:rsid w:val="008A15AA"/>
    <w:rsid w:val="008A3368"/>
    <w:rsid w:val="008A3455"/>
    <w:rsid w:val="008A3C8B"/>
    <w:rsid w:val="008A49BE"/>
    <w:rsid w:val="008A4E9F"/>
    <w:rsid w:val="008A792D"/>
    <w:rsid w:val="008A7D1B"/>
    <w:rsid w:val="008B44CB"/>
    <w:rsid w:val="008C3517"/>
    <w:rsid w:val="008C5C88"/>
    <w:rsid w:val="008C5FD6"/>
    <w:rsid w:val="008C60D1"/>
    <w:rsid w:val="008C642C"/>
    <w:rsid w:val="008C65A7"/>
    <w:rsid w:val="008D4E41"/>
    <w:rsid w:val="008D5FCC"/>
    <w:rsid w:val="008D7516"/>
    <w:rsid w:val="008E09BE"/>
    <w:rsid w:val="008E14B4"/>
    <w:rsid w:val="008E2B08"/>
    <w:rsid w:val="008E3864"/>
    <w:rsid w:val="008E3D2F"/>
    <w:rsid w:val="008E4C9E"/>
    <w:rsid w:val="008E5349"/>
    <w:rsid w:val="008E6931"/>
    <w:rsid w:val="008F031F"/>
    <w:rsid w:val="008F41EF"/>
    <w:rsid w:val="00901027"/>
    <w:rsid w:val="00902218"/>
    <w:rsid w:val="00903D4A"/>
    <w:rsid w:val="00904A0D"/>
    <w:rsid w:val="009142E4"/>
    <w:rsid w:val="00920424"/>
    <w:rsid w:val="00921611"/>
    <w:rsid w:val="00924200"/>
    <w:rsid w:val="0092420D"/>
    <w:rsid w:val="0092532F"/>
    <w:rsid w:val="0092573A"/>
    <w:rsid w:val="00927EF1"/>
    <w:rsid w:val="009311E9"/>
    <w:rsid w:val="0093150E"/>
    <w:rsid w:val="009331A6"/>
    <w:rsid w:val="00940200"/>
    <w:rsid w:val="00940904"/>
    <w:rsid w:val="00940DD9"/>
    <w:rsid w:val="00941C15"/>
    <w:rsid w:val="00942582"/>
    <w:rsid w:val="009447E5"/>
    <w:rsid w:val="00946B0A"/>
    <w:rsid w:val="00953DBA"/>
    <w:rsid w:val="0095523D"/>
    <w:rsid w:val="0095556D"/>
    <w:rsid w:val="00962A69"/>
    <w:rsid w:val="00962B0B"/>
    <w:rsid w:val="009635A2"/>
    <w:rsid w:val="00963643"/>
    <w:rsid w:val="00964440"/>
    <w:rsid w:val="00965CB4"/>
    <w:rsid w:val="00966FB4"/>
    <w:rsid w:val="00967571"/>
    <w:rsid w:val="00971433"/>
    <w:rsid w:val="0097260E"/>
    <w:rsid w:val="00974FF1"/>
    <w:rsid w:val="0097711E"/>
    <w:rsid w:val="00981975"/>
    <w:rsid w:val="00982F57"/>
    <w:rsid w:val="00983567"/>
    <w:rsid w:val="00983E03"/>
    <w:rsid w:val="00986B2A"/>
    <w:rsid w:val="009877BB"/>
    <w:rsid w:val="0099053F"/>
    <w:rsid w:val="0099129A"/>
    <w:rsid w:val="0099439F"/>
    <w:rsid w:val="00994548"/>
    <w:rsid w:val="009A1E42"/>
    <w:rsid w:val="009A3C35"/>
    <w:rsid w:val="009A50F8"/>
    <w:rsid w:val="009A5A8B"/>
    <w:rsid w:val="009B38D1"/>
    <w:rsid w:val="009C068E"/>
    <w:rsid w:val="009C14DE"/>
    <w:rsid w:val="009C4B9F"/>
    <w:rsid w:val="009C4BAE"/>
    <w:rsid w:val="009C520E"/>
    <w:rsid w:val="009C627F"/>
    <w:rsid w:val="009C641E"/>
    <w:rsid w:val="009D0BA0"/>
    <w:rsid w:val="009D10F7"/>
    <w:rsid w:val="009D139D"/>
    <w:rsid w:val="009D3F39"/>
    <w:rsid w:val="009D42AB"/>
    <w:rsid w:val="009D69F7"/>
    <w:rsid w:val="009D6C18"/>
    <w:rsid w:val="009D6D9A"/>
    <w:rsid w:val="009E060C"/>
    <w:rsid w:val="009E5920"/>
    <w:rsid w:val="009E5C1C"/>
    <w:rsid w:val="009E70C4"/>
    <w:rsid w:val="009E7E07"/>
    <w:rsid w:val="009F2A9D"/>
    <w:rsid w:val="009F49FB"/>
    <w:rsid w:val="009F54B0"/>
    <w:rsid w:val="009F678E"/>
    <w:rsid w:val="009F75CB"/>
    <w:rsid w:val="009F76B9"/>
    <w:rsid w:val="00A010B4"/>
    <w:rsid w:val="00A018B5"/>
    <w:rsid w:val="00A0222C"/>
    <w:rsid w:val="00A046CF"/>
    <w:rsid w:val="00A05397"/>
    <w:rsid w:val="00A06786"/>
    <w:rsid w:val="00A10A91"/>
    <w:rsid w:val="00A114CD"/>
    <w:rsid w:val="00A160C9"/>
    <w:rsid w:val="00A16837"/>
    <w:rsid w:val="00A16EE1"/>
    <w:rsid w:val="00A1734F"/>
    <w:rsid w:val="00A176F2"/>
    <w:rsid w:val="00A17CAD"/>
    <w:rsid w:val="00A21BD0"/>
    <w:rsid w:val="00A233A1"/>
    <w:rsid w:val="00A252D8"/>
    <w:rsid w:val="00A26361"/>
    <w:rsid w:val="00A301F9"/>
    <w:rsid w:val="00A30A07"/>
    <w:rsid w:val="00A32096"/>
    <w:rsid w:val="00A35E0E"/>
    <w:rsid w:val="00A41665"/>
    <w:rsid w:val="00A43C50"/>
    <w:rsid w:val="00A46D98"/>
    <w:rsid w:val="00A507C8"/>
    <w:rsid w:val="00A509D7"/>
    <w:rsid w:val="00A51ABC"/>
    <w:rsid w:val="00A51ED1"/>
    <w:rsid w:val="00A5466A"/>
    <w:rsid w:val="00A56F6F"/>
    <w:rsid w:val="00A57058"/>
    <w:rsid w:val="00A57400"/>
    <w:rsid w:val="00A57F98"/>
    <w:rsid w:val="00A6003A"/>
    <w:rsid w:val="00A60071"/>
    <w:rsid w:val="00A646A8"/>
    <w:rsid w:val="00A71005"/>
    <w:rsid w:val="00A7427A"/>
    <w:rsid w:val="00A74484"/>
    <w:rsid w:val="00A75525"/>
    <w:rsid w:val="00A81A18"/>
    <w:rsid w:val="00A8452B"/>
    <w:rsid w:val="00A845AF"/>
    <w:rsid w:val="00A8492E"/>
    <w:rsid w:val="00A84E35"/>
    <w:rsid w:val="00A86151"/>
    <w:rsid w:val="00A87BC2"/>
    <w:rsid w:val="00A90DD1"/>
    <w:rsid w:val="00A93834"/>
    <w:rsid w:val="00A93AF4"/>
    <w:rsid w:val="00A93E9E"/>
    <w:rsid w:val="00A953FA"/>
    <w:rsid w:val="00A965D1"/>
    <w:rsid w:val="00A96999"/>
    <w:rsid w:val="00AA1771"/>
    <w:rsid w:val="00AA190A"/>
    <w:rsid w:val="00AA1F52"/>
    <w:rsid w:val="00AA399E"/>
    <w:rsid w:val="00AA6258"/>
    <w:rsid w:val="00AB0468"/>
    <w:rsid w:val="00AB5F8E"/>
    <w:rsid w:val="00AB698D"/>
    <w:rsid w:val="00AC0638"/>
    <w:rsid w:val="00AC0A98"/>
    <w:rsid w:val="00AC3388"/>
    <w:rsid w:val="00AC6206"/>
    <w:rsid w:val="00AD0097"/>
    <w:rsid w:val="00AD0B1D"/>
    <w:rsid w:val="00AD0D9E"/>
    <w:rsid w:val="00AD1BCE"/>
    <w:rsid w:val="00AD56B1"/>
    <w:rsid w:val="00AE2F99"/>
    <w:rsid w:val="00AE506C"/>
    <w:rsid w:val="00AF003D"/>
    <w:rsid w:val="00AF09C7"/>
    <w:rsid w:val="00AF1157"/>
    <w:rsid w:val="00AF270C"/>
    <w:rsid w:val="00AF557F"/>
    <w:rsid w:val="00B0107F"/>
    <w:rsid w:val="00B0403A"/>
    <w:rsid w:val="00B045BA"/>
    <w:rsid w:val="00B061F8"/>
    <w:rsid w:val="00B10629"/>
    <w:rsid w:val="00B12BE6"/>
    <w:rsid w:val="00B12F5E"/>
    <w:rsid w:val="00B1757F"/>
    <w:rsid w:val="00B21854"/>
    <w:rsid w:val="00B2362D"/>
    <w:rsid w:val="00B25613"/>
    <w:rsid w:val="00B259FA"/>
    <w:rsid w:val="00B264A8"/>
    <w:rsid w:val="00B26E36"/>
    <w:rsid w:val="00B26FFE"/>
    <w:rsid w:val="00B277DC"/>
    <w:rsid w:val="00B2780C"/>
    <w:rsid w:val="00B27AB8"/>
    <w:rsid w:val="00B3051B"/>
    <w:rsid w:val="00B30DCE"/>
    <w:rsid w:val="00B30E6E"/>
    <w:rsid w:val="00B31A68"/>
    <w:rsid w:val="00B31F92"/>
    <w:rsid w:val="00B35047"/>
    <w:rsid w:val="00B35C36"/>
    <w:rsid w:val="00B369EB"/>
    <w:rsid w:val="00B37D95"/>
    <w:rsid w:val="00B40EF5"/>
    <w:rsid w:val="00B41A31"/>
    <w:rsid w:val="00B42B76"/>
    <w:rsid w:val="00B46C4C"/>
    <w:rsid w:val="00B47F02"/>
    <w:rsid w:val="00B51832"/>
    <w:rsid w:val="00B518BD"/>
    <w:rsid w:val="00B52C72"/>
    <w:rsid w:val="00B537CB"/>
    <w:rsid w:val="00B5457F"/>
    <w:rsid w:val="00B57ACB"/>
    <w:rsid w:val="00B60B7F"/>
    <w:rsid w:val="00B6110F"/>
    <w:rsid w:val="00B6284E"/>
    <w:rsid w:val="00B6284F"/>
    <w:rsid w:val="00B64F38"/>
    <w:rsid w:val="00B67A14"/>
    <w:rsid w:val="00B67B7A"/>
    <w:rsid w:val="00B7383B"/>
    <w:rsid w:val="00B756EE"/>
    <w:rsid w:val="00B760AA"/>
    <w:rsid w:val="00B762A9"/>
    <w:rsid w:val="00B77604"/>
    <w:rsid w:val="00B778BB"/>
    <w:rsid w:val="00B81F6C"/>
    <w:rsid w:val="00B8472A"/>
    <w:rsid w:val="00B84BDE"/>
    <w:rsid w:val="00B86CFF"/>
    <w:rsid w:val="00B96611"/>
    <w:rsid w:val="00B966CA"/>
    <w:rsid w:val="00B96B73"/>
    <w:rsid w:val="00B96E60"/>
    <w:rsid w:val="00B97347"/>
    <w:rsid w:val="00B973E7"/>
    <w:rsid w:val="00BA0DC5"/>
    <w:rsid w:val="00BA113D"/>
    <w:rsid w:val="00BA2995"/>
    <w:rsid w:val="00BA37DA"/>
    <w:rsid w:val="00BA418E"/>
    <w:rsid w:val="00BA48EE"/>
    <w:rsid w:val="00BA56C9"/>
    <w:rsid w:val="00BA71EF"/>
    <w:rsid w:val="00BB03C5"/>
    <w:rsid w:val="00BB03EB"/>
    <w:rsid w:val="00BB153E"/>
    <w:rsid w:val="00BB2130"/>
    <w:rsid w:val="00BB5EAC"/>
    <w:rsid w:val="00BB6735"/>
    <w:rsid w:val="00BB70AB"/>
    <w:rsid w:val="00BC019D"/>
    <w:rsid w:val="00BC1EEF"/>
    <w:rsid w:val="00BC3691"/>
    <w:rsid w:val="00BC3E24"/>
    <w:rsid w:val="00BC4BC2"/>
    <w:rsid w:val="00BC5341"/>
    <w:rsid w:val="00BC6044"/>
    <w:rsid w:val="00BC6285"/>
    <w:rsid w:val="00BC6310"/>
    <w:rsid w:val="00BD0131"/>
    <w:rsid w:val="00BD047A"/>
    <w:rsid w:val="00BD1165"/>
    <w:rsid w:val="00BD1629"/>
    <w:rsid w:val="00BD2073"/>
    <w:rsid w:val="00BD66CE"/>
    <w:rsid w:val="00BE1041"/>
    <w:rsid w:val="00BE1CEA"/>
    <w:rsid w:val="00BE1D23"/>
    <w:rsid w:val="00BE2C6F"/>
    <w:rsid w:val="00BE2D78"/>
    <w:rsid w:val="00BE319B"/>
    <w:rsid w:val="00BE38E7"/>
    <w:rsid w:val="00BE4072"/>
    <w:rsid w:val="00BE5396"/>
    <w:rsid w:val="00BE620C"/>
    <w:rsid w:val="00BE6613"/>
    <w:rsid w:val="00BF0A25"/>
    <w:rsid w:val="00BF2617"/>
    <w:rsid w:val="00BF4527"/>
    <w:rsid w:val="00BF503C"/>
    <w:rsid w:val="00BF6F52"/>
    <w:rsid w:val="00C00573"/>
    <w:rsid w:val="00C00C5E"/>
    <w:rsid w:val="00C01BC4"/>
    <w:rsid w:val="00C04352"/>
    <w:rsid w:val="00C05C90"/>
    <w:rsid w:val="00C06560"/>
    <w:rsid w:val="00C06705"/>
    <w:rsid w:val="00C06CDD"/>
    <w:rsid w:val="00C14BE1"/>
    <w:rsid w:val="00C15620"/>
    <w:rsid w:val="00C15C81"/>
    <w:rsid w:val="00C1631A"/>
    <w:rsid w:val="00C1653F"/>
    <w:rsid w:val="00C20BC3"/>
    <w:rsid w:val="00C2544B"/>
    <w:rsid w:val="00C25861"/>
    <w:rsid w:val="00C25D22"/>
    <w:rsid w:val="00C27BB7"/>
    <w:rsid w:val="00C32AD2"/>
    <w:rsid w:val="00C32E02"/>
    <w:rsid w:val="00C36045"/>
    <w:rsid w:val="00C36E8F"/>
    <w:rsid w:val="00C4013F"/>
    <w:rsid w:val="00C40757"/>
    <w:rsid w:val="00C41965"/>
    <w:rsid w:val="00C433FB"/>
    <w:rsid w:val="00C47441"/>
    <w:rsid w:val="00C51A07"/>
    <w:rsid w:val="00C521CD"/>
    <w:rsid w:val="00C548C5"/>
    <w:rsid w:val="00C55CAC"/>
    <w:rsid w:val="00C567CF"/>
    <w:rsid w:val="00C56A6F"/>
    <w:rsid w:val="00C57E02"/>
    <w:rsid w:val="00C61D8D"/>
    <w:rsid w:val="00C62083"/>
    <w:rsid w:val="00C63474"/>
    <w:rsid w:val="00C65B9C"/>
    <w:rsid w:val="00C67CCF"/>
    <w:rsid w:val="00C715EA"/>
    <w:rsid w:val="00C726B3"/>
    <w:rsid w:val="00C73C7F"/>
    <w:rsid w:val="00C749C0"/>
    <w:rsid w:val="00C76193"/>
    <w:rsid w:val="00C80E3F"/>
    <w:rsid w:val="00C80F39"/>
    <w:rsid w:val="00C81E1C"/>
    <w:rsid w:val="00C81F78"/>
    <w:rsid w:val="00C8288D"/>
    <w:rsid w:val="00C847ED"/>
    <w:rsid w:val="00C8585D"/>
    <w:rsid w:val="00C85CF2"/>
    <w:rsid w:val="00C86641"/>
    <w:rsid w:val="00C86C78"/>
    <w:rsid w:val="00C8775F"/>
    <w:rsid w:val="00C87C58"/>
    <w:rsid w:val="00C91E33"/>
    <w:rsid w:val="00C933F1"/>
    <w:rsid w:val="00C9452A"/>
    <w:rsid w:val="00C94B17"/>
    <w:rsid w:val="00C97488"/>
    <w:rsid w:val="00CA082D"/>
    <w:rsid w:val="00CA0A95"/>
    <w:rsid w:val="00CA1E3B"/>
    <w:rsid w:val="00CA3060"/>
    <w:rsid w:val="00CA56E2"/>
    <w:rsid w:val="00CA5B78"/>
    <w:rsid w:val="00CA680E"/>
    <w:rsid w:val="00CA6D08"/>
    <w:rsid w:val="00CA70D9"/>
    <w:rsid w:val="00CB2AB5"/>
    <w:rsid w:val="00CB52C6"/>
    <w:rsid w:val="00CC02AD"/>
    <w:rsid w:val="00CC0F93"/>
    <w:rsid w:val="00CC316B"/>
    <w:rsid w:val="00CD06A0"/>
    <w:rsid w:val="00CD0E08"/>
    <w:rsid w:val="00CD434A"/>
    <w:rsid w:val="00CE2604"/>
    <w:rsid w:val="00CE61A6"/>
    <w:rsid w:val="00CE72DC"/>
    <w:rsid w:val="00CE7553"/>
    <w:rsid w:val="00CE78FA"/>
    <w:rsid w:val="00CE7D3A"/>
    <w:rsid w:val="00CF255A"/>
    <w:rsid w:val="00CF569B"/>
    <w:rsid w:val="00CF66E4"/>
    <w:rsid w:val="00D01530"/>
    <w:rsid w:val="00D06E85"/>
    <w:rsid w:val="00D10F8C"/>
    <w:rsid w:val="00D1240B"/>
    <w:rsid w:val="00D126F3"/>
    <w:rsid w:val="00D12797"/>
    <w:rsid w:val="00D14DB7"/>
    <w:rsid w:val="00D15D20"/>
    <w:rsid w:val="00D1704A"/>
    <w:rsid w:val="00D24F67"/>
    <w:rsid w:val="00D26363"/>
    <w:rsid w:val="00D26509"/>
    <w:rsid w:val="00D26D23"/>
    <w:rsid w:val="00D27304"/>
    <w:rsid w:val="00D3039B"/>
    <w:rsid w:val="00D310F0"/>
    <w:rsid w:val="00D31813"/>
    <w:rsid w:val="00D32746"/>
    <w:rsid w:val="00D34042"/>
    <w:rsid w:val="00D34EA7"/>
    <w:rsid w:val="00D373CF"/>
    <w:rsid w:val="00D37A03"/>
    <w:rsid w:val="00D40124"/>
    <w:rsid w:val="00D4076D"/>
    <w:rsid w:val="00D43C60"/>
    <w:rsid w:val="00D463C8"/>
    <w:rsid w:val="00D468F2"/>
    <w:rsid w:val="00D4798F"/>
    <w:rsid w:val="00D5134A"/>
    <w:rsid w:val="00D52E7F"/>
    <w:rsid w:val="00D54F8C"/>
    <w:rsid w:val="00D5628B"/>
    <w:rsid w:val="00D601AF"/>
    <w:rsid w:val="00D60D9E"/>
    <w:rsid w:val="00D62309"/>
    <w:rsid w:val="00D6419D"/>
    <w:rsid w:val="00D65144"/>
    <w:rsid w:val="00D67CDF"/>
    <w:rsid w:val="00D72418"/>
    <w:rsid w:val="00D740F5"/>
    <w:rsid w:val="00D74432"/>
    <w:rsid w:val="00D76073"/>
    <w:rsid w:val="00D77140"/>
    <w:rsid w:val="00D77AAB"/>
    <w:rsid w:val="00D81684"/>
    <w:rsid w:val="00D842C7"/>
    <w:rsid w:val="00D847F4"/>
    <w:rsid w:val="00D8544D"/>
    <w:rsid w:val="00D86F98"/>
    <w:rsid w:val="00D87043"/>
    <w:rsid w:val="00D87081"/>
    <w:rsid w:val="00D87B43"/>
    <w:rsid w:val="00D87ECC"/>
    <w:rsid w:val="00D9187F"/>
    <w:rsid w:val="00D93DFA"/>
    <w:rsid w:val="00D97C0C"/>
    <w:rsid w:val="00DA4C78"/>
    <w:rsid w:val="00DA6807"/>
    <w:rsid w:val="00DA7BB8"/>
    <w:rsid w:val="00DA7C9B"/>
    <w:rsid w:val="00DB19FA"/>
    <w:rsid w:val="00DB44AF"/>
    <w:rsid w:val="00DB7968"/>
    <w:rsid w:val="00DC0446"/>
    <w:rsid w:val="00DC0DDC"/>
    <w:rsid w:val="00DC13DF"/>
    <w:rsid w:val="00DC1BED"/>
    <w:rsid w:val="00DC4D8E"/>
    <w:rsid w:val="00DC6600"/>
    <w:rsid w:val="00DC6C31"/>
    <w:rsid w:val="00DD09A9"/>
    <w:rsid w:val="00DD2559"/>
    <w:rsid w:val="00DD331A"/>
    <w:rsid w:val="00DD5D09"/>
    <w:rsid w:val="00DD6A31"/>
    <w:rsid w:val="00DD7121"/>
    <w:rsid w:val="00DE0E7A"/>
    <w:rsid w:val="00DE1349"/>
    <w:rsid w:val="00DE51F3"/>
    <w:rsid w:val="00DE77B6"/>
    <w:rsid w:val="00DF1C26"/>
    <w:rsid w:val="00DF30A1"/>
    <w:rsid w:val="00DF3400"/>
    <w:rsid w:val="00DF3667"/>
    <w:rsid w:val="00DF3E80"/>
    <w:rsid w:val="00DF45A4"/>
    <w:rsid w:val="00DF4C6B"/>
    <w:rsid w:val="00DF4FA0"/>
    <w:rsid w:val="00DF727F"/>
    <w:rsid w:val="00DF74E3"/>
    <w:rsid w:val="00DF7599"/>
    <w:rsid w:val="00E0127B"/>
    <w:rsid w:val="00E02D9E"/>
    <w:rsid w:val="00E05A96"/>
    <w:rsid w:val="00E065E0"/>
    <w:rsid w:val="00E101C2"/>
    <w:rsid w:val="00E12089"/>
    <w:rsid w:val="00E12E9E"/>
    <w:rsid w:val="00E15408"/>
    <w:rsid w:val="00E16D7A"/>
    <w:rsid w:val="00E22FFE"/>
    <w:rsid w:val="00E230EC"/>
    <w:rsid w:val="00E235D0"/>
    <w:rsid w:val="00E25862"/>
    <w:rsid w:val="00E27E1D"/>
    <w:rsid w:val="00E3370B"/>
    <w:rsid w:val="00E3546E"/>
    <w:rsid w:val="00E36054"/>
    <w:rsid w:val="00E409C3"/>
    <w:rsid w:val="00E41A08"/>
    <w:rsid w:val="00E442F4"/>
    <w:rsid w:val="00E448EE"/>
    <w:rsid w:val="00E451BA"/>
    <w:rsid w:val="00E466C9"/>
    <w:rsid w:val="00E503CA"/>
    <w:rsid w:val="00E513E3"/>
    <w:rsid w:val="00E55017"/>
    <w:rsid w:val="00E61F0B"/>
    <w:rsid w:val="00E62C79"/>
    <w:rsid w:val="00E662EC"/>
    <w:rsid w:val="00E72D25"/>
    <w:rsid w:val="00E7382C"/>
    <w:rsid w:val="00E740A2"/>
    <w:rsid w:val="00E77641"/>
    <w:rsid w:val="00E9124A"/>
    <w:rsid w:val="00E93FF0"/>
    <w:rsid w:val="00E95001"/>
    <w:rsid w:val="00EA02F3"/>
    <w:rsid w:val="00EA5431"/>
    <w:rsid w:val="00EB0601"/>
    <w:rsid w:val="00EB1E42"/>
    <w:rsid w:val="00EB4345"/>
    <w:rsid w:val="00EB4FD9"/>
    <w:rsid w:val="00EB65BD"/>
    <w:rsid w:val="00EC0848"/>
    <w:rsid w:val="00ED0FA8"/>
    <w:rsid w:val="00ED1D29"/>
    <w:rsid w:val="00ED3E70"/>
    <w:rsid w:val="00ED54FC"/>
    <w:rsid w:val="00EE06E1"/>
    <w:rsid w:val="00EE0F2B"/>
    <w:rsid w:val="00EE3EEF"/>
    <w:rsid w:val="00EF1D27"/>
    <w:rsid w:val="00EF229C"/>
    <w:rsid w:val="00EF31C7"/>
    <w:rsid w:val="00EF430A"/>
    <w:rsid w:val="00EF533A"/>
    <w:rsid w:val="00EF5C58"/>
    <w:rsid w:val="00EF5F44"/>
    <w:rsid w:val="00EF6F60"/>
    <w:rsid w:val="00EF725B"/>
    <w:rsid w:val="00EF7CFB"/>
    <w:rsid w:val="00F038F9"/>
    <w:rsid w:val="00F0442D"/>
    <w:rsid w:val="00F06AD6"/>
    <w:rsid w:val="00F074B6"/>
    <w:rsid w:val="00F1307D"/>
    <w:rsid w:val="00F13AEF"/>
    <w:rsid w:val="00F152B0"/>
    <w:rsid w:val="00F16105"/>
    <w:rsid w:val="00F20828"/>
    <w:rsid w:val="00F22841"/>
    <w:rsid w:val="00F24714"/>
    <w:rsid w:val="00F25340"/>
    <w:rsid w:val="00F30DBB"/>
    <w:rsid w:val="00F312B9"/>
    <w:rsid w:val="00F31C77"/>
    <w:rsid w:val="00F324F8"/>
    <w:rsid w:val="00F3269D"/>
    <w:rsid w:val="00F3519F"/>
    <w:rsid w:val="00F375E4"/>
    <w:rsid w:val="00F42BA4"/>
    <w:rsid w:val="00F44261"/>
    <w:rsid w:val="00F4646C"/>
    <w:rsid w:val="00F4767E"/>
    <w:rsid w:val="00F47DA1"/>
    <w:rsid w:val="00F510B3"/>
    <w:rsid w:val="00F52A3F"/>
    <w:rsid w:val="00F53F65"/>
    <w:rsid w:val="00F54C7A"/>
    <w:rsid w:val="00F55AD3"/>
    <w:rsid w:val="00F60137"/>
    <w:rsid w:val="00F644C3"/>
    <w:rsid w:val="00F70A9A"/>
    <w:rsid w:val="00F725F0"/>
    <w:rsid w:val="00F73A0A"/>
    <w:rsid w:val="00F74E0D"/>
    <w:rsid w:val="00F7507F"/>
    <w:rsid w:val="00F76140"/>
    <w:rsid w:val="00F76ED2"/>
    <w:rsid w:val="00F770E0"/>
    <w:rsid w:val="00F80A79"/>
    <w:rsid w:val="00F8487C"/>
    <w:rsid w:val="00F84DDA"/>
    <w:rsid w:val="00F86437"/>
    <w:rsid w:val="00F87147"/>
    <w:rsid w:val="00F87851"/>
    <w:rsid w:val="00F92CD9"/>
    <w:rsid w:val="00F93350"/>
    <w:rsid w:val="00FA0A46"/>
    <w:rsid w:val="00FA14D9"/>
    <w:rsid w:val="00FA3FC7"/>
    <w:rsid w:val="00FA4FDD"/>
    <w:rsid w:val="00FA58AD"/>
    <w:rsid w:val="00FA6F0B"/>
    <w:rsid w:val="00FB041E"/>
    <w:rsid w:val="00FB17C5"/>
    <w:rsid w:val="00FB4130"/>
    <w:rsid w:val="00FB53EB"/>
    <w:rsid w:val="00FB57C5"/>
    <w:rsid w:val="00FB7437"/>
    <w:rsid w:val="00FC0247"/>
    <w:rsid w:val="00FC340E"/>
    <w:rsid w:val="00FC4006"/>
    <w:rsid w:val="00FC5A10"/>
    <w:rsid w:val="00FC5CD8"/>
    <w:rsid w:val="00FC5F63"/>
    <w:rsid w:val="00FD0385"/>
    <w:rsid w:val="00FD19B2"/>
    <w:rsid w:val="00FD1C1E"/>
    <w:rsid w:val="00FD449B"/>
    <w:rsid w:val="00FD6959"/>
    <w:rsid w:val="00FD6F93"/>
    <w:rsid w:val="00FD7987"/>
    <w:rsid w:val="00FE097A"/>
    <w:rsid w:val="00FE15C6"/>
    <w:rsid w:val="00FE2D87"/>
    <w:rsid w:val="00FE4C13"/>
    <w:rsid w:val="00FE7B95"/>
    <w:rsid w:val="00FF0FC5"/>
    <w:rsid w:val="00FF1028"/>
    <w:rsid w:val="00FF2152"/>
    <w:rsid w:val="00FF521C"/>
    <w:rsid w:val="00FF5292"/>
    <w:rsid w:val="00FF6E43"/>
    <w:rsid w:val="00FF7F3B"/>
    <w:rsid w:val="042FDCF5"/>
    <w:rsid w:val="08B29DC0"/>
    <w:rsid w:val="08BCD037"/>
    <w:rsid w:val="0ED99F0F"/>
    <w:rsid w:val="11F807BA"/>
    <w:rsid w:val="12BA7402"/>
    <w:rsid w:val="16E34B32"/>
    <w:rsid w:val="18A1C665"/>
    <w:rsid w:val="1FBFCEB7"/>
    <w:rsid w:val="24FA8564"/>
    <w:rsid w:val="2802F604"/>
    <w:rsid w:val="2A39DF32"/>
    <w:rsid w:val="2A5EEF7D"/>
    <w:rsid w:val="2A79ADFB"/>
    <w:rsid w:val="2F5CC016"/>
    <w:rsid w:val="319E71C6"/>
    <w:rsid w:val="3220CBDB"/>
    <w:rsid w:val="36C91EA2"/>
    <w:rsid w:val="37A387D9"/>
    <w:rsid w:val="380E464C"/>
    <w:rsid w:val="39A2DA23"/>
    <w:rsid w:val="39DB348E"/>
    <w:rsid w:val="3EB33C38"/>
    <w:rsid w:val="497EC4FB"/>
    <w:rsid w:val="4A5B8411"/>
    <w:rsid w:val="4AD3E0B8"/>
    <w:rsid w:val="50E0023E"/>
    <w:rsid w:val="52D16C82"/>
    <w:rsid w:val="55189A50"/>
    <w:rsid w:val="5B715536"/>
    <w:rsid w:val="5E22D3E3"/>
    <w:rsid w:val="5E2F4D86"/>
    <w:rsid w:val="608923BA"/>
    <w:rsid w:val="61C0B0D3"/>
    <w:rsid w:val="62A40436"/>
    <w:rsid w:val="6308C22E"/>
    <w:rsid w:val="658F8E8B"/>
    <w:rsid w:val="673A5A74"/>
    <w:rsid w:val="67E170F9"/>
    <w:rsid w:val="68031677"/>
    <w:rsid w:val="68059263"/>
    <w:rsid w:val="68B9D875"/>
    <w:rsid w:val="68F7EDE1"/>
    <w:rsid w:val="6A4BE3FF"/>
    <w:rsid w:val="6A8A9811"/>
    <w:rsid w:val="6B2163BD"/>
    <w:rsid w:val="6BE50E04"/>
    <w:rsid w:val="6C434162"/>
    <w:rsid w:val="6E00C0A2"/>
    <w:rsid w:val="6E06CC7F"/>
    <w:rsid w:val="6E88E50C"/>
    <w:rsid w:val="726A13FB"/>
    <w:rsid w:val="744DC825"/>
    <w:rsid w:val="75AF2B4C"/>
    <w:rsid w:val="7CB623BB"/>
    <w:rsid w:val="7CDCB53B"/>
    <w:rsid w:val="7EB4AFCF"/>
    <w:rsid w:val="7EF9FF8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A8ADEEA"/>
  <w15:chartTrackingRefBased/>
  <w15:docId w15:val="{87F63F2F-761A-4986-8682-B0BD84F3F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C61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C61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61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61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61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61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61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61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61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chnicalBlockBase">
    <w:name w:val="TechnicalBlockBase"/>
    <w:link w:val="TechnicalBlockBaseChar"/>
    <w:rsid w:val="00894139"/>
    <w:pPr>
      <w:widowControl w:val="0"/>
      <w:spacing w:before="140" w:after="140" w:line="185" w:lineRule="auto"/>
      <w:ind w:left="260" w:right="260"/>
    </w:pPr>
    <w:rPr>
      <w:rFonts w:ascii="Arial New Roman" w:eastAsia="Times New Roman" w:hAnsi="Arial New Roman" w:cs="Arial"/>
      <w:b/>
      <w:i/>
      <w:dstrike/>
      <w:color w:val="606060"/>
      <w:w w:val="98"/>
      <w:kern w:val="0"/>
      <w:sz w:val="10"/>
      <w:szCs w:val="20"/>
      <w:u w:val="words" w:color="606060"/>
      <w:lang w:eastAsia="fr-BE"/>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w w:val="98"/>
      <w:kern w:val="0"/>
      <w:sz w:val="10"/>
      <w:szCs w:val="20"/>
      <w:u w:val="words" w:color="606060"/>
      <w:lang w:val="fr-FR" w:eastAsia="fr-BE"/>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lang w:val="fr-FR" w:eastAsia="fr-BE"/>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lang w:val="fr-FR" w:eastAsia="fr-BE"/>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character" w:customStyle="1" w:styleId="Heading1Char">
    <w:name w:val="Heading 1 Char"/>
    <w:basedOn w:val="DefaultParagraphFont"/>
    <w:link w:val="Heading1"/>
    <w:uiPriority w:val="9"/>
    <w:rsid w:val="008C61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C61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61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61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61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61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61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61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6174"/>
    <w:rPr>
      <w:rFonts w:eastAsiaTheme="majorEastAsia" w:cstheme="majorBidi"/>
      <w:color w:val="272727" w:themeColor="text1" w:themeTint="D8"/>
    </w:rPr>
  </w:style>
  <w:style w:type="paragraph" w:styleId="Title">
    <w:name w:val="Title"/>
    <w:basedOn w:val="Normal"/>
    <w:next w:val="Normal"/>
    <w:link w:val="TitleChar"/>
    <w:uiPriority w:val="10"/>
    <w:qFormat/>
    <w:rsid w:val="008C61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61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61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61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6174"/>
    <w:pPr>
      <w:spacing w:before="160"/>
      <w:jc w:val="center"/>
    </w:pPr>
    <w:rPr>
      <w:i/>
      <w:iCs/>
      <w:color w:val="404040" w:themeColor="text1" w:themeTint="BF"/>
    </w:rPr>
  </w:style>
  <w:style w:type="character" w:customStyle="1" w:styleId="QuoteChar">
    <w:name w:val="Quote Char"/>
    <w:basedOn w:val="DefaultParagraphFont"/>
    <w:link w:val="Quote"/>
    <w:uiPriority w:val="29"/>
    <w:rsid w:val="008C6174"/>
    <w:rPr>
      <w:i/>
      <w:iCs/>
      <w:color w:val="404040" w:themeColor="text1" w:themeTint="BF"/>
    </w:rPr>
  </w:style>
  <w:style w:type="paragraph" w:styleId="ListParagraph">
    <w:name w:val="List Paragraph"/>
    <w:basedOn w:val="Normal"/>
    <w:uiPriority w:val="34"/>
    <w:qFormat/>
    <w:rsid w:val="008C6174"/>
    <w:pPr>
      <w:ind w:left="720"/>
      <w:contextualSpacing/>
    </w:pPr>
  </w:style>
  <w:style w:type="character" w:styleId="IntenseEmphasis">
    <w:name w:val="Intense Emphasis"/>
    <w:basedOn w:val="DefaultParagraphFont"/>
    <w:uiPriority w:val="21"/>
    <w:qFormat/>
    <w:rsid w:val="008C6174"/>
    <w:rPr>
      <w:i/>
      <w:iCs/>
      <w:color w:val="0F4761" w:themeColor="accent1" w:themeShade="BF"/>
    </w:rPr>
  </w:style>
  <w:style w:type="paragraph" w:styleId="IntenseQuote">
    <w:name w:val="Intense Quote"/>
    <w:basedOn w:val="Normal"/>
    <w:next w:val="Normal"/>
    <w:link w:val="IntenseQuoteChar"/>
    <w:uiPriority w:val="30"/>
    <w:qFormat/>
    <w:rsid w:val="008C61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6174"/>
    <w:rPr>
      <w:i/>
      <w:iCs/>
      <w:color w:val="0F4761" w:themeColor="accent1" w:themeShade="BF"/>
    </w:rPr>
  </w:style>
  <w:style w:type="character" w:styleId="IntenseReference">
    <w:name w:val="Intense Reference"/>
    <w:basedOn w:val="DefaultParagraphFont"/>
    <w:uiPriority w:val="32"/>
    <w:qFormat/>
    <w:rsid w:val="008C6174"/>
    <w:rPr>
      <w:b/>
      <w:bCs/>
      <w:smallCaps/>
      <w:color w:val="0F4761" w:themeColor="accent1" w:themeShade="BF"/>
      <w:spacing w:val="5"/>
    </w:rPr>
  </w:style>
  <w:style w:type="numbering" w:customStyle="1" w:styleId="NoList1">
    <w:name w:val="No List1"/>
    <w:next w:val="NoList"/>
    <w:uiPriority w:val="99"/>
    <w:semiHidden/>
    <w:unhideWhenUsed/>
    <w:rsid w:val="008C6174"/>
  </w:style>
  <w:style w:type="paragraph" w:customStyle="1" w:styleId="Header1">
    <w:name w:val="Header1"/>
    <w:basedOn w:val="Normal"/>
    <w:next w:val="Header"/>
    <w:link w:val="HeaderChar"/>
    <w:uiPriority w:val="99"/>
    <w:unhideWhenUsed/>
    <w:rsid w:val="008C6174"/>
    <w:pPr>
      <w:tabs>
        <w:tab w:val="right" w:pos="9638"/>
      </w:tabs>
      <w:spacing w:before="120" w:after="120" w:line="360" w:lineRule="auto"/>
    </w:pPr>
    <w:rPr>
      <w:rFonts w:ascii="Times New Roman" w:hAnsi="Times New Roman" w:cs="Times New Roman"/>
    </w:rPr>
  </w:style>
  <w:style w:type="character" w:customStyle="1" w:styleId="HeaderChar">
    <w:name w:val="Header Char"/>
    <w:basedOn w:val="DefaultParagraphFont"/>
    <w:link w:val="Header1"/>
    <w:uiPriority w:val="99"/>
    <w:rsid w:val="008C6174"/>
    <w:rPr>
      <w:rFonts w:ascii="Times New Roman" w:hAnsi="Times New Roman" w:cs="Times New Roman"/>
      <w:sz w:val="24"/>
      <w:lang w:val="fr-FR"/>
    </w:rPr>
  </w:style>
  <w:style w:type="paragraph" w:customStyle="1" w:styleId="Footer1">
    <w:name w:val="Footer1"/>
    <w:basedOn w:val="Normal"/>
    <w:next w:val="Footer"/>
    <w:link w:val="FooterChar"/>
    <w:uiPriority w:val="99"/>
    <w:unhideWhenUsed/>
    <w:rsid w:val="008C6174"/>
    <w:pPr>
      <w:tabs>
        <w:tab w:val="center" w:pos="4819"/>
        <w:tab w:val="center" w:pos="7370"/>
        <w:tab w:val="right" w:pos="9638"/>
      </w:tabs>
      <w:spacing w:after="0" w:line="240" w:lineRule="auto"/>
    </w:pPr>
    <w:rPr>
      <w:rFonts w:ascii="Times New Roman" w:hAnsi="Times New Roman" w:cs="Times New Roman"/>
    </w:rPr>
  </w:style>
  <w:style w:type="character" w:customStyle="1" w:styleId="FooterChar">
    <w:name w:val="Footer Char"/>
    <w:basedOn w:val="DefaultParagraphFont"/>
    <w:link w:val="Footer1"/>
    <w:uiPriority w:val="99"/>
    <w:rsid w:val="008C6174"/>
    <w:rPr>
      <w:rFonts w:ascii="Times New Roman" w:hAnsi="Times New Roman" w:cs="Times New Roman"/>
      <w:sz w:val="24"/>
      <w:lang w:val="fr-FR"/>
    </w:rPr>
  </w:style>
  <w:style w:type="paragraph" w:customStyle="1" w:styleId="FootnoteText1">
    <w:name w:val="Footnote Text1"/>
    <w:basedOn w:val="Normal"/>
    <w:next w:val="FootnoteText"/>
    <w:link w:val="FootnoteTextChar"/>
    <w:uiPriority w:val="99"/>
    <w:unhideWhenUsed/>
    <w:rsid w:val="008C6174"/>
    <w:pPr>
      <w:spacing w:after="0" w:line="240" w:lineRule="auto"/>
      <w:ind w:left="720" w:hanging="720"/>
    </w:pPr>
    <w:rPr>
      <w:rFonts w:ascii="Times New Roman" w:hAnsi="Times New Roman" w:cs="Times New Roman"/>
      <w:szCs w:val="20"/>
    </w:rPr>
  </w:style>
  <w:style w:type="character" w:customStyle="1" w:styleId="FootnoteTextChar">
    <w:name w:val="Footnote Text Char"/>
    <w:basedOn w:val="DefaultParagraphFont"/>
    <w:link w:val="FootnoteText1"/>
    <w:uiPriority w:val="99"/>
    <w:rsid w:val="008C6174"/>
    <w:rPr>
      <w:rFonts w:ascii="Times New Roman" w:hAnsi="Times New Roman" w:cs="Times New Roman"/>
      <w:sz w:val="24"/>
      <w:szCs w:val="20"/>
      <w:lang w:val="fr-FR"/>
    </w:rPr>
  </w:style>
  <w:style w:type="paragraph" w:customStyle="1" w:styleId="HeaderLandscape">
    <w:name w:val="HeaderLandscape"/>
    <w:basedOn w:val="Normal"/>
    <w:rsid w:val="008C6174"/>
    <w:pPr>
      <w:tabs>
        <w:tab w:val="right" w:pos="14570"/>
      </w:tabs>
      <w:spacing w:before="120" w:after="120" w:line="360" w:lineRule="auto"/>
    </w:pPr>
    <w:rPr>
      <w:rFonts w:ascii="Times New Roman" w:hAnsi="Times New Roman" w:cs="Times New Roman"/>
      <w:kern w:val="0"/>
      <w:szCs w:val="22"/>
    </w:rPr>
  </w:style>
  <w:style w:type="paragraph" w:customStyle="1" w:styleId="FooterLandscape">
    <w:name w:val="FooterLandscape"/>
    <w:basedOn w:val="Normal"/>
    <w:rsid w:val="008C6174"/>
    <w:pPr>
      <w:tabs>
        <w:tab w:val="center" w:pos="7285"/>
        <w:tab w:val="center" w:pos="10930"/>
        <w:tab w:val="right" w:pos="14570"/>
      </w:tabs>
      <w:spacing w:after="0" w:line="240" w:lineRule="auto"/>
    </w:pPr>
    <w:rPr>
      <w:rFonts w:ascii="Times New Roman" w:hAnsi="Times New Roman" w:cs="Times New Roman"/>
      <w:kern w:val="0"/>
      <w:szCs w:val="22"/>
    </w:rPr>
  </w:style>
  <w:style w:type="character" w:styleId="FootnoteReference">
    <w:name w:val="footnote reference"/>
    <w:basedOn w:val="DefaultParagraphFont"/>
    <w:uiPriority w:val="99"/>
    <w:unhideWhenUsed/>
    <w:rsid w:val="008C6174"/>
    <w:rPr>
      <w:b/>
      <w:bdr w:val="none" w:sz="0" w:space="0" w:color="auto"/>
      <w:shd w:val="clear" w:color="auto" w:fill="auto"/>
      <w:vertAlign w:val="superscript"/>
    </w:rPr>
  </w:style>
  <w:style w:type="paragraph" w:customStyle="1" w:styleId="HeaderCouncil">
    <w:name w:val="Header Council"/>
    <w:basedOn w:val="Normal"/>
    <w:rsid w:val="008C6174"/>
    <w:pPr>
      <w:spacing w:after="0" w:line="240" w:lineRule="auto"/>
    </w:pPr>
    <w:rPr>
      <w:rFonts w:ascii="Times New Roman" w:hAnsi="Times New Roman" w:cs="Times New Roman"/>
      <w:kern w:val="0"/>
      <w:sz w:val="2"/>
      <w:szCs w:val="22"/>
    </w:rPr>
  </w:style>
  <w:style w:type="paragraph" w:customStyle="1" w:styleId="FooterCouncil">
    <w:name w:val="Footer Council"/>
    <w:basedOn w:val="Normal"/>
    <w:rsid w:val="008C6174"/>
    <w:pPr>
      <w:spacing w:after="0" w:line="240" w:lineRule="auto"/>
    </w:pPr>
    <w:rPr>
      <w:rFonts w:ascii="Times New Roman" w:hAnsi="Times New Roman" w:cs="Times New Roman"/>
      <w:kern w:val="0"/>
      <w:sz w:val="2"/>
      <w:szCs w:val="22"/>
    </w:rPr>
  </w:style>
  <w:style w:type="paragraph" w:customStyle="1" w:styleId="TechnicalBlock">
    <w:name w:val="Technical Block"/>
    <w:basedOn w:val="Normal"/>
    <w:next w:val="Normal"/>
    <w:link w:val="TechnicalBlockChar"/>
    <w:rsid w:val="008C6174"/>
    <w:pPr>
      <w:spacing w:after="240" w:line="240" w:lineRule="auto"/>
      <w:jc w:val="center"/>
    </w:pPr>
    <w:rPr>
      <w:rFonts w:ascii="Times New Roman" w:hAnsi="Times New Roman" w:cs="Times New Roman"/>
      <w:kern w:val="0"/>
      <w:szCs w:val="22"/>
    </w:rPr>
  </w:style>
  <w:style w:type="character" w:customStyle="1" w:styleId="Marker">
    <w:name w:val="Marker"/>
    <w:basedOn w:val="DefaultParagraphFont"/>
    <w:rsid w:val="008C6174"/>
    <w:rPr>
      <w:color w:val="0000FF"/>
      <w:bdr w:val="none" w:sz="0" w:space="0" w:color="auto"/>
      <w:shd w:val="clear" w:color="auto" w:fill="auto"/>
    </w:rPr>
  </w:style>
  <w:style w:type="character" w:customStyle="1" w:styleId="Marker1">
    <w:name w:val="Marker1"/>
    <w:basedOn w:val="DefaultParagraphFont"/>
    <w:rsid w:val="008C6174"/>
    <w:rPr>
      <w:color w:val="008000"/>
      <w:bdr w:val="none" w:sz="0" w:space="0" w:color="auto"/>
      <w:shd w:val="clear" w:color="auto" w:fill="auto"/>
    </w:rPr>
  </w:style>
  <w:style w:type="paragraph" w:customStyle="1" w:styleId="FinalLine">
    <w:name w:val="Final Line"/>
    <w:basedOn w:val="Normal"/>
    <w:next w:val="Normal"/>
    <w:rsid w:val="008C6174"/>
    <w:pPr>
      <w:pBdr>
        <w:bottom w:val="single" w:sz="4" w:space="0" w:color="000000"/>
      </w:pBdr>
      <w:spacing w:before="360" w:after="120" w:line="360" w:lineRule="auto"/>
      <w:ind w:left="3400" w:right="3400"/>
      <w:jc w:val="center"/>
    </w:pPr>
    <w:rPr>
      <w:rFonts w:ascii="Times New Roman" w:hAnsi="Times New Roman" w:cs="Times New Roman"/>
      <w:b/>
      <w:kern w:val="0"/>
      <w:szCs w:val="22"/>
    </w:rPr>
  </w:style>
  <w:style w:type="paragraph" w:customStyle="1" w:styleId="FinalLineLandscape">
    <w:name w:val="Final Line (Landscape)"/>
    <w:basedOn w:val="Normal"/>
    <w:next w:val="Normal"/>
    <w:rsid w:val="008C6174"/>
    <w:pPr>
      <w:pBdr>
        <w:bottom w:val="single" w:sz="4" w:space="0" w:color="000000"/>
      </w:pBdr>
      <w:spacing w:before="360" w:after="120" w:line="360" w:lineRule="auto"/>
      <w:ind w:left="5868" w:right="5868"/>
      <w:jc w:val="center"/>
    </w:pPr>
    <w:rPr>
      <w:rFonts w:ascii="Times New Roman" w:hAnsi="Times New Roman" w:cs="Times New Roman"/>
      <w:b/>
      <w:kern w:val="0"/>
      <w:szCs w:val="22"/>
    </w:rPr>
  </w:style>
  <w:style w:type="paragraph" w:customStyle="1" w:styleId="EntLogo">
    <w:name w:val="EntLogo"/>
    <w:basedOn w:val="Normal"/>
    <w:rsid w:val="008C6174"/>
    <w:pPr>
      <w:tabs>
        <w:tab w:val="right" w:pos="9639"/>
      </w:tabs>
      <w:spacing w:after="0" w:line="360" w:lineRule="auto"/>
    </w:pPr>
    <w:rPr>
      <w:rFonts w:ascii="Times New Roman" w:hAnsi="Times New Roman" w:cs="Times New Roman"/>
      <w:b/>
      <w:kern w:val="0"/>
      <w:szCs w:val="22"/>
    </w:rPr>
  </w:style>
  <w:style w:type="paragraph" w:customStyle="1" w:styleId="EntEmet">
    <w:name w:val="EntEmet"/>
    <w:basedOn w:val="Normal"/>
    <w:rsid w:val="008C6174"/>
    <w:pPr>
      <w:spacing w:before="40" w:after="0" w:line="240" w:lineRule="auto"/>
    </w:pPr>
    <w:rPr>
      <w:rFonts w:ascii="Times New Roman" w:hAnsi="Times New Roman" w:cs="Times New Roman"/>
      <w:kern w:val="0"/>
      <w:szCs w:val="22"/>
    </w:rPr>
  </w:style>
  <w:style w:type="paragraph" w:customStyle="1" w:styleId="EntInstit">
    <w:name w:val="EntInstit"/>
    <w:basedOn w:val="Normal"/>
    <w:rsid w:val="008C6174"/>
    <w:pPr>
      <w:spacing w:after="0" w:line="240" w:lineRule="auto"/>
      <w:jc w:val="right"/>
    </w:pPr>
    <w:rPr>
      <w:rFonts w:ascii="Times New Roman" w:hAnsi="Times New Roman" w:cs="Times New Roman"/>
      <w:b/>
      <w:kern w:val="0"/>
      <w:szCs w:val="22"/>
    </w:rPr>
  </w:style>
  <w:style w:type="paragraph" w:customStyle="1" w:styleId="EntRefer">
    <w:name w:val="EntRefer"/>
    <w:basedOn w:val="Normal"/>
    <w:rsid w:val="008C6174"/>
    <w:pPr>
      <w:spacing w:after="0" w:line="240" w:lineRule="auto"/>
    </w:pPr>
    <w:rPr>
      <w:rFonts w:ascii="Times New Roman" w:hAnsi="Times New Roman" w:cs="Times New Roman"/>
      <w:b/>
      <w:kern w:val="0"/>
      <w:szCs w:val="22"/>
    </w:rPr>
  </w:style>
  <w:style w:type="paragraph" w:customStyle="1" w:styleId="Genredudocument">
    <w:name w:val="Genre du document"/>
    <w:basedOn w:val="EntRefer"/>
    <w:next w:val="EntRefer"/>
    <w:rsid w:val="008C6174"/>
    <w:pPr>
      <w:spacing w:before="240"/>
    </w:pPr>
  </w:style>
  <w:style w:type="paragraph" w:customStyle="1" w:styleId="Languagesconcerned">
    <w:name w:val="Languages concerned"/>
    <w:basedOn w:val="Normal"/>
    <w:next w:val="Procedureapplicable"/>
    <w:rsid w:val="008C6174"/>
    <w:pPr>
      <w:spacing w:before="240" w:after="120" w:line="360" w:lineRule="auto"/>
    </w:pPr>
    <w:rPr>
      <w:rFonts w:ascii="Times New Roman" w:hAnsi="Times New Roman" w:cs="Times New Roman"/>
      <w:kern w:val="0"/>
      <w:szCs w:val="22"/>
    </w:rPr>
  </w:style>
  <w:style w:type="paragraph" w:customStyle="1" w:styleId="Procedureapplicable">
    <w:name w:val="Procedure applicable"/>
    <w:basedOn w:val="Normal"/>
    <w:next w:val="Proceduretype"/>
    <w:rsid w:val="008C6174"/>
    <w:pPr>
      <w:spacing w:before="240" w:after="120" w:line="360" w:lineRule="auto"/>
    </w:pPr>
    <w:rPr>
      <w:rFonts w:ascii="Times New Roman" w:hAnsi="Times New Roman" w:cs="Times New Roman"/>
      <w:kern w:val="0"/>
      <w:szCs w:val="22"/>
    </w:rPr>
  </w:style>
  <w:style w:type="paragraph" w:customStyle="1" w:styleId="Proceduretype">
    <w:name w:val="Procedure type"/>
    <w:basedOn w:val="Normal"/>
    <w:next w:val="Normal"/>
    <w:rsid w:val="008C6174"/>
    <w:pPr>
      <w:spacing w:before="240" w:after="0" w:line="360" w:lineRule="auto"/>
    </w:pPr>
    <w:rPr>
      <w:rFonts w:ascii="Times New Roman" w:hAnsi="Times New Roman" w:cs="Times New Roman"/>
      <w:kern w:val="0"/>
      <w:szCs w:val="22"/>
    </w:rPr>
  </w:style>
  <w:style w:type="paragraph" w:customStyle="1" w:styleId="Agreement">
    <w:name w:val="Agreement"/>
    <w:basedOn w:val="Normal"/>
    <w:next w:val="Normal"/>
    <w:rsid w:val="008C6174"/>
    <w:pPr>
      <w:spacing w:after="120" w:line="360" w:lineRule="auto"/>
    </w:pPr>
    <w:rPr>
      <w:rFonts w:ascii="Times New Roman" w:hAnsi="Times New Roman" w:cs="Times New Roman"/>
      <w:kern w:val="0"/>
      <w:szCs w:val="22"/>
    </w:rPr>
  </w:style>
  <w:style w:type="paragraph" w:customStyle="1" w:styleId="Timelimit">
    <w:name w:val="Time limit"/>
    <w:basedOn w:val="Normal"/>
    <w:next w:val="Normal"/>
    <w:rsid w:val="008C6174"/>
    <w:pPr>
      <w:spacing w:before="240" w:after="120" w:line="360" w:lineRule="auto"/>
    </w:pPr>
    <w:rPr>
      <w:rFonts w:ascii="Times New Roman" w:hAnsi="Times New Roman" w:cs="Times New Roman"/>
      <w:kern w:val="0"/>
      <w:szCs w:val="22"/>
    </w:rPr>
  </w:style>
  <w:style w:type="paragraph" w:customStyle="1" w:styleId="Remarks">
    <w:name w:val="Remarks"/>
    <w:basedOn w:val="Normal"/>
    <w:rsid w:val="008C6174"/>
    <w:pPr>
      <w:spacing w:before="240" w:after="120" w:line="360" w:lineRule="auto"/>
    </w:pPr>
    <w:rPr>
      <w:rFonts w:ascii="Times New Roman" w:hAnsi="Times New Roman" w:cs="Times New Roman"/>
      <w:kern w:val="0"/>
      <w:szCs w:val="22"/>
    </w:rPr>
  </w:style>
  <w:style w:type="paragraph" w:customStyle="1" w:styleId="Correctionnewlanguages">
    <w:name w:val="Correction new languages"/>
    <w:basedOn w:val="Normal"/>
    <w:next w:val="Normal"/>
    <w:rsid w:val="008C6174"/>
    <w:pPr>
      <w:spacing w:before="240" w:after="120" w:line="360" w:lineRule="auto"/>
    </w:pPr>
    <w:rPr>
      <w:rFonts w:ascii="Times New Roman" w:hAnsi="Times New Roman" w:cs="Times New Roman"/>
      <w:kern w:val="0"/>
      <w:szCs w:val="22"/>
    </w:rPr>
  </w:style>
  <w:style w:type="paragraph" w:customStyle="1" w:styleId="Anyobservations">
    <w:name w:val="Any observations"/>
    <w:basedOn w:val="Normal"/>
    <w:next w:val="Normal"/>
    <w:rsid w:val="008C6174"/>
    <w:pPr>
      <w:spacing w:before="240" w:after="120" w:line="360" w:lineRule="auto"/>
    </w:pPr>
    <w:rPr>
      <w:rFonts w:ascii="Times New Roman" w:hAnsi="Times New Roman" w:cs="Times New Roman"/>
      <w:b/>
      <w:kern w:val="0"/>
      <w:szCs w:val="22"/>
    </w:rPr>
  </w:style>
  <w:style w:type="paragraph" w:customStyle="1" w:styleId="Annextitle">
    <w:name w:val="Annex title"/>
    <w:basedOn w:val="Normal"/>
    <w:next w:val="Corrigendumtitle"/>
    <w:rsid w:val="008C6174"/>
    <w:pPr>
      <w:spacing w:after="0" w:line="360" w:lineRule="auto"/>
      <w:jc w:val="right"/>
    </w:pPr>
    <w:rPr>
      <w:rFonts w:ascii="Times New Roman" w:hAnsi="Times New Roman" w:cs="Times New Roman"/>
      <w:b/>
      <w:kern w:val="0"/>
      <w:szCs w:val="22"/>
      <w:u w:val="single"/>
    </w:rPr>
  </w:style>
  <w:style w:type="paragraph" w:customStyle="1" w:styleId="Corrigendumtitle">
    <w:name w:val="Corrigendum title"/>
    <w:basedOn w:val="Normal"/>
    <w:next w:val="Corrigendumto"/>
    <w:rsid w:val="008C6174"/>
    <w:pPr>
      <w:spacing w:before="240" w:after="120" w:line="360" w:lineRule="auto"/>
      <w:jc w:val="center"/>
    </w:pPr>
    <w:rPr>
      <w:rFonts w:ascii="Times New Roman" w:hAnsi="Times New Roman" w:cs="Times New Roman"/>
      <w:b/>
      <w:kern w:val="0"/>
      <w:szCs w:val="22"/>
    </w:rPr>
  </w:style>
  <w:style w:type="paragraph" w:customStyle="1" w:styleId="Corrigendumto">
    <w:name w:val="Corrigendum to"/>
    <w:basedOn w:val="Normal"/>
    <w:next w:val="Referencedocument"/>
    <w:rsid w:val="008C6174"/>
    <w:pPr>
      <w:spacing w:before="120" w:after="240" w:line="360" w:lineRule="auto"/>
      <w:jc w:val="center"/>
    </w:pPr>
    <w:rPr>
      <w:rFonts w:ascii="Times New Roman" w:hAnsi="Times New Roman" w:cs="Times New Roman"/>
      <w:b/>
      <w:kern w:val="0"/>
      <w:szCs w:val="22"/>
    </w:rPr>
  </w:style>
  <w:style w:type="paragraph" w:customStyle="1" w:styleId="Referencedocument">
    <w:name w:val="Reference document"/>
    <w:basedOn w:val="Normal"/>
    <w:rsid w:val="008C6174"/>
    <w:pPr>
      <w:spacing w:after="0" w:line="360" w:lineRule="auto"/>
      <w:jc w:val="center"/>
    </w:pPr>
    <w:rPr>
      <w:rFonts w:ascii="Times New Roman" w:hAnsi="Times New Roman" w:cs="Times New Roman"/>
      <w:kern w:val="0"/>
      <w:szCs w:val="22"/>
    </w:rPr>
  </w:style>
  <w:style w:type="paragraph" w:customStyle="1" w:styleId="Correctionpage">
    <w:name w:val="Correction page"/>
    <w:basedOn w:val="Normal"/>
    <w:next w:val="Correctionfortitle"/>
    <w:rsid w:val="008C6174"/>
    <w:pPr>
      <w:keepNext/>
      <w:spacing w:before="240" w:after="120" w:line="360" w:lineRule="auto"/>
    </w:pPr>
    <w:rPr>
      <w:rFonts w:ascii="Times New Roman" w:hAnsi="Times New Roman" w:cs="Times New Roman"/>
      <w:kern w:val="0"/>
      <w:szCs w:val="22"/>
    </w:rPr>
  </w:style>
  <w:style w:type="paragraph" w:customStyle="1" w:styleId="Correctionfortitle">
    <w:name w:val="Correction for title"/>
    <w:basedOn w:val="Normal"/>
    <w:next w:val="Correctionfortext"/>
    <w:rsid w:val="008C6174"/>
    <w:pPr>
      <w:keepNext/>
      <w:spacing w:before="120" w:after="240" w:line="360" w:lineRule="auto"/>
    </w:pPr>
    <w:rPr>
      <w:rFonts w:ascii="Times New Roman" w:hAnsi="Times New Roman" w:cs="Times New Roman"/>
      <w:i/>
      <w:kern w:val="0"/>
      <w:szCs w:val="22"/>
    </w:rPr>
  </w:style>
  <w:style w:type="paragraph" w:customStyle="1" w:styleId="Correctionfortext">
    <w:name w:val="Correction for text"/>
    <w:basedOn w:val="Normal"/>
    <w:rsid w:val="008C6174"/>
    <w:pPr>
      <w:spacing w:after="0" w:line="360" w:lineRule="auto"/>
    </w:pPr>
    <w:rPr>
      <w:rFonts w:ascii="Times New Roman" w:hAnsi="Times New Roman" w:cs="Times New Roman"/>
      <w:kern w:val="0"/>
      <w:szCs w:val="22"/>
    </w:rPr>
  </w:style>
  <w:style w:type="paragraph" w:customStyle="1" w:styleId="Correctionreadtitle">
    <w:name w:val="Correction read title"/>
    <w:basedOn w:val="Normal"/>
    <w:next w:val="Correctionreadtext"/>
    <w:rsid w:val="008C6174"/>
    <w:pPr>
      <w:keepNext/>
      <w:spacing w:before="120" w:after="240" w:line="360" w:lineRule="auto"/>
    </w:pPr>
    <w:rPr>
      <w:rFonts w:ascii="Times New Roman" w:hAnsi="Times New Roman" w:cs="Times New Roman"/>
      <w:i/>
      <w:kern w:val="0"/>
      <w:szCs w:val="22"/>
    </w:rPr>
  </w:style>
  <w:style w:type="paragraph" w:customStyle="1" w:styleId="Correctionreadtext">
    <w:name w:val="Correction read text"/>
    <w:basedOn w:val="Normal"/>
    <w:rsid w:val="008C6174"/>
    <w:pPr>
      <w:spacing w:after="0" w:line="360" w:lineRule="auto"/>
    </w:pPr>
    <w:rPr>
      <w:rFonts w:ascii="Times New Roman" w:hAnsi="Times New Roman" w:cs="Times New Roman"/>
      <w:kern w:val="0"/>
      <w:szCs w:val="22"/>
    </w:rPr>
  </w:style>
  <w:style w:type="paragraph" w:customStyle="1" w:styleId="Phraseofsignature">
    <w:name w:val="Phrase of signature"/>
    <w:basedOn w:val="Normal"/>
    <w:next w:val="Correctionpage"/>
    <w:rsid w:val="008C6174"/>
    <w:pPr>
      <w:spacing w:before="240" w:after="120" w:line="360" w:lineRule="auto"/>
    </w:pPr>
    <w:rPr>
      <w:rFonts w:ascii="Times New Roman" w:hAnsi="Times New Roman" w:cs="Times New Roman"/>
      <w:kern w:val="0"/>
      <w:szCs w:val="22"/>
    </w:rPr>
  </w:style>
  <w:style w:type="paragraph" w:customStyle="1" w:styleId="HeaderCouncilLarge">
    <w:name w:val="Header Council Large"/>
    <w:basedOn w:val="Normal"/>
    <w:link w:val="HeaderCouncilLargeChar"/>
    <w:rsid w:val="008C6174"/>
    <w:pPr>
      <w:spacing w:after="440" w:line="360" w:lineRule="auto"/>
      <w:ind w:left="-1134" w:right="-1134"/>
    </w:pPr>
    <w:rPr>
      <w:rFonts w:ascii="Times New Roman" w:hAnsi="Times New Roman" w:cs="Times New Roman"/>
      <w:kern w:val="0"/>
      <w:sz w:val="2"/>
      <w:szCs w:val="22"/>
    </w:rPr>
  </w:style>
  <w:style w:type="character" w:customStyle="1" w:styleId="TechnicalBlockChar">
    <w:name w:val="Technical Block Char"/>
    <w:basedOn w:val="DefaultParagraphFont"/>
    <w:link w:val="TechnicalBlock"/>
    <w:rsid w:val="008C6174"/>
    <w:rPr>
      <w:rFonts w:ascii="Times New Roman" w:hAnsi="Times New Roman" w:cs="Times New Roman"/>
      <w:kern w:val="0"/>
      <w:szCs w:val="22"/>
      <w:lang w:val="fr-FR"/>
    </w:rPr>
  </w:style>
  <w:style w:type="character" w:customStyle="1" w:styleId="HeaderCouncilLargeChar">
    <w:name w:val="Header Council Large Char"/>
    <w:basedOn w:val="TechnicalBlockChar"/>
    <w:link w:val="HeaderCouncilLarge"/>
    <w:rsid w:val="008C6174"/>
    <w:rPr>
      <w:rFonts w:ascii="Times New Roman" w:hAnsi="Times New Roman" w:cs="Times New Roman"/>
      <w:kern w:val="0"/>
      <w:sz w:val="2"/>
      <w:szCs w:val="22"/>
      <w:lang w:val="fr-FR"/>
    </w:rPr>
  </w:style>
  <w:style w:type="paragraph" w:customStyle="1" w:styleId="FooterText">
    <w:name w:val="Footer Text"/>
    <w:basedOn w:val="Normal"/>
    <w:rsid w:val="008C6174"/>
    <w:pPr>
      <w:spacing w:after="0" w:line="240" w:lineRule="auto"/>
    </w:pPr>
    <w:rPr>
      <w:rFonts w:ascii="Times New Roman" w:eastAsia="Times New Roman" w:hAnsi="Times New Roman" w:cs="Times New Roman"/>
      <w:kern w:val="0"/>
    </w:rPr>
  </w:style>
  <w:style w:type="character" w:styleId="PlaceholderText">
    <w:name w:val="Placeholder Text"/>
    <w:basedOn w:val="DefaultParagraphFont"/>
    <w:uiPriority w:val="99"/>
    <w:semiHidden/>
    <w:rsid w:val="008C6174"/>
    <w:rPr>
      <w:color w:val="808080"/>
    </w:rPr>
  </w:style>
  <w:style w:type="table" w:customStyle="1" w:styleId="NormalTable0">
    <w:name w:val="Normal Table0"/>
    <w:uiPriority w:val="2"/>
    <w:semiHidden/>
    <w:unhideWhenUsed/>
    <w:qFormat/>
    <w:rsid w:val="008C6174"/>
    <w:pPr>
      <w:widowControl w:val="0"/>
      <w:autoSpaceDE w:val="0"/>
      <w:autoSpaceDN w:val="0"/>
      <w:spacing w:after="0" w:line="240" w:lineRule="auto"/>
    </w:pPr>
    <w:rPr>
      <w:kern w:val="0"/>
      <w:sz w:val="22"/>
      <w:szCs w:val="20"/>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8C6174"/>
    <w:pPr>
      <w:widowControl w:val="0"/>
      <w:autoSpaceDE w:val="0"/>
      <w:autoSpaceDN w:val="0"/>
      <w:spacing w:after="0" w:line="240" w:lineRule="auto"/>
      <w:jc w:val="both"/>
    </w:pPr>
    <w:rPr>
      <w:rFonts w:ascii="Times New Roman" w:eastAsia="Times New Roman" w:hAnsi="Times New Roman" w:cs="Times New Roman"/>
      <w:kern w:val="0"/>
      <w:szCs w:val="20"/>
    </w:rPr>
  </w:style>
  <w:style w:type="character" w:customStyle="1" w:styleId="BodyTextChar">
    <w:name w:val="Body Text Char"/>
    <w:basedOn w:val="DefaultParagraphFont"/>
    <w:link w:val="BodyText"/>
    <w:uiPriority w:val="1"/>
    <w:rsid w:val="008C6174"/>
    <w:rPr>
      <w:rFonts w:ascii="Times New Roman" w:eastAsia="Times New Roman" w:hAnsi="Times New Roman" w:cs="Times New Roman"/>
      <w:kern w:val="0"/>
      <w:szCs w:val="20"/>
      <w:lang w:val="fr-FR"/>
    </w:rPr>
  </w:style>
  <w:style w:type="paragraph" w:customStyle="1" w:styleId="TableParagraph">
    <w:name w:val="Table Paragraph"/>
    <w:basedOn w:val="Normal"/>
    <w:uiPriority w:val="1"/>
    <w:qFormat/>
    <w:rsid w:val="008C6174"/>
    <w:pPr>
      <w:widowControl w:val="0"/>
      <w:autoSpaceDE w:val="0"/>
      <w:autoSpaceDN w:val="0"/>
      <w:spacing w:after="0" w:line="240" w:lineRule="auto"/>
    </w:pPr>
    <w:rPr>
      <w:rFonts w:ascii="Times New Roman" w:eastAsia="Times New Roman" w:hAnsi="Times New Roman" w:cs="Times New Roman"/>
      <w:kern w:val="0"/>
      <w:sz w:val="22"/>
      <w:szCs w:val="20"/>
    </w:rPr>
  </w:style>
  <w:style w:type="character" w:styleId="CommentReference">
    <w:name w:val="annotation reference"/>
    <w:basedOn w:val="DefaultParagraphFont"/>
    <w:uiPriority w:val="99"/>
    <w:semiHidden/>
    <w:unhideWhenUsed/>
    <w:rsid w:val="008C6174"/>
    <w:rPr>
      <w:sz w:val="16"/>
    </w:rPr>
  </w:style>
  <w:style w:type="paragraph" w:styleId="CommentText">
    <w:name w:val="annotation text"/>
    <w:basedOn w:val="Normal"/>
    <w:link w:val="CommentTextChar"/>
    <w:uiPriority w:val="99"/>
    <w:unhideWhenUsed/>
    <w:rsid w:val="008C6174"/>
    <w:pPr>
      <w:widowControl w:val="0"/>
      <w:autoSpaceDE w:val="0"/>
      <w:autoSpaceDN w:val="0"/>
      <w:spacing w:after="0" w:line="240" w:lineRule="auto"/>
    </w:pPr>
    <w:rPr>
      <w:rFonts w:ascii="Times New Roman" w:eastAsia="Times New Roman" w:hAnsi="Times New Roman" w:cs="Times New Roman"/>
      <w:kern w:val="0"/>
      <w:sz w:val="20"/>
      <w:szCs w:val="20"/>
    </w:rPr>
  </w:style>
  <w:style w:type="character" w:customStyle="1" w:styleId="CommentTextChar">
    <w:name w:val="Comment Text Char"/>
    <w:basedOn w:val="DefaultParagraphFont"/>
    <w:link w:val="CommentText"/>
    <w:uiPriority w:val="99"/>
    <w:rsid w:val="008C6174"/>
    <w:rPr>
      <w:rFonts w:ascii="Times New Roman" w:eastAsia="Times New Roman" w:hAnsi="Times New Roman" w:cs="Times New Roman"/>
      <w:kern w:val="0"/>
      <w:sz w:val="20"/>
      <w:szCs w:val="20"/>
      <w:lang w:val="fr-FR"/>
    </w:rPr>
  </w:style>
  <w:style w:type="paragraph" w:styleId="CommentSubject">
    <w:name w:val="annotation subject"/>
    <w:basedOn w:val="CommentText"/>
    <w:next w:val="CommentText"/>
    <w:link w:val="CommentSubjectChar"/>
    <w:uiPriority w:val="99"/>
    <w:semiHidden/>
    <w:unhideWhenUsed/>
    <w:rsid w:val="008C6174"/>
    <w:rPr>
      <w:b/>
    </w:rPr>
  </w:style>
  <w:style w:type="character" w:customStyle="1" w:styleId="CommentSubjectChar">
    <w:name w:val="Comment Subject Char"/>
    <w:basedOn w:val="CommentTextChar"/>
    <w:link w:val="CommentSubject"/>
    <w:uiPriority w:val="99"/>
    <w:semiHidden/>
    <w:rsid w:val="008C6174"/>
    <w:rPr>
      <w:rFonts w:ascii="Times New Roman" w:eastAsia="Times New Roman" w:hAnsi="Times New Roman" w:cs="Times New Roman"/>
      <w:b/>
      <w:kern w:val="0"/>
      <w:sz w:val="20"/>
      <w:szCs w:val="20"/>
      <w:lang w:val="fr-FR"/>
    </w:rPr>
  </w:style>
  <w:style w:type="character" w:customStyle="1" w:styleId="Hyperlink1">
    <w:name w:val="Hyperlink1"/>
    <w:basedOn w:val="DefaultParagraphFont"/>
    <w:uiPriority w:val="99"/>
    <w:unhideWhenUsed/>
    <w:rsid w:val="008C6174"/>
    <w:rPr>
      <w:color w:val="0563C1"/>
      <w:u w:val="single"/>
    </w:rPr>
  </w:style>
  <w:style w:type="character" w:customStyle="1" w:styleId="FollowedHyperlink1">
    <w:name w:val="FollowedHyperlink1"/>
    <w:basedOn w:val="DefaultParagraphFont"/>
    <w:uiPriority w:val="99"/>
    <w:semiHidden/>
    <w:unhideWhenUsed/>
    <w:rsid w:val="008C6174"/>
    <w:rPr>
      <w:color w:val="954F72"/>
      <w:u w:val="single"/>
    </w:rPr>
  </w:style>
  <w:style w:type="paragraph" w:styleId="Revision">
    <w:name w:val="Revision"/>
    <w:hidden/>
    <w:uiPriority w:val="99"/>
    <w:semiHidden/>
    <w:rsid w:val="008C6174"/>
    <w:pPr>
      <w:spacing w:after="0" w:line="240" w:lineRule="auto"/>
    </w:pPr>
    <w:rPr>
      <w:rFonts w:ascii="Times New Roman" w:eastAsia="Times New Roman" w:hAnsi="Times New Roman" w:cs="Times New Roman"/>
      <w:kern w:val="0"/>
      <w:sz w:val="22"/>
      <w:szCs w:val="20"/>
    </w:rPr>
  </w:style>
  <w:style w:type="paragraph" w:customStyle="1" w:styleId="P68B1DB1-Normal1">
    <w:name w:val="P68B1DB1-Normal1"/>
    <w:basedOn w:val="Normal"/>
    <w:rsid w:val="008C6174"/>
    <w:pPr>
      <w:spacing w:before="120" w:after="120" w:line="360" w:lineRule="auto"/>
    </w:pPr>
    <w:rPr>
      <w:rFonts w:ascii="Times New Roman" w:hAnsi="Times New Roman" w:cs="Times New Roman"/>
      <w:b/>
      <w:kern w:val="0"/>
      <w:szCs w:val="20"/>
    </w:rPr>
  </w:style>
  <w:style w:type="paragraph" w:customStyle="1" w:styleId="P68B1DB1-Heading22">
    <w:name w:val="P68B1DB1-Heading22"/>
    <w:basedOn w:val="Heading2"/>
    <w:rsid w:val="008C6174"/>
    <w:pPr>
      <w:keepNext w:val="0"/>
      <w:keepLines w:val="0"/>
      <w:widowControl w:val="0"/>
      <w:autoSpaceDE w:val="0"/>
      <w:autoSpaceDN w:val="0"/>
      <w:spacing w:before="0" w:after="0" w:line="240" w:lineRule="auto"/>
      <w:ind w:left="942" w:hanging="723"/>
      <w:jc w:val="both"/>
    </w:pPr>
    <w:rPr>
      <w:rFonts w:ascii="Times New Roman" w:eastAsia="Times New Roman" w:hAnsi="Times New Roman" w:cs="Times New Roman"/>
      <w:b/>
      <w:color w:val="auto"/>
      <w:kern w:val="0"/>
      <w:sz w:val="24"/>
      <w:szCs w:val="20"/>
      <w:u w:color="000000"/>
    </w:rPr>
  </w:style>
  <w:style w:type="paragraph" w:customStyle="1" w:styleId="P68B1DB1-ListParagraph3">
    <w:name w:val="P68B1DB1-ListParagraph3"/>
    <w:basedOn w:val="ListParagraph"/>
    <w:rsid w:val="008C6174"/>
    <w:pPr>
      <w:widowControl w:val="0"/>
      <w:autoSpaceDE w:val="0"/>
      <w:autoSpaceDN w:val="0"/>
      <w:spacing w:after="0" w:line="240" w:lineRule="auto"/>
      <w:ind w:left="822" w:hanging="363"/>
      <w:contextualSpacing w:val="0"/>
      <w:jc w:val="both"/>
    </w:pPr>
    <w:rPr>
      <w:rFonts w:ascii="Times New Roman" w:eastAsia="Times New Roman" w:hAnsi="Times New Roman" w:cs="Times New Roman"/>
      <w:b/>
      <w:kern w:val="0"/>
      <w:szCs w:val="20"/>
    </w:rPr>
  </w:style>
  <w:style w:type="paragraph" w:customStyle="1" w:styleId="P68B1DB1-Heading24">
    <w:name w:val="P68B1DB1-Heading24"/>
    <w:basedOn w:val="Heading2"/>
    <w:rsid w:val="008C6174"/>
    <w:pPr>
      <w:keepNext w:val="0"/>
      <w:keepLines w:val="0"/>
      <w:widowControl w:val="0"/>
      <w:autoSpaceDE w:val="0"/>
      <w:autoSpaceDN w:val="0"/>
      <w:spacing w:before="0" w:after="0" w:line="240" w:lineRule="auto"/>
      <w:ind w:left="942" w:hanging="723"/>
      <w:jc w:val="both"/>
    </w:pPr>
    <w:rPr>
      <w:rFonts w:ascii="Times New Roman" w:eastAsia="Times New Roman" w:hAnsi="Times New Roman" w:cs="Times New Roman"/>
      <w:b/>
      <w:color w:val="auto"/>
      <w:kern w:val="0"/>
      <w:sz w:val="24"/>
      <w:szCs w:val="20"/>
      <w:u w:val="thick" w:color="000000"/>
    </w:rPr>
  </w:style>
  <w:style w:type="paragraph" w:customStyle="1" w:styleId="P68B1DB1-BodyText5">
    <w:name w:val="P68B1DB1-BodyText5"/>
    <w:basedOn w:val="BodyText"/>
    <w:rsid w:val="008C6174"/>
    <w:rPr>
      <w:u w:val="single"/>
    </w:rPr>
  </w:style>
  <w:style w:type="paragraph" w:customStyle="1" w:styleId="P68B1DB1-ListParagraph6">
    <w:name w:val="P68B1DB1-ListParagraph6"/>
    <w:basedOn w:val="ListParagraph"/>
    <w:rsid w:val="008C6174"/>
    <w:pPr>
      <w:widowControl w:val="0"/>
      <w:autoSpaceDE w:val="0"/>
      <w:autoSpaceDN w:val="0"/>
      <w:spacing w:after="0" w:line="240" w:lineRule="auto"/>
      <w:ind w:left="822" w:hanging="363"/>
      <w:contextualSpacing w:val="0"/>
      <w:jc w:val="both"/>
    </w:pPr>
    <w:rPr>
      <w:rFonts w:ascii="Times New Roman" w:eastAsia="Times New Roman" w:hAnsi="Times New Roman" w:cs="Times New Roman"/>
      <w:kern w:val="0"/>
      <w:szCs w:val="20"/>
    </w:rPr>
  </w:style>
  <w:style w:type="paragraph" w:customStyle="1" w:styleId="P68B1DB1-TableParagraph7">
    <w:name w:val="P68B1DB1-TableParagraph7"/>
    <w:basedOn w:val="TableParagraph"/>
    <w:rsid w:val="008C6174"/>
    <w:rPr>
      <w:b/>
      <w:sz w:val="19"/>
    </w:rPr>
  </w:style>
  <w:style w:type="paragraph" w:customStyle="1" w:styleId="P68B1DB1-TableParagraph8">
    <w:name w:val="P68B1DB1-TableParagraph8"/>
    <w:basedOn w:val="TableParagraph"/>
    <w:rsid w:val="008C6174"/>
    <w:rPr>
      <w:sz w:val="19"/>
    </w:rPr>
  </w:style>
  <w:style w:type="paragraph" w:customStyle="1" w:styleId="P68B1DB1-BodyText9">
    <w:name w:val="P68B1DB1-BodyText9"/>
    <w:basedOn w:val="BodyText"/>
    <w:rsid w:val="008C6174"/>
    <w:rPr>
      <w:sz w:val="2"/>
    </w:rPr>
  </w:style>
  <w:style w:type="paragraph" w:customStyle="1" w:styleId="P68B1DB1-BodyText10">
    <w:name w:val="P68B1DB1-BodyText10"/>
    <w:basedOn w:val="BodyText"/>
    <w:rsid w:val="008C6174"/>
    <w:rPr>
      <w:rFonts w:ascii="Courier New"/>
    </w:rPr>
  </w:style>
  <w:style w:type="paragraph" w:customStyle="1" w:styleId="P68B1DB1-TableParagraph11">
    <w:name w:val="P68B1DB1-TableParagraph11"/>
    <w:basedOn w:val="TableParagraph"/>
    <w:rsid w:val="008C6174"/>
    <w:rPr>
      <w:b/>
      <w:sz w:val="18"/>
    </w:rPr>
  </w:style>
  <w:style w:type="paragraph" w:customStyle="1" w:styleId="P68B1DB1-TableParagraph12">
    <w:name w:val="P68B1DB1-TableParagraph12"/>
    <w:basedOn w:val="TableParagraph"/>
    <w:rsid w:val="008C6174"/>
    <w:rPr>
      <w:sz w:val="18"/>
    </w:rPr>
  </w:style>
  <w:style w:type="paragraph" w:customStyle="1" w:styleId="P68B1DB1-BodyText13">
    <w:name w:val="P68B1DB1-BodyText13"/>
    <w:basedOn w:val="BodyText"/>
    <w:rsid w:val="008C6174"/>
    <w:rPr>
      <w:rFonts w:ascii="Calibri"/>
    </w:rPr>
  </w:style>
  <w:style w:type="paragraph" w:customStyle="1" w:styleId="P68B1DB1-TableParagraph14">
    <w:name w:val="P68B1DB1-TableParagraph14"/>
    <w:basedOn w:val="TableParagraph"/>
    <w:rsid w:val="008C6174"/>
    <w:rPr>
      <w:sz w:val="19"/>
      <w:u w:val="single"/>
    </w:rPr>
  </w:style>
  <w:style w:type="paragraph" w:customStyle="1" w:styleId="P68B1DB1-Normal15">
    <w:name w:val="P68B1DB1-Normal15"/>
    <w:basedOn w:val="Normal"/>
    <w:rsid w:val="008C6174"/>
    <w:pPr>
      <w:spacing w:before="120" w:after="120" w:line="360" w:lineRule="auto"/>
    </w:pPr>
    <w:rPr>
      <w:rFonts w:ascii="Times New Roman" w:hAnsi="Times New Roman" w:cs="Times New Roman"/>
      <w:kern w:val="0"/>
      <w:szCs w:val="20"/>
      <w:u w:val="single"/>
    </w:rPr>
  </w:style>
  <w:style w:type="paragraph" w:customStyle="1" w:styleId="P68B1DB1-Normal16">
    <w:name w:val="P68B1DB1-Normal16"/>
    <w:basedOn w:val="Normal"/>
    <w:rsid w:val="008C6174"/>
    <w:pPr>
      <w:spacing w:before="120" w:after="120" w:line="360" w:lineRule="auto"/>
    </w:pPr>
    <w:rPr>
      <w:rFonts w:ascii="Times New Roman" w:hAnsi="Times New Roman" w:cs="Times New Roman"/>
      <w:kern w:val="0"/>
      <w:sz w:val="19"/>
      <w:szCs w:val="20"/>
    </w:rPr>
  </w:style>
  <w:style w:type="paragraph" w:customStyle="1" w:styleId="P68B1DB1-Normal17">
    <w:name w:val="P68B1DB1-Normal17"/>
    <w:basedOn w:val="Normal"/>
    <w:rsid w:val="008C6174"/>
    <w:pPr>
      <w:spacing w:before="120" w:after="120" w:line="360" w:lineRule="auto"/>
    </w:pPr>
    <w:rPr>
      <w:rFonts w:ascii="Times New Roman" w:hAnsi="Times New Roman" w:cs="Times New Roman"/>
      <w:kern w:val="0"/>
      <w:sz w:val="20"/>
      <w:szCs w:val="20"/>
    </w:rPr>
  </w:style>
  <w:style w:type="paragraph" w:customStyle="1" w:styleId="P68B1DB1-ListParagraph18">
    <w:name w:val="P68B1DB1-ListParagraph18"/>
    <w:basedOn w:val="ListParagraph"/>
    <w:rsid w:val="008C6174"/>
    <w:pPr>
      <w:widowControl w:val="0"/>
      <w:autoSpaceDE w:val="0"/>
      <w:autoSpaceDN w:val="0"/>
      <w:spacing w:after="0" w:line="240" w:lineRule="auto"/>
      <w:ind w:left="822" w:hanging="363"/>
      <w:contextualSpacing w:val="0"/>
      <w:jc w:val="both"/>
    </w:pPr>
    <w:rPr>
      <w:rFonts w:ascii="Times New Roman" w:eastAsia="Times New Roman" w:hAnsi="Times New Roman" w:cs="Times New Roman"/>
      <w:b/>
      <w:kern w:val="0"/>
      <w:szCs w:val="20"/>
      <w:u w:val="thick"/>
    </w:rPr>
  </w:style>
  <w:style w:type="paragraph" w:customStyle="1" w:styleId="P68B1DB1-BodyText19">
    <w:name w:val="P68B1DB1-BodyText19"/>
    <w:basedOn w:val="BodyText"/>
    <w:rsid w:val="008C6174"/>
    <w:rPr>
      <w:u w:val="thick"/>
    </w:rPr>
  </w:style>
  <w:style w:type="paragraph" w:customStyle="1" w:styleId="P68B1DB1-TableParagraph20">
    <w:name w:val="P68B1DB1-TableParagraph20"/>
    <w:basedOn w:val="TableParagraph"/>
    <w:rsid w:val="008C6174"/>
    <w:rPr>
      <w:b/>
      <w:sz w:val="20"/>
    </w:rPr>
  </w:style>
  <w:style w:type="paragraph" w:customStyle="1" w:styleId="P68B1DB1-TableParagraph21">
    <w:name w:val="P68B1DB1-TableParagraph21"/>
    <w:basedOn w:val="TableParagraph"/>
    <w:rsid w:val="008C6174"/>
    <w:rPr>
      <w:color w:val="005F00"/>
      <w:sz w:val="19"/>
    </w:rPr>
  </w:style>
  <w:style w:type="paragraph" w:customStyle="1" w:styleId="P68B1DB1-TableParagraph22">
    <w:name w:val="P68B1DB1-TableParagraph22"/>
    <w:basedOn w:val="TableParagraph"/>
    <w:rsid w:val="008C6174"/>
    <w:rPr>
      <w:i/>
      <w:color w:val="005F00"/>
      <w:sz w:val="19"/>
    </w:rPr>
  </w:style>
  <w:style w:type="paragraph" w:customStyle="1" w:styleId="P68B1DB1-TableParagraph23">
    <w:name w:val="P68B1DB1-TableParagraph23"/>
    <w:basedOn w:val="TableParagraph"/>
    <w:rsid w:val="008C6174"/>
    <w:rPr>
      <w:b/>
      <w:color w:val="005F00"/>
      <w:sz w:val="19"/>
    </w:rPr>
  </w:style>
  <w:style w:type="paragraph" w:customStyle="1" w:styleId="P68B1DB1-FooterText24">
    <w:name w:val="P68B1DB1-FooterText24"/>
    <w:basedOn w:val="FooterText"/>
    <w:rsid w:val="008C6174"/>
    <w:rPr>
      <w:b/>
      <w:caps/>
      <w:position w:val="-4"/>
      <w:sz w:val="36"/>
      <w:szCs w:val="20"/>
    </w:rPr>
  </w:style>
  <w:style w:type="character" w:customStyle="1" w:styleId="UnresolvedMention1">
    <w:name w:val="Unresolved Mention1"/>
    <w:basedOn w:val="DefaultParagraphFont"/>
    <w:uiPriority w:val="99"/>
    <w:semiHidden/>
    <w:unhideWhenUsed/>
    <w:rsid w:val="008C6174"/>
    <w:rPr>
      <w:color w:val="605E5C"/>
      <w:shd w:val="clear" w:color="auto" w:fill="E1DFDD"/>
    </w:rPr>
  </w:style>
  <w:style w:type="character" w:customStyle="1" w:styleId="Mention1">
    <w:name w:val="Mention1"/>
    <w:basedOn w:val="DefaultParagraphFont"/>
    <w:uiPriority w:val="99"/>
    <w:unhideWhenUsed/>
    <w:rsid w:val="008C6174"/>
    <w:rPr>
      <w:color w:val="2B579A"/>
      <w:shd w:val="clear" w:color="auto" w:fill="E1DFDD"/>
    </w:rPr>
  </w:style>
  <w:style w:type="paragraph" w:styleId="Header">
    <w:name w:val="header"/>
    <w:basedOn w:val="Normal"/>
    <w:link w:val="HeaderChar1"/>
    <w:uiPriority w:val="99"/>
    <w:unhideWhenUsed/>
    <w:rsid w:val="008C6174"/>
    <w:pPr>
      <w:tabs>
        <w:tab w:val="center" w:pos="4513"/>
        <w:tab w:val="right" w:pos="9026"/>
      </w:tabs>
      <w:spacing w:after="0" w:line="240" w:lineRule="auto"/>
    </w:pPr>
  </w:style>
  <w:style w:type="character" w:customStyle="1" w:styleId="HeaderChar1">
    <w:name w:val="Header Char1"/>
    <w:basedOn w:val="DefaultParagraphFont"/>
    <w:link w:val="Header"/>
    <w:uiPriority w:val="99"/>
    <w:rsid w:val="008C6174"/>
  </w:style>
  <w:style w:type="paragraph" w:styleId="Footer">
    <w:name w:val="footer"/>
    <w:basedOn w:val="Normal"/>
    <w:link w:val="FooterChar1"/>
    <w:uiPriority w:val="99"/>
    <w:unhideWhenUsed/>
    <w:rsid w:val="008C6174"/>
    <w:pPr>
      <w:tabs>
        <w:tab w:val="center" w:pos="4513"/>
        <w:tab w:val="right" w:pos="9026"/>
      </w:tabs>
      <w:spacing w:after="0" w:line="240" w:lineRule="auto"/>
    </w:pPr>
  </w:style>
  <w:style w:type="character" w:customStyle="1" w:styleId="FooterChar1">
    <w:name w:val="Footer Char1"/>
    <w:basedOn w:val="DefaultParagraphFont"/>
    <w:link w:val="Footer"/>
    <w:uiPriority w:val="99"/>
    <w:rsid w:val="008C6174"/>
  </w:style>
  <w:style w:type="paragraph" w:styleId="FootnoteText">
    <w:name w:val="footnote text"/>
    <w:basedOn w:val="Normal"/>
    <w:link w:val="FootnoteTextChar1"/>
    <w:uiPriority w:val="99"/>
    <w:unhideWhenUsed/>
    <w:rsid w:val="008C6174"/>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8C6174"/>
    <w:rPr>
      <w:sz w:val="20"/>
      <w:szCs w:val="20"/>
    </w:rPr>
  </w:style>
  <w:style w:type="character" w:styleId="Hyperlink">
    <w:name w:val="Hyperlink"/>
    <w:basedOn w:val="DefaultParagraphFont"/>
    <w:uiPriority w:val="99"/>
    <w:unhideWhenUsed/>
    <w:rsid w:val="008C6174"/>
    <w:rPr>
      <w:color w:val="467886" w:themeColor="hyperlink"/>
      <w:u w:val="single"/>
    </w:rPr>
  </w:style>
  <w:style w:type="character" w:styleId="FollowedHyperlink">
    <w:name w:val="FollowedHyperlink"/>
    <w:basedOn w:val="DefaultParagraphFont"/>
    <w:uiPriority w:val="99"/>
    <w:semiHidden/>
    <w:unhideWhenUsed/>
    <w:rsid w:val="008C6174"/>
    <w:rPr>
      <w:color w:val="96607D" w:themeColor="followedHyperlink"/>
      <w:u w:val="single"/>
    </w:rPr>
  </w:style>
  <w:style w:type="table" w:styleId="TableGrid">
    <w:name w:val="Table Grid"/>
    <w:basedOn w:val="TableNormal"/>
    <w:uiPriority w:val="59"/>
    <w:rsid w:val="00FB4123"/>
    <w:pPr>
      <w:spacing w:after="0" w:line="240" w:lineRule="auto"/>
    </w:pPr>
    <w:tblPr/>
  </w:style>
  <w:style w:type="paragraph" w:customStyle="1" w:styleId="Pagedecouverture">
    <w:name w:val="Page de couverture"/>
    <w:basedOn w:val="Normal"/>
    <w:next w:val="Normal"/>
    <w:rsid w:val="006C0794"/>
    <w:pPr>
      <w:spacing w:after="0" w:line="240" w:lineRule="auto"/>
      <w:jc w:val="both"/>
    </w:pPr>
    <w:rPr>
      <w:rFonts w:ascii="Times New Roman" w:hAnsi="Times New Roman" w:cs="Times New Roman"/>
      <w:kern w:val="0"/>
      <w:szCs w:val="22"/>
    </w:rPr>
  </w:style>
  <w:style w:type="paragraph" w:customStyle="1" w:styleId="FooterCoverPage">
    <w:name w:val="Footer Cover Page"/>
    <w:basedOn w:val="Normal"/>
    <w:link w:val="FooterCoverPageChar"/>
    <w:rsid w:val="006C0794"/>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6C0794"/>
    <w:rPr>
      <w:rFonts w:ascii="Times New Roman" w:hAnsi="Times New Roman" w:cs="Times New Roman"/>
    </w:rPr>
  </w:style>
  <w:style w:type="paragraph" w:customStyle="1" w:styleId="FooterSensitivity">
    <w:name w:val="Footer Sensitivity"/>
    <w:basedOn w:val="Normal"/>
    <w:link w:val="FooterSensitivityChar"/>
    <w:rsid w:val="006C079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6C0794"/>
    <w:rPr>
      <w:rFonts w:ascii="Times New Roman" w:hAnsi="Times New Roman" w:cs="Times New Roman"/>
      <w:b/>
      <w:sz w:val="32"/>
    </w:rPr>
  </w:style>
  <w:style w:type="paragraph" w:customStyle="1" w:styleId="HeaderCoverPage">
    <w:name w:val="Header Cover Page"/>
    <w:basedOn w:val="Normal"/>
    <w:link w:val="HeaderCoverPageChar"/>
    <w:rsid w:val="006C0794"/>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6C0794"/>
    <w:rPr>
      <w:rFonts w:ascii="Times New Roman" w:hAnsi="Times New Roman" w:cs="Times New Roman"/>
    </w:rPr>
  </w:style>
  <w:style w:type="paragraph" w:customStyle="1" w:styleId="HeaderSensitivity">
    <w:name w:val="Header Sensitivity"/>
    <w:basedOn w:val="Normal"/>
    <w:link w:val="HeaderSensitivityChar"/>
    <w:rsid w:val="006C079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6C0794"/>
    <w:rPr>
      <w:rFonts w:ascii="Times New Roman" w:hAnsi="Times New Roman" w:cs="Times New Roman"/>
      <w:b/>
      <w:sz w:val="32"/>
    </w:rPr>
  </w:style>
  <w:style w:type="paragraph" w:customStyle="1" w:styleId="HeaderSensitivityRight">
    <w:name w:val="Header Sensitivity Right"/>
    <w:basedOn w:val="Normal"/>
    <w:link w:val="HeaderSensitivityRightChar"/>
    <w:rsid w:val="002D67E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6C0794"/>
    <w:rPr>
      <w:rFonts w:ascii="Times New Roman" w:hAnsi="Times New Roman" w:cs="Times New Roman"/>
      <w:sz w:val="28"/>
    </w:rPr>
  </w:style>
  <w:style w:type="paragraph" w:customStyle="1" w:styleId="Lignefinal">
    <w:name w:val="Ligne final"/>
    <w:basedOn w:val="Normal"/>
    <w:next w:val="Normal"/>
    <w:rsid w:val="00CD6948"/>
    <w:pPr>
      <w:pBdr>
        <w:bottom w:val="single" w:sz="4" w:space="0" w:color="000000"/>
      </w:pBdr>
      <w:spacing w:before="360" w:after="120" w:line="360" w:lineRule="auto"/>
      <w:ind w:left="3400" w:right="3400"/>
      <w:jc w:val="center"/>
    </w:pPr>
    <w:rPr>
      <w:rFonts w:ascii="Times New Roman" w:hAnsi="Times New Roman" w:cs="Times New Roman"/>
      <w:b/>
      <w:kern w:val="0"/>
      <w:szCs w:val="22"/>
    </w:rPr>
  </w:style>
  <w:style w:type="paragraph" w:customStyle="1" w:styleId="pj">
    <w:name w:val="p.j."/>
    <w:basedOn w:val="Normal"/>
    <w:link w:val="pjChar"/>
    <w:rsid w:val="00CD6948"/>
    <w:pPr>
      <w:spacing w:before="1200" w:after="120" w:line="240" w:lineRule="auto"/>
      <w:ind w:left="1440" w:hanging="1440"/>
    </w:pPr>
    <w:rPr>
      <w:rFonts w:ascii="Times New Roman" w:eastAsia="Calibri" w:hAnsi="Times New Roman" w:cs="Times New Roman"/>
      <w:kern w:val="0"/>
      <w:szCs w:val="22"/>
      <w:lang w:eastAsia="en-IE"/>
    </w:rPr>
  </w:style>
  <w:style w:type="character" w:customStyle="1" w:styleId="pjChar">
    <w:name w:val="p.j. Char"/>
    <w:basedOn w:val="TechnicalBlockChar"/>
    <w:link w:val="pj"/>
    <w:rsid w:val="00CD6948"/>
    <w:rPr>
      <w:rFonts w:ascii="Times New Roman" w:eastAsia="Calibri" w:hAnsi="Times New Roman" w:cs="Times New Roman"/>
      <w:kern w:val="0"/>
      <w:szCs w:val="22"/>
      <w:lang w:val="fr-FR" w:eastAsia="en-IE"/>
    </w:rPr>
  </w:style>
  <w:style w:type="character" w:customStyle="1" w:styleId="Mention">
    <w:name w:val="Mention"/>
    <w:basedOn w:val="DefaultParagraphFont"/>
    <w:uiPriority w:val="99"/>
    <w:unhideWhenUsed/>
    <w:rsid w:val="000C7A7C"/>
    <w:rPr>
      <w:color w:val="2B579A"/>
      <w:shd w:val="clear" w:color="auto" w:fill="E1DFDD"/>
    </w:rPr>
  </w:style>
  <w:style w:type="paragraph" w:customStyle="1" w:styleId="Disclaimer">
    <w:name w:val="Disclaimer"/>
    <w:basedOn w:val="Normal"/>
    <w:rsid w:val="002D67E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rsid w:val="002D67E0"/>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rsid w:val="002D67E0"/>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rsid w:val="002D67E0"/>
    <w:pPr>
      <w:spacing w:after="0" w:line="276" w:lineRule="auto"/>
      <w:ind w:left="5103"/>
    </w:pPr>
    <w:rPr>
      <w:rFonts w:ascii="Times New Roman" w:hAnsi="Times New Roman" w:cs="Times New Roman"/>
      <w:i/>
      <w:kern w:val="0"/>
      <w:sz w:val="28"/>
      <w:szCs w:val="22"/>
      <w14:ligatures w14:val="none"/>
    </w:rPr>
  </w:style>
  <w:style w:type="character" w:customStyle="1" w:styleId="UnresolvedMention">
    <w:name w:val="Unresolved Mention"/>
    <w:basedOn w:val="DefaultParagraphFont"/>
    <w:uiPriority w:val="99"/>
    <w:semiHidden/>
    <w:unhideWhenUsed/>
    <w:rsid w:val="00F31C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footer" Target="footer28.xml"/><Relationship Id="rId84" Type="http://schemas.openxmlformats.org/officeDocument/2006/relationships/header" Target="header37.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38" Type="http://schemas.openxmlformats.org/officeDocument/2006/relationships/header" Target="header64.xml"/><Relationship Id="rId16" Type="http://schemas.openxmlformats.org/officeDocument/2006/relationships/header" Target="header3.xml"/><Relationship Id="rId107" Type="http://schemas.openxmlformats.org/officeDocument/2006/relationships/footer" Target="footer48.xm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footer" Target="footer31.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28" Type="http://schemas.openxmlformats.org/officeDocument/2006/relationships/footer" Target="footer58.xml"/><Relationship Id="rId144" Type="http://schemas.openxmlformats.org/officeDocument/2006/relationships/header" Target="header67.xml"/><Relationship Id="rId149" Type="http://schemas.openxmlformats.org/officeDocument/2006/relationships/footer" Target="footer69.xml"/><Relationship Id="rId5" Type="http://schemas.openxmlformats.org/officeDocument/2006/relationships/numbering" Target="numbering.xml"/><Relationship Id="rId90" Type="http://schemas.openxmlformats.org/officeDocument/2006/relationships/header" Target="header40.xml"/><Relationship Id="rId95" Type="http://schemas.openxmlformats.org/officeDocument/2006/relationships/footer" Target="footer42.xml"/><Relationship Id="rId22" Type="http://schemas.openxmlformats.org/officeDocument/2006/relationships/header" Target="header6.xml"/><Relationship Id="rId27" Type="http://schemas.openxmlformats.org/officeDocument/2006/relationships/footer" Target="footer8.xml"/><Relationship Id="rId43" Type="http://schemas.openxmlformats.org/officeDocument/2006/relationships/header" Target="header17.xml"/><Relationship Id="rId48" Type="http://schemas.openxmlformats.org/officeDocument/2006/relationships/header" Target="header19.xml"/><Relationship Id="rId64" Type="http://schemas.openxmlformats.org/officeDocument/2006/relationships/header" Target="header27.xml"/><Relationship Id="rId69" Type="http://schemas.openxmlformats.org/officeDocument/2006/relationships/footer" Target="footer29.xml"/><Relationship Id="rId113" Type="http://schemas.openxmlformats.org/officeDocument/2006/relationships/footer" Target="footer51.xml"/><Relationship Id="rId118" Type="http://schemas.openxmlformats.org/officeDocument/2006/relationships/header" Target="header54.xml"/><Relationship Id="rId134" Type="http://schemas.openxmlformats.org/officeDocument/2006/relationships/footer" Target="footer61.xml"/><Relationship Id="rId139" Type="http://schemas.openxmlformats.org/officeDocument/2006/relationships/header" Target="header65.xml"/><Relationship Id="rId80" Type="http://schemas.openxmlformats.org/officeDocument/2006/relationships/footer" Target="footer34.xml"/><Relationship Id="rId85" Type="http://schemas.openxmlformats.org/officeDocument/2006/relationships/header" Target="header38.xml"/><Relationship Id="rId150" Type="http://schemas.openxmlformats.org/officeDocument/2006/relationships/fontTable" Target="fontTable.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footer" Target="footer13.xml"/><Relationship Id="rId46" Type="http://schemas.openxmlformats.org/officeDocument/2006/relationships/header" Target="header18.xml"/><Relationship Id="rId59" Type="http://schemas.openxmlformats.org/officeDocument/2006/relationships/footer" Target="footer24.xml"/><Relationship Id="rId67" Type="http://schemas.openxmlformats.org/officeDocument/2006/relationships/header" Target="header29.xml"/><Relationship Id="rId103" Type="http://schemas.openxmlformats.org/officeDocument/2006/relationships/header" Target="header47.xml"/><Relationship Id="rId108" Type="http://schemas.openxmlformats.org/officeDocument/2006/relationships/header" Target="header49.xml"/><Relationship Id="rId116" Type="http://schemas.openxmlformats.org/officeDocument/2006/relationships/footer" Target="footer52.xml"/><Relationship Id="rId124" Type="http://schemas.openxmlformats.org/officeDocument/2006/relationships/header" Target="header57.xml"/><Relationship Id="rId129" Type="http://schemas.openxmlformats.org/officeDocument/2006/relationships/footer" Target="footer59.xml"/><Relationship Id="rId137" Type="http://schemas.openxmlformats.org/officeDocument/2006/relationships/footer" Target="footer63.xml"/><Relationship Id="rId20" Type="http://schemas.openxmlformats.org/officeDocument/2006/relationships/footer" Target="footer4.xml"/><Relationship Id="rId41" Type="http://schemas.openxmlformats.org/officeDocument/2006/relationships/footer" Target="footer15.xml"/><Relationship Id="rId54" Type="http://schemas.openxmlformats.org/officeDocument/2006/relationships/header" Target="header22.xml"/><Relationship Id="rId62" Type="http://schemas.openxmlformats.org/officeDocument/2006/relationships/footer" Target="footer25.xml"/><Relationship Id="rId70" Type="http://schemas.openxmlformats.org/officeDocument/2006/relationships/header" Target="header30.xml"/><Relationship Id="rId75" Type="http://schemas.openxmlformats.org/officeDocument/2006/relationships/footer" Target="footer32.xml"/><Relationship Id="rId83" Type="http://schemas.openxmlformats.org/officeDocument/2006/relationships/footer" Target="footer36.xml"/><Relationship Id="rId88" Type="http://schemas.openxmlformats.org/officeDocument/2006/relationships/header" Target="header39.xml"/><Relationship Id="rId91" Type="http://schemas.openxmlformats.org/officeDocument/2006/relationships/header" Target="header41.xml"/><Relationship Id="rId96" Type="http://schemas.openxmlformats.org/officeDocument/2006/relationships/header" Target="header43.xml"/><Relationship Id="rId111" Type="http://schemas.openxmlformats.org/officeDocument/2006/relationships/footer" Target="footer50.xml"/><Relationship Id="rId132" Type="http://schemas.openxmlformats.org/officeDocument/2006/relationships/header" Target="header61.xml"/><Relationship Id="rId140" Type="http://schemas.openxmlformats.org/officeDocument/2006/relationships/footer" Target="footer64.xml"/><Relationship Id="rId145" Type="http://schemas.openxmlformats.org/officeDocument/2006/relationships/header" Target="header68.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header" Target="header13.xml"/><Relationship Id="rId49" Type="http://schemas.openxmlformats.org/officeDocument/2006/relationships/header" Target="header20.xml"/><Relationship Id="rId57" Type="http://schemas.openxmlformats.org/officeDocument/2006/relationships/footer" Target="footer23.xml"/><Relationship Id="rId106" Type="http://schemas.openxmlformats.org/officeDocument/2006/relationships/header" Target="header48.xml"/><Relationship Id="rId114" Type="http://schemas.openxmlformats.org/officeDocument/2006/relationships/header" Target="header52.xml"/><Relationship Id="rId119" Type="http://schemas.openxmlformats.org/officeDocument/2006/relationships/footer" Target="footer54.xml"/><Relationship Id="rId127" Type="http://schemas.openxmlformats.org/officeDocument/2006/relationships/header" Target="header59.xml"/><Relationship Id="rId10" Type="http://schemas.openxmlformats.org/officeDocument/2006/relationships/endnotes" Target="endnotes.xml"/><Relationship Id="rId31" Type="http://schemas.openxmlformats.org/officeDocument/2006/relationships/header" Target="header11.xml"/><Relationship Id="rId44" Type="http://schemas.openxmlformats.org/officeDocument/2006/relationships/footer" Target="footer16.xml"/><Relationship Id="rId52" Type="http://schemas.openxmlformats.org/officeDocument/2006/relationships/header" Target="header21.xml"/><Relationship Id="rId60" Type="http://schemas.openxmlformats.org/officeDocument/2006/relationships/header" Target="header25.xml"/><Relationship Id="rId65" Type="http://schemas.openxmlformats.org/officeDocument/2006/relationships/footer" Target="footer27.xml"/><Relationship Id="rId73" Type="http://schemas.openxmlformats.org/officeDocument/2006/relationships/header" Target="header32.xml"/><Relationship Id="rId78" Type="http://schemas.openxmlformats.org/officeDocument/2006/relationships/header" Target="header34.xml"/><Relationship Id="rId81" Type="http://schemas.openxmlformats.org/officeDocument/2006/relationships/footer" Target="footer35.xml"/><Relationship Id="rId86" Type="http://schemas.openxmlformats.org/officeDocument/2006/relationships/footer" Target="footer37.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30" Type="http://schemas.openxmlformats.org/officeDocument/2006/relationships/header" Target="header60.xml"/><Relationship Id="rId135" Type="http://schemas.openxmlformats.org/officeDocument/2006/relationships/footer" Target="footer62.xml"/><Relationship Id="rId143" Type="http://schemas.openxmlformats.org/officeDocument/2006/relationships/footer" Target="footer66.xml"/><Relationship Id="rId148" Type="http://schemas.openxmlformats.org/officeDocument/2006/relationships/header" Target="header69.xml"/><Relationship Id="rId15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footer" Target="footer65.xml"/><Relationship Id="rId146" Type="http://schemas.openxmlformats.org/officeDocument/2006/relationships/footer" Target="footer67.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61" Type="http://schemas.openxmlformats.org/officeDocument/2006/relationships/header" Target="header26.xml"/><Relationship Id="rId82" Type="http://schemas.openxmlformats.org/officeDocument/2006/relationships/header" Target="header36.xm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insee.fr/fr/metadonnees/definition/c2034" TargetMode="External"/><Relationship Id="rId2" Type="http://schemas.openxmlformats.org/officeDocument/2006/relationships/hyperlink" Target="https://www.legifrance.gouv.fr/codes/article_lc/LEGIARTI000037385809" TargetMode="External"/><Relationship Id="rId1" Type="http://schemas.openxmlformats.org/officeDocument/2006/relationships/hyperlink" Target="https://www.legifrance.gouv.fr/codes/article_lc/LEGIARTI000037385809" TargetMode="External"/><Relationship Id="rId4" Type="http://schemas.openxmlformats.org/officeDocument/2006/relationships/hyperlink" Target="https://www.insee.fr/fr/metadonnees/definition/c20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1198b08-d09d-409c-a169-ca1eb44fa897" xsi:nil="true"/>
    <lcf76f155ced4ddcb4097134ff3c332f xmlns="69540217-dd4d-4552-b080-f316f8754f84">
      <Terms xmlns="http://schemas.microsoft.com/office/infopath/2007/PartnerControls"/>
    </lcf76f155ced4ddcb4097134ff3c332f>
    <_ip_UnifiedCompliancePolicyProperties xmlns="http://schemas.microsoft.com/sharepoint/v3" xsi:nil="true"/>
    <typedepreuve xmlns="69540217-dd4d-4552-b080-f316f8754f8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20" ma:contentTypeDescription="Create a new document." ma:contentTypeScope="" ma:versionID="5bac8f02593307cdc11d64a525e247ea">
  <xsd:schema xmlns:xsd="http://www.w3.org/2001/XMLSchema" xmlns:xs="http://www.w3.org/2001/XMLSchema" xmlns:p="http://schemas.microsoft.com/office/2006/metadata/properties" xmlns:ns1="http://schemas.microsoft.com/sharepoint/v3" xmlns:ns2="69540217-dd4d-4552-b080-f316f8754f84" xmlns:ns3="41198b08-d09d-409c-a169-ca1eb44fa897" targetNamespace="http://schemas.microsoft.com/office/2006/metadata/properties" ma:root="true" ma:fieldsID="dba4f38f1f386ec24eff4161cf96494d" ns1:_="" ns2:_="" ns3:_="">
    <xsd:import namespace="http://schemas.microsoft.com/sharepoint/v3"/>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typedepreuv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typedepreuve" ma:index="26" nillable="true" ma:displayName="type de preuve" ma:format="Dropdown" ma:internalName="typedepreuve">
      <xsd:simpleType>
        <xsd:restriction base="dms:Note">
          <xsd:maxLength value="255"/>
        </xsd:restriction>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402e0ff7-5f2c-4b0e-abc1-410cc76fa0ac}"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85AA0-68E3-42A7-8ED5-4F2D4D6838A4}">
  <ds:schemaRefs>
    <ds:schemaRef ds:uri="http://schemas.microsoft.com/sharepoint/v3/contenttype/forms"/>
  </ds:schemaRefs>
</ds:datastoreItem>
</file>

<file path=customXml/itemProps2.xml><?xml version="1.0" encoding="utf-8"?>
<ds:datastoreItem xmlns:ds="http://schemas.openxmlformats.org/officeDocument/2006/customXml" ds:itemID="{7EA30F99-EAB1-4DBC-AC11-4DCDF449425E}">
  <ds:schemaRefs>
    <ds:schemaRef ds:uri="http://schemas.microsoft.com/office/2006/metadata/properties"/>
    <ds:schemaRef ds:uri="http://schemas.microsoft.com/office/infopath/2007/PartnerControls"/>
    <ds:schemaRef ds:uri="http://schemas.microsoft.com/sharepoint/v3"/>
    <ds:schemaRef ds:uri="41198b08-d09d-409c-a169-ca1eb44fa897"/>
    <ds:schemaRef ds:uri="69540217-dd4d-4552-b080-f316f8754f84"/>
  </ds:schemaRefs>
</ds:datastoreItem>
</file>

<file path=customXml/itemProps3.xml><?xml version="1.0" encoding="utf-8"?>
<ds:datastoreItem xmlns:ds="http://schemas.openxmlformats.org/officeDocument/2006/customXml" ds:itemID="{C8D42694-305B-4004-9933-9049BEA487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1DA28F-237D-44EA-B4EA-E6B3D985A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6</Pages>
  <Words>38100</Words>
  <Characters>217176</Characters>
  <Application>Microsoft Office Word</Application>
  <DocSecurity>0</DocSecurity>
  <Lines>1809</Lines>
  <Paragraphs>509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254767</CharactersWithSpaces>
  <SharedDoc>false</SharedDoc>
  <HLinks>
    <vt:vector size="24" baseType="variant">
      <vt:variant>
        <vt:i4>3342384</vt:i4>
      </vt:variant>
      <vt:variant>
        <vt:i4>9</vt:i4>
      </vt:variant>
      <vt:variant>
        <vt:i4>0</vt:i4>
      </vt:variant>
      <vt:variant>
        <vt:i4>5</vt:i4>
      </vt:variant>
      <vt:variant>
        <vt:lpwstr>http://www.insee.fr/fr/metadonnees/definition/c2034</vt:lpwstr>
      </vt:variant>
      <vt:variant>
        <vt:lpwstr/>
      </vt:variant>
      <vt:variant>
        <vt:i4>3342384</vt:i4>
      </vt:variant>
      <vt:variant>
        <vt:i4>6</vt:i4>
      </vt:variant>
      <vt:variant>
        <vt:i4>0</vt:i4>
      </vt:variant>
      <vt:variant>
        <vt:i4>5</vt:i4>
      </vt:variant>
      <vt:variant>
        <vt:lpwstr>http://www.insee.fr/fr/metadonnees/definition/c2034</vt:lpwstr>
      </vt:variant>
      <vt:variant>
        <vt:lpwstr/>
      </vt:variant>
      <vt:variant>
        <vt:i4>6291542</vt:i4>
      </vt:variant>
      <vt:variant>
        <vt:i4>3</vt:i4>
      </vt:variant>
      <vt:variant>
        <vt:i4>0</vt:i4>
      </vt:variant>
      <vt:variant>
        <vt:i4>5</vt:i4>
      </vt:variant>
      <vt:variant>
        <vt:lpwstr>http://www.legifrance.gouv.fr/codes/article_lc/LEGIARTI000037385809/</vt:lpwstr>
      </vt:variant>
      <vt:variant>
        <vt:lpwstr/>
      </vt:variant>
      <vt:variant>
        <vt:i4>6291542</vt:i4>
      </vt:variant>
      <vt:variant>
        <vt:i4>0</vt:i4>
      </vt:variant>
      <vt:variant>
        <vt:i4>0</vt:i4>
      </vt:variant>
      <vt:variant>
        <vt:i4>5</vt:i4>
      </vt:variant>
      <vt:variant>
        <vt:lpwstr>http://www.legifrance.gouv.fr/codes/article_lc/LEGIARTI000037385809/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27</cp:revision>
  <dcterms:created xsi:type="dcterms:W3CDTF">2026-07-03T11:55:00Z</dcterms:created>
  <dcterms:modified xsi:type="dcterms:W3CDTF">2026-07-20T13:00:00Z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0x0101001904E1EBFBC69D4E9F6EFDF5C754386E</vt:lpwstr>
  </property>
  <property fmtid="{D5CDD505-2E9C-101B-9397-08002B2CF9AE}" pid="3" name="MSIP_Label_6bd9ddd1-4d20-43f6-abfa-fc3c07406f94_Enabled">
    <vt:lpwstr>true</vt:lpwstr>
  </property>
  <property fmtid="{D5CDD505-2E9C-101B-9397-08002B2CF9AE}" pid="4" name="MSIP_Label_6bd9ddd1-4d20-43f6-abfa-fc3c07406f94_SetDate">
    <vt:lpwstr>2026-07-03T09:16:49Z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14f08ad5-0669-48f1-81cd-d3ae9b8b45a3</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Last edited using">
    <vt:lpwstr>LW 9.2, Build 20250828</vt:lpwstr>
  </property>
  <property fmtid="{D5CDD505-2E9C-101B-9397-08002B2CF9AE}" pid="14" name="DocStatus">
    <vt:lpwstr>Green</vt:lpwstr>
  </property>
  <property fmtid="{D5CDD505-2E9C-101B-9397-08002B2CF9AE}" pid="15" name="First annex">
    <vt:lpwstr>1</vt:lpwstr>
  </property>
  <property fmtid="{D5CDD505-2E9C-101B-9397-08002B2CF9AE}" pid="16" name="Last annex">
    <vt:lpwstr>1</vt:lpwstr>
  </property>
  <property fmtid="{D5CDD505-2E9C-101B-9397-08002B2CF9AE}" pid="17" name="Unique annex">
    <vt:lpwstr>1</vt:lpwstr>
  </property>
  <property fmtid="{D5CDD505-2E9C-101B-9397-08002B2CF9AE}" pid="18" name="Part">
    <vt:lpwstr>1</vt:lpwstr>
  </property>
  <property fmtid="{D5CDD505-2E9C-101B-9397-08002B2CF9AE}" pid="19" name="Total parts">
    <vt:lpwstr>1</vt:lpwstr>
  </property>
  <property fmtid="{D5CDD505-2E9C-101B-9397-08002B2CF9AE}" pid="20" name="CPTemplateID">
    <vt:lpwstr>CP-036</vt:lpwstr>
  </property>
</Properties>
</file>